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856" w:lineRule="exact" w:before="0"/>
        <w:ind w:left="1142" w:right="1418" w:firstLine="0"/>
        <w:jc w:val="center"/>
        <w:rPr>
          <w:rFonts w:ascii="Microsoft JhengHei" w:hAnsi="Microsoft JhengHei" w:cs="Microsoft JhengHei" w:eastAsia="Microsoft JhengHei" w:hint="default"/>
          <w:sz w:val="52"/>
          <w:szCs w:val="52"/>
        </w:rPr>
      </w:pPr>
      <w:r>
        <w:rPr>
          <w:rFonts w:ascii="Microsoft JhengHei" w:hAnsi="Microsoft JhengHei" w:cs="Microsoft JhengHei" w:eastAsia="Microsoft JhengHei" w:hint="default"/>
          <w:b/>
          <w:bCs/>
          <w:color w:val="0000FF"/>
          <w:spacing w:val="2"/>
          <w:sz w:val="52"/>
          <w:szCs w:val="52"/>
        </w:rPr>
        <w:t>深圳大通实业股份有限公司</w:t>
      </w:r>
      <w:r>
        <w:rPr>
          <w:rFonts w:ascii="Microsoft JhengHei" w:hAnsi="Microsoft JhengHei" w:cs="Microsoft JhengHei" w:eastAsia="Microsoft JhengHei" w:hint="default"/>
          <w:sz w:val="52"/>
          <w:szCs w:val="52"/>
        </w:rPr>
      </w:r>
    </w:p>
    <w:p>
      <w:pPr>
        <w:spacing w:line="983" w:lineRule="exact" w:before="15"/>
        <w:ind w:left="1142" w:right="1417" w:firstLine="0"/>
        <w:jc w:val="center"/>
        <w:rPr>
          <w:rFonts w:ascii="Microsoft JhengHei" w:hAnsi="Microsoft JhengHei" w:cs="Microsoft JhengHei" w:eastAsia="Microsoft JhengHei" w:hint="default"/>
          <w:sz w:val="52"/>
          <w:szCs w:val="52"/>
        </w:rPr>
      </w:pPr>
      <w:r>
        <w:rPr>
          <w:rFonts w:ascii="Lucida Sans Unicode" w:hAnsi="Lucida Sans Unicode" w:cs="Lucida Sans Unicode" w:eastAsia="Lucida Sans Unicode" w:hint="default"/>
          <w:b/>
          <w:bCs/>
          <w:color w:val="0000FF"/>
          <w:sz w:val="52"/>
          <w:szCs w:val="52"/>
        </w:rPr>
        <w:t>2008</w:t>
      </w:r>
      <w:r>
        <w:rPr>
          <w:rFonts w:ascii="Microsoft JhengHei" w:hAnsi="Microsoft JhengHei" w:cs="Microsoft JhengHei" w:eastAsia="Microsoft JhengHei" w:hint="default"/>
          <w:b/>
          <w:bCs/>
          <w:color w:val="0000FF"/>
          <w:sz w:val="52"/>
          <w:szCs w:val="52"/>
        </w:rPr>
        <w:t>年年度报告</w:t>
      </w:r>
      <w:r>
        <w:rPr>
          <w:rFonts w:ascii="Microsoft JhengHei" w:hAnsi="Microsoft JhengHei" w:cs="Microsoft JhengHei" w:eastAsia="Microsoft JhengHei" w:hint="default"/>
          <w:sz w:val="52"/>
          <w:szCs w:val="52"/>
        </w:rPr>
      </w:r>
    </w:p>
    <w:p>
      <w:pPr>
        <w:spacing w:line="675" w:lineRule="exact" w:before="0"/>
        <w:ind w:left="1141" w:right="1418" w:firstLine="0"/>
        <w:jc w:val="center"/>
        <w:rPr>
          <w:rFonts w:ascii="Microsoft JhengHei" w:hAnsi="Microsoft JhengHei" w:cs="Microsoft JhengHei" w:eastAsia="Microsoft JhengHei" w:hint="default"/>
          <w:sz w:val="36"/>
          <w:szCs w:val="36"/>
        </w:rPr>
      </w:pPr>
      <w:r>
        <w:rPr>
          <w:rFonts w:ascii="Microsoft JhengHei"/>
          <w:b/>
          <w:color w:val="0000FF"/>
          <w:w w:val="115"/>
          <w:sz w:val="36"/>
        </w:rPr>
        <w:t>(</w:t>
      </w:r>
      <w:r>
        <w:rPr>
          <w:rFonts w:ascii="Microsoft JhengHei"/>
          <w:b/>
          <w:color w:val="0000FF"/>
          <w:spacing w:val="-3"/>
          <w:w w:val="115"/>
          <w:sz w:val="36"/>
        </w:rPr>
        <w:t> </w:t>
      </w:r>
      <w:r>
        <w:rPr>
          <w:rFonts w:ascii="Lucida Sans Unicode"/>
          <w:b/>
          <w:color w:val="0000FF"/>
          <w:w w:val="110"/>
          <w:sz w:val="36"/>
        </w:rPr>
        <w:t>Annual</w:t>
      </w:r>
      <w:r>
        <w:rPr>
          <w:rFonts w:ascii="Lucida Sans Unicode"/>
          <w:b/>
          <w:color w:val="0000FF"/>
          <w:spacing w:val="-63"/>
          <w:w w:val="110"/>
          <w:sz w:val="36"/>
        </w:rPr>
        <w:t> </w:t>
      </w:r>
      <w:r>
        <w:rPr>
          <w:rFonts w:ascii="Lucida Sans Unicode"/>
          <w:b/>
          <w:color w:val="0000FF"/>
          <w:w w:val="110"/>
          <w:sz w:val="36"/>
        </w:rPr>
        <w:t>Report</w:t>
      </w:r>
      <w:r>
        <w:rPr>
          <w:rFonts w:ascii="Lucida Sans Unicode"/>
          <w:b/>
          <w:color w:val="0000FF"/>
          <w:spacing w:val="-26"/>
          <w:w w:val="110"/>
          <w:sz w:val="36"/>
        </w:rPr>
        <w:t> </w:t>
      </w:r>
      <w:r>
        <w:rPr>
          <w:rFonts w:ascii="Lucida Sans Unicode"/>
          <w:b/>
          <w:color w:val="0000FF"/>
          <w:w w:val="110"/>
          <w:sz w:val="36"/>
        </w:rPr>
        <w:t>2008</w:t>
      </w:r>
      <w:r>
        <w:rPr>
          <w:rFonts w:ascii="Lucida Sans Unicode"/>
          <w:b/>
          <w:color w:val="0000FF"/>
          <w:spacing w:val="-61"/>
          <w:w w:val="110"/>
          <w:sz w:val="36"/>
        </w:rPr>
        <w:t> </w:t>
      </w:r>
      <w:r>
        <w:rPr>
          <w:rFonts w:ascii="Microsoft JhengHei"/>
          <w:b/>
          <w:color w:val="0000FF"/>
          <w:w w:val="115"/>
          <w:sz w:val="36"/>
        </w:rPr>
        <w:t>)</w:t>
      </w:r>
      <w:r>
        <w:rPr>
          <w:rFonts w:ascii="Microsoft JhengHei"/>
          <w:sz w:val="36"/>
        </w:rPr>
      </w: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12"/>
        <w:rPr>
          <w:rFonts w:ascii="Microsoft JhengHei" w:hAnsi="Microsoft JhengHei" w:cs="Microsoft JhengHei" w:eastAsia="Microsoft JhengHei" w:hint="default"/>
          <w:b/>
          <w:bCs/>
          <w:sz w:val="11"/>
          <w:szCs w:val="11"/>
        </w:rPr>
      </w:pPr>
    </w:p>
    <w:p>
      <w:pPr>
        <w:spacing w:line="1291" w:lineRule="exact"/>
        <w:ind w:left="3402"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25"/>
          <w:sz w:val="20"/>
          <w:szCs w:val="20"/>
        </w:rPr>
        <w:drawing>
          <wp:inline distT="0" distB="0" distL="0" distR="0">
            <wp:extent cx="1483487" cy="820102"/>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483487" cy="820102"/>
                    </a:xfrm>
                    <a:prstGeom prst="rect">
                      <a:avLst/>
                    </a:prstGeom>
                  </pic:spPr>
                </pic:pic>
              </a:graphicData>
            </a:graphic>
          </wp:inline>
        </w:drawing>
      </w:r>
      <w:r>
        <w:rPr>
          <w:rFonts w:ascii="Microsoft JhengHei" w:hAnsi="Microsoft JhengHei" w:cs="Microsoft JhengHei" w:eastAsia="Microsoft JhengHei" w:hint="default"/>
          <w:position w:val="-25"/>
          <w:sz w:val="20"/>
          <w:szCs w:val="20"/>
        </w:rPr>
      </w:r>
    </w:p>
    <w:p>
      <w:pPr>
        <w:spacing w:line="240" w:lineRule="auto" w:before="8"/>
        <w:rPr>
          <w:rFonts w:ascii="Microsoft JhengHei" w:hAnsi="Microsoft JhengHei" w:cs="Microsoft JhengHei" w:eastAsia="Microsoft JhengHei" w:hint="default"/>
          <w:b/>
          <w:bCs/>
          <w:sz w:val="48"/>
          <w:szCs w:val="48"/>
        </w:rPr>
      </w:pPr>
    </w:p>
    <w:p>
      <w:pPr>
        <w:spacing w:before="0"/>
        <w:ind w:left="1141" w:right="1418" w:firstLine="0"/>
        <w:jc w:val="center"/>
        <w:rPr>
          <w:rFonts w:ascii="Microsoft JhengHei" w:hAnsi="Microsoft JhengHei" w:cs="Microsoft JhengHei" w:eastAsia="Microsoft JhengHei" w:hint="default"/>
          <w:sz w:val="32"/>
          <w:szCs w:val="32"/>
        </w:rPr>
      </w:pPr>
      <w:r>
        <w:rPr>
          <w:rFonts w:ascii="Microsoft JhengHei" w:hAnsi="Microsoft JhengHei" w:cs="Microsoft JhengHei" w:eastAsia="Microsoft JhengHei" w:hint="default"/>
          <w:b/>
          <w:bCs/>
          <w:color w:val="0000FF"/>
          <w:sz w:val="32"/>
          <w:szCs w:val="32"/>
        </w:rPr>
        <w:t>二OO九年四月二十九日</w:t>
      </w:r>
      <w:r>
        <w:rPr>
          <w:rFonts w:ascii="Microsoft JhengHei" w:hAnsi="Microsoft JhengHei" w:cs="Microsoft JhengHei" w:eastAsia="Microsoft JhengHei" w:hint="default"/>
          <w:sz w:val="32"/>
          <w:szCs w:val="32"/>
        </w:rPr>
      </w: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2"/>
        <w:rPr>
          <w:rFonts w:ascii="Microsoft JhengHei" w:hAnsi="Microsoft JhengHei" w:cs="Microsoft JhengHei" w:eastAsia="Microsoft JhengHei" w:hint="default"/>
          <w:b/>
          <w:bCs/>
          <w:sz w:val="21"/>
          <w:szCs w:val="21"/>
        </w:rPr>
      </w:pPr>
    </w:p>
    <w:p>
      <w:pPr>
        <w:spacing w:line="547" w:lineRule="exact"/>
        <w:ind w:left="118"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10"/>
          <w:sz w:val="20"/>
          <w:szCs w:val="20"/>
        </w:rPr>
        <w:drawing>
          <wp:inline distT="0" distB="0" distL="0" distR="0">
            <wp:extent cx="5421085" cy="347853"/>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421085" cy="347853"/>
                    </a:xfrm>
                    <a:prstGeom prst="rect">
                      <a:avLst/>
                    </a:prstGeom>
                  </pic:spPr>
                </pic:pic>
              </a:graphicData>
            </a:graphic>
          </wp:inline>
        </w:drawing>
      </w:r>
      <w:r>
        <w:rPr>
          <w:rFonts w:ascii="Microsoft JhengHei" w:hAnsi="Microsoft JhengHei" w:cs="Microsoft JhengHei" w:eastAsia="Microsoft JhengHei" w:hint="default"/>
          <w:position w:val="-10"/>
          <w:sz w:val="20"/>
          <w:szCs w:val="20"/>
        </w:rPr>
      </w:r>
    </w:p>
    <w:p>
      <w:pPr>
        <w:spacing w:after="0" w:line="547" w:lineRule="exact"/>
        <w:rPr>
          <w:rFonts w:ascii="Microsoft JhengHei" w:hAnsi="Microsoft JhengHei" w:cs="Microsoft JhengHei" w:eastAsia="Microsoft JhengHei" w:hint="default"/>
          <w:sz w:val="20"/>
          <w:szCs w:val="20"/>
        </w:rPr>
        <w:sectPr>
          <w:type w:val="continuous"/>
          <w:pgSz w:w="11910" w:h="16840"/>
          <w:pgMar w:top="1600" w:bottom="280" w:left="1660" w:right="138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3"/>
        <w:rPr>
          <w:rFonts w:ascii="Microsoft JhengHei" w:hAnsi="Microsoft JhengHei" w:cs="Microsoft JhengHei" w:eastAsia="Microsoft JhengHei" w:hint="default"/>
          <w:b/>
          <w:bCs/>
          <w:sz w:val="12"/>
          <w:szCs w:val="12"/>
        </w:rPr>
      </w:pPr>
    </w:p>
    <w:p>
      <w:pPr>
        <w:spacing w:before="7"/>
        <w:ind w:left="3335" w:right="3333" w:firstLine="0"/>
        <w:jc w:val="center"/>
        <w:rPr>
          <w:rFonts w:ascii="宋体" w:hAnsi="宋体" w:cs="宋体" w:eastAsia="宋体" w:hint="default"/>
          <w:sz w:val="30"/>
          <w:szCs w:val="30"/>
        </w:rPr>
      </w:pPr>
      <w:r>
        <w:rPr>
          <w:rFonts w:ascii="宋体" w:hAnsi="宋体" w:cs="宋体" w:eastAsia="宋体" w:hint="default"/>
          <w:b/>
          <w:bCs/>
          <w:sz w:val="30"/>
          <w:szCs w:val="30"/>
        </w:rPr>
        <w:t>重要提示</w:t>
      </w:r>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spacing w:line="240" w:lineRule="auto" w:before="1"/>
        <w:rPr>
          <w:rFonts w:ascii="宋体" w:hAnsi="宋体" w:cs="宋体" w:eastAsia="宋体" w:hint="default"/>
          <w:b/>
          <w:bCs/>
          <w:sz w:val="33"/>
          <w:szCs w:val="33"/>
        </w:rPr>
      </w:pPr>
    </w:p>
    <w:p>
      <w:pPr>
        <w:pStyle w:val="BodyText"/>
        <w:spacing w:line="357" w:lineRule="auto" w:before="0"/>
        <w:ind w:right="114" w:firstLine="480"/>
        <w:jc w:val="both"/>
      </w:pPr>
      <w:r>
        <w:rPr>
          <w:spacing w:val="-2"/>
        </w:rPr>
        <w:t>本公司董事会及其董事保证本报告所载资料不存在任何虚假记载、误导性陈述或者</w:t>
      </w:r>
      <w:r>
        <w:rPr/>
        <w:t> 重大遗漏，并对其内容的真实性、准确性和完整性承担个别及连带责任。</w:t>
      </w:r>
    </w:p>
    <w:p>
      <w:pPr>
        <w:pStyle w:val="BodyText"/>
        <w:spacing w:line="357" w:lineRule="auto" w:before="36"/>
        <w:ind w:right="185" w:firstLine="480"/>
        <w:jc w:val="both"/>
      </w:pPr>
      <w:r>
        <w:rPr/>
        <w:t>公司本年度报告已经公司第六届董事会第二十一次会议审议通过。会议应到董事7 名，实到董事6名。</w:t>
      </w:r>
    </w:p>
    <w:p>
      <w:pPr>
        <w:pStyle w:val="BodyText"/>
        <w:spacing w:line="357" w:lineRule="auto" w:before="36"/>
        <w:ind w:right="114" w:firstLine="480"/>
        <w:jc w:val="both"/>
      </w:pPr>
      <w:r>
        <w:rPr>
          <w:spacing w:val="-2"/>
        </w:rPr>
        <w:t>除独立董事栾伟洁以时间仓促无法全面了解情况投弃权票外，公司其他董事会均同</w:t>
      </w:r>
      <w:r>
        <w:rPr/>
        <w:t> </w:t>
      </w:r>
      <w:r>
        <w:rPr>
          <w:spacing w:val="-3"/>
        </w:rPr>
        <w:t>意此报告，没有董事、监事、高级管理人员对本年度报告内容的真实性、准确性、完整</w:t>
      </w:r>
      <w:r>
        <w:rPr>
          <w:spacing w:val="-89"/>
        </w:rPr>
        <w:t> </w:t>
      </w:r>
      <w:r>
        <w:rPr>
          <w:spacing w:val="-89"/>
        </w:rPr>
      </w:r>
      <w:r>
        <w:rPr/>
        <w:t>性无法保证或存在异议。</w:t>
      </w:r>
    </w:p>
    <w:p>
      <w:pPr>
        <w:pStyle w:val="BodyText"/>
        <w:spacing w:line="357" w:lineRule="auto" w:before="36"/>
        <w:ind w:right="114" w:firstLine="480"/>
        <w:jc w:val="both"/>
      </w:pPr>
      <w:r>
        <w:rPr>
          <w:spacing w:val="-2"/>
        </w:rPr>
        <w:t>公司本年度报告已经深圳市鹏城会计师事务所审计，并出具了标准无保留意见的审</w:t>
      </w:r>
      <w:r>
        <w:rPr/>
        <w:t> 计报告。</w:t>
      </w:r>
    </w:p>
    <w:p>
      <w:pPr>
        <w:pStyle w:val="BodyText"/>
        <w:spacing w:line="357" w:lineRule="auto" w:before="36"/>
        <w:ind w:right="114" w:firstLine="480"/>
        <w:jc w:val="both"/>
      </w:pPr>
      <w:r>
        <w:rPr>
          <w:spacing w:val="-2"/>
        </w:rPr>
        <w:t>公司负责人董事长高海波先生、会计机构负责人陈璇女士声明：保证年度报告中财</w:t>
      </w:r>
      <w:r>
        <w:rPr/>
        <w:t> 务会计报告的真实、完整。</w:t>
      </w:r>
    </w:p>
    <w:p>
      <w:pPr>
        <w:spacing w:after="0" w:line="357" w:lineRule="auto"/>
        <w:jc w:val="both"/>
        <w:sectPr>
          <w:footerReference w:type="default" r:id="rId7"/>
          <w:pgSz w:w="11910" w:h="16840"/>
          <w:pgMar w:footer="614" w:header="0" w:top="1600" w:bottom="800" w:left="1300" w:right="1300"/>
          <w:pgNumType w:start="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9"/>
          <w:szCs w:val="29"/>
        </w:rPr>
      </w:pPr>
    </w:p>
    <w:p>
      <w:pPr>
        <w:tabs>
          <w:tab w:pos="663" w:val="left" w:leader="none"/>
        </w:tabs>
        <w:spacing w:before="1"/>
        <w:ind w:left="20" w:right="0" w:firstLine="0"/>
        <w:jc w:val="center"/>
        <w:rPr>
          <w:rFonts w:ascii="宋体" w:hAnsi="宋体" w:cs="宋体" w:eastAsia="宋体" w:hint="default"/>
          <w:sz w:val="32"/>
          <w:szCs w:val="32"/>
        </w:rPr>
      </w:pPr>
      <w:r>
        <w:rPr>
          <w:rFonts w:ascii="宋体" w:hAnsi="宋体" w:cs="宋体" w:eastAsia="宋体" w:hint="default"/>
          <w:b/>
          <w:bCs/>
          <w:w w:val="95"/>
          <w:sz w:val="32"/>
          <w:szCs w:val="32"/>
        </w:rPr>
        <w:t>目</w:t>
        <w:tab/>
      </w:r>
      <w:r>
        <w:rPr>
          <w:rFonts w:ascii="宋体" w:hAnsi="宋体" w:cs="宋体" w:eastAsia="宋体" w:hint="default"/>
          <w:b/>
          <w:bCs/>
          <w:sz w:val="32"/>
          <w:szCs w:val="32"/>
        </w:rPr>
        <w:t>录</w:t>
      </w:r>
      <w:r>
        <w:rPr>
          <w:rFonts w:ascii="宋体" w:hAnsi="宋体" w:cs="宋体" w:eastAsia="宋体" w:hint="default"/>
          <w:sz w:val="32"/>
          <w:szCs w:val="32"/>
        </w:rPr>
      </w:r>
    </w:p>
    <w:sdt>
      <w:sdtPr>
        <w:docPartObj>
          <w:docPartGallery w:val="Table of Contents"/>
          <w:docPartUnique/>
        </w:docPartObj>
      </w:sdtPr>
      <w:sdtEndPr/>
      <w:sdtContent>
        <w:p>
          <w:pPr>
            <w:pStyle w:val="TOC1"/>
            <w:tabs>
              <w:tab w:pos="1078" w:val="left" w:leader="none"/>
              <w:tab w:pos="9178" w:val="right" w:leader="dot"/>
            </w:tabs>
            <w:spacing w:line="240" w:lineRule="auto" w:before="817"/>
            <w:ind w:right="0"/>
            <w:jc w:val="left"/>
            <w:rPr>
              <w:rFonts w:ascii="Times New Roman" w:hAnsi="Times New Roman" w:cs="Times New Roman" w:eastAsia="Times New Roman" w:hint="default"/>
            </w:rPr>
          </w:pPr>
          <w:hyperlink w:history="true" w:anchor="_TOC_250010">
            <w:r>
              <w:rPr/>
              <w:t>第一章</w:t>
              <w:tab/>
              <w:t>公司基本情况简介</w:t>
            </w:r>
            <w:r>
              <w:rPr>
                <w:rFonts w:ascii="Times New Roman" w:hAnsi="Times New Roman" w:cs="Times New Roman" w:eastAsia="Times New Roman" w:hint="default"/>
              </w:rPr>
              <w:tab/>
              <w:t>3</w:t>
            </w:r>
          </w:hyperlink>
        </w:p>
        <w:p>
          <w:pPr>
            <w:pStyle w:val="TOC1"/>
            <w:tabs>
              <w:tab w:pos="1078" w:val="left" w:leader="none"/>
              <w:tab w:pos="9178" w:val="right" w:leader="dot"/>
            </w:tabs>
            <w:spacing w:line="240" w:lineRule="auto"/>
            <w:ind w:right="0"/>
            <w:jc w:val="left"/>
            <w:rPr>
              <w:rFonts w:ascii="Times New Roman" w:hAnsi="Times New Roman" w:cs="Times New Roman" w:eastAsia="Times New Roman" w:hint="default"/>
            </w:rPr>
          </w:pPr>
          <w:hyperlink w:history="true" w:anchor="_TOC_250009">
            <w:r>
              <w:rPr/>
              <w:t>第二章</w:t>
              <w:tab/>
              <w:t>会计数据和业务数据摘要</w:t>
            </w:r>
            <w:r>
              <w:rPr>
                <w:rFonts w:ascii="Times New Roman" w:hAnsi="Times New Roman" w:cs="Times New Roman" w:eastAsia="Times New Roman" w:hint="default"/>
              </w:rPr>
              <w:tab/>
              <w:t>4</w:t>
            </w:r>
          </w:hyperlink>
        </w:p>
        <w:p>
          <w:pPr>
            <w:pStyle w:val="TOC1"/>
            <w:tabs>
              <w:tab w:pos="1078" w:val="left" w:leader="none"/>
              <w:tab w:pos="9178" w:val="right" w:leader="dot"/>
            </w:tabs>
            <w:spacing w:line="240" w:lineRule="auto"/>
            <w:ind w:right="0"/>
            <w:jc w:val="left"/>
            <w:rPr>
              <w:rFonts w:ascii="Times New Roman" w:hAnsi="Times New Roman" w:cs="Times New Roman" w:eastAsia="Times New Roman" w:hint="default"/>
            </w:rPr>
          </w:pPr>
          <w:hyperlink w:history="true" w:anchor="_TOC_250008">
            <w:r>
              <w:rPr/>
              <w:t>第三章</w:t>
              <w:tab/>
              <w:t>股本变动及股东情况</w:t>
            </w:r>
            <w:r>
              <w:rPr>
                <w:rFonts w:ascii="Times New Roman" w:hAnsi="Times New Roman" w:cs="Times New Roman" w:eastAsia="Times New Roman" w:hint="default"/>
              </w:rPr>
              <w:tab/>
              <w:t>7</w:t>
            </w:r>
          </w:hyperlink>
        </w:p>
        <w:p>
          <w:pPr>
            <w:pStyle w:val="TOC1"/>
            <w:tabs>
              <w:tab w:pos="1198" w:val="left" w:leader="none"/>
              <w:tab w:pos="9178" w:val="right" w:leader="dot"/>
            </w:tabs>
            <w:spacing w:line="240" w:lineRule="auto"/>
            <w:ind w:right="0"/>
            <w:jc w:val="left"/>
            <w:rPr>
              <w:rFonts w:ascii="Times New Roman" w:hAnsi="Times New Roman" w:cs="Times New Roman" w:eastAsia="Times New Roman" w:hint="default"/>
            </w:rPr>
          </w:pPr>
          <w:hyperlink w:history="true" w:anchor="_TOC_250007">
            <w:r>
              <w:rPr/>
              <w:t>第四章</w:t>
              <w:tab/>
              <w:t>董事、监事、高级管理人员和员工情况</w:t>
            </w:r>
            <w:r>
              <w:rPr>
                <w:rFonts w:ascii="Times New Roman" w:hAnsi="Times New Roman" w:cs="Times New Roman" w:eastAsia="Times New Roman" w:hint="default"/>
              </w:rPr>
              <w:tab/>
              <w:t>15</w:t>
            </w:r>
          </w:hyperlink>
        </w:p>
        <w:p>
          <w:pPr>
            <w:pStyle w:val="TOC1"/>
            <w:tabs>
              <w:tab w:pos="1078" w:val="left" w:leader="none"/>
              <w:tab w:pos="9178" w:val="right" w:leader="dot"/>
            </w:tabs>
            <w:spacing w:line="240" w:lineRule="auto"/>
            <w:ind w:right="0"/>
            <w:jc w:val="left"/>
            <w:rPr>
              <w:rFonts w:ascii="Times New Roman" w:hAnsi="Times New Roman" w:cs="Times New Roman" w:eastAsia="Times New Roman" w:hint="default"/>
            </w:rPr>
          </w:pPr>
          <w:hyperlink w:history="true" w:anchor="_TOC_250006">
            <w:r>
              <w:rPr/>
              <w:t>第五章</w:t>
              <w:tab/>
              <w:t>公司治理结构</w:t>
            </w:r>
            <w:r>
              <w:rPr>
                <w:rFonts w:ascii="Times New Roman" w:hAnsi="Times New Roman" w:cs="Times New Roman" w:eastAsia="Times New Roman" w:hint="default"/>
              </w:rPr>
              <w:tab/>
              <w:t>19</w:t>
            </w:r>
          </w:hyperlink>
        </w:p>
        <w:p>
          <w:pPr>
            <w:pStyle w:val="TOC1"/>
            <w:tabs>
              <w:tab w:pos="9178" w:val="right" w:leader="dot"/>
            </w:tabs>
            <w:spacing w:line="240" w:lineRule="auto"/>
            <w:ind w:right="0"/>
            <w:jc w:val="left"/>
            <w:rPr>
              <w:rFonts w:ascii="Times New Roman" w:hAnsi="Times New Roman" w:cs="Times New Roman" w:eastAsia="Times New Roman" w:hint="default"/>
            </w:rPr>
          </w:pPr>
          <w:hyperlink w:history="true" w:anchor="_TOC_250005">
            <w:r>
              <w:rPr/>
              <w:t>第六章 股东大会情况简介</w:t>
            </w:r>
            <w:r>
              <w:rPr>
                <w:rFonts w:ascii="Times New Roman" w:hAnsi="Times New Roman" w:cs="Times New Roman" w:eastAsia="Times New Roman" w:hint="default"/>
              </w:rPr>
              <w:tab/>
              <w:t>21</w:t>
            </w:r>
          </w:hyperlink>
        </w:p>
        <w:p>
          <w:pPr>
            <w:pStyle w:val="TOC1"/>
            <w:tabs>
              <w:tab w:pos="9178" w:val="right" w:leader="dot"/>
            </w:tabs>
            <w:spacing w:line="240" w:lineRule="auto"/>
            <w:ind w:right="0"/>
            <w:jc w:val="left"/>
            <w:rPr>
              <w:rFonts w:ascii="Times New Roman" w:hAnsi="Times New Roman" w:cs="Times New Roman" w:eastAsia="Times New Roman" w:hint="default"/>
            </w:rPr>
          </w:pPr>
          <w:hyperlink w:history="true" w:anchor="_TOC_250004">
            <w:r>
              <w:rPr/>
              <w:t>第七章 董事会报告</w:t>
            </w:r>
            <w:r>
              <w:rPr>
                <w:rFonts w:ascii="Times New Roman" w:hAnsi="Times New Roman" w:cs="Times New Roman" w:eastAsia="Times New Roman" w:hint="default"/>
              </w:rPr>
              <w:tab/>
              <w:t>24</w:t>
            </w:r>
          </w:hyperlink>
        </w:p>
        <w:p>
          <w:pPr>
            <w:pStyle w:val="TOC1"/>
            <w:tabs>
              <w:tab w:pos="9178" w:val="right" w:leader="dot"/>
            </w:tabs>
            <w:spacing w:line="240" w:lineRule="auto"/>
            <w:ind w:right="0"/>
            <w:jc w:val="left"/>
            <w:rPr>
              <w:rFonts w:ascii="Times New Roman" w:hAnsi="Times New Roman" w:cs="Times New Roman" w:eastAsia="Times New Roman" w:hint="default"/>
            </w:rPr>
          </w:pPr>
          <w:hyperlink w:history="true" w:anchor="_TOC_250003">
            <w:r>
              <w:rPr/>
              <w:t>第八章 监事会报告</w:t>
            </w:r>
            <w:r>
              <w:rPr>
                <w:rFonts w:ascii="Times New Roman" w:hAnsi="Times New Roman" w:cs="Times New Roman" w:eastAsia="Times New Roman" w:hint="default"/>
              </w:rPr>
              <w:tab/>
              <w:t>34</w:t>
            </w:r>
          </w:hyperlink>
        </w:p>
        <w:p>
          <w:pPr>
            <w:pStyle w:val="TOC1"/>
            <w:tabs>
              <w:tab w:pos="9178" w:val="right" w:leader="dot"/>
            </w:tabs>
            <w:spacing w:line="240" w:lineRule="auto"/>
            <w:ind w:right="0"/>
            <w:jc w:val="left"/>
            <w:rPr>
              <w:rFonts w:ascii="Times New Roman" w:hAnsi="Times New Roman" w:cs="Times New Roman" w:eastAsia="Times New Roman" w:hint="default"/>
            </w:rPr>
          </w:pPr>
          <w:hyperlink w:history="true" w:anchor="_TOC_250002">
            <w:r>
              <w:rPr/>
              <w:t>第九章 重要事项</w:t>
            </w:r>
            <w:r>
              <w:rPr>
                <w:rFonts w:ascii="Times New Roman" w:hAnsi="Times New Roman" w:cs="Times New Roman" w:eastAsia="Times New Roman" w:hint="default"/>
              </w:rPr>
              <w:tab/>
              <w:t>36</w:t>
            </w:r>
          </w:hyperlink>
        </w:p>
        <w:p>
          <w:pPr>
            <w:pStyle w:val="TOC1"/>
            <w:tabs>
              <w:tab w:pos="1078" w:val="left" w:leader="none"/>
              <w:tab w:pos="9178" w:val="right" w:leader="dot"/>
            </w:tabs>
            <w:spacing w:line="240" w:lineRule="auto"/>
            <w:ind w:right="0"/>
            <w:jc w:val="left"/>
            <w:rPr>
              <w:rFonts w:ascii="Times New Roman" w:hAnsi="Times New Roman" w:cs="Times New Roman" w:eastAsia="Times New Roman" w:hint="default"/>
            </w:rPr>
          </w:pPr>
          <w:hyperlink w:history="true" w:anchor="_TOC_250001">
            <w:r>
              <w:rPr/>
              <w:t>第十章</w:t>
              <w:tab/>
              <w:t>财务报告</w:t>
            </w:r>
            <w:r>
              <w:rPr>
                <w:rFonts w:ascii="Times New Roman" w:hAnsi="Times New Roman" w:cs="Times New Roman" w:eastAsia="Times New Roman" w:hint="default"/>
              </w:rPr>
              <w:tab/>
              <w:t>51</w:t>
            </w:r>
          </w:hyperlink>
        </w:p>
        <w:p>
          <w:pPr>
            <w:pStyle w:val="TOC1"/>
            <w:tabs>
              <w:tab w:pos="1318" w:val="left" w:leader="none"/>
              <w:tab w:pos="9178" w:val="right" w:leader="dot"/>
            </w:tabs>
            <w:spacing w:line="240" w:lineRule="auto"/>
            <w:ind w:right="0"/>
            <w:jc w:val="left"/>
            <w:rPr>
              <w:rFonts w:ascii="Times New Roman" w:hAnsi="Times New Roman" w:cs="Times New Roman" w:eastAsia="Times New Roman" w:hint="default"/>
            </w:rPr>
          </w:pPr>
          <w:hyperlink w:history="true" w:anchor="_TOC_250000">
            <w:r>
              <w:rPr/>
              <w:t>第十一章</w:t>
              <w:tab/>
              <w:t>备查文件目录</w:t>
            </w:r>
            <w:r>
              <w:rPr>
                <w:rFonts w:ascii="Times New Roman" w:hAnsi="Times New Roman" w:cs="Times New Roman" w:eastAsia="Times New Roman" w:hint="default"/>
              </w:rPr>
              <w:tab/>
              <w:t>104</w:t>
            </w:r>
          </w:hyperlink>
        </w:p>
      </w:sdtContent>
    </w:sdt>
    <w:p>
      <w:pPr>
        <w:spacing w:after="0" w:line="240" w:lineRule="auto"/>
        <w:jc w:val="left"/>
        <w:rPr>
          <w:rFonts w:ascii="Times New Roman" w:hAnsi="Times New Roman" w:cs="Times New Roman" w:eastAsia="Times New Roman" w:hint="default"/>
        </w:rPr>
        <w:sectPr>
          <w:pgSz w:w="11910" w:h="16840"/>
          <w:pgMar w:header="0" w:footer="614" w:top="1600" w:bottom="800" w:left="1300" w:right="1320"/>
        </w:sectPr>
      </w:pPr>
    </w:p>
    <w:p>
      <w:pPr>
        <w:spacing w:line="240" w:lineRule="auto" w:before="0"/>
        <w:rPr>
          <w:rFonts w:ascii="Times New Roman" w:hAnsi="Times New Roman" w:cs="Times New Roman" w:eastAsia="Times New Roman" w:hint="default"/>
          <w:sz w:val="28"/>
          <w:szCs w:val="28"/>
        </w:rPr>
      </w:pPr>
    </w:p>
    <w:p>
      <w:pPr>
        <w:spacing w:line="240" w:lineRule="auto" w:before="0"/>
        <w:rPr>
          <w:rFonts w:ascii="Times New Roman" w:hAnsi="Times New Roman" w:cs="Times New Roman" w:eastAsia="Times New Roman" w:hint="default"/>
          <w:sz w:val="28"/>
          <w:szCs w:val="28"/>
        </w:rPr>
      </w:pPr>
    </w:p>
    <w:p>
      <w:pPr>
        <w:spacing w:line="240" w:lineRule="auto" w:before="9"/>
        <w:rPr>
          <w:rFonts w:ascii="Times New Roman" w:hAnsi="Times New Roman" w:cs="Times New Roman" w:eastAsia="Times New Roman" w:hint="default"/>
          <w:sz w:val="29"/>
          <w:szCs w:val="29"/>
        </w:rPr>
      </w:pPr>
    </w:p>
    <w:p>
      <w:pPr>
        <w:pStyle w:val="Heading1"/>
        <w:tabs>
          <w:tab w:pos="4071" w:val="left" w:leader="none"/>
        </w:tabs>
        <w:spacing w:line="240" w:lineRule="auto"/>
        <w:ind w:left="2946" w:right="1226"/>
        <w:jc w:val="left"/>
        <w:rPr>
          <w:b w:val="0"/>
          <w:bCs w:val="0"/>
        </w:rPr>
      </w:pPr>
      <w:bookmarkStart w:name="_TOC_250010" w:id="1"/>
      <w:r>
        <w:rPr>
          <w:w w:val="95"/>
        </w:rPr>
        <w:t>第一章</w:t>
        <w:tab/>
      </w:r>
      <w:r>
        <w:rPr/>
        <w:t>公司基本情况简介</w:t>
      </w:r>
      <w:bookmarkEnd w:id="1"/>
      <w:r>
        <w:rPr>
          <w:b w:val="0"/>
          <w:bCs w:val="0"/>
        </w:rPr>
      </w:r>
    </w:p>
    <w:p>
      <w:pPr>
        <w:spacing w:line="240" w:lineRule="auto" w:before="0"/>
        <w:rPr>
          <w:rFonts w:ascii="宋体" w:hAnsi="宋体" w:cs="宋体" w:eastAsia="宋体" w:hint="default"/>
          <w:b/>
          <w:bCs/>
          <w:sz w:val="28"/>
          <w:szCs w:val="28"/>
        </w:rPr>
      </w:pPr>
    </w:p>
    <w:p>
      <w:pPr>
        <w:pStyle w:val="BodyText"/>
        <w:spacing w:line="357" w:lineRule="auto" w:before="240"/>
        <w:ind w:right="2906"/>
        <w:jc w:val="left"/>
        <w:rPr>
          <w:rFonts w:ascii="Times New Roman" w:hAnsi="Times New Roman" w:cs="Times New Roman" w:eastAsia="Times New Roman" w:hint="default"/>
        </w:rPr>
      </w:pPr>
      <w:r>
        <w:rPr/>
        <w:t>（一） 公司法定中文名称：深圳大通实业股份有限公司 公司法定英文名称：</w:t>
      </w:r>
      <w:r>
        <w:rPr>
          <w:rFonts w:ascii="Times New Roman" w:hAnsi="Times New Roman" w:cs="Times New Roman" w:eastAsia="Times New Roman" w:hint="default"/>
        </w:rPr>
        <w:t>Shenzhen Capstone Industrial Co.,Ltd.</w:t>
      </w:r>
    </w:p>
    <w:p>
      <w:pPr>
        <w:pStyle w:val="BodyText"/>
        <w:spacing w:line="240" w:lineRule="auto" w:before="5"/>
        <w:ind w:right="1226"/>
        <w:jc w:val="left"/>
      </w:pPr>
      <w:r>
        <w:rPr/>
        <w:t>（二） 公司法定代表人：高海波</w:t>
      </w:r>
    </w:p>
    <w:p>
      <w:pPr>
        <w:pStyle w:val="BodyText"/>
        <w:spacing w:line="348" w:lineRule="auto" w:before="154"/>
        <w:ind w:right="3964"/>
        <w:jc w:val="left"/>
        <w:rPr>
          <w:rFonts w:ascii="Times New Roman" w:hAnsi="Times New Roman" w:cs="Times New Roman" w:eastAsia="Times New Roman" w:hint="default"/>
        </w:rPr>
      </w:pPr>
      <w:r>
        <w:rPr/>
        <w:t>（三） 公司董事会秘书：高海波（代） 联系地址：深圳市福田区都市阳光名苑</w:t>
      </w:r>
      <w:r>
        <w:rPr>
          <w:rFonts w:ascii="Times New Roman" w:hAnsi="Times New Roman" w:cs="Times New Roman" w:eastAsia="Times New Roman" w:hint="default"/>
        </w:rPr>
        <w:t>1</w:t>
      </w:r>
      <w:r>
        <w:rPr>
          <w:rFonts w:ascii="Times New Roman" w:hAnsi="Times New Roman" w:cs="Times New Roman" w:eastAsia="Times New Roman" w:hint="default"/>
          <w:spacing w:val="58"/>
        </w:rPr>
        <w:t> </w:t>
      </w:r>
      <w:r>
        <w:rPr/>
        <w:t>栋</w:t>
      </w:r>
      <w:r>
        <w:rPr>
          <w:rFonts w:ascii="Times New Roman" w:hAnsi="Times New Roman" w:cs="Times New Roman" w:eastAsia="Times New Roman" w:hint="default"/>
        </w:rPr>
        <w:t>6B</w:t>
      </w:r>
      <w:r>
        <w:rPr>
          <w:rFonts w:ascii="Times New Roman" w:hAnsi="Times New Roman" w:cs="Times New Roman" w:eastAsia="Times New Roman" w:hint="default"/>
          <w:spacing w:val="-1"/>
        </w:rPr>
        <w:t> </w:t>
      </w:r>
      <w:r>
        <w:rPr/>
        <w:t>电话：</w:t>
      </w:r>
      <w:r>
        <w:rPr>
          <w:rFonts w:ascii="Times New Roman" w:hAnsi="Times New Roman" w:cs="Times New Roman" w:eastAsia="Times New Roman" w:hint="default"/>
        </w:rPr>
        <w:t>0755-26921699</w:t>
      </w:r>
    </w:p>
    <w:p>
      <w:pPr>
        <w:pStyle w:val="BodyText"/>
        <w:spacing w:line="240" w:lineRule="auto" w:before="16"/>
        <w:ind w:right="1226"/>
        <w:jc w:val="left"/>
        <w:rPr>
          <w:rFonts w:ascii="Times New Roman" w:hAnsi="Times New Roman" w:cs="Times New Roman" w:eastAsia="Times New Roman" w:hint="default"/>
        </w:rPr>
      </w:pPr>
      <w:r>
        <w:rPr/>
        <w:t>传真：</w:t>
      </w:r>
      <w:r>
        <w:rPr>
          <w:rFonts w:ascii="Times New Roman" w:hAnsi="Times New Roman" w:cs="Times New Roman" w:eastAsia="Times New Roman" w:hint="default"/>
        </w:rPr>
        <w:t>0755-26910599</w:t>
      </w:r>
    </w:p>
    <w:p>
      <w:pPr>
        <w:pStyle w:val="BodyText"/>
        <w:spacing w:line="240" w:lineRule="auto"/>
        <w:ind w:right="1226"/>
        <w:jc w:val="left"/>
        <w:rPr>
          <w:rFonts w:ascii="Times New Roman" w:hAnsi="Times New Roman" w:cs="Times New Roman" w:eastAsia="Times New Roman" w:hint="default"/>
        </w:rPr>
      </w:pPr>
      <w:r>
        <w:rPr/>
        <w:t>电子信箱：</w:t>
      </w:r>
      <w:hyperlink r:id="rId8">
        <w:r>
          <w:rPr>
            <w:rFonts w:ascii="Times New Roman" w:hAnsi="Times New Roman" w:cs="Times New Roman" w:eastAsia="Times New Roman" w:hint="default"/>
          </w:rPr>
          <w:t>hongfa007@163.com</w:t>
        </w:r>
      </w:hyperlink>
    </w:p>
    <w:p>
      <w:pPr>
        <w:pStyle w:val="BodyText"/>
        <w:spacing w:line="348" w:lineRule="auto"/>
        <w:ind w:right="3468"/>
        <w:jc w:val="left"/>
        <w:rPr>
          <w:rFonts w:ascii="Times New Roman" w:hAnsi="Times New Roman" w:cs="Times New Roman" w:eastAsia="Times New Roman" w:hint="default"/>
        </w:rPr>
      </w:pPr>
      <w:r>
        <w:rPr/>
        <w:t>（四） 公司注册地址：深圳华侨城东部工业区 公司办公地址：深圳市福田区都市阳光名苑</w:t>
      </w:r>
      <w:r>
        <w:rPr>
          <w:rFonts w:ascii="Times New Roman" w:hAnsi="Times New Roman" w:cs="Times New Roman" w:eastAsia="Times New Roman" w:hint="default"/>
        </w:rPr>
        <w:t>1</w:t>
      </w:r>
      <w:r>
        <w:rPr>
          <w:rFonts w:ascii="Times New Roman" w:hAnsi="Times New Roman" w:cs="Times New Roman" w:eastAsia="Times New Roman" w:hint="default"/>
          <w:spacing w:val="58"/>
        </w:rPr>
        <w:t> </w:t>
      </w:r>
      <w:r>
        <w:rPr/>
        <w:t>栋</w:t>
      </w:r>
      <w:r>
        <w:rPr>
          <w:rFonts w:ascii="Times New Roman" w:hAnsi="Times New Roman" w:cs="Times New Roman" w:eastAsia="Times New Roman" w:hint="default"/>
        </w:rPr>
        <w:t>6B</w:t>
      </w:r>
      <w:r>
        <w:rPr>
          <w:rFonts w:ascii="Times New Roman" w:hAnsi="Times New Roman" w:cs="Times New Roman" w:eastAsia="Times New Roman" w:hint="default"/>
          <w:spacing w:val="-1"/>
        </w:rPr>
        <w:t> </w:t>
      </w:r>
      <w:r>
        <w:rPr/>
        <w:t>邮编：</w:t>
      </w:r>
      <w:r>
        <w:rPr>
          <w:rFonts w:ascii="Times New Roman" w:hAnsi="Times New Roman" w:cs="Times New Roman" w:eastAsia="Times New Roman" w:hint="default"/>
        </w:rPr>
        <w:t>518000</w:t>
      </w:r>
    </w:p>
    <w:p>
      <w:pPr>
        <w:pStyle w:val="BodyText"/>
        <w:spacing w:line="240" w:lineRule="auto" w:before="16"/>
        <w:ind w:right="1226"/>
        <w:jc w:val="left"/>
        <w:rPr>
          <w:rFonts w:ascii="Times New Roman" w:hAnsi="Times New Roman" w:cs="Times New Roman" w:eastAsia="Times New Roman" w:hint="default"/>
        </w:rPr>
      </w:pPr>
      <w:r>
        <w:rPr/>
        <w:t>电子邮箱：</w:t>
      </w:r>
      <w:hyperlink r:id="rId8">
        <w:r>
          <w:rPr>
            <w:rFonts w:ascii="Times New Roman" w:hAnsi="Times New Roman" w:cs="Times New Roman" w:eastAsia="Times New Roman" w:hint="default"/>
          </w:rPr>
          <w:t>hongfa007@163.com</w:t>
        </w:r>
      </w:hyperlink>
    </w:p>
    <w:p>
      <w:pPr>
        <w:pStyle w:val="BodyText"/>
        <w:spacing w:line="348" w:lineRule="auto"/>
        <w:ind w:right="1226"/>
        <w:jc w:val="left"/>
      </w:pPr>
      <w:r>
        <w:rPr/>
        <w:t>（五） 公司选定的信息披露报纸名称：《证券时报》、《中国证券报》 证监会指定登载公司年度报告的网站网址：</w:t>
      </w:r>
      <w:hyperlink r:id="rId9">
        <w:r>
          <w:rPr>
            <w:rFonts w:ascii="Times New Roman" w:hAnsi="Times New Roman" w:cs="Times New Roman" w:eastAsia="Times New Roman" w:hint="default"/>
          </w:rPr>
          <w:t>http://www.cninfo.com.cn</w:t>
        </w:r>
      </w:hyperlink>
      <w:r>
        <w:rPr>
          <w:rFonts w:ascii="Times New Roman" w:hAnsi="Times New Roman" w:cs="Times New Roman" w:eastAsia="Times New Roman" w:hint="default"/>
          <w:spacing w:val="-1"/>
        </w:rPr>
        <w:t> </w:t>
      </w:r>
      <w:r>
        <w:rPr/>
        <w:t>公司年度报告备置地点：公司董事会秘书处</w:t>
      </w:r>
    </w:p>
    <w:p>
      <w:pPr>
        <w:pStyle w:val="BodyText"/>
        <w:spacing w:line="357" w:lineRule="auto" w:before="46"/>
        <w:ind w:right="3866"/>
        <w:jc w:val="left"/>
      </w:pPr>
      <w:r>
        <w:rPr/>
        <w:t>（六） 公司股票上市交易所：深圳证券交易所 股票简称：</w:t>
      </w:r>
      <w:r>
        <w:rPr>
          <w:rFonts w:ascii="Times New Roman" w:hAnsi="Times New Roman" w:cs="Times New Roman" w:eastAsia="Times New Roman" w:hint="default"/>
        </w:rPr>
        <w:t>S*ST</w:t>
      </w:r>
      <w:r>
        <w:rPr/>
        <w:t>大通</w:t>
      </w:r>
    </w:p>
    <w:p>
      <w:pPr>
        <w:pStyle w:val="BodyText"/>
        <w:spacing w:line="240" w:lineRule="auto" w:before="5"/>
        <w:ind w:right="1226"/>
        <w:jc w:val="left"/>
        <w:rPr>
          <w:rFonts w:ascii="Times New Roman" w:hAnsi="Times New Roman" w:cs="Times New Roman" w:eastAsia="Times New Roman" w:hint="default"/>
        </w:rPr>
      </w:pPr>
      <w:r>
        <w:rPr/>
        <w:t>股票代码：</w:t>
      </w:r>
      <w:r>
        <w:rPr>
          <w:rFonts w:ascii="Times New Roman" w:hAnsi="Times New Roman" w:cs="Times New Roman" w:eastAsia="Times New Roman" w:hint="default"/>
        </w:rPr>
        <w:t>000038</w:t>
      </w:r>
    </w:p>
    <w:p>
      <w:pPr>
        <w:pStyle w:val="BodyText"/>
        <w:spacing w:line="348" w:lineRule="auto"/>
        <w:ind w:right="3506"/>
        <w:jc w:val="left"/>
      </w:pPr>
      <w:r>
        <w:rPr/>
        <w:t>（七） 其他有关资料： 公司首次注册登记日期：</w:t>
      </w:r>
      <w:r>
        <w:rPr>
          <w:rFonts w:ascii="Times New Roman" w:hAnsi="Times New Roman" w:cs="Times New Roman" w:eastAsia="Times New Roman" w:hint="default"/>
        </w:rPr>
        <w:t>1987 </w:t>
      </w:r>
      <w:r>
        <w:rPr/>
        <w:t>年</w:t>
      </w:r>
      <w:r>
        <w:rPr>
          <w:rFonts w:ascii="Times New Roman" w:hAnsi="Times New Roman" w:cs="Times New Roman" w:eastAsia="Times New Roman" w:hint="default"/>
        </w:rPr>
        <w:t>6 </w:t>
      </w:r>
      <w:r>
        <w:rPr/>
        <w:t>月</w:t>
      </w:r>
      <w:r>
        <w:rPr>
          <w:rFonts w:ascii="Times New Roman" w:hAnsi="Times New Roman" w:cs="Times New Roman" w:eastAsia="Times New Roman" w:hint="default"/>
        </w:rPr>
        <w:t>24 </w:t>
      </w:r>
      <w:r>
        <w:rPr/>
        <w:t>日 公司首次注册登记地点：深圳市华侨城东部工业区</w:t>
      </w:r>
    </w:p>
    <w:p>
      <w:pPr>
        <w:spacing w:line="240" w:lineRule="auto" w:before="0"/>
        <w:rPr>
          <w:rFonts w:ascii="宋体" w:hAnsi="宋体" w:cs="宋体" w:eastAsia="宋体" w:hint="default"/>
          <w:sz w:val="24"/>
          <w:szCs w:val="24"/>
        </w:rPr>
      </w:pPr>
    </w:p>
    <w:p>
      <w:pPr>
        <w:pStyle w:val="BodyText"/>
        <w:spacing w:line="338" w:lineRule="auto" w:before="200"/>
        <w:ind w:right="3986"/>
        <w:jc w:val="left"/>
        <w:rPr>
          <w:rFonts w:ascii="Times New Roman" w:hAnsi="Times New Roman" w:cs="Times New Roman" w:eastAsia="Times New Roman" w:hint="default"/>
        </w:rPr>
      </w:pPr>
      <w:r>
        <w:rPr/>
        <w:t>企业法人营业执照注册号：</w:t>
      </w:r>
      <w:r>
        <w:rPr>
          <w:rFonts w:ascii="Times New Roman" w:hAnsi="Times New Roman" w:cs="Times New Roman" w:eastAsia="Times New Roman" w:hint="default"/>
        </w:rPr>
        <w:t>4403011095452 </w:t>
      </w:r>
      <w:r>
        <w:rPr/>
        <w:t>企业税务登记号：国税深字</w:t>
      </w:r>
      <w:r>
        <w:rPr>
          <w:rFonts w:ascii="Times New Roman" w:hAnsi="Times New Roman" w:cs="Times New Roman" w:eastAsia="Times New Roman" w:hint="default"/>
        </w:rPr>
        <w:t>4403011618850293</w:t>
      </w:r>
    </w:p>
    <w:p>
      <w:pPr>
        <w:pStyle w:val="BodyText"/>
        <w:spacing w:line="240" w:lineRule="auto" w:before="27"/>
        <w:ind w:left="2038" w:right="1226"/>
        <w:jc w:val="left"/>
        <w:rPr>
          <w:rFonts w:ascii="Times New Roman" w:hAnsi="Times New Roman" w:cs="Times New Roman" w:eastAsia="Times New Roman" w:hint="default"/>
        </w:rPr>
      </w:pPr>
      <w:r>
        <w:rPr/>
        <w:t>深地税登字</w:t>
      </w:r>
      <w:r>
        <w:rPr>
          <w:rFonts w:ascii="Times New Roman" w:hAnsi="Times New Roman" w:cs="Times New Roman" w:eastAsia="Times New Roman" w:hint="default"/>
        </w:rPr>
        <w:t>440305618850293</w:t>
      </w:r>
    </w:p>
    <w:p>
      <w:pPr>
        <w:spacing w:after="0" w:line="240" w:lineRule="auto"/>
        <w:jc w:val="left"/>
        <w:rPr>
          <w:rFonts w:ascii="Times New Roman" w:hAnsi="Times New Roman" w:cs="Times New Roman" w:eastAsia="Times New Roman" w:hint="default"/>
        </w:rPr>
        <w:sectPr>
          <w:pgSz w:w="11910" w:h="16840"/>
          <w:pgMar w:header="0" w:footer="614" w:top="1600" w:bottom="800" w:left="1300" w:right="1680"/>
        </w:sectPr>
      </w:pPr>
    </w:p>
    <w:p>
      <w:pPr>
        <w:pStyle w:val="BodyText"/>
        <w:spacing w:line="357" w:lineRule="auto" w:before="13"/>
        <w:ind w:right="2586"/>
        <w:jc w:val="left"/>
      </w:pPr>
      <w:r>
        <w:rPr/>
        <w:t>公司聘请的会计师事务所：深圳市鹏城会计师事务所有限公司 办公地址：深圳市东门南路</w:t>
      </w:r>
      <w:r>
        <w:rPr>
          <w:rFonts w:ascii="Times New Roman" w:hAnsi="Times New Roman" w:cs="Times New Roman" w:eastAsia="Times New Roman" w:hint="default"/>
        </w:rPr>
        <w:t>2006  </w:t>
      </w:r>
      <w:r>
        <w:rPr/>
        <w:t>号宝丰大厦</w:t>
      </w:r>
      <w:r>
        <w:rPr>
          <w:rFonts w:ascii="Times New Roman" w:hAnsi="Times New Roman" w:cs="Times New Roman" w:eastAsia="Times New Roman" w:hint="default"/>
        </w:rPr>
        <w:t>5</w:t>
      </w:r>
      <w:r>
        <w:rPr/>
        <w:t>楼</w:t>
      </w:r>
    </w:p>
    <w:p>
      <w:pPr>
        <w:spacing w:line="240" w:lineRule="auto" w:before="10"/>
        <w:rPr>
          <w:rFonts w:ascii="宋体" w:hAnsi="宋体" w:cs="宋体" w:eastAsia="宋体" w:hint="default"/>
          <w:sz w:val="34"/>
          <w:szCs w:val="34"/>
        </w:rPr>
      </w:pPr>
    </w:p>
    <w:p>
      <w:pPr>
        <w:pStyle w:val="Heading1"/>
        <w:tabs>
          <w:tab w:pos="3649" w:val="left" w:leader="none"/>
        </w:tabs>
        <w:spacing w:line="240" w:lineRule="auto"/>
        <w:ind w:left="2525" w:right="0"/>
        <w:jc w:val="left"/>
        <w:rPr>
          <w:b w:val="0"/>
          <w:bCs w:val="0"/>
        </w:rPr>
      </w:pPr>
      <w:bookmarkStart w:name="_TOC_250009" w:id="2"/>
      <w:r>
        <w:rPr>
          <w:w w:val="95"/>
        </w:rPr>
        <w:t>第二章</w:t>
        <w:tab/>
      </w:r>
      <w:r>
        <w:rPr/>
        <w:t>会计数据和业务数据摘要</w:t>
      </w:r>
      <w:bookmarkEnd w:id="2"/>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2"/>
        <w:rPr>
          <w:rFonts w:ascii="宋体" w:hAnsi="宋体" w:cs="宋体" w:eastAsia="宋体" w:hint="default"/>
          <w:b/>
          <w:bCs/>
          <w:sz w:val="26"/>
          <w:szCs w:val="26"/>
        </w:rPr>
      </w:pPr>
    </w:p>
    <w:p>
      <w:pPr>
        <w:pStyle w:val="BodyText"/>
        <w:spacing w:line="240" w:lineRule="auto" w:before="0"/>
        <w:ind w:right="2586"/>
        <w:jc w:val="left"/>
      </w:pPr>
      <w:r>
        <w:rPr/>
        <w:t>（一）公司</w:t>
      </w:r>
      <w:r>
        <w:rPr>
          <w:rFonts w:ascii="Times New Roman" w:hAnsi="Times New Roman" w:cs="Times New Roman" w:eastAsia="Times New Roman" w:hint="default"/>
        </w:rPr>
        <w:t>2008  </w:t>
      </w:r>
      <w:r>
        <w:rPr/>
        <w:t>年度主要会计数据（单位：人民币元）</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tbl>
      <w:tblPr>
        <w:tblW w:w="0" w:type="auto"/>
        <w:jc w:val="left"/>
        <w:tblInd w:w="220" w:type="dxa"/>
        <w:tblLayout w:type="fixed"/>
        <w:tblCellMar>
          <w:top w:w="0" w:type="dxa"/>
          <w:left w:w="0" w:type="dxa"/>
          <w:bottom w:w="0" w:type="dxa"/>
          <w:right w:w="0" w:type="dxa"/>
        </w:tblCellMar>
        <w:tblLook w:val="01E0"/>
      </w:tblPr>
      <w:tblGrid>
        <w:gridCol w:w="4428"/>
        <w:gridCol w:w="4428"/>
      </w:tblGrid>
      <w:tr>
        <w:trPr>
          <w:trHeight w:val="476"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金额</w:t>
            </w:r>
          </w:p>
        </w:tc>
      </w:tr>
      <w:tr>
        <w:trPr>
          <w:trHeight w:val="478"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利润总额</w:t>
            </w:r>
          </w:p>
        </w:tc>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Times New Roman" w:hAnsi="Times New Roman" w:cs="Times New Roman" w:eastAsia="Times New Roman" w:hint="default"/>
                <w:sz w:val="18"/>
                <w:szCs w:val="18"/>
              </w:rPr>
            </w:pPr>
            <w:r>
              <w:rPr>
                <w:rFonts w:ascii="Times New Roman"/>
                <w:sz w:val="18"/>
              </w:rPr>
              <w:t>187,873,743.83</w:t>
            </w:r>
          </w:p>
        </w:tc>
      </w:tr>
      <w:tr>
        <w:trPr>
          <w:trHeight w:val="476"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净利润</w:t>
            </w:r>
          </w:p>
        </w:tc>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Times New Roman" w:hAnsi="Times New Roman" w:cs="Times New Roman" w:eastAsia="Times New Roman" w:hint="default"/>
                <w:sz w:val="18"/>
                <w:szCs w:val="18"/>
              </w:rPr>
            </w:pPr>
            <w:r>
              <w:rPr>
                <w:rFonts w:ascii="Times New Roman"/>
                <w:sz w:val="18"/>
              </w:rPr>
              <w:t>154,040,966.62</w:t>
            </w:r>
          </w:p>
        </w:tc>
      </w:tr>
      <w:tr>
        <w:trPr>
          <w:trHeight w:val="476"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93" w:lineRule="exact"/>
              <w:ind w:right="587"/>
              <w:jc w:val="right"/>
              <w:rPr>
                <w:rFonts w:ascii="Times New Roman" w:hAnsi="Times New Roman" w:cs="Times New Roman" w:eastAsia="Times New Roman" w:hint="default"/>
                <w:sz w:val="24"/>
                <w:szCs w:val="24"/>
              </w:rPr>
            </w:pPr>
            <w:r>
              <w:rPr>
                <w:rFonts w:ascii="宋体" w:hAnsi="宋体" w:cs="宋体" w:eastAsia="宋体" w:hint="default"/>
                <w:sz w:val="24"/>
                <w:szCs w:val="24"/>
              </w:rPr>
              <w:t>扣除非经常性损益后的净利润</w:t>
            </w:r>
            <w:r>
              <w:rPr>
                <w:rFonts w:ascii="Times New Roman" w:hAnsi="Times New Roman" w:cs="Times New Roman" w:eastAsia="Times New Roman" w:hint="default"/>
                <w:sz w:val="24"/>
                <w:szCs w:val="24"/>
              </w:rPr>
              <w:t>*</w:t>
            </w:r>
          </w:p>
        </w:tc>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Times New Roman" w:hAnsi="Times New Roman" w:cs="Times New Roman" w:eastAsia="Times New Roman" w:hint="default"/>
                <w:sz w:val="18"/>
                <w:szCs w:val="18"/>
              </w:rPr>
            </w:pPr>
            <w:r>
              <w:rPr>
                <w:rFonts w:ascii="Times New Roman"/>
                <w:sz w:val="18"/>
              </w:rPr>
              <w:t>-8,241,460.10</w:t>
            </w:r>
          </w:p>
        </w:tc>
      </w:tr>
      <w:tr>
        <w:trPr>
          <w:trHeight w:val="478"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营业利润</w:t>
            </w:r>
          </w:p>
        </w:tc>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Times New Roman" w:hAnsi="Times New Roman" w:cs="Times New Roman" w:eastAsia="Times New Roman" w:hint="default"/>
                <w:sz w:val="18"/>
                <w:szCs w:val="18"/>
              </w:rPr>
            </w:pPr>
            <w:r>
              <w:rPr>
                <w:rFonts w:ascii="Times New Roman"/>
                <w:sz w:val="18"/>
              </w:rPr>
              <w:t>-8,396,757.73</w:t>
            </w:r>
          </w:p>
        </w:tc>
      </w:tr>
      <w:tr>
        <w:trPr>
          <w:trHeight w:val="476"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投资收益</w:t>
            </w:r>
          </w:p>
        </w:tc>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Times New Roman" w:hAnsi="Times New Roman" w:cs="Times New Roman" w:eastAsia="Times New Roman" w:hint="default"/>
                <w:sz w:val="24"/>
                <w:szCs w:val="24"/>
              </w:rPr>
            </w:pPr>
            <w:r>
              <w:rPr>
                <w:rFonts w:ascii="Times New Roman"/>
                <w:sz w:val="24"/>
              </w:rPr>
              <w:t>0</w:t>
            </w:r>
          </w:p>
        </w:tc>
      </w:tr>
      <w:tr>
        <w:trPr>
          <w:trHeight w:val="478"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补贴收入</w:t>
            </w:r>
          </w:p>
        </w:tc>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Times New Roman" w:hAnsi="Times New Roman" w:cs="Times New Roman" w:eastAsia="Times New Roman" w:hint="default"/>
                <w:sz w:val="24"/>
                <w:szCs w:val="24"/>
              </w:rPr>
            </w:pPr>
            <w:r>
              <w:rPr>
                <w:rFonts w:ascii="Times New Roman"/>
                <w:sz w:val="24"/>
              </w:rPr>
              <w:t>0</w:t>
            </w:r>
          </w:p>
        </w:tc>
      </w:tr>
      <w:tr>
        <w:trPr>
          <w:trHeight w:val="476"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369" w:right="0"/>
              <w:jc w:val="left"/>
              <w:rPr>
                <w:rFonts w:ascii="宋体" w:hAnsi="宋体" w:cs="宋体" w:eastAsia="宋体" w:hint="default"/>
                <w:sz w:val="24"/>
                <w:szCs w:val="24"/>
              </w:rPr>
            </w:pPr>
            <w:r>
              <w:rPr>
                <w:rFonts w:ascii="宋体" w:hAnsi="宋体" w:cs="宋体" w:eastAsia="宋体" w:hint="default"/>
                <w:sz w:val="24"/>
                <w:szCs w:val="24"/>
              </w:rPr>
              <w:t>营业外收支净额</w:t>
            </w:r>
          </w:p>
        </w:tc>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Times New Roman" w:hAnsi="Times New Roman" w:cs="Times New Roman" w:eastAsia="Times New Roman" w:hint="default"/>
                <w:sz w:val="18"/>
                <w:szCs w:val="18"/>
              </w:rPr>
            </w:pPr>
            <w:r>
              <w:rPr>
                <w:rFonts w:ascii="Times New Roman"/>
                <w:sz w:val="18"/>
              </w:rPr>
              <w:t>196,270,501.56</w:t>
            </w:r>
          </w:p>
        </w:tc>
      </w:tr>
      <w:tr>
        <w:trPr>
          <w:trHeight w:val="476"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647"/>
              <w:jc w:val="right"/>
              <w:rPr>
                <w:rFonts w:ascii="宋体" w:hAnsi="宋体" w:cs="宋体" w:eastAsia="宋体" w:hint="default"/>
                <w:sz w:val="24"/>
                <w:szCs w:val="24"/>
              </w:rPr>
            </w:pPr>
            <w:r>
              <w:rPr>
                <w:rFonts w:ascii="宋体" w:hAnsi="宋体" w:cs="宋体" w:eastAsia="宋体" w:hint="default"/>
                <w:sz w:val="24"/>
                <w:szCs w:val="24"/>
              </w:rPr>
              <w:t>经营活动产生的现金流量净额</w:t>
            </w:r>
          </w:p>
        </w:tc>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
              <w:jc w:val="center"/>
              <w:rPr>
                <w:rFonts w:ascii="Times New Roman" w:hAnsi="Times New Roman" w:cs="Times New Roman" w:eastAsia="Times New Roman" w:hint="default"/>
                <w:sz w:val="18"/>
                <w:szCs w:val="18"/>
              </w:rPr>
            </w:pPr>
            <w:r>
              <w:rPr>
                <w:rFonts w:ascii="Times New Roman"/>
                <w:sz w:val="18"/>
              </w:rPr>
              <w:t>22,371,187.28</w:t>
            </w:r>
          </w:p>
        </w:tc>
      </w:tr>
      <w:tr>
        <w:trPr>
          <w:trHeight w:val="478"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769" w:right="0"/>
              <w:jc w:val="left"/>
              <w:rPr>
                <w:rFonts w:ascii="宋体" w:hAnsi="宋体" w:cs="宋体" w:eastAsia="宋体" w:hint="default"/>
                <w:sz w:val="24"/>
                <w:szCs w:val="24"/>
              </w:rPr>
            </w:pPr>
            <w:r>
              <w:rPr>
                <w:rFonts w:ascii="宋体" w:hAnsi="宋体" w:cs="宋体" w:eastAsia="宋体" w:hint="default"/>
                <w:sz w:val="24"/>
                <w:szCs w:val="24"/>
              </w:rPr>
              <w:t>现金及现金等价物净增减额</w:t>
            </w:r>
          </w:p>
        </w:tc>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
              <w:jc w:val="center"/>
              <w:rPr>
                <w:rFonts w:ascii="Times New Roman" w:hAnsi="Times New Roman" w:cs="Times New Roman" w:eastAsia="Times New Roman" w:hint="default"/>
                <w:sz w:val="18"/>
                <w:szCs w:val="18"/>
              </w:rPr>
            </w:pPr>
            <w:r>
              <w:rPr>
                <w:rFonts w:ascii="Times New Roman"/>
                <w:sz w:val="18"/>
              </w:rPr>
              <w:t>32,328,368.30</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right="2586"/>
        <w:jc w:val="left"/>
      </w:pPr>
      <w:r>
        <w:rPr>
          <w:rFonts w:ascii="Times New Roman" w:hAnsi="Times New Roman" w:cs="Times New Roman" w:eastAsia="Times New Roman" w:hint="default"/>
        </w:rPr>
        <w:t>*</w:t>
      </w:r>
      <w:r>
        <w:rPr/>
        <w:t>扣除非经常性损益项目和涉及金额（单位：人民币元）</w:t>
      </w:r>
    </w:p>
    <w:p>
      <w:pPr>
        <w:spacing w:line="240" w:lineRule="auto" w:before="4"/>
        <w:rPr>
          <w:rFonts w:ascii="宋体" w:hAnsi="宋体" w:cs="宋体" w:eastAsia="宋体" w:hint="default"/>
          <w:sz w:val="7"/>
          <w:szCs w:val="7"/>
        </w:rPr>
      </w:pPr>
    </w:p>
    <w:tbl>
      <w:tblPr>
        <w:tblW w:w="0" w:type="auto"/>
        <w:jc w:val="left"/>
        <w:tblInd w:w="261" w:type="dxa"/>
        <w:tblLayout w:type="fixed"/>
        <w:tblCellMar>
          <w:top w:w="0" w:type="dxa"/>
          <w:left w:w="0" w:type="dxa"/>
          <w:bottom w:w="0" w:type="dxa"/>
          <w:right w:w="0" w:type="dxa"/>
        </w:tblCellMar>
        <w:tblLook w:val="01E0"/>
      </w:tblPr>
      <w:tblGrid>
        <w:gridCol w:w="5386"/>
        <w:gridCol w:w="1748"/>
        <w:gridCol w:w="1619"/>
      </w:tblGrid>
      <w:tr>
        <w:trPr>
          <w:trHeight w:val="485" w:hRule="exact"/>
        </w:trPr>
        <w:tc>
          <w:tcPr>
            <w:tcW w:w="5386" w:type="dxa"/>
            <w:tcBorders>
              <w:top w:val="single" w:sz="12" w:space="0" w:color="000000"/>
              <w:left w:val="single" w:sz="12" w:space="0" w:color="000000"/>
              <w:bottom w:val="single" w:sz="4" w:space="0" w:color="000000"/>
              <w:right w:val="single" w:sz="4" w:space="0" w:color="000000"/>
            </w:tcBorders>
          </w:tcPr>
          <w:p>
            <w:pPr>
              <w:pStyle w:val="TableParagraph"/>
              <w:tabs>
                <w:tab w:pos="1154" w:val="left" w:leader="none"/>
              </w:tabs>
              <w:spacing w:line="240" w:lineRule="auto" w:before="155"/>
              <w:ind w:right="8"/>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74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55"/>
              <w:ind w:left="448"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619"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155"/>
              <w:ind w:left="385"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634" w:hRule="exact"/>
        </w:trPr>
        <w:tc>
          <w:tcPr>
            <w:tcW w:w="538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非流动性资产处置损益</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-1,156,966.82</w:t>
            </w:r>
          </w:p>
        </w:tc>
        <w:tc>
          <w:tcPr>
            <w:tcW w:w="161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89"/>
              <w:jc w:val="right"/>
              <w:rPr>
                <w:rFonts w:ascii="Times New Roman" w:hAnsi="Times New Roman" w:cs="Times New Roman" w:eastAsia="Times New Roman" w:hint="default"/>
                <w:sz w:val="21"/>
                <w:szCs w:val="21"/>
              </w:rPr>
            </w:pPr>
            <w:r>
              <w:rPr>
                <w:rFonts w:ascii="Times New Roman"/>
                <w:spacing w:val="-1"/>
                <w:sz w:val="21"/>
              </w:rPr>
              <w:t>32,444,898.54</w:t>
            </w:r>
          </w:p>
        </w:tc>
      </w:tr>
      <w:tr>
        <w:trPr>
          <w:trHeight w:val="634" w:hRule="exact"/>
        </w:trPr>
        <w:tc>
          <w:tcPr>
            <w:tcW w:w="538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w:t>
            </w:r>
            <w:r>
              <w:rPr>
                <w:rFonts w:ascii="宋体" w:hAnsi="宋体" w:cs="宋体" w:eastAsia="宋体" w:hint="default"/>
                <w:sz w:val="21"/>
                <w:szCs w:val="21"/>
              </w:rPr>
              <w:t>．其他营业外收支净额</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197,427,468.38</w:t>
            </w:r>
          </w:p>
        </w:tc>
        <w:tc>
          <w:tcPr>
            <w:tcW w:w="161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89"/>
              <w:jc w:val="right"/>
              <w:rPr>
                <w:rFonts w:ascii="Times New Roman" w:hAnsi="Times New Roman" w:cs="Times New Roman" w:eastAsia="Times New Roman" w:hint="default"/>
                <w:sz w:val="21"/>
                <w:szCs w:val="21"/>
              </w:rPr>
            </w:pPr>
            <w:r>
              <w:rPr>
                <w:rFonts w:ascii="Times New Roman"/>
                <w:spacing w:val="-1"/>
                <w:sz w:val="21"/>
              </w:rPr>
              <w:t>-1,611,973.93</w:t>
            </w:r>
          </w:p>
        </w:tc>
      </w:tr>
      <w:tr>
        <w:trPr>
          <w:trHeight w:val="491" w:hRule="exact"/>
        </w:trPr>
        <w:tc>
          <w:tcPr>
            <w:tcW w:w="538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3"/>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21.</w:t>
            </w:r>
            <w:r>
              <w:rPr>
                <w:rFonts w:ascii="宋体" w:hAnsi="宋体" w:cs="宋体" w:eastAsia="宋体" w:hint="default"/>
                <w:sz w:val="21"/>
                <w:szCs w:val="21"/>
              </w:rPr>
              <w:t>其他符合非经常性损益定义的损益项目</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0"/>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61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8"/>
              <w:ind w:right="90"/>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634" w:hRule="exact"/>
        </w:trPr>
        <w:tc>
          <w:tcPr>
            <w:tcW w:w="538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合 计</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196,270,501.56</w:t>
            </w:r>
            <w:r>
              <w:rPr>
                <w:rFonts w:ascii="Times New Roman"/>
                <w:sz w:val="21"/>
              </w:rPr>
            </w:r>
          </w:p>
        </w:tc>
        <w:tc>
          <w:tcPr>
            <w:tcW w:w="161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2"/>
              <w:jc w:val="right"/>
              <w:rPr>
                <w:rFonts w:ascii="Times New Roman" w:hAnsi="Times New Roman" w:cs="Times New Roman" w:eastAsia="Times New Roman" w:hint="default"/>
                <w:sz w:val="21"/>
                <w:szCs w:val="21"/>
              </w:rPr>
            </w:pPr>
            <w:r>
              <w:rPr>
                <w:rFonts w:ascii="Times New Roman"/>
                <w:spacing w:val="-1"/>
                <w:sz w:val="21"/>
              </w:rPr>
              <w:t>-30,832,924.61</w:t>
            </w:r>
            <w:r>
              <w:rPr>
                <w:rFonts w:ascii="Times New Roman"/>
                <w:sz w:val="21"/>
              </w:rPr>
            </w:r>
          </w:p>
        </w:tc>
      </w:tr>
      <w:tr>
        <w:trPr>
          <w:trHeight w:val="634" w:hRule="exact"/>
        </w:trPr>
        <w:tc>
          <w:tcPr>
            <w:tcW w:w="538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减</w:t>
            </w:r>
            <w:r>
              <w:rPr>
                <w:rFonts w:ascii="Times New Roman" w:hAnsi="Times New Roman" w:cs="Times New Roman" w:eastAsia="Times New Roman" w:hint="default"/>
                <w:sz w:val="21"/>
                <w:szCs w:val="21"/>
              </w:rPr>
              <w:t>:</w:t>
            </w:r>
            <w:r>
              <w:rPr>
                <w:rFonts w:ascii="宋体" w:hAnsi="宋体" w:cs="宋体" w:eastAsia="宋体" w:hint="default"/>
                <w:sz w:val="21"/>
                <w:szCs w:val="21"/>
              </w:rPr>
              <w:t>非经常性损益相应的所得税</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04"/>
              <w:jc w:val="right"/>
              <w:rPr>
                <w:rFonts w:ascii="Times New Roman" w:hAnsi="Times New Roman" w:cs="Times New Roman" w:eastAsia="Times New Roman" w:hint="default"/>
                <w:sz w:val="21"/>
                <w:szCs w:val="21"/>
              </w:rPr>
            </w:pPr>
            <w:r>
              <w:rPr>
                <w:rFonts w:ascii="Times New Roman"/>
                <w:spacing w:val="-1"/>
                <w:sz w:val="21"/>
              </w:rPr>
              <w:t>-33,832,777.21</w:t>
            </w:r>
            <w:r>
              <w:rPr>
                <w:rFonts w:ascii="Times New Roman"/>
                <w:sz w:val="21"/>
              </w:rPr>
            </w:r>
          </w:p>
        </w:tc>
        <w:tc>
          <w:tcPr>
            <w:tcW w:w="161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2"/>
              <w:jc w:val="right"/>
              <w:rPr>
                <w:rFonts w:ascii="Times New Roman" w:hAnsi="Times New Roman" w:cs="Times New Roman" w:eastAsia="Times New Roman" w:hint="default"/>
                <w:sz w:val="21"/>
                <w:szCs w:val="21"/>
              </w:rPr>
            </w:pPr>
            <w:r>
              <w:rPr>
                <w:rFonts w:ascii="Times New Roman"/>
                <w:spacing w:val="-1"/>
                <w:sz w:val="21"/>
              </w:rPr>
              <w:t>879,525.12</w:t>
            </w:r>
            <w:r>
              <w:rPr>
                <w:rFonts w:ascii="Times New Roman"/>
                <w:sz w:val="21"/>
              </w:rPr>
            </w:r>
          </w:p>
        </w:tc>
      </w:tr>
      <w:tr>
        <w:trPr>
          <w:trHeight w:val="501" w:hRule="exact"/>
        </w:trPr>
        <w:tc>
          <w:tcPr>
            <w:tcW w:w="5386"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173"/>
              <w:ind w:left="93" w:right="0"/>
              <w:jc w:val="left"/>
              <w:rPr>
                <w:rFonts w:ascii="宋体" w:hAnsi="宋体" w:cs="宋体" w:eastAsia="宋体" w:hint="default"/>
                <w:sz w:val="21"/>
                <w:szCs w:val="21"/>
              </w:rPr>
            </w:pPr>
            <w:r>
              <w:rPr>
                <w:rFonts w:ascii="宋体" w:hAnsi="宋体" w:cs="宋体" w:eastAsia="宋体" w:hint="default"/>
                <w:sz w:val="21"/>
                <w:szCs w:val="21"/>
              </w:rPr>
              <w:t>减</w:t>
            </w:r>
            <w:r>
              <w:rPr>
                <w:rFonts w:ascii="Times New Roman" w:hAnsi="Times New Roman" w:cs="Times New Roman" w:eastAsia="Times New Roman" w:hint="default"/>
                <w:sz w:val="21"/>
                <w:szCs w:val="21"/>
              </w:rPr>
              <w:t>:</w:t>
            </w:r>
            <w:r>
              <w:rPr>
                <w:rFonts w:ascii="宋体" w:hAnsi="宋体" w:cs="宋体" w:eastAsia="宋体" w:hint="default"/>
                <w:sz w:val="21"/>
                <w:szCs w:val="21"/>
              </w:rPr>
              <w:t>少数股东享有部分</w:t>
            </w:r>
          </w:p>
        </w:tc>
        <w:tc>
          <w:tcPr>
            <w:tcW w:w="174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8"/>
              <w:ind w:right="100"/>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619"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18"/>
              <w:ind w:right="90"/>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bl>
    <w:p>
      <w:pPr>
        <w:spacing w:after="0" w:line="240" w:lineRule="auto"/>
        <w:jc w:val="right"/>
        <w:rPr>
          <w:rFonts w:ascii="Times New Roman" w:hAnsi="Times New Roman" w:cs="Times New Roman" w:eastAsia="Times New Roman" w:hint="default"/>
          <w:sz w:val="21"/>
          <w:szCs w:val="21"/>
        </w:rPr>
        <w:sectPr>
          <w:pgSz w:w="11910" w:h="16840"/>
          <w:pgMar w:header="0" w:footer="614" w:top="1500" w:bottom="800" w:left="1300" w:right="1400"/>
        </w:sectPr>
      </w:pPr>
    </w:p>
    <w:p>
      <w:pPr>
        <w:spacing w:line="240" w:lineRule="auto" w:before="8"/>
        <w:rPr>
          <w:rFonts w:ascii="宋体" w:hAnsi="宋体" w:cs="宋体" w:eastAsia="宋体" w:hint="default"/>
          <w:sz w:val="5"/>
          <w:szCs w:val="5"/>
        </w:rPr>
      </w:pPr>
    </w:p>
    <w:tbl>
      <w:tblPr>
        <w:tblW w:w="0" w:type="auto"/>
        <w:jc w:val="left"/>
        <w:tblInd w:w="661" w:type="dxa"/>
        <w:tblLayout w:type="fixed"/>
        <w:tblCellMar>
          <w:top w:w="0" w:type="dxa"/>
          <w:left w:w="0" w:type="dxa"/>
          <w:bottom w:w="0" w:type="dxa"/>
          <w:right w:w="0" w:type="dxa"/>
        </w:tblCellMar>
        <w:tblLook w:val="01E0"/>
      </w:tblPr>
      <w:tblGrid>
        <w:gridCol w:w="5386"/>
        <w:gridCol w:w="1748"/>
        <w:gridCol w:w="1619"/>
      </w:tblGrid>
      <w:tr>
        <w:trPr>
          <w:trHeight w:val="485" w:hRule="exact"/>
        </w:trPr>
        <w:tc>
          <w:tcPr>
            <w:tcW w:w="5386" w:type="dxa"/>
            <w:tcBorders>
              <w:top w:val="single" w:sz="12" w:space="0" w:color="000000"/>
              <w:left w:val="single" w:sz="12" w:space="0" w:color="000000"/>
              <w:bottom w:val="single" w:sz="4" w:space="0" w:color="000000"/>
              <w:right w:val="single" w:sz="4" w:space="0" w:color="000000"/>
            </w:tcBorders>
          </w:tcPr>
          <w:p>
            <w:pPr>
              <w:pStyle w:val="TableParagraph"/>
              <w:tabs>
                <w:tab w:pos="1154" w:val="left" w:leader="none"/>
              </w:tabs>
              <w:spacing w:line="240" w:lineRule="auto" w:before="155"/>
              <w:ind w:right="8"/>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74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55"/>
              <w:ind w:left="448"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619"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155"/>
              <w:ind w:left="385"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634" w:hRule="exact"/>
        </w:trPr>
        <w:tc>
          <w:tcPr>
            <w:tcW w:w="538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非经常性损益影响的净利润</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162,437,724.35</w:t>
            </w:r>
          </w:p>
        </w:tc>
        <w:tc>
          <w:tcPr>
            <w:tcW w:w="161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89"/>
              <w:jc w:val="right"/>
              <w:rPr>
                <w:rFonts w:ascii="Times New Roman" w:hAnsi="Times New Roman" w:cs="Times New Roman" w:eastAsia="Times New Roman" w:hint="default"/>
                <w:sz w:val="21"/>
                <w:szCs w:val="21"/>
              </w:rPr>
            </w:pPr>
            <w:r>
              <w:rPr>
                <w:rFonts w:ascii="Times New Roman"/>
                <w:spacing w:val="-1"/>
                <w:sz w:val="21"/>
              </w:rPr>
              <w:t>29,953,399.49</w:t>
            </w:r>
          </w:p>
        </w:tc>
      </w:tr>
      <w:tr>
        <w:trPr>
          <w:trHeight w:val="634" w:hRule="exact"/>
        </w:trPr>
        <w:tc>
          <w:tcPr>
            <w:tcW w:w="538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报表净利润</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154,040,966.62</w:t>
            </w:r>
          </w:p>
        </w:tc>
        <w:tc>
          <w:tcPr>
            <w:tcW w:w="161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89"/>
              <w:jc w:val="right"/>
              <w:rPr>
                <w:rFonts w:ascii="Times New Roman" w:hAnsi="Times New Roman" w:cs="Times New Roman" w:eastAsia="Times New Roman" w:hint="default"/>
                <w:sz w:val="21"/>
                <w:szCs w:val="21"/>
              </w:rPr>
            </w:pPr>
            <w:r>
              <w:rPr>
                <w:rFonts w:ascii="Times New Roman"/>
                <w:spacing w:val="-1"/>
                <w:sz w:val="21"/>
              </w:rPr>
              <w:t>16,140,031.16</w:t>
            </w:r>
          </w:p>
        </w:tc>
      </w:tr>
      <w:tr>
        <w:trPr>
          <w:trHeight w:val="491" w:hRule="exact"/>
        </w:trPr>
        <w:tc>
          <w:tcPr>
            <w:tcW w:w="538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3"/>
              <w:ind w:left="93" w:right="0"/>
              <w:jc w:val="left"/>
              <w:rPr>
                <w:rFonts w:ascii="宋体" w:hAnsi="宋体" w:cs="宋体" w:eastAsia="宋体" w:hint="default"/>
                <w:sz w:val="21"/>
                <w:szCs w:val="21"/>
              </w:rPr>
            </w:pPr>
            <w:r>
              <w:rPr>
                <w:rFonts w:ascii="宋体" w:hAnsi="宋体" w:cs="宋体" w:eastAsia="宋体" w:hint="default"/>
                <w:sz w:val="21"/>
                <w:szCs w:val="21"/>
              </w:rPr>
              <w:t>减</w:t>
            </w:r>
            <w:r>
              <w:rPr>
                <w:rFonts w:ascii="Times New Roman" w:hAnsi="Times New Roman" w:cs="Times New Roman" w:eastAsia="Times New Roman" w:hint="default"/>
                <w:sz w:val="21"/>
                <w:szCs w:val="21"/>
              </w:rPr>
              <w:t>:</w:t>
            </w:r>
            <w:r>
              <w:rPr>
                <w:rFonts w:ascii="宋体" w:hAnsi="宋体" w:cs="宋体" w:eastAsia="宋体" w:hint="default"/>
                <w:sz w:val="21"/>
                <w:szCs w:val="21"/>
              </w:rPr>
              <w:t>少数股东损益</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361" w:right="0"/>
              <w:jc w:val="left"/>
              <w:rPr>
                <w:rFonts w:ascii="Times New Roman" w:hAnsi="Times New Roman" w:cs="Times New Roman" w:eastAsia="Times New Roman" w:hint="default"/>
                <w:sz w:val="21"/>
                <w:szCs w:val="21"/>
              </w:rPr>
            </w:pPr>
            <w:r>
              <w:rPr>
                <w:rFonts w:ascii="Times New Roman"/>
                <w:sz w:val="21"/>
              </w:rPr>
              <w:t>-155,297.63</w:t>
            </w:r>
          </w:p>
        </w:tc>
        <w:tc>
          <w:tcPr>
            <w:tcW w:w="161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8"/>
              <w:ind w:left="9"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490" w:hRule="exact"/>
        </w:trPr>
        <w:tc>
          <w:tcPr>
            <w:tcW w:w="538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3"/>
              <w:ind w:left="1418" w:right="0"/>
              <w:jc w:val="left"/>
              <w:rPr>
                <w:rFonts w:ascii="宋体" w:hAnsi="宋体" w:cs="宋体" w:eastAsia="宋体" w:hint="default"/>
                <w:sz w:val="21"/>
                <w:szCs w:val="21"/>
              </w:rPr>
            </w:pPr>
            <w:r>
              <w:rPr>
                <w:rFonts w:ascii="宋体" w:hAnsi="宋体" w:cs="宋体" w:eastAsia="宋体" w:hint="default"/>
                <w:sz w:val="21"/>
                <w:szCs w:val="21"/>
              </w:rPr>
              <w:t>归属于母公司股东的净利润</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212" w:right="0"/>
              <w:jc w:val="left"/>
              <w:rPr>
                <w:rFonts w:ascii="Times New Roman" w:hAnsi="Times New Roman" w:cs="Times New Roman" w:eastAsia="Times New Roman" w:hint="default"/>
                <w:sz w:val="21"/>
                <w:szCs w:val="21"/>
              </w:rPr>
            </w:pPr>
            <w:r>
              <w:rPr>
                <w:rFonts w:ascii="Times New Roman"/>
                <w:sz w:val="21"/>
              </w:rPr>
              <w:t>154,196,264.25</w:t>
            </w:r>
          </w:p>
        </w:tc>
        <w:tc>
          <w:tcPr>
            <w:tcW w:w="161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8"/>
              <w:ind w:left="201" w:right="0"/>
              <w:jc w:val="left"/>
              <w:rPr>
                <w:rFonts w:ascii="Times New Roman" w:hAnsi="Times New Roman" w:cs="Times New Roman" w:eastAsia="Times New Roman" w:hint="default"/>
                <w:sz w:val="21"/>
                <w:szCs w:val="21"/>
              </w:rPr>
            </w:pPr>
            <w:r>
              <w:rPr>
                <w:rFonts w:ascii="Times New Roman"/>
                <w:sz w:val="21"/>
              </w:rPr>
              <w:t>16,140,031.16</w:t>
            </w:r>
          </w:p>
        </w:tc>
      </w:tr>
      <w:tr>
        <w:trPr>
          <w:trHeight w:val="490" w:hRule="exact"/>
        </w:trPr>
        <w:tc>
          <w:tcPr>
            <w:tcW w:w="538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3"/>
              <w:ind w:left="93" w:right="0"/>
              <w:jc w:val="left"/>
              <w:rPr>
                <w:rFonts w:ascii="宋体" w:hAnsi="宋体" w:cs="宋体" w:eastAsia="宋体" w:hint="default"/>
                <w:sz w:val="21"/>
                <w:szCs w:val="21"/>
              </w:rPr>
            </w:pPr>
            <w:r>
              <w:rPr>
                <w:rFonts w:ascii="宋体" w:hAnsi="宋体" w:cs="宋体" w:eastAsia="宋体" w:hint="default"/>
                <w:sz w:val="21"/>
                <w:szCs w:val="21"/>
              </w:rPr>
              <w:t>非经常性损益占同期归属于母公司股东净利润比例</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
              <w:jc w:val="center"/>
              <w:rPr>
                <w:rFonts w:ascii="Times New Roman" w:hAnsi="Times New Roman" w:cs="Times New Roman" w:eastAsia="Times New Roman" w:hint="default"/>
                <w:sz w:val="21"/>
                <w:szCs w:val="21"/>
              </w:rPr>
            </w:pPr>
            <w:r>
              <w:rPr>
                <w:rFonts w:ascii="Times New Roman"/>
                <w:sz w:val="21"/>
              </w:rPr>
              <w:t>1.05</w:t>
            </w:r>
          </w:p>
        </w:tc>
        <w:tc>
          <w:tcPr>
            <w:tcW w:w="161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8"/>
              <w:ind w:left="9"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501" w:hRule="exact"/>
        </w:trPr>
        <w:tc>
          <w:tcPr>
            <w:tcW w:w="5386"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173"/>
              <w:ind w:left="93" w:right="0"/>
              <w:jc w:val="left"/>
              <w:rPr>
                <w:rFonts w:ascii="宋体" w:hAnsi="宋体" w:cs="宋体" w:eastAsia="宋体" w:hint="default"/>
                <w:sz w:val="21"/>
                <w:szCs w:val="21"/>
              </w:rPr>
            </w:pPr>
            <w:r>
              <w:rPr>
                <w:rFonts w:ascii="宋体" w:hAnsi="宋体" w:cs="宋体" w:eastAsia="宋体" w:hint="default"/>
                <w:sz w:val="21"/>
                <w:szCs w:val="21"/>
              </w:rPr>
              <w:t>扣除非经常性损益后归属于母公司股东的净利润</w:t>
            </w:r>
          </w:p>
        </w:tc>
        <w:tc>
          <w:tcPr>
            <w:tcW w:w="174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8"/>
              <w:ind w:left="283" w:right="0"/>
              <w:jc w:val="left"/>
              <w:rPr>
                <w:rFonts w:ascii="Times New Roman" w:hAnsi="Times New Roman" w:cs="Times New Roman" w:eastAsia="Times New Roman" w:hint="default"/>
                <w:sz w:val="21"/>
                <w:szCs w:val="21"/>
              </w:rPr>
            </w:pPr>
            <w:r>
              <w:rPr>
                <w:rFonts w:ascii="Times New Roman"/>
                <w:sz w:val="21"/>
              </w:rPr>
              <w:t>-8,241,460.10</w:t>
            </w:r>
          </w:p>
        </w:tc>
        <w:tc>
          <w:tcPr>
            <w:tcW w:w="1619"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18"/>
              <w:ind w:left="165" w:right="0"/>
              <w:jc w:val="left"/>
              <w:rPr>
                <w:rFonts w:ascii="Times New Roman" w:hAnsi="Times New Roman" w:cs="Times New Roman" w:eastAsia="Times New Roman" w:hint="default"/>
                <w:sz w:val="21"/>
                <w:szCs w:val="21"/>
              </w:rPr>
            </w:pPr>
            <w:r>
              <w:rPr>
                <w:rFonts w:ascii="Times New Roman"/>
                <w:sz w:val="21"/>
              </w:rPr>
              <w:t>-13,813,368.33</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518" w:right="0"/>
        <w:jc w:val="left"/>
      </w:pPr>
      <w:r>
        <w:rPr/>
        <w:t>（二）截至报告期末公司前三年的主要会计数据和财务指标</w:t>
      </w:r>
    </w:p>
    <w:p>
      <w:pPr>
        <w:pStyle w:val="BodyText"/>
        <w:spacing w:line="240" w:lineRule="auto" w:before="154"/>
        <w:ind w:left="518" w:right="0"/>
        <w:jc w:val="left"/>
      </w:pPr>
      <w:r>
        <w:rPr>
          <w:rFonts w:ascii="Times New Roman" w:hAnsi="Times New Roman" w:cs="Times New Roman" w:eastAsia="Times New Roman" w:hint="default"/>
        </w:rPr>
        <w:t>1</w:t>
      </w:r>
      <w:r>
        <w:rPr/>
        <w:t>、主要会计数据</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tbl>
      <w:tblPr>
        <w:tblW w:w="0" w:type="auto"/>
        <w:jc w:val="left"/>
        <w:tblInd w:w="101" w:type="dxa"/>
        <w:tblLayout w:type="fixed"/>
        <w:tblCellMar>
          <w:top w:w="0" w:type="dxa"/>
          <w:left w:w="0" w:type="dxa"/>
          <w:bottom w:w="0" w:type="dxa"/>
          <w:right w:w="0" w:type="dxa"/>
        </w:tblCellMar>
        <w:tblLook w:val="01E0"/>
      </w:tblPr>
      <w:tblGrid>
        <w:gridCol w:w="1309"/>
        <w:gridCol w:w="1616"/>
        <w:gridCol w:w="1528"/>
        <w:gridCol w:w="1544"/>
        <w:gridCol w:w="1009"/>
        <w:gridCol w:w="1433"/>
        <w:gridCol w:w="1453"/>
      </w:tblGrid>
      <w:tr>
        <w:trPr>
          <w:trHeight w:val="1061" w:hRule="exact"/>
        </w:trPr>
        <w:tc>
          <w:tcPr>
            <w:tcW w:w="130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61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5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p>
        </w:tc>
        <w:tc>
          <w:tcPr>
            <w:tcW w:w="30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3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  </w:t>
            </w:r>
            <w:r>
              <w:rPr>
                <w:rFonts w:ascii="宋体" w:hAnsi="宋体" w:cs="宋体" w:eastAsia="宋体" w:hint="default"/>
                <w:sz w:val="18"/>
                <w:szCs w:val="18"/>
              </w:rPr>
              <w:t>年</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29" w:right="0" w:hanging="90"/>
              <w:jc w:val="left"/>
              <w:rPr>
                <w:rFonts w:ascii="宋体" w:hAnsi="宋体" w:cs="宋体" w:eastAsia="宋体" w:hint="default"/>
                <w:sz w:val="18"/>
                <w:szCs w:val="18"/>
              </w:rPr>
            </w:pPr>
            <w:r>
              <w:rPr>
                <w:rFonts w:ascii="宋体" w:hAnsi="宋体" w:cs="宋体" w:eastAsia="宋体" w:hint="default"/>
                <w:sz w:val="18"/>
                <w:szCs w:val="18"/>
              </w:rPr>
              <w:t>本年比上</w:t>
            </w:r>
          </w:p>
          <w:p>
            <w:pPr>
              <w:pStyle w:val="TableParagraph"/>
              <w:spacing w:line="240" w:lineRule="auto" w:before="115"/>
              <w:ind w:left="229" w:right="0"/>
              <w:jc w:val="left"/>
              <w:rPr>
                <w:rFonts w:ascii="宋体" w:hAnsi="宋体" w:cs="宋体" w:eastAsia="宋体" w:hint="default"/>
                <w:sz w:val="18"/>
                <w:szCs w:val="18"/>
              </w:rPr>
            </w:pPr>
            <w:r>
              <w:rPr>
                <w:rFonts w:ascii="宋体" w:hAnsi="宋体" w:cs="宋体" w:eastAsia="宋体" w:hint="default"/>
                <w:sz w:val="18"/>
                <w:szCs w:val="18"/>
              </w:rPr>
              <w:t>年增减</w:t>
            </w:r>
          </w:p>
          <w:p>
            <w:pPr>
              <w:pStyle w:val="TableParagraph"/>
              <w:spacing w:line="240" w:lineRule="auto" w:before="113"/>
              <w:ind w:left="229" w:right="0"/>
              <w:jc w:val="left"/>
              <w:rPr>
                <w:rFonts w:ascii="宋体" w:hAnsi="宋体" w:cs="宋体" w:eastAsia="宋体" w:hint="default"/>
                <w:sz w:val="18"/>
                <w:szCs w:val="18"/>
              </w:rPr>
            </w:pPr>
            <w:r>
              <w:rPr>
                <w:rFonts w:ascii="宋体" w:hAnsi="宋体" w:cs="宋体" w:eastAsia="宋体" w:hint="default"/>
                <w:sz w:val="18"/>
                <w:szCs w:val="18"/>
              </w:rPr>
              <w:t>（％）</w:t>
            </w:r>
          </w:p>
        </w:tc>
        <w:tc>
          <w:tcPr>
            <w:tcW w:w="2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  </w:t>
            </w:r>
            <w:r>
              <w:rPr>
                <w:rFonts w:ascii="宋体" w:hAnsi="宋体" w:cs="宋体" w:eastAsia="宋体" w:hint="default"/>
                <w:sz w:val="18"/>
                <w:szCs w:val="18"/>
              </w:rPr>
              <w:t>年</w:t>
            </w:r>
          </w:p>
        </w:tc>
      </w:tr>
      <w:tr>
        <w:trPr>
          <w:trHeight w:val="360" w:hRule="exact"/>
        </w:trPr>
        <w:tc>
          <w:tcPr>
            <w:tcW w:w="1309" w:type="dxa"/>
            <w:vMerge/>
            <w:tcBorders>
              <w:left w:val="single" w:sz="4" w:space="0" w:color="000000"/>
              <w:bottom w:val="single" w:sz="4" w:space="0" w:color="000000"/>
              <w:right w:val="single" w:sz="4" w:space="0" w:color="000000"/>
            </w:tcBorders>
          </w:tcPr>
          <w:p>
            <w:pPr/>
          </w:p>
        </w:tc>
        <w:tc>
          <w:tcPr>
            <w:tcW w:w="1616" w:type="dxa"/>
            <w:vMerge/>
            <w:tcBorders>
              <w:left w:val="single" w:sz="4" w:space="0" w:color="000000"/>
              <w:bottom w:val="single" w:sz="4" w:space="0" w:color="000000"/>
              <w:right w:val="single" w:sz="4" w:space="0" w:color="000000"/>
            </w:tcBorders>
          </w:tcPr>
          <w:p>
            <w:pPr/>
          </w:p>
        </w:tc>
        <w:tc>
          <w:tcPr>
            <w:tcW w:w="15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调整前</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调整后</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调整后</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调整前</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调整后</w:t>
            </w:r>
          </w:p>
        </w:tc>
      </w:tr>
      <w:tr>
        <w:trPr>
          <w:trHeight w:val="360" w:hRule="exact"/>
        </w:trPr>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Times New Roman" w:hAnsi="Times New Roman" w:cs="Times New Roman" w:eastAsia="Times New Roman" w:hint="default"/>
                <w:sz w:val="18"/>
                <w:szCs w:val="18"/>
              </w:rPr>
            </w:pPr>
            <w:r>
              <w:rPr>
                <w:rFonts w:ascii="Times New Roman"/>
                <w:sz w:val="18"/>
              </w:rPr>
              <w:t>0</w:t>
            </w:r>
          </w:p>
        </w:tc>
        <w:tc>
          <w:tcPr>
            <w:tcW w:w="1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
              <w:jc w:val="center"/>
              <w:rPr>
                <w:rFonts w:ascii="Times New Roman" w:hAnsi="Times New Roman" w:cs="Times New Roman" w:eastAsia="Times New Roman" w:hint="default"/>
                <w:sz w:val="18"/>
                <w:szCs w:val="18"/>
              </w:rPr>
            </w:pPr>
            <w:r>
              <w:rPr>
                <w:rFonts w:ascii="Times New Roman"/>
                <w:sz w:val="18"/>
              </w:rPr>
              <w:t>1,781,578.70</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Times New Roman" w:hAnsi="Times New Roman" w:cs="Times New Roman" w:eastAsia="Times New Roman" w:hint="default"/>
                <w:sz w:val="18"/>
                <w:szCs w:val="18"/>
              </w:rPr>
            </w:pPr>
            <w:r>
              <w:rPr>
                <w:rFonts w:ascii="Times New Roman"/>
                <w:sz w:val="18"/>
              </w:rPr>
              <w:t>1,781,578.70</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
              <w:jc w:val="center"/>
              <w:rPr>
                <w:rFonts w:ascii="Times New Roman" w:hAnsi="Times New Roman" w:cs="Times New Roman" w:eastAsia="Times New Roman" w:hint="default"/>
                <w:sz w:val="18"/>
                <w:szCs w:val="18"/>
              </w:rPr>
            </w:pPr>
            <w:r>
              <w:rPr>
                <w:rFonts w:ascii="Times New Roman"/>
                <w:sz w:val="18"/>
              </w:rPr>
              <w:t>-100%</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Times New Roman" w:hAnsi="Times New Roman" w:cs="Times New Roman" w:eastAsia="Times New Roman" w:hint="default"/>
                <w:sz w:val="18"/>
                <w:szCs w:val="18"/>
              </w:rPr>
            </w:pPr>
            <w:r>
              <w:rPr>
                <w:rFonts w:ascii="Times New Roman"/>
                <w:sz w:val="18"/>
              </w:rPr>
              <w:t>6,462,551.00</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
              <w:jc w:val="center"/>
              <w:rPr>
                <w:rFonts w:ascii="Times New Roman" w:hAnsi="Times New Roman" w:cs="Times New Roman" w:eastAsia="Times New Roman" w:hint="default"/>
                <w:sz w:val="18"/>
                <w:szCs w:val="18"/>
              </w:rPr>
            </w:pPr>
            <w:r>
              <w:rPr>
                <w:rFonts w:ascii="Times New Roman"/>
                <w:sz w:val="18"/>
              </w:rPr>
              <w:t>6,462,551.00</w:t>
            </w:r>
          </w:p>
        </w:tc>
      </w:tr>
      <w:tr>
        <w:trPr>
          <w:trHeight w:val="360" w:hRule="exact"/>
        </w:trPr>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9"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 w:right="0"/>
              <w:jc w:val="center"/>
              <w:rPr>
                <w:rFonts w:ascii="Times New Roman" w:hAnsi="Times New Roman" w:cs="Times New Roman" w:eastAsia="Times New Roman" w:hint="default"/>
                <w:sz w:val="18"/>
                <w:szCs w:val="18"/>
              </w:rPr>
            </w:pPr>
            <w:r>
              <w:rPr>
                <w:rFonts w:ascii="Times New Roman"/>
                <w:sz w:val="18"/>
              </w:rPr>
              <w:t>187,873,743.83</w:t>
            </w:r>
          </w:p>
        </w:tc>
        <w:tc>
          <w:tcPr>
            <w:tcW w:w="1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Times New Roman" w:hAnsi="Times New Roman" w:cs="Times New Roman" w:eastAsia="Times New Roman" w:hint="default"/>
                <w:sz w:val="18"/>
                <w:szCs w:val="18"/>
              </w:rPr>
            </w:pPr>
            <w:r>
              <w:rPr>
                <w:rFonts w:ascii="Times New Roman"/>
                <w:sz w:val="18"/>
              </w:rPr>
              <w:t>17,019,556.28</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
              <w:jc w:val="center"/>
              <w:rPr>
                <w:rFonts w:ascii="Times New Roman" w:hAnsi="Times New Roman" w:cs="Times New Roman" w:eastAsia="Times New Roman" w:hint="default"/>
                <w:sz w:val="18"/>
                <w:szCs w:val="18"/>
              </w:rPr>
            </w:pPr>
            <w:r>
              <w:rPr>
                <w:rFonts w:ascii="Times New Roman"/>
                <w:sz w:val="18"/>
              </w:rPr>
              <w:t>17,019,556.28</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
              <w:jc w:val="center"/>
              <w:rPr>
                <w:rFonts w:ascii="Times New Roman" w:hAnsi="Times New Roman" w:cs="Times New Roman" w:eastAsia="Times New Roman" w:hint="default"/>
                <w:sz w:val="18"/>
                <w:szCs w:val="18"/>
              </w:rPr>
            </w:pPr>
            <w:r>
              <w:rPr>
                <w:rFonts w:ascii="Times New Roman"/>
                <w:sz w:val="18"/>
              </w:rPr>
              <w:t>1003.87%</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Times New Roman" w:hAnsi="Times New Roman" w:cs="Times New Roman" w:eastAsia="Times New Roman" w:hint="default"/>
                <w:sz w:val="18"/>
                <w:szCs w:val="18"/>
              </w:rPr>
            </w:pPr>
            <w:r>
              <w:rPr>
                <w:rFonts w:ascii="Times New Roman"/>
                <w:sz w:val="18"/>
              </w:rPr>
              <w:t>-164,704,199.11</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 w:right="0"/>
              <w:jc w:val="center"/>
              <w:rPr>
                <w:rFonts w:ascii="Times New Roman" w:hAnsi="Times New Roman" w:cs="Times New Roman" w:eastAsia="Times New Roman" w:hint="default"/>
                <w:sz w:val="18"/>
                <w:szCs w:val="18"/>
              </w:rPr>
            </w:pPr>
            <w:r>
              <w:rPr>
                <w:rFonts w:ascii="Times New Roman"/>
                <w:sz w:val="18"/>
              </w:rPr>
              <w:t>-170,578,202.44</w:t>
            </w:r>
          </w:p>
        </w:tc>
      </w:tr>
      <w:tr>
        <w:trPr>
          <w:trHeight w:val="295" w:hRule="exact"/>
        </w:trPr>
        <w:tc>
          <w:tcPr>
            <w:tcW w:w="1309"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归属于上市公</w:t>
            </w:r>
          </w:p>
        </w:tc>
        <w:tc>
          <w:tcPr>
            <w:tcW w:w="1616" w:type="dxa"/>
            <w:tcBorders>
              <w:top w:val="single" w:sz="4" w:space="0" w:color="000000"/>
              <w:left w:val="single" w:sz="4" w:space="0" w:color="000000"/>
              <w:bottom w:val="nil" w:sz="6" w:space="0" w:color="auto"/>
              <w:right w:val="single" w:sz="4" w:space="0" w:color="000000"/>
            </w:tcBorders>
          </w:tcPr>
          <w:p>
            <w:pPr/>
          </w:p>
        </w:tc>
        <w:tc>
          <w:tcPr>
            <w:tcW w:w="1528" w:type="dxa"/>
            <w:tcBorders>
              <w:top w:val="single" w:sz="4" w:space="0" w:color="000000"/>
              <w:left w:val="single" w:sz="4" w:space="0" w:color="000000"/>
              <w:bottom w:val="nil" w:sz="6" w:space="0" w:color="auto"/>
              <w:right w:val="single" w:sz="4" w:space="0" w:color="000000"/>
            </w:tcBorders>
          </w:tcPr>
          <w:p>
            <w:pPr/>
          </w:p>
        </w:tc>
        <w:tc>
          <w:tcPr>
            <w:tcW w:w="1544" w:type="dxa"/>
            <w:tcBorders>
              <w:top w:val="single" w:sz="4" w:space="0" w:color="000000"/>
              <w:left w:val="single" w:sz="4" w:space="0" w:color="000000"/>
              <w:bottom w:val="nil" w:sz="6" w:space="0" w:color="auto"/>
              <w:right w:val="single" w:sz="4" w:space="0" w:color="000000"/>
            </w:tcBorders>
          </w:tcPr>
          <w:p>
            <w:pPr/>
          </w:p>
        </w:tc>
        <w:tc>
          <w:tcPr>
            <w:tcW w:w="1009" w:type="dxa"/>
            <w:tcBorders>
              <w:top w:val="single" w:sz="4" w:space="0" w:color="000000"/>
              <w:left w:val="single" w:sz="4" w:space="0" w:color="000000"/>
              <w:bottom w:val="nil" w:sz="6" w:space="0" w:color="auto"/>
              <w:right w:val="single" w:sz="4" w:space="0" w:color="000000"/>
            </w:tcBorders>
          </w:tcPr>
          <w:p>
            <w:pPr/>
          </w:p>
        </w:tc>
        <w:tc>
          <w:tcPr>
            <w:tcW w:w="1433" w:type="dxa"/>
            <w:tcBorders>
              <w:top w:val="single" w:sz="4" w:space="0" w:color="000000"/>
              <w:left w:val="single" w:sz="4" w:space="0" w:color="000000"/>
              <w:bottom w:val="nil" w:sz="6" w:space="0" w:color="auto"/>
              <w:right w:val="single" w:sz="4" w:space="0" w:color="000000"/>
            </w:tcBorders>
          </w:tcPr>
          <w:p>
            <w:pPr/>
          </w:p>
        </w:tc>
        <w:tc>
          <w:tcPr>
            <w:tcW w:w="1453" w:type="dxa"/>
            <w:tcBorders>
              <w:top w:val="single" w:sz="4" w:space="0" w:color="000000"/>
              <w:left w:val="single" w:sz="4" w:space="0" w:color="000000"/>
              <w:bottom w:val="nil" w:sz="6" w:space="0" w:color="auto"/>
              <w:right w:val="single" w:sz="4" w:space="0" w:color="000000"/>
            </w:tcBorders>
          </w:tcPr>
          <w:p>
            <w:pPr/>
          </w:p>
        </w:tc>
      </w:tr>
      <w:tr>
        <w:trPr>
          <w:trHeight w:val="426" w:hRule="exact"/>
        </w:trPr>
        <w:tc>
          <w:tcPr>
            <w:tcW w:w="1309"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司股东的净利</w:t>
            </w:r>
          </w:p>
        </w:tc>
        <w:tc>
          <w:tcPr>
            <w:tcW w:w="161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154,196,264.25</w:t>
            </w:r>
          </w:p>
        </w:tc>
        <w:tc>
          <w:tcPr>
            <w:tcW w:w="152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Times New Roman" w:hAnsi="Times New Roman" w:cs="Times New Roman" w:eastAsia="Times New Roman" w:hint="default"/>
                <w:sz w:val="18"/>
                <w:szCs w:val="18"/>
              </w:rPr>
            </w:pPr>
            <w:r>
              <w:rPr>
                <w:rFonts w:ascii="Times New Roman"/>
                <w:sz w:val="18"/>
              </w:rPr>
              <w:t>16,140,031.16</w:t>
            </w:r>
          </w:p>
        </w:tc>
        <w:tc>
          <w:tcPr>
            <w:tcW w:w="1544"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Times New Roman" w:hAnsi="Times New Roman" w:cs="Times New Roman" w:eastAsia="Times New Roman" w:hint="default"/>
                <w:sz w:val="18"/>
                <w:szCs w:val="18"/>
              </w:rPr>
            </w:pPr>
            <w:r>
              <w:rPr>
                <w:rFonts w:ascii="Times New Roman"/>
                <w:sz w:val="18"/>
              </w:rPr>
              <w:t>16,140,031.16</w:t>
            </w:r>
          </w:p>
        </w:tc>
        <w:tc>
          <w:tcPr>
            <w:tcW w:w="100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Times New Roman" w:hAnsi="Times New Roman" w:cs="Times New Roman" w:eastAsia="Times New Roman" w:hint="default"/>
                <w:sz w:val="18"/>
                <w:szCs w:val="18"/>
              </w:rPr>
            </w:pPr>
            <w:r>
              <w:rPr>
                <w:rFonts w:ascii="Times New Roman"/>
                <w:sz w:val="18"/>
              </w:rPr>
              <w:t>855.37%</w:t>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Times New Roman" w:hAnsi="Times New Roman" w:cs="Times New Roman" w:eastAsia="Times New Roman" w:hint="default"/>
                <w:sz w:val="18"/>
                <w:szCs w:val="18"/>
              </w:rPr>
            </w:pPr>
            <w:r>
              <w:rPr>
                <w:rFonts w:ascii="Times New Roman"/>
                <w:sz w:val="18"/>
              </w:rPr>
              <w:t>-164,704,199.11</w:t>
            </w:r>
          </w:p>
        </w:tc>
        <w:tc>
          <w:tcPr>
            <w:tcW w:w="145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center"/>
              <w:rPr>
                <w:rFonts w:ascii="Times New Roman" w:hAnsi="Times New Roman" w:cs="Times New Roman" w:eastAsia="Times New Roman" w:hint="default"/>
                <w:sz w:val="18"/>
                <w:szCs w:val="18"/>
              </w:rPr>
            </w:pPr>
            <w:r>
              <w:rPr>
                <w:rFonts w:ascii="Times New Roman"/>
                <w:sz w:val="18"/>
              </w:rPr>
              <w:t>-170,578,202.44</w:t>
            </w:r>
          </w:p>
        </w:tc>
      </w:tr>
      <w:tr>
        <w:trPr>
          <w:trHeight w:val="340" w:hRule="exact"/>
        </w:trPr>
        <w:tc>
          <w:tcPr>
            <w:tcW w:w="1309" w:type="dxa"/>
            <w:tcBorders>
              <w:top w:val="nil" w:sz="6" w:space="0" w:color="auto"/>
              <w:left w:val="single" w:sz="4" w:space="0" w:color="000000"/>
              <w:bottom w:val="single" w:sz="4" w:space="0" w:color="000000"/>
              <w:right w:val="single" w:sz="4" w:space="0" w:color="000000"/>
            </w:tcBorders>
          </w:tcPr>
          <w:p>
            <w:pPr>
              <w:pStyle w:val="TableParagraph"/>
              <w:spacing w:line="190" w:lineRule="exact"/>
              <w:ind w:left="103" w:right="0"/>
              <w:jc w:val="left"/>
              <w:rPr>
                <w:rFonts w:ascii="宋体" w:hAnsi="宋体" w:cs="宋体" w:eastAsia="宋体" w:hint="default"/>
                <w:sz w:val="18"/>
                <w:szCs w:val="18"/>
              </w:rPr>
            </w:pPr>
            <w:r>
              <w:rPr>
                <w:rFonts w:ascii="宋体" w:hAnsi="宋体" w:cs="宋体" w:eastAsia="宋体" w:hint="default"/>
                <w:sz w:val="18"/>
                <w:szCs w:val="18"/>
              </w:rPr>
              <w:t>润</w:t>
            </w:r>
          </w:p>
        </w:tc>
        <w:tc>
          <w:tcPr>
            <w:tcW w:w="1616" w:type="dxa"/>
            <w:tcBorders>
              <w:top w:val="nil" w:sz="6" w:space="0" w:color="auto"/>
              <w:left w:val="single" w:sz="4" w:space="0" w:color="000000"/>
              <w:bottom w:val="single" w:sz="4" w:space="0" w:color="000000"/>
              <w:right w:val="single" w:sz="4" w:space="0" w:color="000000"/>
            </w:tcBorders>
          </w:tcPr>
          <w:p>
            <w:pPr/>
          </w:p>
        </w:tc>
        <w:tc>
          <w:tcPr>
            <w:tcW w:w="1528" w:type="dxa"/>
            <w:tcBorders>
              <w:top w:val="nil" w:sz="6" w:space="0" w:color="auto"/>
              <w:left w:val="single" w:sz="4" w:space="0" w:color="000000"/>
              <w:bottom w:val="single" w:sz="4" w:space="0" w:color="000000"/>
              <w:right w:val="single" w:sz="4" w:space="0" w:color="000000"/>
            </w:tcBorders>
          </w:tcPr>
          <w:p>
            <w:pPr/>
          </w:p>
        </w:tc>
        <w:tc>
          <w:tcPr>
            <w:tcW w:w="1544" w:type="dxa"/>
            <w:tcBorders>
              <w:top w:val="nil" w:sz="6" w:space="0" w:color="auto"/>
              <w:left w:val="single" w:sz="4" w:space="0" w:color="000000"/>
              <w:bottom w:val="single" w:sz="4" w:space="0" w:color="000000"/>
              <w:right w:val="single" w:sz="4" w:space="0" w:color="000000"/>
            </w:tcBorders>
          </w:tcPr>
          <w:p>
            <w:pPr/>
          </w:p>
        </w:tc>
        <w:tc>
          <w:tcPr>
            <w:tcW w:w="1009" w:type="dxa"/>
            <w:tcBorders>
              <w:top w:val="nil" w:sz="6" w:space="0" w:color="auto"/>
              <w:left w:val="single" w:sz="4" w:space="0" w:color="000000"/>
              <w:bottom w:val="single" w:sz="4" w:space="0" w:color="000000"/>
              <w:right w:val="single" w:sz="4" w:space="0" w:color="000000"/>
            </w:tcBorders>
          </w:tcPr>
          <w:p>
            <w:pPr/>
          </w:p>
        </w:tc>
        <w:tc>
          <w:tcPr>
            <w:tcW w:w="1433" w:type="dxa"/>
            <w:tcBorders>
              <w:top w:val="nil" w:sz="6" w:space="0" w:color="auto"/>
              <w:left w:val="single" w:sz="4" w:space="0" w:color="000000"/>
              <w:bottom w:val="single" w:sz="4" w:space="0" w:color="000000"/>
              <w:right w:val="single" w:sz="4" w:space="0" w:color="000000"/>
            </w:tcBorders>
          </w:tcPr>
          <w:p>
            <w:pPr/>
          </w:p>
        </w:tc>
        <w:tc>
          <w:tcPr>
            <w:tcW w:w="1453" w:type="dxa"/>
            <w:tcBorders>
              <w:top w:val="nil" w:sz="6" w:space="0" w:color="auto"/>
              <w:left w:val="single" w:sz="4" w:space="0" w:color="000000"/>
              <w:bottom w:val="single" w:sz="4" w:space="0" w:color="000000"/>
              <w:right w:val="single" w:sz="4" w:space="0" w:color="000000"/>
            </w:tcBorders>
          </w:tcPr>
          <w:p>
            <w:pPr/>
          </w:p>
        </w:tc>
      </w:tr>
      <w:tr>
        <w:trPr>
          <w:trHeight w:val="224" w:hRule="exact"/>
        </w:trPr>
        <w:tc>
          <w:tcPr>
            <w:tcW w:w="1309"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经营活动产生</w:t>
            </w:r>
          </w:p>
        </w:tc>
        <w:tc>
          <w:tcPr>
            <w:tcW w:w="1616" w:type="dxa"/>
            <w:tcBorders>
              <w:top w:val="single" w:sz="4" w:space="0" w:color="000000"/>
              <w:left w:val="single" w:sz="4" w:space="0" w:color="000000"/>
              <w:bottom w:val="nil" w:sz="6" w:space="0" w:color="auto"/>
              <w:right w:val="single" w:sz="4" w:space="0" w:color="000000"/>
            </w:tcBorders>
          </w:tcPr>
          <w:p>
            <w:pPr/>
          </w:p>
        </w:tc>
        <w:tc>
          <w:tcPr>
            <w:tcW w:w="1528" w:type="dxa"/>
            <w:tcBorders>
              <w:top w:val="single" w:sz="4" w:space="0" w:color="000000"/>
              <w:left w:val="single" w:sz="4" w:space="0" w:color="000000"/>
              <w:bottom w:val="nil" w:sz="6" w:space="0" w:color="auto"/>
              <w:right w:val="single" w:sz="4" w:space="0" w:color="000000"/>
            </w:tcBorders>
          </w:tcPr>
          <w:p>
            <w:pPr/>
          </w:p>
        </w:tc>
        <w:tc>
          <w:tcPr>
            <w:tcW w:w="1544" w:type="dxa"/>
            <w:tcBorders>
              <w:top w:val="single" w:sz="4" w:space="0" w:color="000000"/>
              <w:left w:val="single" w:sz="4" w:space="0" w:color="000000"/>
              <w:bottom w:val="nil" w:sz="6" w:space="0" w:color="auto"/>
              <w:right w:val="single" w:sz="4" w:space="0" w:color="000000"/>
            </w:tcBorders>
          </w:tcPr>
          <w:p>
            <w:pPr/>
          </w:p>
        </w:tc>
        <w:tc>
          <w:tcPr>
            <w:tcW w:w="1009" w:type="dxa"/>
            <w:tcBorders>
              <w:top w:val="single" w:sz="4" w:space="0" w:color="000000"/>
              <w:left w:val="single" w:sz="4" w:space="0" w:color="000000"/>
              <w:bottom w:val="nil" w:sz="6" w:space="0" w:color="auto"/>
              <w:right w:val="single" w:sz="4" w:space="0" w:color="000000"/>
            </w:tcBorders>
          </w:tcPr>
          <w:p>
            <w:pPr/>
          </w:p>
        </w:tc>
        <w:tc>
          <w:tcPr>
            <w:tcW w:w="1433" w:type="dxa"/>
            <w:tcBorders>
              <w:top w:val="single" w:sz="4" w:space="0" w:color="000000"/>
              <w:left w:val="single" w:sz="4" w:space="0" w:color="000000"/>
              <w:bottom w:val="nil" w:sz="6" w:space="0" w:color="auto"/>
              <w:right w:val="single" w:sz="4" w:space="0" w:color="000000"/>
            </w:tcBorders>
          </w:tcPr>
          <w:p>
            <w:pPr/>
          </w:p>
        </w:tc>
        <w:tc>
          <w:tcPr>
            <w:tcW w:w="1453" w:type="dxa"/>
            <w:tcBorders>
              <w:top w:val="single" w:sz="4" w:space="0" w:color="000000"/>
              <w:left w:val="single" w:sz="4" w:space="0" w:color="000000"/>
              <w:bottom w:val="nil" w:sz="6" w:space="0" w:color="auto"/>
              <w:right w:val="single" w:sz="4" w:space="0" w:color="000000"/>
            </w:tcBorders>
          </w:tcPr>
          <w:p>
            <w:pPr/>
          </w:p>
        </w:tc>
      </w:tr>
      <w:tr>
        <w:trPr>
          <w:trHeight w:val="505" w:hRule="exact"/>
        </w:trPr>
        <w:tc>
          <w:tcPr>
            <w:tcW w:w="1309"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left="103" w:right="0"/>
              <w:jc w:val="left"/>
              <w:rPr>
                <w:rFonts w:ascii="宋体" w:hAnsi="宋体" w:cs="宋体" w:eastAsia="宋体" w:hint="default"/>
                <w:sz w:val="18"/>
                <w:szCs w:val="18"/>
              </w:rPr>
            </w:pPr>
            <w:r>
              <w:rPr>
                <w:rFonts w:ascii="宋体" w:hAnsi="宋体" w:cs="宋体" w:eastAsia="宋体" w:hint="default"/>
                <w:sz w:val="18"/>
                <w:szCs w:val="18"/>
              </w:rPr>
              <w:t>的现金流量净</w:t>
            </w:r>
          </w:p>
        </w:tc>
        <w:tc>
          <w:tcPr>
            <w:tcW w:w="1616"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0"/>
              <w:jc w:val="center"/>
              <w:rPr>
                <w:rFonts w:ascii="Times New Roman" w:hAnsi="Times New Roman" w:cs="Times New Roman" w:eastAsia="Times New Roman" w:hint="default"/>
                <w:sz w:val="18"/>
                <w:szCs w:val="18"/>
              </w:rPr>
            </w:pPr>
            <w:r>
              <w:rPr>
                <w:rFonts w:ascii="Times New Roman"/>
                <w:sz w:val="18"/>
              </w:rPr>
              <w:t>22,371,187.28</w:t>
            </w:r>
          </w:p>
        </w:tc>
        <w:tc>
          <w:tcPr>
            <w:tcW w:w="1528"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0"/>
              <w:jc w:val="center"/>
              <w:rPr>
                <w:rFonts w:ascii="Times New Roman" w:hAnsi="Times New Roman" w:cs="Times New Roman" w:eastAsia="Times New Roman" w:hint="default"/>
                <w:sz w:val="18"/>
                <w:szCs w:val="18"/>
              </w:rPr>
            </w:pPr>
            <w:r>
              <w:rPr>
                <w:rFonts w:ascii="Times New Roman"/>
                <w:sz w:val="18"/>
              </w:rPr>
              <w:t>89,315.95</w:t>
            </w:r>
          </w:p>
        </w:tc>
        <w:tc>
          <w:tcPr>
            <w:tcW w:w="15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0"/>
              <w:jc w:val="center"/>
              <w:rPr>
                <w:rFonts w:ascii="Times New Roman" w:hAnsi="Times New Roman" w:cs="Times New Roman" w:eastAsia="Times New Roman" w:hint="default"/>
                <w:sz w:val="18"/>
                <w:szCs w:val="18"/>
              </w:rPr>
            </w:pPr>
            <w:r>
              <w:rPr>
                <w:rFonts w:ascii="Times New Roman"/>
                <w:sz w:val="18"/>
              </w:rPr>
              <w:t>89,315.95</w:t>
            </w:r>
          </w:p>
        </w:tc>
        <w:tc>
          <w:tcPr>
            <w:tcW w:w="1009" w:type="dxa"/>
            <w:tcBorders>
              <w:top w:val="nil" w:sz="6" w:space="0" w:color="auto"/>
              <w:left w:val="single" w:sz="4" w:space="0" w:color="000000"/>
              <w:bottom w:val="nil" w:sz="6" w:space="0" w:color="auto"/>
              <w:right w:val="single" w:sz="4" w:space="0" w:color="000000"/>
            </w:tcBorders>
          </w:tcPr>
          <w:p>
            <w:pPr>
              <w:pStyle w:val="TableParagraph"/>
              <w:spacing w:line="198" w:lineRule="exact"/>
              <w:ind w:right="0"/>
              <w:jc w:val="center"/>
              <w:rPr>
                <w:rFonts w:ascii="Times New Roman" w:hAnsi="Times New Roman" w:cs="Times New Roman" w:eastAsia="Times New Roman" w:hint="default"/>
                <w:sz w:val="18"/>
                <w:szCs w:val="18"/>
              </w:rPr>
            </w:pPr>
            <w:r>
              <w:rPr>
                <w:rFonts w:ascii="Times New Roman"/>
                <w:sz w:val="18"/>
              </w:rPr>
              <w:t>24947.25</w:t>
            </w:r>
          </w:p>
          <w:p>
            <w:pPr>
              <w:pStyle w:val="TableParagraph"/>
              <w:spacing w:line="240" w:lineRule="auto" w:before="102"/>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33"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0"/>
              <w:jc w:val="center"/>
              <w:rPr>
                <w:rFonts w:ascii="Times New Roman" w:hAnsi="Times New Roman" w:cs="Times New Roman" w:eastAsia="Times New Roman" w:hint="default"/>
                <w:sz w:val="18"/>
                <w:szCs w:val="18"/>
              </w:rPr>
            </w:pPr>
            <w:r>
              <w:rPr>
                <w:rFonts w:ascii="Times New Roman"/>
                <w:sz w:val="18"/>
              </w:rPr>
              <w:t>-528,462.54</w:t>
            </w:r>
          </w:p>
        </w:tc>
        <w:tc>
          <w:tcPr>
            <w:tcW w:w="1453"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1"/>
              <w:jc w:val="center"/>
              <w:rPr>
                <w:rFonts w:ascii="Times New Roman" w:hAnsi="Times New Roman" w:cs="Times New Roman" w:eastAsia="Times New Roman" w:hint="default"/>
                <w:sz w:val="18"/>
                <w:szCs w:val="18"/>
              </w:rPr>
            </w:pPr>
            <w:r>
              <w:rPr>
                <w:rFonts w:ascii="Times New Roman"/>
                <w:sz w:val="18"/>
              </w:rPr>
              <w:t>-528,462.54</w:t>
            </w:r>
          </w:p>
        </w:tc>
      </w:tr>
      <w:tr>
        <w:trPr>
          <w:trHeight w:val="331" w:hRule="exact"/>
        </w:trPr>
        <w:tc>
          <w:tcPr>
            <w:tcW w:w="1309" w:type="dxa"/>
            <w:tcBorders>
              <w:top w:val="nil" w:sz="6" w:space="0" w:color="auto"/>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616" w:type="dxa"/>
            <w:tcBorders>
              <w:top w:val="nil" w:sz="6" w:space="0" w:color="auto"/>
              <w:left w:val="single" w:sz="4" w:space="0" w:color="000000"/>
              <w:bottom w:val="single" w:sz="4" w:space="0" w:color="000000"/>
              <w:right w:val="single" w:sz="4" w:space="0" w:color="000000"/>
            </w:tcBorders>
          </w:tcPr>
          <w:p>
            <w:pPr/>
          </w:p>
        </w:tc>
        <w:tc>
          <w:tcPr>
            <w:tcW w:w="1528" w:type="dxa"/>
            <w:tcBorders>
              <w:top w:val="nil" w:sz="6" w:space="0" w:color="auto"/>
              <w:left w:val="single" w:sz="4" w:space="0" w:color="000000"/>
              <w:bottom w:val="single" w:sz="4" w:space="0" w:color="000000"/>
              <w:right w:val="single" w:sz="4" w:space="0" w:color="000000"/>
            </w:tcBorders>
          </w:tcPr>
          <w:p>
            <w:pPr/>
          </w:p>
        </w:tc>
        <w:tc>
          <w:tcPr>
            <w:tcW w:w="1544" w:type="dxa"/>
            <w:tcBorders>
              <w:top w:val="nil" w:sz="6" w:space="0" w:color="auto"/>
              <w:left w:val="single" w:sz="4" w:space="0" w:color="000000"/>
              <w:bottom w:val="single" w:sz="4" w:space="0" w:color="000000"/>
              <w:right w:val="single" w:sz="4" w:space="0" w:color="000000"/>
            </w:tcBorders>
          </w:tcPr>
          <w:p>
            <w:pPr/>
          </w:p>
        </w:tc>
        <w:tc>
          <w:tcPr>
            <w:tcW w:w="1009" w:type="dxa"/>
            <w:tcBorders>
              <w:top w:val="nil" w:sz="6" w:space="0" w:color="auto"/>
              <w:left w:val="single" w:sz="4" w:space="0" w:color="000000"/>
              <w:bottom w:val="single" w:sz="4" w:space="0" w:color="000000"/>
              <w:right w:val="single" w:sz="4" w:space="0" w:color="000000"/>
            </w:tcBorders>
          </w:tcPr>
          <w:p>
            <w:pPr/>
          </w:p>
        </w:tc>
        <w:tc>
          <w:tcPr>
            <w:tcW w:w="1433" w:type="dxa"/>
            <w:tcBorders>
              <w:top w:val="nil" w:sz="6" w:space="0" w:color="auto"/>
              <w:left w:val="single" w:sz="4" w:space="0" w:color="000000"/>
              <w:bottom w:val="single" w:sz="4" w:space="0" w:color="000000"/>
              <w:right w:val="single" w:sz="4" w:space="0" w:color="000000"/>
            </w:tcBorders>
          </w:tcPr>
          <w:p>
            <w:pPr/>
          </w:p>
        </w:tc>
        <w:tc>
          <w:tcPr>
            <w:tcW w:w="1453" w:type="dxa"/>
            <w:tcBorders>
              <w:top w:val="nil" w:sz="6" w:space="0" w:color="auto"/>
              <w:left w:val="single" w:sz="4" w:space="0" w:color="000000"/>
              <w:bottom w:val="single" w:sz="4" w:space="0" w:color="000000"/>
              <w:right w:val="single" w:sz="4" w:space="0" w:color="000000"/>
            </w:tcBorders>
          </w:tcPr>
          <w:p>
            <w:pPr/>
          </w:p>
        </w:tc>
      </w:tr>
      <w:tr>
        <w:trPr>
          <w:trHeight w:val="295" w:hRule="exact"/>
        </w:trPr>
        <w:tc>
          <w:tcPr>
            <w:tcW w:w="1309" w:type="dxa"/>
            <w:tcBorders>
              <w:top w:val="single" w:sz="4" w:space="0" w:color="000000"/>
              <w:left w:val="single" w:sz="4" w:space="0" w:color="000000"/>
              <w:bottom w:val="nil" w:sz="6" w:space="0" w:color="auto"/>
              <w:right w:val="single" w:sz="4" w:space="0" w:color="000000"/>
            </w:tcBorders>
          </w:tcPr>
          <w:p>
            <w:pPr/>
          </w:p>
        </w:tc>
        <w:tc>
          <w:tcPr>
            <w:tcW w:w="1616" w:type="dxa"/>
            <w:tcBorders>
              <w:top w:val="single" w:sz="4" w:space="0" w:color="000000"/>
              <w:left w:val="single" w:sz="4" w:space="0" w:color="000000"/>
              <w:bottom w:val="nil" w:sz="6" w:space="0" w:color="auto"/>
              <w:right w:val="single" w:sz="4" w:space="0" w:color="000000"/>
            </w:tcBorders>
          </w:tcPr>
          <w:p>
            <w:pPr/>
          </w:p>
        </w:tc>
        <w:tc>
          <w:tcPr>
            <w:tcW w:w="3072" w:type="dxa"/>
            <w:gridSpan w:val="2"/>
            <w:tcBorders>
              <w:top w:val="single" w:sz="4" w:space="0" w:color="000000"/>
              <w:left w:val="single" w:sz="4" w:space="0" w:color="000000"/>
              <w:bottom w:val="nil" w:sz="6" w:space="0" w:color="auto"/>
              <w:right w:val="single" w:sz="4" w:space="0" w:color="000000"/>
            </w:tcBorders>
          </w:tcPr>
          <w:p>
            <w:pPr/>
          </w:p>
        </w:tc>
        <w:tc>
          <w:tcPr>
            <w:tcW w:w="1009"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本年末比</w:t>
            </w:r>
          </w:p>
        </w:tc>
        <w:tc>
          <w:tcPr>
            <w:tcW w:w="2886" w:type="dxa"/>
            <w:gridSpan w:val="2"/>
            <w:tcBorders>
              <w:top w:val="single" w:sz="4" w:space="0" w:color="000000"/>
              <w:left w:val="single" w:sz="4" w:space="0" w:color="000000"/>
              <w:bottom w:val="nil" w:sz="6" w:space="0" w:color="auto"/>
              <w:right w:val="single" w:sz="4" w:space="0" w:color="000000"/>
            </w:tcBorders>
          </w:tcPr>
          <w:p>
            <w:pPr/>
          </w:p>
        </w:tc>
      </w:tr>
      <w:tr>
        <w:trPr>
          <w:trHeight w:val="765" w:hRule="exact"/>
        </w:trPr>
        <w:tc>
          <w:tcPr>
            <w:tcW w:w="130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61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宋体" w:hAnsi="宋体" w:cs="宋体" w:eastAsia="宋体" w:hint="default"/>
                <w:sz w:val="18"/>
                <w:szCs w:val="18"/>
              </w:rPr>
              <w:t>年末</w:t>
            </w:r>
          </w:p>
        </w:tc>
        <w:tc>
          <w:tcPr>
            <w:tcW w:w="3072" w:type="dxa"/>
            <w:gridSpan w:val="2"/>
            <w:tcBorders>
              <w:top w:val="nil" w:sz="6" w:space="0" w:color="auto"/>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宋体" w:hAnsi="宋体" w:cs="宋体" w:eastAsia="宋体" w:hint="default"/>
                <w:sz w:val="18"/>
                <w:szCs w:val="18"/>
              </w:rPr>
              <w:t>年末</w:t>
            </w:r>
          </w:p>
        </w:tc>
        <w:tc>
          <w:tcPr>
            <w:tcW w:w="1009" w:type="dxa"/>
            <w:tcBorders>
              <w:top w:val="nil" w:sz="6" w:space="0" w:color="auto"/>
              <w:left w:val="single" w:sz="4" w:space="0" w:color="000000"/>
              <w:bottom w:val="single" w:sz="4" w:space="0" w:color="000000"/>
              <w:right w:val="single" w:sz="4" w:space="0" w:color="000000"/>
            </w:tcBorders>
          </w:tcPr>
          <w:p>
            <w:pPr>
              <w:pStyle w:val="TableParagraph"/>
              <w:spacing w:line="357" w:lineRule="auto" w:before="29"/>
              <w:ind w:left="139" w:right="138"/>
              <w:jc w:val="left"/>
              <w:rPr>
                <w:rFonts w:ascii="宋体" w:hAnsi="宋体" w:cs="宋体" w:eastAsia="宋体" w:hint="default"/>
                <w:sz w:val="18"/>
                <w:szCs w:val="18"/>
              </w:rPr>
            </w:pPr>
            <w:r>
              <w:rPr>
                <w:rFonts w:ascii="宋体" w:hAnsi="宋体" w:cs="宋体" w:eastAsia="宋体" w:hint="default"/>
                <w:sz w:val="18"/>
                <w:szCs w:val="18"/>
              </w:rPr>
              <w:t>上年末增 减（％）</w:t>
            </w:r>
          </w:p>
        </w:tc>
        <w:tc>
          <w:tcPr>
            <w:tcW w:w="2886" w:type="dxa"/>
            <w:gridSpan w:val="2"/>
            <w:tcBorders>
              <w:top w:val="nil" w:sz="6" w:space="0" w:color="auto"/>
              <w:left w:val="single" w:sz="4" w:space="0" w:color="000000"/>
              <w:bottom w:val="single" w:sz="4" w:space="0" w:color="000000"/>
              <w:right w:val="single" w:sz="4" w:space="0" w:color="000000"/>
            </w:tcBorders>
          </w:tcPr>
          <w:p>
            <w:pPr>
              <w:pStyle w:val="TableParagraph"/>
              <w:spacing w:line="240" w:lineRule="auto" w:before="2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宋体" w:hAnsi="宋体" w:cs="宋体" w:eastAsia="宋体" w:hint="default"/>
                <w:sz w:val="18"/>
                <w:szCs w:val="18"/>
              </w:rPr>
              <w:t>年末</w:t>
            </w:r>
          </w:p>
        </w:tc>
      </w:tr>
      <w:tr>
        <w:trPr>
          <w:trHeight w:val="360" w:hRule="exact"/>
        </w:trPr>
        <w:tc>
          <w:tcPr>
            <w:tcW w:w="1309" w:type="dxa"/>
            <w:tcBorders>
              <w:top w:val="nil" w:sz="6" w:space="0" w:color="auto"/>
              <w:left w:val="single" w:sz="4" w:space="0" w:color="000000"/>
              <w:bottom w:val="single" w:sz="4" w:space="0" w:color="000000"/>
              <w:right w:val="single" w:sz="4" w:space="0" w:color="000000"/>
            </w:tcBorders>
          </w:tcPr>
          <w:p>
            <w:pPr/>
          </w:p>
        </w:tc>
        <w:tc>
          <w:tcPr>
            <w:tcW w:w="1616" w:type="dxa"/>
            <w:tcBorders>
              <w:top w:val="nil" w:sz="6" w:space="0" w:color="auto"/>
              <w:left w:val="single" w:sz="4" w:space="0" w:color="000000"/>
              <w:bottom w:val="single" w:sz="4" w:space="0" w:color="000000"/>
              <w:right w:val="single" w:sz="4" w:space="0" w:color="000000"/>
            </w:tcBorders>
          </w:tcPr>
          <w:p>
            <w:pPr/>
          </w:p>
        </w:tc>
        <w:tc>
          <w:tcPr>
            <w:tcW w:w="15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调整前</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调整后</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调整后</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调整前</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调整后</w:t>
            </w:r>
          </w:p>
        </w:tc>
      </w:tr>
      <w:tr>
        <w:trPr>
          <w:trHeight w:val="360" w:hRule="exact"/>
        </w:trPr>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79"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 w:right="0"/>
              <w:jc w:val="center"/>
              <w:rPr>
                <w:rFonts w:ascii="Times New Roman" w:hAnsi="Times New Roman" w:cs="Times New Roman" w:eastAsia="Times New Roman" w:hint="default"/>
                <w:sz w:val="18"/>
                <w:szCs w:val="18"/>
              </w:rPr>
            </w:pPr>
            <w:r>
              <w:rPr>
                <w:rFonts w:ascii="Times New Roman"/>
                <w:sz w:val="18"/>
              </w:rPr>
              <w:t>306,434,164.74</w:t>
            </w:r>
          </w:p>
        </w:tc>
        <w:tc>
          <w:tcPr>
            <w:tcW w:w="1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
              <w:jc w:val="center"/>
              <w:rPr>
                <w:rFonts w:ascii="Times New Roman" w:hAnsi="Times New Roman" w:cs="Times New Roman" w:eastAsia="Times New Roman" w:hint="default"/>
                <w:sz w:val="18"/>
                <w:szCs w:val="18"/>
              </w:rPr>
            </w:pPr>
            <w:r>
              <w:rPr>
                <w:rFonts w:ascii="Times New Roman"/>
                <w:sz w:val="18"/>
              </w:rPr>
              <w:t>8,963,755.52</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
              <w:jc w:val="center"/>
              <w:rPr>
                <w:rFonts w:ascii="Times New Roman" w:hAnsi="Times New Roman" w:cs="Times New Roman" w:eastAsia="Times New Roman" w:hint="default"/>
                <w:sz w:val="18"/>
                <w:szCs w:val="18"/>
              </w:rPr>
            </w:pPr>
            <w:r>
              <w:rPr>
                <w:rFonts w:ascii="Times New Roman"/>
                <w:sz w:val="18"/>
              </w:rPr>
              <w:t>8,963,755.52</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Times New Roman" w:hAnsi="Times New Roman" w:cs="Times New Roman" w:eastAsia="Times New Roman" w:hint="default"/>
                <w:sz w:val="18"/>
                <w:szCs w:val="18"/>
              </w:rPr>
            </w:pPr>
            <w:r>
              <w:rPr>
                <w:rFonts w:ascii="Times New Roman"/>
                <w:sz w:val="18"/>
              </w:rPr>
              <w:t>3318.59%</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
              <w:jc w:val="center"/>
              <w:rPr>
                <w:rFonts w:ascii="Times New Roman" w:hAnsi="Times New Roman" w:cs="Times New Roman" w:eastAsia="Times New Roman" w:hint="default"/>
                <w:sz w:val="18"/>
                <w:szCs w:val="18"/>
              </w:rPr>
            </w:pPr>
            <w:r>
              <w:rPr>
                <w:rFonts w:ascii="Times New Roman"/>
                <w:sz w:val="18"/>
              </w:rPr>
              <w:t>41,305,884.12</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
              <w:jc w:val="center"/>
              <w:rPr>
                <w:rFonts w:ascii="Times New Roman" w:hAnsi="Times New Roman" w:cs="Times New Roman" w:eastAsia="Times New Roman" w:hint="default"/>
                <w:sz w:val="18"/>
                <w:szCs w:val="18"/>
              </w:rPr>
            </w:pPr>
            <w:r>
              <w:rPr>
                <w:rFonts w:ascii="Times New Roman"/>
                <w:sz w:val="18"/>
              </w:rPr>
              <w:t>44,815,041.84</w:t>
            </w:r>
          </w:p>
        </w:tc>
      </w:tr>
      <w:tr>
        <w:trPr>
          <w:trHeight w:val="295" w:hRule="exact"/>
        </w:trPr>
        <w:tc>
          <w:tcPr>
            <w:tcW w:w="1309"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99"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1616" w:type="dxa"/>
            <w:tcBorders>
              <w:top w:val="single" w:sz="4" w:space="0" w:color="000000"/>
              <w:left w:val="single" w:sz="4" w:space="0" w:color="000000"/>
              <w:bottom w:val="nil" w:sz="6" w:space="0" w:color="auto"/>
              <w:right w:val="single" w:sz="4" w:space="0" w:color="000000"/>
            </w:tcBorders>
          </w:tcPr>
          <w:p>
            <w:pPr/>
          </w:p>
        </w:tc>
        <w:tc>
          <w:tcPr>
            <w:tcW w:w="1528" w:type="dxa"/>
            <w:tcBorders>
              <w:top w:val="single" w:sz="4" w:space="0" w:color="000000"/>
              <w:left w:val="single" w:sz="4" w:space="0" w:color="000000"/>
              <w:bottom w:val="nil" w:sz="6" w:space="0" w:color="auto"/>
              <w:right w:val="single" w:sz="4" w:space="0" w:color="000000"/>
            </w:tcBorders>
          </w:tcPr>
          <w:p>
            <w:pPr/>
          </w:p>
        </w:tc>
        <w:tc>
          <w:tcPr>
            <w:tcW w:w="1544" w:type="dxa"/>
            <w:tcBorders>
              <w:top w:val="single" w:sz="4" w:space="0" w:color="000000"/>
              <w:left w:val="single" w:sz="4" w:space="0" w:color="000000"/>
              <w:bottom w:val="nil" w:sz="6" w:space="0" w:color="auto"/>
              <w:right w:val="single" w:sz="4" w:space="0" w:color="000000"/>
            </w:tcBorders>
          </w:tcPr>
          <w:p>
            <w:pPr/>
          </w:p>
        </w:tc>
        <w:tc>
          <w:tcPr>
            <w:tcW w:w="1009" w:type="dxa"/>
            <w:tcBorders>
              <w:top w:val="single" w:sz="4" w:space="0" w:color="000000"/>
              <w:left w:val="single" w:sz="4" w:space="0" w:color="000000"/>
              <w:bottom w:val="nil" w:sz="6" w:space="0" w:color="auto"/>
              <w:right w:val="single" w:sz="4" w:space="0" w:color="000000"/>
            </w:tcBorders>
          </w:tcPr>
          <w:p>
            <w:pPr/>
          </w:p>
        </w:tc>
        <w:tc>
          <w:tcPr>
            <w:tcW w:w="1433" w:type="dxa"/>
            <w:tcBorders>
              <w:top w:val="single" w:sz="4" w:space="0" w:color="000000"/>
              <w:left w:val="single" w:sz="4" w:space="0" w:color="000000"/>
              <w:bottom w:val="nil" w:sz="6" w:space="0" w:color="auto"/>
              <w:right w:val="single" w:sz="4" w:space="0" w:color="000000"/>
            </w:tcBorders>
          </w:tcPr>
          <w:p>
            <w:pPr/>
          </w:p>
        </w:tc>
        <w:tc>
          <w:tcPr>
            <w:tcW w:w="1453" w:type="dxa"/>
            <w:tcBorders>
              <w:top w:val="single" w:sz="4" w:space="0" w:color="000000"/>
              <w:left w:val="single" w:sz="4" w:space="0" w:color="000000"/>
              <w:bottom w:val="nil" w:sz="6" w:space="0" w:color="auto"/>
              <w:right w:val="single" w:sz="4" w:space="0" w:color="000000"/>
            </w:tcBorders>
          </w:tcPr>
          <w:p>
            <w:pPr/>
          </w:p>
        </w:tc>
      </w:tr>
      <w:tr>
        <w:trPr>
          <w:trHeight w:val="1076" w:hRule="exact"/>
        </w:trPr>
        <w:tc>
          <w:tcPr>
            <w:tcW w:w="1309" w:type="dxa"/>
            <w:tcBorders>
              <w:top w:val="nil" w:sz="6" w:space="0" w:color="auto"/>
              <w:left w:val="single" w:sz="4" w:space="0" w:color="000000"/>
              <w:bottom w:val="single" w:sz="4" w:space="0" w:color="000000"/>
              <w:right w:val="single" w:sz="4" w:space="0" w:color="000000"/>
            </w:tcBorders>
          </w:tcPr>
          <w:p>
            <w:pPr>
              <w:pStyle w:val="TableParagraph"/>
              <w:spacing w:line="357" w:lineRule="auto" w:before="29"/>
              <w:ind w:left="289" w:right="288" w:firstLine="90"/>
              <w:jc w:val="left"/>
              <w:rPr>
                <w:rFonts w:ascii="宋体" w:hAnsi="宋体" w:cs="宋体" w:eastAsia="宋体" w:hint="default"/>
                <w:sz w:val="18"/>
                <w:szCs w:val="18"/>
              </w:rPr>
            </w:pPr>
            <w:r>
              <w:rPr>
                <w:rFonts w:ascii="宋体" w:hAnsi="宋体" w:cs="宋体" w:eastAsia="宋体" w:hint="default"/>
                <w:sz w:val="18"/>
                <w:szCs w:val="18"/>
              </w:rPr>
              <w:t>（或股 东权益）</w:t>
            </w:r>
          </w:p>
        </w:tc>
        <w:tc>
          <w:tcPr>
            <w:tcW w:w="16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96,926,634.34</w:t>
            </w:r>
          </w:p>
        </w:tc>
        <w:tc>
          <w:tcPr>
            <w:tcW w:w="152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-84,507,656.98</w:t>
            </w:r>
          </w:p>
        </w:tc>
        <w:tc>
          <w:tcPr>
            <w:tcW w:w="15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-84,507,656.98</w:t>
            </w:r>
          </w:p>
        </w:tc>
        <w:tc>
          <w:tcPr>
            <w:tcW w:w="100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-182.46%</w:t>
            </w:r>
          </w:p>
        </w:tc>
        <w:tc>
          <w:tcPr>
            <w:tcW w:w="143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-91,486,051.78</w:t>
            </w:r>
          </w:p>
        </w:tc>
        <w:tc>
          <w:tcPr>
            <w:tcW w:w="145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-100,647,688.14</w:t>
            </w:r>
          </w:p>
        </w:tc>
      </w:tr>
    </w:tbl>
    <w:p>
      <w:pPr>
        <w:spacing w:after="0" w:line="240" w:lineRule="auto"/>
        <w:jc w:val="center"/>
        <w:rPr>
          <w:rFonts w:ascii="Times New Roman" w:hAnsi="Times New Roman" w:cs="Times New Roman" w:eastAsia="Times New Roman" w:hint="default"/>
          <w:sz w:val="18"/>
          <w:szCs w:val="18"/>
        </w:rPr>
        <w:sectPr>
          <w:pgSz w:w="11910" w:h="16840"/>
          <w:pgMar w:header="0" w:footer="614" w:top="1400" w:bottom="800" w:left="900" w:right="880"/>
        </w:sectPr>
      </w:pPr>
    </w:p>
    <w:p>
      <w:pPr>
        <w:spacing w:line="240" w:lineRule="auto" w:before="2"/>
        <w:rPr>
          <w:rFonts w:ascii="宋体" w:hAnsi="宋体" w:cs="宋体" w:eastAsia="宋体" w:hint="default"/>
          <w:sz w:val="27"/>
          <w:szCs w:val="27"/>
        </w:rPr>
      </w:pPr>
    </w:p>
    <w:p>
      <w:pPr>
        <w:pStyle w:val="BodyText"/>
        <w:spacing w:line="240" w:lineRule="auto" w:before="26"/>
        <w:ind w:left="538" w:right="513"/>
        <w:jc w:val="left"/>
      </w:pPr>
      <w:r>
        <w:rPr>
          <w:rFonts w:ascii="Times New Roman" w:hAnsi="Times New Roman" w:cs="Times New Roman" w:eastAsia="Times New Roman" w:hint="default"/>
        </w:rPr>
        <w:t>2</w:t>
      </w:r>
      <w:r>
        <w:rPr/>
        <w:t>．主要财务指标</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tbl>
      <w:tblPr>
        <w:tblW w:w="0" w:type="auto"/>
        <w:jc w:val="left"/>
        <w:tblInd w:w="118" w:type="dxa"/>
        <w:tblLayout w:type="fixed"/>
        <w:tblCellMar>
          <w:top w:w="0" w:type="dxa"/>
          <w:left w:w="0" w:type="dxa"/>
          <w:bottom w:w="0" w:type="dxa"/>
          <w:right w:w="0" w:type="dxa"/>
        </w:tblCellMar>
        <w:tblLook w:val="01E0"/>
      </w:tblPr>
      <w:tblGrid>
        <w:gridCol w:w="2088"/>
        <w:gridCol w:w="1265"/>
        <w:gridCol w:w="1330"/>
        <w:gridCol w:w="1334"/>
        <w:gridCol w:w="1426"/>
        <w:gridCol w:w="1307"/>
        <w:gridCol w:w="1151"/>
      </w:tblGrid>
      <w:tr>
        <w:trPr>
          <w:trHeight w:val="944" w:hRule="exact"/>
        </w:trPr>
        <w:tc>
          <w:tcPr>
            <w:tcW w:w="2088"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1265"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2008</w:t>
            </w:r>
            <w:r>
              <w:rPr>
                <w:rFonts w:ascii="宋体" w:hAnsi="宋体" w:cs="宋体" w:eastAsia="宋体" w:hint="default"/>
                <w:sz w:val="24"/>
                <w:szCs w:val="24"/>
              </w:rPr>
              <w:t>年</w:t>
            </w:r>
          </w:p>
        </w:tc>
        <w:tc>
          <w:tcPr>
            <w:tcW w:w="266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3"/>
              <w:ind w:right="0"/>
              <w:jc w:val="center"/>
              <w:rPr>
                <w:rFonts w:ascii="宋体" w:hAnsi="宋体" w:cs="宋体" w:eastAsia="宋体" w:hint="default"/>
                <w:sz w:val="24"/>
                <w:szCs w:val="24"/>
              </w:rPr>
            </w:pPr>
            <w:r>
              <w:rPr>
                <w:rFonts w:ascii="Times New Roman" w:hAnsi="Times New Roman" w:cs="Times New Roman" w:eastAsia="Times New Roman" w:hint="default"/>
                <w:sz w:val="24"/>
                <w:szCs w:val="24"/>
              </w:rPr>
              <w:t>2007  </w:t>
            </w:r>
            <w:r>
              <w:rPr>
                <w:rFonts w:ascii="宋体" w:hAnsi="宋体" w:cs="宋体" w:eastAsia="宋体" w:hint="default"/>
                <w:sz w:val="24"/>
                <w:szCs w:val="24"/>
              </w:rPr>
              <w:t>年</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6" w:right="0"/>
              <w:jc w:val="left"/>
              <w:rPr>
                <w:rFonts w:ascii="宋体" w:hAnsi="宋体" w:cs="宋体" w:eastAsia="宋体" w:hint="default"/>
                <w:sz w:val="24"/>
                <w:szCs w:val="24"/>
              </w:rPr>
            </w:pPr>
            <w:r>
              <w:rPr>
                <w:rFonts w:ascii="宋体" w:hAnsi="宋体" w:cs="宋体" w:eastAsia="宋体" w:hint="default"/>
                <w:sz w:val="24"/>
                <w:szCs w:val="24"/>
              </w:rPr>
              <w:t>本年比上年</w:t>
            </w:r>
          </w:p>
          <w:p>
            <w:pPr>
              <w:pStyle w:val="TableParagraph"/>
              <w:spacing w:line="240" w:lineRule="auto" w:before="152"/>
              <w:ind w:left="106" w:right="0"/>
              <w:jc w:val="left"/>
              <w:rPr>
                <w:rFonts w:ascii="宋体" w:hAnsi="宋体" w:cs="宋体" w:eastAsia="宋体" w:hint="default"/>
                <w:sz w:val="24"/>
                <w:szCs w:val="24"/>
              </w:rPr>
            </w:pPr>
            <w:r>
              <w:rPr>
                <w:rFonts w:ascii="宋体" w:hAnsi="宋体" w:cs="宋体" w:eastAsia="宋体" w:hint="default"/>
                <w:sz w:val="24"/>
                <w:szCs w:val="24"/>
              </w:rPr>
              <w:t>增减（％）</w:t>
            </w:r>
          </w:p>
        </w:tc>
        <w:tc>
          <w:tcPr>
            <w:tcW w:w="245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93"/>
              <w:ind w:left="8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2006  </w:t>
            </w:r>
            <w:r>
              <w:rPr>
                <w:rFonts w:ascii="宋体" w:hAnsi="宋体" w:cs="宋体" w:eastAsia="宋体" w:hint="default"/>
                <w:sz w:val="24"/>
                <w:szCs w:val="24"/>
              </w:rPr>
              <w:t>年</w:t>
            </w:r>
          </w:p>
        </w:tc>
      </w:tr>
      <w:tr>
        <w:trPr>
          <w:trHeight w:val="476" w:hRule="exact"/>
        </w:trPr>
        <w:tc>
          <w:tcPr>
            <w:tcW w:w="2088" w:type="dxa"/>
            <w:vMerge/>
            <w:tcBorders>
              <w:left w:val="single" w:sz="4" w:space="0" w:color="000000"/>
              <w:bottom w:val="single" w:sz="4" w:space="0" w:color="000000"/>
              <w:right w:val="single" w:sz="4" w:space="0" w:color="000000"/>
            </w:tcBorders>
          </w:tcPr>
          <w:p>
            <w:pPr/>
          </w:p>
        </w:tc>
        <w:tc>
          <w:tcPr>
            <w:tcW w:w="1265" w:type="dxa"/>
            <w:vMerge/>
            <w:tcBorders>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299"/>
              <w:jc w:val="right"/>
              <w:rPr>
                <w:rFonts w:ascii="宋体" w:hAnsi="宋体" w:cs="宋体" w:eastAsia="宋体" w:hint="default"/>
                <w:sz w:val="24"/>
                <w:szCs w:val="24"/>
              </w:rPr>
            </w:pPr>
            <w:r>
              <w:rPr>
                <w:rFonts w:ascii="宋体" w:hAnsi="宋体" w:cs="宋体" w:eastAsia="宋体" w:hint="default"/>
                <w:sz w:val="24"/>
                <w:szCs w:val="24"/>
              </w:rPr>
              <w:t>调整前</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300"/>
              <w:jc w:val="right"/>
              <w:rPr>
                <w:rFonts w:ascii="宋体" w:hAnsi="宋体" w:cs="宋体" w:eastAsia="宋体" w:hint="default"/>
                <w:sz w:val="24"/>
                <w:szCs w:val="24"/>
              </w:rPr>
            </w:pPr>
            <w:r>
              <w:rPr>
                <w:rFonts w:ascii="宋体" w:hAnsi="宋体" w:cs="宋体" w:eastAsia="宋体" w:hint="default"/>
                <w:sz w:val="24"/>
                <w:szCs w:val="24"/>
              </w:rPr>
              <w:t>调整后</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346" w:right="0"/>
              <w:jc w:val="left"/>
              <w:rPr>
                <w:rFonts w:ascii="宋体" w:hAnsi="宋体" w:cs="宋体" w:eastAsia="宋体" w:hint="default"/>
                <w:sz w:val="24"/>
                <w:szCs w:val="24"/>
              </w:rPr>
            </w:pPr>
            <w:r>
              <w:rPr>
                <w:rFonts w:ascii="宋体" w:hAnsi="宋体" w:cs="宋体" w:eastAsia="宋体" w:hint="default"/>
                <w:sz w:val="24"/>
                <w:szCs w:val="24"/>
              </w:rPr>
              <w:t>调整后</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287"/>
              <w:jc w:val="right"/>
              <w:rPr>
                <w:rFonts w:ascii="宋体" w:hAnsi="宋体" w:cs="宋体" w:eastAsia="宋体" w:hint="default"/>
                <w:sz w:val="24"/>
                <w:szCs w:val="24"/>
              </w:rPr>
            </w:pPr>
            <w:r>
              <w:rPr>
                <w:rFonts w:ascii="宋体" w:hAnsi="宋体" w:cs="宋体" w:eastAsia="宋体" w:hint="default"/>
                <w:sz w:val="24"/>
                <w:szCs w:val="24"/>
              </w:rPr>
              <w:t>调整前</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209"/>
              <w:jc w:val="right"/>
              <w:rPr>
                <w:rFonts w:ascii="宋体" w:hAnsi="宋体" w:cs="宋体" w:eastAsia="宋体" w:hint="default"/>
                <w:sz w:val="24"/>
                <w:szCs w:val="24"/>
              </w:rPr>
            </w:pPr>
            <w:r>
              <w:rPr>
                <w:rFonts w:ascii="宋体" w:hAnsi="宋体" w:cs="宋体" w:eastAsia="宋体" w:hint="default"/>
                <w:sz w:val="24"/>
                <w:szCs w:val="24"/>
              </w:rPr>
              <w:t>调整后</w:t>
            </w:r>
          </w:p>
        </w:tc>
      </w:tr>
      <w:tr>
        <w:trPr>
          <w:trHeight w:val="478"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基本每股收益</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
              <w:jc w:val="center"/>
              <w:rPr>
                <w:rFonts w:ascii="Times New Roman" w:hAnsi="Times New Roman" w:cs="Times New Roman" w:eastAsia="Times New Roman" w:hint="default"/>
                <w:sz w:val="18"/>
                <w:szCs w:val="18"/>
              </w:rPr>
            </w:pPr>
            <w:r>
              <w:rPr>
                <w:rFonts w:ascii="Times New Roman"/>
                <w:sz w:val="18"/>
              </w:rPr>
              <w:t>1.70</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
              <w:jc w:val="center"/>
              <w:rPr>
                <w:rFonts w:ascii="Times New Roman" w:hAnsi="Times New Roman" w:cs="Times New Roman" w:eastAsia="Times New Roman" w:hint="default"/>
                <w:sz w:val="18"/>
                <w:szCs w:val="18"/>
              </w:rPr>
            </w:pPr>
            <w:r>
              <w:rPr>
                <w:rFonts w:ascii="Times New Roman"/>
                <w:sz w:val="18"/>
              </w:rPr>
              <w:t>0.178</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Times New Roman" w:hAnsi="Times New Roman" w:cs="Times New Roman" w:eastAsia="Times New Roman" w:hint="default"/>
                <w:sz w:val="18"/>
                <w:szCs w:val="18"/>
              </w:rPr>
            </w:pPr>
            <w:r>
              <w:rPr>
                <w:rFonts w:ascii="Times New Roman"/>
                <w:sz w:val="18"/>
              </w:rPr>
              <w:t>0.178</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383" w:right="0"/>
              <w:jc w:val="left"/>
              <w:rPr>
                <w:rFonts w:ascii="Times New Roman" w:hAnsi="Times New Roman" w:cs="Times New Roman" w:eastAsia="Times New Roman" w:hint="default"/>
                <w:sz w:val="18"/>
                <w:szCs w:val="18"/>
              </w:rPr>
            </w:pPr>
            <w:r>
              <w:rPr>
                <w:rFonts w:ascii="Times New Roman"/>
                <w:sz w:val="18"/>
              </w:rPr>
              <w:t>866.29%</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414" w:right="0"/>
              <w:jc w:val="left"/>
              <w:rPr>
                <w:rFonts w:ascii="Times New Roman" w:hAnsi="Times New Roman" w:cs="Times New Roman" w:eastAsia="Times New Roman" w:hint="default"/>
                <w:sz w:val="18"/>
                <w:szCs w:val="18"/>
              </w:rPr>
            </w:pPr>
            <w:r>
              <w:rPr>
                <w:rFonts w:ascii="Times New Roman"/>
                <w:sz w:val="18"/>
              </w:rPr>
              <w:t>-1.820</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336" w:right="0"/>
              <w:jc w:val="left"/>
              <w:rPr>
                <w:rFonts w:ascii="Times New Roman" w:hAnsi="Times New Roman" w:cs="Times New Roman" w:eastAsia="Times New Roman" w:hint="default"/>
                <w:sz w:val="18"/>
                <w:szCs w:val="18"/>
              </w:rPr>
            </w:pPr>
            <w:r>
              <w:rPr>
                <w:rFonts w:ascii="Times New Roman"/>
                <w:sz w:val="18"/>
              </w:rPr>
              <w:t>-1.885</w:t>
            </w:r>
          </w:p>
        </w:tc>
      </w:tr>
      <w:tr>
        <w:trPr>
          <w:trHeight w:val="476"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稀释每股收益</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
              <w:jc w:val="center"/>
              <w:rPr>
                <w:rFonts w:ascii="Times New Roman" w:hAnsi="Times New Roman" w:cs="Times New Roman" w:eastAsia="Times New Roman" w:hint="default"/>
                <w:sz w:val="18"/>
                <w:szCs w:val="18"/>
              </w:rPr>
            </w:pPr>
            <w:r>
              <w:rPr>
                <w:rFonts w:ascii="Times New Roman"/>
                <w:sz w:val="18"/>
              </w:rPr>
              <w:t>1.70</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
              <w:jc w:val="center"/>
              <w:rPr>
                <w:rFonts w:ascii="Times New Roman" w:hAnsi="Times New Roman" w:cs="Times New Roman" w:eastAsia="Times New Roman" w:hint="default"/>
                <w:sz w:val="18"/>
                <w:szCs w:val="18"/>
              </w:rPr>
            </w:pPr>
            <w:r>
              <w:rPr>
                <w:rFonts w:ascii="Times New Roman"/>
                <w:sz w:val="18"/>
              </w:rPr>
              <w:t>0.178</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Times New Roman" w:hAnsi="Times New Roman" w:cs="Times New Roman" w:eastAsia="Times New Roman" w:hint="default"/>
                <w:sz w:val="18"/>
                <w:szCs w:val="18"/>
              </w:rPr>
            </w:pPr>
            <w:r>
              <w:rPr>
                <w:rFonts w:ascii="Times New Roman"/>
                <w:sz w:val="18"/>
              </w:rPr>
              <w:t>0.178</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383" w:right="0"/>
              <w:jc w:val="left"/>
              <w:rPr>
                <w:rFonts w:ascii="Times New Roman" w:hAnsi="Times New Roman" w:cs="Times New Roman" w:eastAsia="Times New Roman" w:hint="default"/>
                <w:sz w:val="18"/>
                <w:szCs w:val="18"/>
              </w:rPr>
            </w:pPr>
            <w:r>
              <w:rPr>
                <w:rFonts w:ascii="Times New Roman"/>
                <w:sz w:val="18"/>
              </w:rPr>
              <w:t>866.29%</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414" w:right="0"/>
              <w:jc w:val="left"/>
              <w:rPr>
                <w:rFonts w:ascii="Times New Roman" w:hAnsi="Times New Roman" w:cs="Times New Roman" w:eastAsia="Times New Roman" w:hint="default"/>
                <w:sz w:val="18"/>
                <w:szCs w:val="18"/>
              </w:rPr>
            </w:pPr>
            <w:r>
              <w:rPr>
                <w:rFonts w:ascii="Times New Roman"/>
                <w:sz w:val="18"/>
              </w:rPr>
              <w:t>-1.820</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336" w:right="0"/>
              <w:jc w:val="left"/>
              <w:rPr>
                <w:rFonts w:ascii="Times New Roman" w:hAnsi="Times New Roman" w:cs="Times New Roman" w:eastAsia="Times New Roman" w:hint="default"/>
                <w:sz w:val="18"/>
                <w:szCs w:val="18"/>
              </w:rPr>
            </w:pPr>
            <w:r>
              <w:rPr>
                <w:rFonts w:ascii="Times New Roman"/>
                <w:sz w:val="18"/>
              </w:rPr>
              <w:t>-1.885</w:t>
            </w:r>
          </w:p>
        </w:tc>
      </w:tr>
      <w:tr>
        <w:trPr>
          <w:trHeight w:val="141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扣除非经常性损</w:t>
            </w:r>
          </w:p>
          <w:p>
            <w:pPr>
              <w:pStyle w:val="TableParagraph"/>
              <w:spacing w:line="357" w:lineRule="auto" w:before="152"/>
              <w:ind w:left="103" w:right="293"/>
              <w:jc w:val="left"/>
              <w:rPr>
                <w:rFonts w:ascii="宋体" w:hAnsi="宋体" w:cs="宋体" w:eastAsia="宋体" w:hint="default"/>
                <w:sz w:val="24"/>
                <w:szCs w:val="24"/>
              </w:rPr>
            </w:pPr>
            <w:r>
              <w:rPr>
                <w:rFonts w:ascii="宋体" w:hAnsi="宋体" w:cs="宋体" w:eastAsia="宋体" w:hint="default"/>
                <w:sz w:val="24"/>
                <w:szCs w:val="24"/>
              </w:rPr>
              <w:t>益后的基本每股 收益</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-0.09</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425" w:right="0"/>
              <w:jc w:val="left"/>
              <w:rPr>
                <w:rFonts w:ascii="Times New Roman" w:hAnsi="Times New Roman" w:cs="Times New Roman" w:eastAsia="Times New Roman" w:hint="default"/>
                <w:sz w:val="18"/>
                <w:szCs w:val="18"/>
              </w:rPr>
            </w:pPr>
            <w:r>
              <w:rPr>
                <w:rFonts w:ascii="Times New Roman"/>
                <w:sz w:val="18"/>
              </w:rPr>
              <w:t>-0.153</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429" w:right="0"/>
              <w:jc w:val="left"/>
              <w:rPr>
                <w:rFonts w:ascii="Times New Roman" w:hAnsi="Times New Roman" w:cs="Times New Roman" w:eastAsia="Times New Roman" w:hint="default"/>
                <w:sz w:val="18"/>
                <w:szCs w:val="18"/>
              </w:rPr>
            </w:pPr>
            <w:r>
              <w:rPr>
                <w:rFonts w:ascii="Times New Roman"/>
                <w:sz w:val="18"/>
              </w:rPr>
              <w:t>-0.153</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414" w:right="0"/>
              <w:jc w:val="left"/>
              <w:rPr>
                <w:rFonts w:ascii="Times New Roman" w:hAnsi="Times New Roman" w:cs="Times New Roman" w:eastAsia="Times New Roman" w:hint="default"/>
                <w:sz w:val="18"/>
                <w:szCs w:val="18"/>
              </w:rPr>
            </w:pPr>
            <w:r>
              <w:rPr>
                <w:rFonts w:ascii="Times New Roman"/>
                <w:sz w:val="18"/>
              </w:rPr>
              <w:t>-1.820</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336" w:right="0"/>
              <w:jc w:val="left"/>
              <w:rPr>
                <w:rFonts w:ascii="Times New Roman" w:hAnsi="Times New Roman" w:cs="Times New Roman" w:eastAsia="Times New Roman" w:hint="default"/>
                <w:sz w:val="18"/>
                <w:szCs w:val="18"/>
              </w:rPr>
            </w:pPr>
            <w:r>
              <w:rPr>
                <w:rFonts w:ascii="Times New Roman"/>
                <w:sz w:val="18"/>
              </w:rPr>
              <w:t>-1.188</w:t>
            </w:r>
          </w:p>
        </w:tc>
      </w:tr>
      <w:tr>
        <w:trPr>
          <w:trHeight w:val="944"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全面摊薄净资产</w:t>
            </w:r>
          </w:p>
          <w:p>
            <w:pPr>
              <w:pStyle w:val="TableParagraph"/>
              <w:spacing w:line="240" w:lineRule="auto" w:before="154"/>
              <w:ind w:left="103" w:right="0"/>
              <w:jc w:val="left"/>
              <w:rPr>
                <w:rFonts w:ascii="宋体" w:hAnsi="宋体" w:cs="宋体" w:eastAsia="宋体" w:hint="default"/>
                <w:sz w:val="24"/>
                <w:szCs w:val="24"/>
              </w:rPr>
            </w:pPr>
            <w:r>
              <w:rPr>
                <w:rFonts w:ascii="宋体" w:hAnsi="宋体" w:cs="宋体" w:eastAsia="宋体" w:hint="default"/>
                <w:sz w:val="24"/>
                <w:szCs w:val="24"/>
              </w:rPr>
              <w:t>收益率</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4"/>
                <w:szCs w:val="24"/>
              </w:rPr>
            </w:pPr>
            <w:r>
              <w:rPr>
                <w:rFonts w:ascii="Times New Roman"/>
                <w:sz w:val="24"/>
              </w:rPr>
              <w:t>221.26%</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943"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加权平均净资产</w:t>
            </w:r>
          </w:p>
          <w:p>
            <w:pPr>
              <w:pStyle w:val="TableParagraph"/>
              <w:spacing w:line="240" w:lineRule="auto" w:before="152"/>
              <w:ind w:left="103" w:right="0"/>
              <w:jc w:val="left"/>
              <w:rPr>
                <w:rFonts w:ascii="宋体" w:hAnsi="宋体" w:cs="宋体" w:eastAsia="宋体" w:hint="default"/>
                <w:sz w:val="24"/>
                <w:szCs w:val="24"/>
              </w:rPr>
            </w:pPr>
            <w:r>
              <w:rPr>
                <w:rFonts w:ascii="宋体" w:hAnsi="宋体" w:cs="宋体" w:eastAsia="宋体" w:hint="default"/>
                <w:sz w:val="24"/>
                <w:szCs w:val="24"/>
              </w:rPr>
              <w:t>收益率</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1411"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扣除非经常性损</w:t>
            </w:r>
          </w:p>
          <w:p>
            <w:pPr>
              <w:pStyle w:val="TableParagraph"/>
              <w:spacing w:line="357" w:lineRule="auto" w:before="152"/>
              <w:ind w:left="103" w:right="293"/>
              <w:jc w:val="left"/>
              <w:rPr>
                <w:rFonts w:ascii="宋体" w:hAnsi="宋体" w:cs="宋体" w:eastAsia="宋体" w:hint="default"/>
                <w:sz w:val="24"/>
                <w:szCs w:val="24"/>
              </w:rPr>
            </w:pPr>
            <w:r>
              <w:rPr>
                <w:rFonts w:ascii="宋体" w:hAnsi="宋体" w:cs="宋体" w:eastAsia="宋体" w:hint="default"/>
                <w:sz w:val="24"/>
                <w:szCs w:val="24"/>
              </w:rPr>
              <w:t>益后全面摊薄净 资产收益率</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4"/>
              <w:ind w:right="0"/>
              <w:jc w:val="left"/>
              <w:rPr>
                <w:rFonts w:ascii="宋体" w:hAnsi="宋体" w:cs="宋体" w:eastAsia="宋体" w:hint="default"/>
                <w:sz w:val="27"/>
                <w:szCs w:val="27"/>
              </w:rPr>
            </w:pPr>
          </w:p>
          <w:p>
            <w:pPr>
              <w:pStyle w:val="TableParagraph"/>
              <w:spacing w:line="240" w:lineRule="auto"/>
              <w:ind w:right="0"/>
              <w:jc w:val="center"/>
              <w:rPr>
                <w:rFonts w:ascii="Times New Roman" w:hAnsi="Times New Roman" w:cs="Times New Roman" w:eastAsia="Times New Roman" w:hint="default"/>
                <w:sz w:val="24"/>
                <w:szCs w:val="24"/>
              </w:rPr>
            </w:pPr>
            <w:r>
              <w:rPr>
                <w:rFonts w:ascii="Times New Roman"/>
                <w:sz w:val="24"/>
              </w:rPr>
              <w:t>-11.83%</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141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扣除非经常性损</w:t>
            </w:r>
          </w:p>
          <w:p>
            <w:pPr>
              <w:pStyle w:val="TableParagraph"/>
              <w:spacing w:line="357" w:lineRule="auto" w:before="152"/>
              <w:ind w:left="103" w:right="293"/>
              <w:jc w:val="left"/>
              <w:rPr>
                <w:rFonts w:ascii="宋体" w:hAnsi="宋体" w:cs="宋体" w:eastAsia="宋体" w:hint="default"/>
                <w:sz w:val="24"/>
                <w:szCs w:val="24"/>
              </w:rPr>
            </w:pPr>
            <w:r>
              <w:rPr>
                <w:rFonts w:ascii="宋体" w:hAnsi="宋体" w:cs="宋体" w:eastAsia="宋体" w:hint="default"/>
                <w:sz w:val="24"/>
                <w:szCs w:val="24"/>
              </w:rPr>
              <w:t>益后的加权平均 净资产收益率</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6"/>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1411"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每股经营活动产</w:t>
            </w:r>
          </w:p>
          <w:p>
            <w:pPr>
              <w:pStyle w:val="TableParagraph"/>
              <w:spacing w:line="357" w:lineRule="auto" w:before="154"/>
              <w:ind w:left="103" w:right="293"/>
              <w:jc w:val="left"/>
              <w:rPr>
                <w:rFonts w:ascii="宋体" w:hAnsi="宋体" w:cs="宋体" w:eastAsia="宋体" w:hint="default"/>
                <w:sz w:val="24"/>
                <w:szCs w:val="24"/>
              </w:rPr>
            </w:pPr>
            <w:r>
              <w:rPr>
                <w:rFonts w:ascii="宋体" w:hAnsi="宋体" w:cs="宋体" w:eastAsia="宋体" w:hint="default"/>
                <w:sz w:val="24"/>
                <w:szCs w:val="24"/>
              </w:rPr>
              <w:t>生的现金流量净 额</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0.247</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0.001</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0.001</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406" w:right="0"/>
              <w:jc w:val="left"/>
              <w:rPr>
                <w:rFonts w:ascii="Times New Roman" w:hAnsi="Times New Roman" w:cs="Times New Roman" w:eastAsia="Times New Roman" w:hint="default"/>
                <w:sz w:val="18"/>
                <w:szCs w:val="18"/>
              </w:rPr>
            </w:pPr>
            <w:r>
              <w:rPr>
                <w:rFonts w:ascii="Times New Roman"/>
                <w:sz w:val="18"/>
              </w:rPr>
              <w:t>24600%</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0.005</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0.005</w:t>
            </w:r>
          </w:p>
        </w:tc>
      </w:tr>
      <w:tr>
        <w:trPr>
          <w:trHeight w:val="1410" w:hRule="exact"/>
        </w:trPr>
        <w:tc>
          <w:tcPr>
            <w:tcW w:w="208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12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267"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2008</w:t>
            </w:r>
            <w:r>
              <w:rPr>
                <w:rFonts w:ascii="宋体" w:hAnsi="宋体" w:cs="宋体" w:eastAsia="宋体" w:hint="default"/>
                <w:sz w:val="24"/>
                <w:szCs w:val="24"/>
              </w:rPr>
              <w:t>年</w:t>
            </w:r>
          </w:p>
        </w:tc>
        <w:tc>
          <w:tcPr>
            <w:tcW w:w="266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847"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2007</w:t>
            </w:r>
            <w:r>
              <w:rPr>
                <w:rFonts w:ascii="宋体" w:hAnsi="宋体" w:cs="宋体" w:eastAsia="宋体" w:hint="default"/>
                <w:sz w:val="24"/>
                <w:szCs w:val="24"/>
              </w:rPr>
              <w:t>年末</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本年末比上</w:t>
            </w:r>
          </w:p>
          <w:p>
            <w:pPr>
              <w:pStyle w:val="TableParagraph"/>
              <w:spacing w:line="240" w:lineRule="auto" w:before="152"/>
              <w:ind w:right="0"/>
              <w:jc w:val="center"/>
              <w:rPr>
                <w:rFonts w:ascii="宋体" w:hAnsi="宋体" w:cs="宋体" w:eastAsia="宋体" w:hint="default"/>
                <w:sz w:val="24"/>
                <w:szCs w:val="24"/>
              </w:rPr>
            </w:pPr>
            <w:r>
              <w:rPr>
                <w:rFonts w:ascii="宋体" w:hAnsi="宋体" w:cs="宋体" w:eastAsia="宋体" w:hint="default"/>
                <w:sz w:val="24"/>
                <w:szCs w:val="24"/>
              </w:rPr>
              <w:t>年末增减</w:t>
            </w:r>
          </w:p>
          <w:p>
            <w:pPr>
              <w:pStyle w:val="TableParagraph"/>
              <w:spacing w:line="240" w:lineRule="auto" w:before="152"/>
              <w:ind w:right="0"/>
              <w:jc w:val="center"/>
              <w:rPr>
                <w:rFonts w:ascii="宋体" w:hAnsi="宋体" w:cs="宋体" w:eastAsia="宋体" w:hint="default"/>
                <w:sz w:val="24"/>
                <w:szCs w:val="24"/>
              </w:rPr>
            </w:pPr>
            <w:r>
              <w:rPr>
                <w:rFonts w:ascii="宋体" w:hAnsi="宋体" w:cs="宋体" w:eastAsia="宋体" w:hint="default"/>
                <w:sz w:val="24"/>
                <w:szCs w:val="24"/>
              </w:rPr>
              <w:t>（％）</w:t>
            </w:r>
          </w:p>
        </w:tc>
        <w:tc>
          <w:tcPr>
            <w:tcW w:w="245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74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2006</w:t>
            </w:r>
            <w:r>
              <w:rPr>
                <w:rFonts w:ascii="宋体" w:hAnsi="宋体" w:cs="宋体" w:eastAsia="宋体" w:hint="default"/>
                <w:sz w:val="24"/>
                <w:szCs w:val="24"/>
              </w:rPr>
              <w:t>年末</w:t>
            </w:r>
          </w:p>
        </w:tc>
      </w:tr>
      <w:tr>
        <w:trPr>
          <w:trHeight w:val="478" w:hRule="exact"/>
        </w:trPr>
        <w:tc>
          <w:tcPr>
            <w:tcW w:w="2088" w:type="dxa"/>
            <w:vMerge/>
            <w:tcBorders>
              <w:left w:val="single" w:sz="4" w:space="0" w:color="000000"/>
              <w:bottom w:val="single" w:sz="4" w:space="0" w:color="000000"/>
              <w:right w:val="single" w:sz="4" w:space="0" w:color="000000"/>
            </w:tcBorders>
          </w:tcPr>
          <w:p>
            <w:pPr/>
          </w:p>
        </w:tc>
        <w:tc>
          <w:tcPr>
            <w:tcW w:w="1265" w:type="dxa"/>
            <w:vMerge/>
            <w:tcBorders>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299"/>
              <w:jc w:val="right"/>
              <w:rPr>
                <w:rFonts w:ascii="宋体" w:hAnsi="宋体" w:cs="宋体" w:eastAsia="宋体" w:hint="default"/>
                <w:sz w:val="24"/>
                <w:szCs w:val="24"/>
              </w:rPr>
            </w:pPr>
            <w:r>
              <w:rPr>
                <w:rFonts w:ascii="宋体" w:hAnsi="宋体" w:cs="宋体" w:eastAsia="宋体" w:hint="default"/>
                <w:sz w:val="24"/>
                <w:szCs w:val="24"/>
              </w:rPr>
              <w:t>调整前</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300"/>
              <w:jc w:val="right"/>
              <w:rPr>
                <w:rFonts w:ascii="宋体" w:hAnsi="宋体" w:cs="宋体" w:eastAsia="宋体" w:hint="default"/>
                <w:sz w:val="24"/>
                <w:szCs w:val="24"/>
              </w:rPr>
            </w:pPr>
            <w:r>
              <w:rPr>
                <w:rFonts w:ascii="宋体" w:hAnsi="宋体" w:cs="宋体" w:eastAsia="宋体" w:hint="default"/>
                <w:sz w:val="24"/>
                <w:szCs w:val="24"/>
              </w:rPr>
              <w:t>调整后</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346" w:right="0"/>
              <w:jc w:val="left"/>
              <w:rPr>
                <w:rFonts w:ascii="宋体" w:hAnsi="宋体" w:cs="宋体" w:eastAsia="宋体" w:hint="default"/>
                <w:sz w:val="24"/>
                <w:szCs w:val="24"/>
              </w:rPr>
            </w:pPr>
            <w:r>
              <w:rPr>
                <w:rFonts w:ascii="宋体" w:hAnsi="宋体" w:cs="宋体" w:eastAsia="宋体" w:hint="default"/>
                <w:sz w:val="24"/>
                <w:szCs w:val="24"/>
              </w:rPr>
              <w:t>调整后</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287"/>
              <w:jc w:val="right"/>
              <w:rPr>
                <w:rFonts w:ascii="宋体" w:hAnsi="宋体" w:cs="宋体" w:eastAsia="宋体" w:hint="default"/>
                <w:sz w:val="24"/>
                <w:szCs w:val="24"/>
              </w:rPr>
            </w:pPr>
            <w:r>
              <w:rPr>
                <w:rFonts w:ascii="宋体" w:hAnsi="宋体" w:cs="宋体" w:eastAsia="宋体" w:hint="default"/>
                <w:sz w:val="24"/>
                <w:szCs w:val="24"/>
              </w:rPr>
              <w:t>调整前</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209"/>
              <w:jc w:val="right"/>
              <w:rPr>
                <w:rFonts w:ascii="宋体" w:hAnsi="宋体" w:cs="宋体" w:eastAsia="宋体" w:hint="default"/>
                <w:sz w:val="24"/>
                <w:szCs w:val="24"/>
              </w:rPr>
            </w:pPr>
            <w:r>
              <w:rPr>
                <w:rFonts w:ascii="宋体" w:hAnsi="宋体" w:cs="宋体" w:eastAsia="宋体" w:hint="default"/>
                <w:sz w:val="24"/>
                <w:szCs w:val="24"/>
              </w:rPr>
              <w:t>调整后</w:t>
            </w:r>
          </w:p>
        </w:tc>
      </w:tr>
      <w:tr>
        <w:trPr>
          <w:trHeight w:val="51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宋体" w:hAnsi="宋体" w:cs="宋体" w:eastAsia="宋体" w:hint="default"/>
                <w:sz w:val="24"/>
                <w:szCs w:val="24"/>
              </w:rPr>
              <w:t>归属于上市公司</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24"/>
                <w:szCs w:val="24"/>
              </w:rPr>
            </w:pPr>
            <w:r>
              <w:rPr>
                <w:rFonts w:ascii="Times New Roman"/>
                <w:sz w:val="24"/>
              </w:rPr>
              <w:t>0.77</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03" w:right="0"/>
              <w:jc w:val="left"/>
              <w:rPr>
                <w:rFonts w:ascii="Times New Roman" w:hAnsi="Times New Roman" w:cs="Times New Roman" w:eastAsia="Times New Roman" w:hint="default"/>
                <w:sz w:val="24"/>
                <w:szCs w:val="24"/>
              </w:rPr>
            </w:pPr>
            <w:r>
              <w:rPr>
                <w:rFonts w:ascii="Times New Roman"/>
                <w:sz w:val="24"/>
              </w:rPr>
              <w:t>-0.934</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350"/>
              <w:jc w:val="right"/>
              <w:rPr>
                <w:rFonts w:ascii="Times New Roman" w:hAnsi="Times New Roman" w:cs="Times New Roman" w:eastAsia="Times New Roman" w:hint="default"/>
                <w:sz w:val="24"/>
                <w:szCs w:val="24"/>
              </w:rPr>
            </w:pPr>
            <w:r>
              <w:rPr>
                <w:rFonts w:ascii="Times New Roman"/>
                <w:w w:val="95"/>
                <w:sz w:val="24"/>
              </w:rPr>
              <w:t>-0.934</w:t>
            </w:r>
            <w:r>
              <w:rPr>
                <w:rFonts w:ascii="Times New Roman"/>
                <w:sz w:val="24"/>
              </w:rPr>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03" w:right="0"/>
              <w:jc w:val="left"/>
              <w:rPr>
                <w:rFonts w:ascii="Times New Roman" w:hAnsi="Times New Roman" w:cs="Times New Roman" w:eastAsia="Times New Roman" w:hint="default"/>
                <w:sz w:val="24"/>
                <w:szCs w:val="24"/>
              </w:rPr>
            </w:pPr>
            <w:r>
              <w:rPr>
                <w:rFonts w:ascii="Times New Roman"/>
                <w:sz w:val="24"/>
              </w:rPr>
              <w:t>-1.011</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260" w:right="0"/>
              <w:jc w:val="left"/>
              <w:rPr>
                <w:rFonts w:ascii="Times New Roman" w:hAnsi="Times New Roman" w:cs="Times New Roman" w:eastAsia="Times New Roman" w:hint="default"/>
                <w:sz w:val="24"/>
                <w:szCs w:val="24"/>
              </w:rPr>
            </w:pPr>
            <w:r>
              <w:rPr>
                <w:rFonts w:ascii="Times New Roman"/>
                <w:sz w:val="24"/>
              </w:rPr>
              <w:t>-1.112</w:t>
            </w:r>
          </w:p>
        </w:tc>
      </w:tr>
    </w:tbl>
    <w:p>
      <w:pPr>
        <w:spacing w:after="0" w:line="240" w:lineRule="auto"/>
        <w:jc w:val="left"/>
        <w:rPr>
          <w:rFonts w:ascii="Times New Roman" w:hAnsi="Times New Roman" w:cs="Times New Roman" w:eastAsia="Times New Roman" w:hint="default"/>
          <w:sz w:val="24"/>
          <w:szCs w:val="24"/>
        </w:rPr>
        <w:sectPr>
          <w:pgSz w:w="11910" w:h="16840"/>
          <w:pgMar w:header="0" w:footer="614" w:top="1600" w:bottom="800" w:left="880" w:right="880"/>
        </w:sectPr>
      </w:pPr>
    </w:p>
    <w:p>
      <w:pPr>
        <w:spacing w:line="240" w:lineRule="auto" w:before="8"/>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2088"/>
        <w:gridCol w:w="1265"/>
        <w:gridCol w:w="1330"/>
        <w:gridCol w:w="1334"/>
        <w:gridCol w:w="1426"/>
        <w:gridCol w:w="1307"/>
        <w:gridCol w:w="1151"/>
      </w:tblGrid>
      <w:tr>
        <w:trPr>
          <w:trHeight w:val="944"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股东的每股净资</w:t>
            </w:r>
          </w:p>
          <w:p>
            <w:pPr>
              <w:pStyle w:val="TableParagraph"/>
              <w:spacing w:line="240" w:lineRule="auto" w:before="152"/>
              <w:ind w:left="103" w:right="0"/>
              <w:jc w:val="left"/>
              <w:rPr>
                <w:rFonts w:ascii="宋体" w:hAnsi="宋体" w:cs="宋体" w:eastAsia="宋体" w:hint="default"/>
                <w:sz w:val="24"/>
                <w:szCs w:val="24"/>
              </w:rPr>
            </w:pPr>
            <w:r>
              <w:rPr>
                <w:rFonts w:ascii="宋体" w:hAnsi="宋体" w:cs="宋体" w:eastAsia="宋体" w:hint="default"/>
                <w:sz w:val="24"/>
                <w:szCs w:val="24"/>
              </w:rPr>
              <w:t>产</w:t>
            </w:r>
          </w:p>
        </w:tc>
        <w:tc>
          <w:tcPr>
            <w:tcW w:w="1265"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307" w:type="dxa"/>
            <w:tcBorders>
              <w:top w:val="single" w:sz="4" w:space="0" w:color="000000"/>
              <w:left w:val="single" w:sz="4" w:space="0" w:color="000000"/>
              <w:bottom w:val="single" w:sz="4" w:space="0" w:color="000000"/>
              <w:right w:val="single" w:sz="4" w:space="0" w:color="000000"/>
            </w:tcBorders>
          </w:tcPr>
          <w:p>
            <w:pPr/>
          </w:p>
        </w:tc>
        <w:tc>
          <w:tcPr>
            <w:tcW w:w="115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338" w:lineRule="auto" w:before="26"/>
        <w:ind w:left="538" w:right="513"/>
        <w:jc w:val="left"/>
      </w:pPr>
      <w:r>
        <w:rPr/>
        <w:t>（三）、根据中国证监会《公开发行证券公司信息披露编报规则第</w:t>
      </w:r>
      <w:r>
        <w:rPr>
          <w:rFonts w:ascii="Times New Roman" w:hAnsi="Times New Roman" w:cs="Times New Roman" w:eastAsia="Times New Roman" w:hint="default"/>
        </w:rPr>
        <w:t>9</w:t>
      </w:r>
      <w:r>
        <w:rPr>
          <w:rFonts w:ascii="Times New Roman" w:hAnsi="Times New Roman" w:cs="Times New Roman" w:eastAsia="Times New Roman" w:hint="default"/>
          <w:spacing w:val="13"/>
        </w:rPr>
        <w:t> </w:t>
      </w:r>
      <w:r>
        <w:rPr/>
        <w:t>号》计算的净资产 收益率和每股收益：</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6"/>
          <w:szCs w:val="16"/>
        </w:rPr>
      </w:pPr>
    </w:p>
    <w:tbl>
      <w:tblPr>
        <w:tblW w:w="0" w:type="auto"/>
        <w:jc w:val="left"/>
        <w:tblInd w:w="953" w:type="dxa"/>
        <w:tblLayout w:type="fixed"/>
        <w:tblCellMar>
          <w:top w:w="0" w:type="dxa"/>
          <w:left w:w="0" w:type="dxa"/>
          <w:bottom w:w="0" w:type="dxa"/>
          <w:right w:w="0" w:type="dxa"/>
        </w:tblCellMar>
        <w:tblLook w:val="01E0"/>
      </w:tblPr>
      <w:tblGrid>
        <w:gridCol w:w="2836"/>
        <w:gridCol w:w="1601"/>
        <w:gridCol w:w="1444"/>
        <w:gridCol w:w="1470"/>
        <w:gridCol w:w="1230"/>
      </w:tblGrid>
      <w:tr>
        <w:trPr>
          <w:trHeight w:val="510" w:hRule="exact"/>
        </w:trPr>
        <w:tc>
          <w:tcPr>
            <w:tcW w:w="2836"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30"/>
                <w:szCs w:val="30"/>
              </w:rPr>
            </w:pPr>
          </w:p>
          <w:p>
            <w:pPr>
              <w:pStyle w:val="TableParagraph"/>
              <w:spacing w:line="240" w:lineRule="auto"/>
              <w:ind w:left="812" w:right="0"/>
              <w:jc w:val="left"/>
              <w:rPr>
                <w:rFonts w:ascii="宋体" w:hAnsi="宋体" w:cs="宋体" w:eastAsia="宋体" w:hint="default"/>
                <w:sz w:val="24"/>
                <w:szCs w:val="24"/>
              </w:rPr>
            </w:pPr>
            <w:r>
              <w:rPr>
                <w:rFonts w:ascii="宋体" w:hAnsi="宋体" w:cs="宋体" w:eastAsia="宋体" w:hint="default"/>
                <w:sz w:val="24"/>
                <w:szCs w:val="24"/>
              </w:rPr>
              <w:t>报告期利润</w:t>
            </w:r>
          </w:p>
        </w:tc>
        <w:tc>
          <w:tcPr>
            <w:tcW w:w="30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796" w:right="0"/>
              <w:jc w:val="left"/>
              <w:rPr>
                <w:rFonts w:ascii="宋体" w:hAnsi="宋体" w:cs="宋体" w:eastAsia="宋体" w:hint="default"/>
                <w:sz w:val="24"/>
                <w:szCs w:val="24"/>
              </w:rPr>
            </w:pPr>
            <w:r>
              <w:rPr>
                <w:rFonts w:ascii="宋体" w:hAnsi="宋体" w:cs="宋体" w:eastAsia="宋体" w:hint="default"/>
                <w:sz w:val="24"/>
                <w:szCs w:val="24"/>
              </w:rPr>
              <w:t>净资产收益率</w:t>
            </w:r>
          </w:p>
        </w:tc>
        <w:tc>
          <w:tcPr>
            <w:tcW w:w="27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865" w:right="0"/>
              <w:jc w:val="left"/>
              <w:rPr>
                <w:rFonts w:ascii="宋体" w:hAnsi="宋体" w:cs="宋体" w:eastAsia="宋体" w:hint="default"/>
                <w:sz w:val="24"/>
                <w:szCs w:val="24"/>
              </w:rPr>
            </w:pPr>
            <w:r>
              <w:rPr>
                <w:rFonts w:ascii="宋体" w:hAnsi="宋体" w:cs="宋体" w:eastAsia="宋体" w:hint="default"/>
                <w:sz w:val="24"/>
                <w:szCs w:val="24"/>
              </w:rPr>
              <w:t>每股收益</w:t>
            </w:r>
          </w:p>
        </w:tc>
      </w:tr>
      <w:tr>
        <w:trPr>
          <w:trHeight w:val="510" w:hRule="exact"/>
        </w:trPr>
        <w:tc>
          <w:tcPr>
            <w:tcW w:w="2836" w:type="dxa"/>
            <w:vMerge/>
            <w:tcBorders>
              <w:left w:val="single" w:sz="4" w:space="0" w:color="000000"/>
              <w:bottom w:val="single" w:sz="4" w:space="0" w:color="000000"/>
              <w:right w:val="single" w:sz="4" w:space="0" w:color="000000"/>
            </w:tcBorders>
          </w:tcPr>
          <w:p>
            <w:pP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0"/>
              <w:jc w:val="center"/>
              <w:rPr>
                <w:rFonts w:ascii="宋体" w:hAnsi="宋体" w:cs="宋体" w:eastAsia="宋体" w:hint="default"/>
                <w:sz w:val="24"/>
                <w:szCs w:val="24"/>
              </w:rPr>
            </w:pPr>
            <w:r>
              <w:rPr>
                <w:rFonts w:ascii="宋体" w:hAnsi="宋体" w:cs="宋体" w:eastAsia="宋体" w:hint="default"/>
                <w:sz w:val="24"/>
                <w:szCs w:val="24"/>
              </w:rPr>
              <w:t>全面摊薄</w:t>
            </w: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宋体" w:hAnsi="宋体" w:cs="宋体" w:eastAsia="宋体" w:hint="default"/>
                <w:sz w:val="24"/>
                <w:szCs w:val="24"/>
              </w:rPr>
            </w:pPr>
            <w:r>
              <w:rPr>
                <w:rFonts w:ascii="宋体" w:hAnsi="宋体" w:cs="宋体" w:eastAsia="宋体" w:hint="default"/>
                <w:sz w:val="24"/>
                <w:szCs w:val="24"/>
              </w:rPr>
              <w:t>加权平均</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宋体" w:hAnsi="宋体" w:cs="宋体" w:eastAsia="宋体" w:hint="default"/>
                <w:sz w:val="24"/>
                <w:szCs w:val="24"/>
              </w:rPr>
            </w:pPr>
            <w:r>
              <w:rPr>
                <w:rFonts w:ascii="宋体" w:hAnsi="宋体" w:cs="宋体" w:eastAsia="宋体" w:hint="default"/>
                <w:sz w:val="24"/>
                <w:szCs w:val="24"/>
              </w:rPr>
              <w:t>基本</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369" w:right="0"/>
              <w:jc w:val="left"/>
              <w:rPr>
                <w:rFonts w:ascii="宋体" w:hAnsi="宋体" w:cs="宋体" w:eastAsia="宋体" w:hint="default"/>
                <w:sz w:val="24"/>
                <w:szCs w:val="24"/>
              </w:rPr>
            </w:pPr>
            <w:r>
              <w:rPr>
                <w:rFonts w:ascii="宋体" w:hAnsi="宋体" w:cs="宋体" w:eastAsia="宋体" w:hint="default"/>
                <w:sz w:val="24"/>
                <w:szCs w:val="24"/>
              </w:rPr>
              <w:t>稀释</w:t>
            </w:r>
          </w:p>
        </w:tc>
      </w:tr>
      <w:tr>
        <w:trPr>
          <w:trHeight w:val="1010" w:hRule="exact"/>
        </w:trPr>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500" w:lineRule="exact" w:before="29"/>
              <w:ind w:left="103" w:right="78"/>
              <w:jc w:val="left"/>
              <w:rPr>
                <w:rFonts w:ascii="宋体" w:hAnsi="宋体" w:cs="宋体" w:eastAsia="宋体" w:hint="default"/>
                <w:sz w:val="24"/>
                <w:szCs w:val="24"/>
              </w:rPr>
            </w:pPr>
            <w:r>
              <w:rPr>
                <w:rFonts w:ascii="宋体" w:hAnsi="宋体" w:cs="宋体" w:eastAsia="宋体" w:hint="default"/>
                <w:spacing w:val="21"/>
                <w:sz w:val="24"/>
                <w:szCs w:val="24"/>
              </w:rPr>
              <w:t>归属于公司普通股股东</w:t>
            </w:r>
            <w:r>
              <w:rPr>
                <w:rFonts w:ascii="宋体" w:hAnsi="宋体" w:cs="宋体" w:eastAsia="宋体" w:hint="default"/>
                <w:spacing w:val="-115"/>
                <w:sz w:val="24"/>
                <w:szCs w:val="24"/>
              </w:rPr>
              <w:t> </w:t>
            </w:r>
            <w:r>
              <w:rPr>
                <w:rFonts w:ascii="宋体" w:hAnsi="宋体" w:cs="宋体" w:eastAsia="宋体" w:hint="default"/>
                <w:sz w:val="24"/>
                <w:szCs w:val="24"/>
              </w:rPr>
              <w:t>的净利润</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7"/>
                <w:szCs w:val="27"/>
              </w:rPr>
            </w:pPr>
          </w:p>
          <w:p>
            <w:pPr>
              <w:pStyle w:val="TableParagraph"/>
              <w:spacing w:line="240" w:lineRule="auto"/>
              <w:ind w:right="1"/>
              <w:jc w:val="center"/>
              <w:rPr>
                <w:rFonts w:ascii="Times New Roman" w:hAnsi="Times New Roman" w:cs="Times New Roman" w:eastAsia="Times New Roman" w:hint="default"/>
                <w:sz w:val="24"/>
                <w:szCs w:val="24"/>
              </w:rPr>
            </w:pPr>
            <w:r>
              <w:rPr>
                <w:rFonts w:ascii="Times New Roman"/>
                <w:sz w:val="24"/>
              </w:rPr>
              <w:t>221%</w:t>
            </w: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7"/>
                <w:szCs w:val="27"/>
              </w:rPr>
            </w:pPr>
          </w:p>
          <w:p>
            <w:pPr>
              <w:pStyle w:val="TableParagraph"/>
              <w:spacing w:line="240" w:lineRule="auto"/>
              <w:ind w:right="0"/>
              <w:jc w:val="center"/>
              <w:rPr>
                <w:rFonts w:ascii="Times New Roman" w:hAnsi="Times New Roman" w:cs="Times New Roman" w:eastAsia="Times New Roman" w:hint="default"/>
                <w:sz w:val="24"/>
                <w:szCs w:val="24"/>
              </w:rPr>
            </w:pPr>
            <w:r>
              <w:rPr>
                <w:rFonts w:ascii="Times New Roman"/>
                <w:color w:val="0000FF"/>
                <w:w w:val="99"/>
                <w:sz w:val="24"/>
              </w:rPr>
              <w:t>-</w:t>
            </w:r>
            <w:r>
              <w:rPr>
                <w:rFonts w:ascii="Times New Roman"/>
                <w:sz w:val="24"/>
              </w:rPr>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7"/>
                <w:szCs w:val="27"/>
              </w:rPr>
            </w:pPr>
          </w:p>
          <w:p>
            <w:pPr>
              <w:pStyle w:val="TableParagraph"/>
              <w:spacing w:line="240" w:lineRule="auto"/>
              <w:ind w:right="1"/>
              <w:jc w:val="center"/>
              <w:rPr>
                <w:rFonts w:ascii="Times New Roman" w:hAnsi="Times New Roman" w:cs="Times New Roman" w:eastAsia="Times New Roman" w:hint="default"/>
                <w:sz w:val="24"/>
                <w:szCs w:val="24"/>
              </w:rPr>
            </w:pPr>
            <w:r>
              <w:rPr>
                <w:rFonts w:ascii="Times New Roman"/>
                <w:sz w:val="24"/>
              </w:rPr>
              <w:t>1.70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7"/>
                <w:szCs w:val="27"/>
              </w:rPr>
            </w:pPr>
          </w:p>
          <w:p>
            <w:pPr>
              <w:pStyle w:val="TableParagraph"/>
              <w:spacing w:line="240" w:lineRule="auto"/>
              <w:ind w:left="399" w:right="0"/>
              <w:jc w:val="left"/>
              <w:rPr>
                <w:rFonts w:ascii="Times New Roman" w:hAnsi="Times New Roman" w:cs="Times New Roman" w:eastAsia="Times New Roman" w:hint="default"/>
                <w:sz w:val="24"/>
                <w:szCs w:val="24"/>
              </w:rPr>
            </w:pPr>
            <w:r>
              <w:rPr>
                <w:rFonts w:ascii="Times New Roman"/>
                <w:sz w:val="24"/>
              </w:rPr>
              <w:t>1.70</w:t>
            </w:r>
          </w:p>
        </w:tc>
      </w:tr>
      <w:tr>
        <w:trPr>
          <w:trHeight w:val="1510" w:hRule="exact"/>
        </w:trPr>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149"/>
              <w:ind w:left="103" w:right="78"/>
              <w:jc w:val="left"/>
              <w:rPr>
                <w:rFonts w:ascii="宋体" w:hAnsi="宋体" w:cs="宋体" w:eastAsia="宋体" w:hint="default"/>
                <w:sz w:val="24"/>
                <w:szCs w:val="24"/>
              </w:rPr>
            </w:pPr>
            <w:r>
              <w:rPr>
                <w:rFonts w:ascii="宋体" w:hAnsi="宋体" w:cs="宋体" w:eastAsia="宋体" w:hint="default"/>
                <w:spacing w:val="21"/>
                <w:sz w:val="24"/>
                <w:szCs w:val="24"/>
              </w:rPr>
              <w:t>扣除非经常性损益后归</w:t>
            </w:r>
            <w:r>
              <w:rPr>
                <w:rFonts w:ascii="宋体" w:hAnsi="宋体" w:cs="宋体" w:eastAsia="宋体" w:hint="default"/>
                <w:spacing w:val="-115"/>
                <w:sz w:val="24"/>
                <w:szCs w:val="24"/>
              </w:rPr>
              <w:t> </w:t>
            </w:r>
            <w:r>
              <w:rPr>
                <w:rFonts w:ascii="宋体" w:hAnsi="宋体" w:cs="宋体" w:eastAsia="宋体" w:hint="default"/>
                <w:spacing w:val="21"/>
                <w:sz w:val="24"/>
                <w:szCs w:val="24"/>
              </w:rPr>
              <w:t>属于公司普通股股东的</w:t>
            </w:r>
            <w:r>
              <w:rPr>
                <w:rFonts w:ascii="宋体" w:hAnsi="宋体" w:cs="宋体" w:eastAsia="宋体" w:hint="default"/>
                <w:spacing w:val="-96"/>
                <w:sz w:val="24"/>
                <w:szCs w:val="24"/>
              </w:rPr>
              <w:t> </w:t>
            </w:r>
            <w:r>
              <w:rPr>
                <w:rFonts w:ascii="宋体" w:hAnsi="宋体" w:cs="宋体" w:eastAsia="宋体" w:hint="default"/>
                <w:sz w:val="24"/>
                <w:szCs w:val="24"/>
              </w:rPr>
            </w:r>
          </w:p>
          <w:p>
            <w:pPr>
              <w:pStyle w:val="TableParagraph"/>
              <w:spacing w:line="240" w:lineRule="auto" w:before="44"/>
              <w:ind w:left="103" w:right="0"/>
              <w:jc w:val="left"/>
              <w:rPr>
                <w:rFonts w:ascii="宋体" w:hAnsi="宋体" w:cs="宋体" w:eastAsia="宋体" w:hint="default"/>
                <w:sz w:val="24"/>
                <w:szCs w:val="24"/>
              </w:rPr>
            </w:pPr>
            <w:r>
              <w:rPr>
                <w:rFonts w:ascii="宋体" w:hAnsi="宋体" w:cs="宋体" w:eastAsia="宋体" w:hint="default"/>
                <w:sz w:val="24"/>
                <w:szCs w:val="24"/>
              </w:rPr>
              <w:t>净利润</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24"/>
                <w:szCs w:val="24"/>
              </w:rPr>
            </w:pPr>
            <w:r>
              <w:rPr>
                <w:rFonts w:ascii="Times New Roman"/>
                <w:sz w:val="24"/>
              </w:rPr>
              <w:t>-12%</w:t>
            </w: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24"/>
                <w:szCs w:val="24"/>
              </w:rPr>
            </w:pPr>
            <w:r>
              <w:rPr>
                <w:rFonts w:ascii="Times New Roman"/>
                <w:color w:val="0000FF"/>
                <w:w w:val="99"/>
                <w:sz w:val="24"/>
              </w:rPr>
              <w:t>-</w:t>
            </w:r>
            <w:r>
              <w:rPr>
                <w:rFonts w:ascii="Times New Roman"/>
                <w:sz w:val="24"/>
              </w:rPr>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24"/>
                <w:szCs w:val="24"/>
              </w:rPr>
            </w:pPr>
            <w:r>
              <w:rPr>
                <w:rFonts w:ascii="Times New Roman"/>
                <w:sz w:val="24"/>
              </w:rPr>
              <w:t>-0.09</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359" w:right="0"/>
              <w:jc w:val="left"/>
              <w:rPr>
                <w:rFonts w:ascii="Times New Roman" w:hAnsi="Times New Roman" w:cs="Times New Roman" w:eastAsia="Times New Roman" w:hint="default"/>
                <w:sz w:val="24"/>
                <w:szCs w:val="24"/>
              </w:rPr>
            </w:pPr>
            <w:r>
              <w:rPr>
                <w:rFonts w:ascii="Times New Roman"/>
                <w:sz w:val="24"/>
              </w:rPr>
              <w:t>-0.09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tabs>
          <w:tab w:pos="4350" w:val="left" w:leader="none"/>
        </w:tabs>
        <w:spacing w:line="240" w:lineRule="auto" w:before="172"/>
        <w:ind w:left="3226" w:right="513"/>
        <w:jc w:val="left"/>
        <w:rPr>
          <w:b w:val="0"/>
          <w:bCs w:val="0"/>
        </w:rPr>
      </w:pPr>
      <w:bookmarkStart w:name="_TOC_250008" w:id="3"/>
      <w:r>
        <w:rPr>
          <w:w w:val="95"/>
        </w:rPr>
        <w:t>第三章</w:t>
        <w:tab/>
      </w:r>
      <w:r>
        <w:rPr/>
        <w:t>股本变动及股东情况</w:t>
      </w:r>
      <w:bookmarkEnd w:id="3"/>
      <w:r>
        <w:rPr>
          <w:b w:val="0"/>
          <w:bCs w:val="0"/>
        </w:rPr>
      </w:r>
    </w:p>
    <w:p>
      <w:pPr>
        <w:spacing w:line="240" w:lineRule="auto" w:before="0"/>
        <w:rPr>
          <w:rFonts w:ascii="宋体" w:hAnsi="宋体" w:cs="宋体" w:eastAsia="宋体" w:hint="default"/>
          <w:b/>
          <w:bCs/>
          <w:sz w:val="28"/>
          <w:szCs w:val="28"/>
        </w:rPr>
      </w:pPr>
    </w:p>
    <w:p>
      <w:pPr>
        <w:pStyle w:val="BodyText"/>
        <w:spacing w:line="240" w:lineRule="auto" w:before="240"/>
        <w:ind w:left="538" w:right="513"/>
        <w:jc w:val="left"/>
      </w:pPr>
      <w:r>
        <w:rPr/>
        <w:t>（一）报告期内股份变动情况</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p>
      <w:pPr>
        <w:spacing w:before="35"/>
        <w:ind w:left="0" w:right="1625" w:firstLine="0"/>
        <w:jc w:val="right"/>
        <w:rPr>
          <w:rFonts w:ascii="宋体" w:hAnsi="宋体" w:cs="宋体" w:eastAsia="宋体" w:hint="default"/>
          <w:sz w:val="21"/>
          <w:szCs w:val="21"/>
        </w:rPr>
      </w:pPr>
      <w:r>
        <w:rPr>
          <w:rFonts w:ascii="宋体" w:hAnsi="宋体" w:cs="宋体" w:eastAsia="宋体" w:hint="default"/>
          <w:sz w:val="21"/>
          <w:szCs w:val="21"/>
        </w:rPr>
        <w:t>数量单位：股</w:t>
      </w:r>
    </w:p>
    <w:p>
      <w:pPr>
        <w:spacing w:line="240" w:lineRule="auto" w:before="12"/>
        <w:rPr>
          <w:rFonts w:ascii="宋体" w:hAnsi="宋体" w:cs="宋体" w:eastAsia="宋体" w:hint="default"/>
          <w:sz w:val="9"/>
          <w:szCs w:val="9"/>
        </w:rPr>
      </w:pPr>
    </w:p>
    <w:tbl>
      <w:tblPr>
        <w:tblW w:w="0" w:type="auto"/>
        <w:jc w:val="left"/>
        <w:tblInd w:w="425" w:type="dxa"/>
        <w:tblLayout w:type="fixed"/>
        <w:tblCellMar>
          <w:top w:w="0" w:type="dxa"/>
          <w:left w:w="0" w:type="dxa"/>
          <w:bottom w:w="0" w:type="dxa"/>
          <w:right w:w="0" w:type="dxa"/>
        </w:tblCellMar>
        <w:tblLook w:val="01E0"/>
      </w:tblPr>
      <w:tblGrid>
        <w:gridCol w:w="1908"/>
        <w:gridCol w:w="1266"/>
        <w:gridCol w:w="894"/>
        <w:gridCol w:w="768"/>
        <w:gridCol w:w="497"/>
        <w:gridCol w:w="769"/>
        <w:gridCol w:w="491"/>
        <w:gridCol w:w="402"/>
        <w:gridCol w:w="1337"/>
        <w:gridCol w:w="874"/>
      </w:tblGrid>
      <w:tr>
        <w:trPr>
          <w:trHeight w:val="360" w:hRule="exact"/>
        </w:trPr>
        <w:tc>
          <w:tcPr>
            <w:tcW w:w="190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21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25"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2927" w:type="dxa"/>
            <w:gridSpan w:val="5"/>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567"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2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50"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710" w:hRule="exact"/>
        </w:trPr>
        <w:tc>
          <w:tcPr>
            <w:tcW w:w="1908" w:type="dxa"/>
            <w:vMerge/>
            <w:tcBorders>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356"/>
              <w:jc w:val="right"/>
              <w:rPr>
                <w:rFonts w:ascii="宋体" w:hAnsi="宋体" w:cs="宋体" w:eastAsia="宋体" w:hint="default"/>
                <w:sz w:val="18"/>
                <w:szCs w:val="18"/>
              </w:rPr>
            </w:pPr>
            <w:r>
              <w:rPr>
                <w:rFonts w:ascii="宋体" w:hAnsi="宋体" w:cs="宋体" w:eastAsia="宋体" w:hint="default"/>
                <w:sz w:val="18"/>
                <w:szCs w:val="18"/>
              </w:rPr>
              <w:t>数  量</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15"/>
              <w:jc w:val="right"/>
              <w:rPr>
                <w:rFonts w:ascii="宋体" w:hAnsi="宋体" w:cs="宋体" w:eastAsia="宋体" w:hint="default"/>
                <w:sz w:val="18"/>
                <w:szCs w:val="18"/>
              </w:rPr>
            </w:pPr>
            <w:r>
              <w:rPr>
                <w:rFonts w:ascii="宋体" w:hAnsi="宋体" w:cs="宋体" w:eastAsia="宋体" w:hint="default"/>
                <w:sz w:val="18"/>
                <w:szCs w:val="18"/>
              </w:rPr>
              <w:t>比 例</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99" w:right="0"/>
              <w:jc w:val="left"/>
              <w:rPr>
                <w:rFonts w:ascii="宋体" w:hAnsi="宋体" w:cs="宋体" w:eastAsia="宋体" w:hint="default"/>
                <w:sz w:val="18"/>
                <w:szCs w:val="18"/>
              </w:rPr>
            </w:pPr>
            <w:r>
              <w:rPr>
                <w:rFonts w:ascii="宋体" w:hAnsi="宋体" w:cs="宋体" w:eastAsia="宋体" w:hint="default"/>
                <w:sz w:val="18"/>
                <w:szCs w:val="18"/>
              </w:rPr>
              <w:t>发行</w:t>
            </w:r>
          </w:p>
          <w:p>
            <w:pPr>
              <w:pStyle w:val="TableParagraph"/>
              <w:spacing w:line="240" w:lineRule="auto" w:before="115"/>
              <w:ind w:left="199" w:right="0"/>
              <w:jc w:val="left"/>
              <w:rPr>
                <w:rFonts w:ascii="宋体" w:hAnsi="宋体" w:cs="宋体" w:eastAsia="宋体" w:hint="default"/>
                <w:sz w:val="18"/>
                <w:szCs w:val="18"/>
              </w:rPr>
            </w:pPr>
            <w:r>
              <w:rPr>
                <w:rFonts w:ascii="宋体" w:hAnsi="宋体" w:cs="宋体" w:eastAsia="宋体" w:hint="default"/>
                <w:sz w:val="18"/>
                <w:szCs w:val="18"/>
              </w:rPr>
              <w:t>新股</w:t>
            </w:r>
          </w:p>
        </w:tc>
        <w:tc>
          <w:tcPr>
            <w:tcW w:w="4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53" w:right="0"/>
              <w:jc w:val="left"/>
              <w:rPr>
                <w:rFonts w:ascii="宋体" w:hAnsi="宋体" w:cs="宋体" w:eastAsia="宋体" w:hint="default"/>
                <w:sz w:val="18"/>
                <w:szCs w:val="18"/>
              </w:rPr>
            </w:pPr>
            <w:r>
              <w:rPr>
                <w:rFonts w:ascii="宋体" w:hAnsi="宋体" w:cs="宋体" w:eastAsia="宋体" w:hint="default"/>
                <w:sz w:val="18"/>
                <w:szCs w:val="18"/>
              </w:rPr>
              <w:t>送</w:t>
            </w:r>
          </w:p>
          <w:p>
            <w:pPr>
              <w:pStyle w:val="TableParagraph"/>
              <w:spacing w:line="240" w:lineRule="auto" w:before="115"/>
              <w:ind w:left="15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99" w:right="0" w:hanging="90"/>
              <w:jc w:val="left"/>
              <w:rPr>
                <w:rFonts w:ascii="宋体" w:hAnsi="宋体" w:cs="宋体" w:eastAsia="宋体" w:hint="default"/>
                <w:sz w:val="18"/>
                <w:szCs w:val="18"/>
              </w:rPr>
            </w:pPr>
            <w:r>
              <w:rPr>
                <w:rFonts w:ascii="宋体" w:hAnsi="宋体" w:cs="宋体" w:eastAsia="宋体" w:hint="default"/>
                <w:sz w:val="18"/>
                <w:szCs w:val="18"/>
              </w:rPr>
              <w:t>公积金</w:t>
            </w:r>
          </w:p>
          <w:p>
            <w:pPr>
              <w:pStyle w:val="TableParagraph"/>
              <w:spacing w:line="240" w:lineRule="auto" w:before="115"/>
              <w:ind w:left="199" w:right="0"/>
              <w:jc w:val="left"/>
              <w:rPr>
                <w:rFonts w:ascii="宋体" w:hAnsi="宋体" w:cs="宋体" w:eastAsia="宋体" w:hint="default"/>
                <w:sz w:val="18"/>
                <w:szCs w:val="18"/>
              </w:rPr>
            </w:pPr>
            <w:r>
              <w:rPr>
                <w:rFonts w:ascii="宋体" w:hAnsi="宋体" w:cs="宋体" w:eastAsia="宋体" w:hint="default"/>
                <w:sz w:val="18"/>
                <w:szCs w:val="18"/>
              </w:rPr>
              <w:t>转股</w:t>
            </w:r>
          </w:p>
        </w:tc>
        <w:tc>
          <w:tcPr>
            <w:tcW w:w="49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49" w:right="0"/>
              <w:jc w:val="left"/>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40" w:lineRule="auto" w:before="115"/>
              <w:ind w:left="149" w:right="0"/>
              <w:jc w:val="left"/>
              <w:rPr>
                <w:rFonts w:ascii="宋体" w:hAnsi="宋体" w:cs="宋体" w:eastAsia="宋体" w:hint="default"/>
                <w:sz w:val="18"/>
                <w:szCs w:val="18"/>
              </w:rPr>
            </w:pPr>
            <w:r>
              <w:rPr>
                <w:rFonts w:ascii="宋体" w:hAnsi="宋体" w:cs="宋体" w:eastAsia="宋体" w:hint="default"/>
                <w:sz w:val="18"/>
                <w:szCs w:val="18"/>
              </w:rPr>
              <w:t>他</w:t>
            </w:r>
          </w:p>
        </w:tc>
        <w:tc>
          <w:tcPr>
            <w:tcW w:w="4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小</w:t>
            </w:r>
          </w:p>
          <w:p>
            <w:pPr>
              <w:pStyle w:val="TableParagraph"/>
              <w:spacing w:line="240" w:lineRule="auto" w:before="115"/>
              <w:ind w:left="105"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437"/>
              <w:jc w:val="right"/>
              <w:rPr>
                <w:rFonts w:ascii="宋体" w:hAnsi="宋体" w:cs="宋体" w:eastAsia="宋体" w:hint="default"/>
                <w:sz w:val="18"/>
                <w:szCs w:val="18"/>
              </w:rPr>
            </w:pPr>
            <w:r>
              <w:rPr>
                <w:rFonts w:ascii="宋体" w:hAnsi="宋体" w:cs="宋体" w:eastAsia="宋体" w:hint="default"/>
                <w:sz w:val="18"/>
                <w:szCs w:val="18"/>
              </w:rPr>
              <w:t>数 量</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05"/>
              <w:jc w:val="right"/>
              <w:rPr>
                <w:rFonts w:ascii="宋体" w:hAnsi="宋体" w:cs="宋体" w:eastAsia="宋体" w:hint="default"/>
                <w:sz w:val="18"/>
                <w:szCs w:val="18"/>
              </w:rPr>
            </w:pPr>
            <w:r>
              <w:rPr>
                <w:rFonts w:ascii="宋体" w:hAnsi="宋体" w:cs="宋体" w:eastAsia="宋体" w:hint="default"/>
                <w:sz w:val="18"/>
                <w:szCs w:val="18"/>
              </w:rPr>
              <w:t>比 例</w:t>
            </w:r>
          </w:p>
        </w:tc>
      </w:tr>
      <w:tr>
        <w:trPr>
          <w:trHeight w:val="71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一、</w:t>
            </w:r>
            <w:r>
              <w:rPr>
                <w:rFonts w:ascii="宋体" w:hAnsi="宋体" w:cs="宋体" w:eastAsia="宋体" w:hint="default"/>
                <w:spacing w:val="-30"/>
                <w:sz w:val="18"/>
                <w:szCs w:val="18"/>
              </w:rPr>
              <w:t> </w:t>
            </w:r>
            <w:r>
              <w:rPr>
                <w:rFonts w:ascii="宋体" w:hAnsi="宋体" w:cs="宋体" w:eastAsia="宋体" w:hint="default"/>
                <w:sz w:val="18"/>
                <w:szCs w:val="18"/>
              </w:rPr>
              <w:t>有限售条</w:t>
            </w:r>
          </w:p>
          <w:p>
            <w:pPr>
              <w:pStyle w:val="TableParagraph"/>
              <w:spacing w:line="240" w:lineRule="auto" w:before="115"/>
              <w:ind w:left="103" w:right="0"/>
              <w:jc w:val="left"/>
              <w:rPr>
                <w:rFonts w:ascii="宋体" w:hAnsi="宋体" w:cs="宋体" w:eastAsia="宋体" w:hint="default"/>
                <w:sz w:val="18"/>
                <w:szCs w:val="18"/>
              </w:rPr>
            </w:pPr>
            <w:r>
              <w:rPr>
                <w:rFonts w:ascii="宋体" w:hAnsi="宋体" w:cs="宋体" w:eastAsia="宋体" w:hint="default"/>
                <w:sz w:val="18"/>
                <w:szCs w:val="18"/>
              </w:rPr>
              <w:t>件股份</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340"/>
              <w:jc w:val="right"/>
              <w:rPr>
                <w:rFonts w:ascii="Times New Roman" w:hAnsi="Times New Roman" w:cs="Times New Roman" w:eastAsia="Times New Roman" w:hint="default"/>
                <w:sz w:val="18"/>
                <w:szCs w:val="18"/>
              </w:rPr>
            </w:pPr>
            <w:r>
              <w:rPr>
                <w:rFonts w:ascii="Times New Roman"/>
                <w:sz w:val="18"/>
              </w:rPr>
              <w:t>7,1346,000</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3"/>
              <w:jc w:val="right"/>
              <w:rPr>
                <w:rFonts w:ascii="Times New Roman" w:hAnsi="Times New Roman" w:cs="Times New Roman" w:eastAsia="Times New Roman" w:hint="default"/>
                <w:sz w:val="18"/>
                <w:szCs w:val="18"/>
              </w:rPr>
            </w:pPr>
            <w:r>
              <w:rPr>
                <w:rFonts w:ascii="Times New Roman"/>
                <w:sz w:val="18"/>
              </w:rPr>
              <w:t>78.85%</w:t>
            </w:r>
          </w:p>
        </w:tc>
        <w:tc>
          <w:tcPr>
            <w:tcW w:w="768" w:type="dxa"/>
            <w:tcBorders>
              <w:top w:val="single" w:sz="4" w:space="0" w:color="000000"/>
              <w:left w:val="single" w:sz="4" w:space="0" w:color="000000"/>
              <w:bottom w:val="single" w:sz="4" w:space="0" w:color="000000"/>
              <w:right w:val="single" w:sz="4" w:space="0" w:color="000000"/>
            </w:tcBorders>
          </w:tcPr>
          <w:p>
            <w:pPr/>
          </w:p>
        </w:tc>
        <w:tc>
          <w:tcPr>
            <w:tcW w:w="497"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402"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411"/>
              <w:jc w:val="right"/>
              <w:rPr>
                <w:rFonts w:ascii="Times New Roman" w:hAnsi="Times New Roman" w:cs="Times New Roman" w:eastAsia="Times New Roman" w:hint="default"/>
                <w:sz w:val="18"/>
                <w:szCs w:val="18"/>
              </w:rPr>
            </w:pPr>
            <w:r>
              <w:rPr>
                <w:rFonts w:ascii="Times New Roman"/>
                <w:sz w:val="18"/>
              </w:rPr>
              <w:t>7,1346,000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03"/>
              <w:jc w:val="right"/>
              <w:rPr>
                <w:rFonts w:ascii="Times New Roman" w:hAnsi="Times New Roman" w:cs="Times New Roman" w:eastAsia="Times New Roman" w:hint="default"/>
                <w:sz w:val="18"/>
                <w:szCs w:val="18"/>
              </w:rPr>
            </w:pPr>
            <w:r>
              <w:rPr>
                <w:rFonts w:ascii="Times New Roman"/>
                <w:sz w:val="18"/>
              </w:rPr>
              <w:t>78.85%</w:t>
            </w:r>
          </w:p>
        </w:tc>
      </w:tr>
      <w:tr>
        <w:trPr>
          <w:trHeight w:val="49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266" w:type="dxa"/>
            <w:tcBorders>
              <w:top w:val="single" w:sz="4" w:space="0" w:color="000000"/>
              <w:left w:val="single" w:sz="4" w:space="0" w:color="000000"/>
              <w:bottom w:val="single" w:sz="4" w:space="0" w:color="000000"/>
              <w:right w:val="single" w:sz="4" w:space="0" w:color="000000"/>
            </w:tcBorders>
          </w:tcPr>
          <w:p>
            <w:pPr/>
          </w:p>
        </w:tc>
        <w:tc>
          <w:tcPr>
            <w:tcW w:w="894" w:type="dxa"/>
            <w:tcBorders>
              <w:top w:val="single" w:sz="4" w:space="0" w:color="000000"/>
              <w:left w:val="single" w:sz="4" w:space="0" w:color="000000"/>
              <w:bottom w:val="single" w:sz="4" w:space="0" w:color="000000"/>
              <w:right w:val="single" w:sz="4" w:space="0" w:color="000000"/>
            </w:tcBorders>
          </w:tcPr>
          <w:p>
            <w:pPr/>
          </w:p>
        </w:tc>
        <w:tc>
          <w:tcPr>
            <w:tcW w:w="768" w:type="dxa"/>
            <w:tcBorders>
              <w:top w:val="single" w:sz="4" w:space="0" w:color="000000"/>
              <w:left w:val="single" w:sz="4" w:space="0" w:color="000000"/>
              <w:bottom w:val="single" w:sz="4" w:space="0" w:color="000000"/>
              <w:right w:val="single" w:sz="4" w:space="0" w:color="000000"/>
            </w:tcBorders>
          </w:tcPr>
          <w:p>
            <w:pPr/>
          </w:p>
        </w:tc>
        <w:tc>
          <w:tcPr>
            <w:tcW w:w="497"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402"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r>
      <w:tr>
        <w:trPr>
          <w:trHeight w:val="49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266" w:type="dxa"/>
            <w:tcBorders>
              <w:top w:val="single" w:sz="4" w:space="0" w:color="000000"/>
              <w:left w:val="single" w:sz="4" w:space="0" w:color="000000"/>
              <w:bottom w:val="single" w:sz="4" w:space="0" w:color="000000"/>
              <w:right w:val="single" w:sz="4" w:space="0" w:color="000000"/>
            </w:tcBorders>
          </w:tcPr>
          <w:p>
            <w:pPr/>
          </w:p>
        </w:tc>
        <w:tc>
          <w:tcPr>
            <w:tcW w:w="894" w:type="dxa"/>
            <w:tcBorders>
              <w:top w:val="single" w:sz="4" w:space="0" w:color="000000"/>
              <w:left w:val="single" w:sz="4" w:space="0" w:color="000000"/>
              <w:bottom w:val="single" w:sz="4" w:space="0" w:color="000000"/>
              <w:right w:val="single" w:sz="4" w:space="0" w:color="000000"/>
            </w:tcBorders>
          </w:tcPr>
          <w:p>
            <w:pPr/>
          </w:p>
        </w:tc>
        <w:tc>
          <w:tcPr>
            <w:tcW w:w="768" w:type="dxa"/>
            <w:tcBorders>
              <w:top w:val="single" w:sz="4" w:space="0" w:color="000000"/>
              <w:left w:val="single" w:sz="4" w:space="0" w:color="000000"/>
              <w:bottom w:val="single" w:sz="4" w:space="0" w:color="000000"/>
              <w:right w:val="single" w:sz="4" w:space="0" w:color="000000"/>
            </w:tcBorders>
          </w:tcPr>
          <w:p>
            <w:pPr/>
          </w:p>
        </w:tc>
        <w:tc>
          <w:tcPr>
            <w:tcW w:w="497"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402"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r>
      <w:tr>
        <w:trPr>
          <w:trHeight w:val="49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266" w:type="dxa"/>
            <w:tcBorders>
              <w:top w:val="single" w:sz="4" w:space="0" w:color="000000"/>
              <w:left w:val="single" w:sz="4" w:space="0" w:color="000000"/>
              <w:bottom w:val="single" w:sz="4" w:space="0" w:color="000000"/>
              <w:right w:val="single" w:sz="4" w:space="0" w:color="000000"/>
            </w:tcBorders>
          </w:tcPr>
          <w:p>
            <w:pPr/>
          </w:p>
        </w:tc>
        <w:tc>
          <w:tcPr>
            <w:tcW w:w="894" w:type="dxa"/>
            <w:tcBorders>
              <w:top w:val="single" w:sz="4" w:space="0" w:color="000000"/>
              <w:left w:val="single" w:sz="4" w:space="0" w:color="000000"/>
              <w:bottom w:val="single" w:sz="4" w:space="0" w:color="000000"/>
              <w:right w:val="single" w:sz="4" w:space="0" w:color="000000"/>
            </w:tcBorders>
          </w:tcPr>
          <w:p>
            <w:pPr/>
          </w:p>
        </w:tc>
        <w:tc>
          <w:tcPr>
            <w:tcW w:w="768" w:type="dxa"/>
            <w:tcBorders>
              <w:top w:val="single" w:sz="4" w:space="0" w:color="000000"/>
              <w:left w:val="single" w:sz="4" w:space="0" w:color="000000"/>
              <w:bottom w:val="single" w:sz="4" w:space="0" w:color="000000"/>
              <w:right w:val="single" w:sz="4" w:space="0" w:color="000000"/>
            </w:tcBorders>
          </w:tcPr>
          <w:p>
            <w:pPr/>
          </w:p>
        </w:tc>
        <w:tc>
          <w:tcPr>
            <w:tcW w:w="497"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402"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r>
      <w:tr>
        <w:trPr>
          <w:trHeight w:val="71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其中：境内非国有法</w:t>
            </w:r>
          </w:p>
          <w:p>
            <w:pPr>
              <w:pStyle w:val="TableParagraph"/>
              <w:spacing w:line="240" w:lineRule="auto" w:before="115"/>
              <w:ind w:left="103" w:right="0"/>
              <w:jc w:val="left"/>
              <w:rPr>
                <w:rFonts w:ascii="宋体" w:hAnsi="宋体" w:cs="宋体" w:eastAsia="宋体" w:hint="default"/>
                <w:sz w:val="18"/>
                <w:szCs w:val="18"/>
              </w:rPr>
            </w:pPr>
            <w:r>
              <w:rPr>
                <w:rFonts w:ascii="宋体" w:hAnsi="宋体" w:cs="宋体" w:eastAsia="宋体" w:hint="default"/>
                <w:sz w:val="18"/>
                <w:szCs w:val="18"/>
              </w:rPr>
              <w:t>人持股</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340"/>
              <w:jc w:val="right"/>
              <w:rPr>
                <w:rFonts w:ascii="Times New Roman" w:hAnsi="Times New Roman" w:cs="Times New Roman" w:eastAsia="Times New Roman" w:hint="default"/>
                <w:sz w:val="18"/>
                <w:szCs w:val="18"/>
              </w:rPr>
            </w:pPr>
            <w:r>
              <w:rPr>
                <w:rFonts w:ascii="Times New Roman"/>
                <w:sz w:val="18"/>
              </w:rPr>
              <w:t>7,1346,000</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3"/>
              <w:jc w:val="right"/>
              <w:rPr>
                <w:rFonts w:ascii="Times New Roman" w:hAnsi="Times New Roman" w:cs="Times New Roman" w:eastAsia="Times New Roman" w:hint="default"/>
                <w:sz w:val="18"/>
                <w:szCs w:val="18"/>
              </w:rPr>
            </w:pPr>
            <w:r>
              <w:rPr>
                <w:rFonts w:ascii="Times New Roman"/>
                <w:sz w:val="18"/>
              </w:rPr>
              <w:t>78.85%</w:t>
            </w:r>
          </w:p>
        </w:tc>
        <w:tc>
          <w:tcPr>
            <w:tcW w:w="768" w:type="dxa"/>
            <w:tcBorders>
              <w:top w:val="single" w:sz="4" w:space="0" w:color="000000"/>
              <w:left w:val="single" w:sz="4" w:space="0" w:color="000000"/>
              <w:bottom w:val="single" w:sz="4" w:space="0" w:color="000000"/>
              <w:right w:val="single" w:sz="4" w:space="0" w:color="000000"/>
            </w:tcBorders>
          </w:tcPr>
          <w:p>
            <w:pPr/>
          </w:p>
        </w:tc>
        <w:tc>
          <w:tcPr>
            <w:tcW w:w="497"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402"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411"/>
              <w:jc w:val="right"/>
              <w:rPr>
                <w:rFonts w:ascii="Times New Roman" w:hAnsi="Times New Roman" w:cs="Times New Roman" w:eastAsia="Times New Roman" w:hint="default"/>
                <w:sz w:val="18"/>
                <w:szCs w:val="18"/>
              </w:rPr>
            </w:pPr>
            <w:r>
              <w:rPr>
                <w:rFonts w:ascii="Times New Roman"/>
                <w:sz w:val="18"/>
              </w:rPr>
              <w:t>7,1346,000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03"/>
              <w:jc w:val="right"/>
              <w:rPr>
                <w:rFonts w:ascii="Times New Roman" w:hAnsi="Times New Roman" w:cs="Times New Roman" w:eastAsia="Times New Roman" w:hint="default"/>
                <w:sz w:val="18"/>
                <w:szCs w:val="18"/>
              </w:rPr>
            </w:pPr>
            <w:r>
              <w:rPr>
                <w:rFonts w:ascii="Times New Roman"/>
                <w:sz w:val="18"/>
              </w:rPr>
              <w:t>78.85%</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614" w:top="1400" w:bottom="800" w:left="880" w:right="880"/>
        </w:sectPr>
      </w:pPr>
    </w:p>
    <w:p>
      <w:pPr>
        <w:spacing w:line="240" w:lineRule="auto" w:before="8"/>
        <w:rPr>
          <w:rFonts w:ascii="宋体" w:hAnsi="宋体" w:cs="宋体" w:eastAsia="宋体" w:hint="default"/>
          <w:sz w:val="5"/>
          <w:szCs w:val="5"/>
        </w:rPr>
      </w:pPr>
    </w:p>
    <w:tbl>
      <w:tblPr>
        <w:tblW w:w="0" w:type="auto"/>
        <w:jc w:val="left"/>
        <w:tblInd w:w="105" w:type="dxa"/>
        <w:tblLayout w:type="fixed"/>
        <w:tblCellMar>
          <w:top w:w="0" w:type="dxa"/>
          <w:left w:w="0" w:type="dxa"/>
          <w:bottom w:w="0" w:type="dxa"/>
          <w:right w:w="0" w:type="dxa"/>
        </w:tblCellMar>
        <w:tblLook w:val="01E0"/>
      </w:tblPr>
      <w:tblGrid>
        <w:gridCol w:w="1908"/>
        <w:gridCol w:w="1266"/>
        <w:gridCol w:w="894"/>
        <w:gridCol w:w="768"/>
        <w:gridCol w:w="497"/>
        <w:gridCol w:w="769"/>
        <w:gridCol w:w="491"/>
        <w:gridCol w:w="402"/>
        <w:gridCol w:w="1337"/>
        <w:gridCol w:w="874"/>
      </w:tblGrid>
      <w:tr>
        <w:trPr>
          <w:trHeight w:val="49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266" w:type="dxa"/>
            <w:tcBorders>
              <w:top w:val="single" w:sz="4" w:space="0" w:color="000000"/>
              <w:left w:val="single" w:sz="4" w:space="0" w:color="000000"/>
              <w:bottom w:val="single" w:sz="4" w:space="0" w:color="000000"/>
              <w:right w:val="single" w:sz="4" w:space="0" w:color="000000"/>
            </w:tcBorders>
          </w:tcPr>
          <w:p>
            <w:pPr/>
          </w:p>
        </w:tc>
        <w:tc>
          <w:tcPr>
            <w:tcW w:w="894" w:type="dxa"/>
            <w:tcBorders>
              <w:top w:val="single" w:sz="4" w:space="0" w:color="000000"/>
              <w:left w:val="single" w:sz="4" w:space="0" w:color="000000"/>
              <w:bottom w:val="single" w:sz="4" w:space="0" w:color="000000"/>
              <w:right w:val="single" w:sz="4" w:space="0" w:color="000000"/>
            </w:tcBorders>
          </w:tcPr>
          <w:p>
            <w:pPr/>
          </w:p>
        </w:tc>
        <w:tc>
          <w:tcPr>
            <w:tcW w:w="768" w:type="dxa"/>
            <w:tcBorders>
              <w:top w:val="single" w:sz="4" w:space="0" w:color="000000"/>
              <w:left w:val="single" w:sz="4" w:space="0" w:color="000000"/>
              <w:bottom w:val="single" w:sz="4" w:space="0" w:color="000000"/>
              <w:right w:val="single" w:sz="4" w:space="0" w:color="000000"/>
            </w:tcBorders>
          </w:tcPr>
          <w:p>
            <w:pPr/>
          </w:p>
        </w:tc>
        <w:tc>
          <w:tcPr>
            <w:tcW w:w="497"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402"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r>
      <w:tr>
        <w:trPr>
          <w:trHeight w:val="49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266" w:type="dxa"/>
            <w:tcBorders>
              <w:top w:val="single" w:sz="4" w:space="0" w:color="000000"/>
              <w:left w:val="single" w:sz="4" w:space="0" w:color="000000"/>
              <w:bottom w:val="single" w:sz="4" w:space="0" w:color="000000"/>
              <w:right w:val="single" w:sz="4" w:space="0" w:color="000000"/>
            </w:tcBorders>
          </w:tcPr>
          <w:p>
            <w:pPr/>
          </w:p>
        </w:tc>
        <w:tc>
          <w:tcPr>
            <w:tcW w:w="894" w:type="dxa"/>
            <w:tcBorders>
              <w:top w:val="single" w:sz="4" w:space="0" w:color="000000"/>
              <w:left w:val="single" w:sz="4" w:space="0" w:color="000000"/>
              <w:bottom w:val="single" w:sz="4" w:space="0" w:color="000000"/>
              <w:right w:val="single" w:sz="4" w:space="0" w:color="000000"/>
            </w:tcBorders>
          </w:tcPr>
          <w:p>
            <w:pPr/>
          </w:p>
        </w:tc>
        <w:tc>
          <w:tcPr>
            <w:tcW w:w="768" w:type="dxa"/>
            <w:tcBorders>
              <w:top w:val="single" w:sz="4" w:space="0" w:color="000000"/>
              <w:left w:val="single" w:sz="4" w:space="0" w:color="000000"/>
              <w:bottom w:val="single" w:sz="4" w:space="0" w:color="000000"/>
              <w:right w:val="single" w:sz="4" w:space="0" w:color="000000"/>
            </w:tcBorders>
          </w:tcPr>
          <w:p>
            <w:pPr/>
          </w:p>
        </w:tc>
        <w:tc>
          <w:tcPr>
            <w:tcW w:w="497"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402"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r>
      <w:tr>
        <w:trPr>
          <w:trHeight w:val="49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266" w:type="dxa"/>
            <w:tcBorders>
              <w:top w:val="single" w:sz="4" w:space="0" w:color="000000"/>
              <w:left w:val="single" w:sz="4" w:space="0" w:color="000000"/>
              <w:bottom w:val="single" w:sz="4" w:space="0" w:color="000000"/>
              <w:right w:val="single" w:sz="4" w:space="0" w:color="000000"/>
            </w:tcBorders>
          </w:tcPr>
          <w:p>
            <w:pPr/>
          </w:p>
        </w:tc>
        <w:tc>
          <w:tcPr>
            <w:tcW w:w="894" w:type="dxa"/>
            <w:tcBorders>
              <w:top w:val="single" w:sz="4" w:space="0" w:color="000000"/>
              <w:left w:val="single" w:sz="4" w:space="0" w:color="000000"/>
              <w:bottom w:val="single" w:sz="4" w:space="0" w:color="000000"/>
              <w:right w:val="single" w:sz="4" w:space="0" w:color="000000"/>
            </w:tcBorders>
          </w:tcPr>
          <w:p>
            <w:pPr/>
          </w:p>
        </w:tc>
        <w:tc>
          <w:tcPr>
            <w:tcW w:w="768" w:type="dxa"/>
            <w:tcBorders>
              <w:top w:val="single" w:sz="4" w:space="0" w:color="000000"/>
              <w:left w:val="single" w:sz="4" w:space="0" w:color="000000"/>
              <w:bottom w:val="single" w:sz="4" w:space="0" w:color="000000"/>
              <w:right w:val="single" w:sz="4" w:space="0" w:color="000000"/>
            </w:tcBorders>
          </w:tcPr>
          <w:p>
            <w:pPr/>
          </w:p>
        </w:tc>
        <w:tc>
          <w:tcPr>
            <w:tcW w:w="497"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402"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r>
      <w:tr>
        <w:trPr>
          <w:trHeight w:val="49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1266" w:type="dxa"/>
            <w:tcBorders>
              <w:top w:val="single" w:sz="4" w:space="0" w:color="000000"/>
              <w:left w:val="single" w:sz="4" w:space="0" w:color="000000"/>
              <w:bottom w:val="single" w:sz="4" w:space="0" w:color="000000"/>
              <w:right w:val="single" w:sz="4" w:space="0" w:color="000000"/>
            </w:tcBorders>
          </w:tcPr>
          <w:p>
            <w:pPr/>
          </w:p>
        </w:tc>
        <w:tc>
          <w:tcPr>
            <w:tcW w:w="894" w:type="dxa"/>
            <w:tcBorders>
              <w:top w:val="single" w:sz="4" w:space="0" w:color="000000"/>
              <w:left w:val="single" w:sz="4" w:space="0" w:color="000000"/>
              <w:bottom w:val="single" w:sz="4" w:space="0" w:color="000000"/>
              <w:right w:val="single" w:sz="4" w:space="0" w:color="000000"/>
            </w:tcBorders>
          </w:tcPr>
          <w:p>
            <w:pPr/>
          </w:p>
        </w:tc>
        <w:tc>
          <w:tcPr>
            <w:tcW w:w="768" w:type="dxa"/>
            <w:tcBorders>
              <w:top w:val="single" w:sz="4" w:space="0" w:color="000000"/>
              <w:left w:val="single" w:sz="4" w:space="0" w:color="000000"/>
              <w:bottom w:val="single" w:sz="4" w:space="0" w:color="000000"/>
              <w:right w:val="single" w:sz="4" w:space="0" w:color="000000"/>
            </w:tcBorders>
          </w:tcPr>
          <w:p>
            <w:pPr/>
          </w:p>
        </w:tc>
        <w:tc>
          <w:tcPr>
            <w:tcW w:w="497"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402"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r>
      <w:tr>
        <w:trPr>
          <w:trHeight w:val="49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3" w:right="0"/>
              <w:jc w:val="left"/>
              <w:rPr>
                <w:rFonts w:ascii="Times New Roman" w:hAnsi="Times New Roman" w:cs="Times New Roman" w:eastAsia="Times New Roman" w:hint="default"/>
                <w:sz w:val="18"/>
                <w:szCs w:val="18"/>
              </w:rPr>
            </w:pPr>
            <w:r>
              <w:rPr>
                <w:rFonts w:ascii="Times New Roman"/>
                <w:sz w:val="18"/>
              </w:rPr>
              <w:t>19,140,000</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3" w:right="0"/>
              <w:jc w:val="left"/>
              <w:rPr>
                <w:rFonts w:ascii="Times New Roman" w:hAnsi="Times New Roman" w:cs="Times New Roman" w:eastAsia="Times New Roman" w:hint="default"/>
                <w:sz w:val="18"/>
                <w:szCs w:val="18"/>
              </w:rPr>
            </w:pPr>
            <w:r>
              <w:rPr>
                <w:rFonts w:ascii="Times New Roman"/>
                <w:sz w:val="18"/>
              </w:rPr>
              <w:t>21.15%</w:t>
            </w:r>
          </w:p>
        </w:tc>
        <w:tc>
          <w:tcPr>
            <w:tcW w:w="768" w:type="dxa"/>
            <w:tcBorders>
              <w:top w:val="single" w:sz="4" w:space="0" w:color="000000"/>
              <w:left w:val="single" w:sz="4" w:space="0" w:color="000000"/>
              <w:bottom w:val="single" w:sz="4" w:space="0" w:color="000000"/>
              <w:right w:val="single" w:sz="4" w:space="0" w:color="000000"/>
            </w:tcBorders>
          </w:tcPr>
          <w:p>
            <w:pPr/>
          </w:p>
        </w:tc>
        <w:tc>
          <w:tcPr>
            <w:tcW w:w="497"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402"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3" w:right="0"/>
              <w:jc w:val="left"/>
              <w:rPr>
                <w:rFonts w:ascii="Times New Roman" w:hAnsi="Times New Roman" w:cs="Times New Roman" w:eastAsia="Times New Roman" w:hint="default"/>
                <w:sz w:val="18"/>
                <w:szCs w:val="18"/>
              </w:rPr>
            </w:pPr>
            <w:r>
              <w:rPr>
                <w:rFonts w:ascii="Times New Roman"/>
                <w:sz w:val="18"/>
              </w:rPr>
              <w:t>19,140,000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3" w:right="0"/>
              <w:jc w:val="left"/>
              <w:rPr>
                <w:rFonts w:ascii="Times New Roman" w:hAnsi="Times New Roman" w:cs="Times New Roman" w:eastAsia="Times New Roman" w:hint="default"/>
                <w:sz w:val="18"/>
                <w:szCs w:val="18"/>
              </w:rPr>
            </w:pPr>
            <w:r>
              <w:rPr>
                <w:rFonts w:ascii="Times New Roman"/>
                <w:sz w:val="18"/>
              </w:rPr>
              <w:t>21.15%</w:t>
            </w:r>
          </w:p>
        </w:tc>
      </w:tr>
      <w:tr>
        <w:trPr>
          <w:trHeight w:val="49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3" w:right="0"/>
              <w:jc w:val="left"/>
              <w:rPr>
                <w:rFonts w:ascii="Times New Roman" w:hAnsi="Times New Roman" w:cs="Times New Roman" w:eastAsia="Times New Roman" w:hint="default"/>
                <w:sz w:val="18"/>
                <w:szCs w:val="18"/>
              </w:rPr>
            </w:pPr>
            <w:r>
              <w:rPr>
                <w:rFonts w:ascii="Times New Roman"/>
                <w:sz w:val="18"/>
              </w:rPr>
              <w:t>19,140,000</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3" w:right="0"/>
              <w:jc w:val="left"/>
              <w:rPr>
                <w:rFonts w:ascii="Times New Roman" w:hAnsi="Times New Roman" w:cs="Times New Roman" w:eastAsia="Times New Roman" w:hint="default"/>
                <w:sz w:val="18"/>
                <w:szCs w:val="18"/>
              </w:rPr>
            </w:pPr>
            <w:r>
              <w:rPr>
                <w:rFonts w:ascii="Times New Roman"/>
                <w:sz w:val="18"/>
              </w:rPr>
              <w:t>21.15%</w:t>
            </w:r>
          </w:p>
        </w:tc>
        <w:tc>
          <w:tcPr>
            <w:tcW w:w="768" w:type="dxa"/>
            <w:tcBorders>
              <w:top w:val="single" w:sz="4" w:space="0" w:color="000000"/>
              <w:left w:val="single" w:sz="4" w:space="0" w:color="000000"/>
              <w:bottom w:val="single" w:sz="4" w:space="0" w:color="000000"/>
              <w:right w:val="single" w:sz="4" w:space="0" w:color="000000"/>
            </w:tcBorders>
          </w:tcPr>
          <w:p>
            <w:pPr/>
          </w:p>
        </w:tc>
        <w:tc>
          <w:tcPr>
            <w:tcW w:w="497"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402"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3" w:right="0"/>
              <w:jc w:val="left"/>
              <w:rPr>
                <w:rFonts w:ascii="Times New Roman" w:hAnsi="Times New Roman" w:cs="Times New Roman" w:eastAsia="Times New Roman" w:hint="default"/>
                <w:sz w:val="18"/>
                <w:szCs w:val="18"/>
              </w:rPr>
            </w:pPr>
            <w:r>
              <w:rPr>
                <w:rFonts w:ascii="Times New Roman"/>
                <w:sz w:val="18"/>
              </w:rPr>
              <w:t>19,140,000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3" w:right="0"/>
              <w:jc w:val="left"/>
              <w:rPr>
                <w:rFonts w:ascii="Times New Roman" w:hAnsi="Times New Roman" w:cs="Times New Roman" w:eastAsia="Times New Roman" w:hint="default"/>
                <w:sz w:val="18"/>
                <w:szCs w:val="18"/>
              </w:rPr>
            </w:pPr>
            <w:r>
              <w:rPr>
                <w:rFonts w:ascii="Times New Roman"/>
                <w:sz w:val="18"/>
              </w:rPr>
              <w:t>21.15%</w:t>
            </w:r>
          </w:p>
        </w:tc>
      </w:tr>
      <w:tr>
        <w:trPr>
          <w:trHeight w:val="49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266" w:type="dxa"/>
            <w:tcBorders>
              <w:top w:val="single" w:sz="4" w:space="0" w:color="000000"/>
              <w:left w:val="single" w:sz="4" w:space="0" w:color="000000"/>
              <w:bottom w:val="single" w:sz="4" w:space="0" w:color="000000"/>
              <w:right w:val="single" w:sz="4" w:space="0" w:color="000000"/>
            </w:tcBorders>
          </w:tcPr>
          <w:p>
            <w:pPr/>
          </w:p>
        </w:tc>
        <w:tc>
          <w:tcPr>
            <w:tcW w:w="894" w:type="dxa"/>
            <w:tcBorders>
              <w:top w:val="single" w:sz="4" w:space="0" w:color="000000"/>
              <w:left w:val="single" w:sz="4" w:space="0" w:color="000000"/>
              <w:bottom w:val="single" w:sz="4" w:space="0" w:color="000000"/>
              <w:right w:val="single" w:sz="4" w:space="0" w:color="000000"/>
            </w:tcBorders>
          </w:tcPr>
          <w:p>
            <w:pPr/>
          </w:p>
        </w:tc>
        <w:tc>
          <w:tcPr>
            <w:tcW w:w="768" w:type="dxa"/>
            <w:tcBorders>
              <w:top w:val="single" w:sz="4" w:space="0" w:color="000000"/>
              <w:left w:val="single" w:sz="4" w:space="0" w:color="000000"/>
              <w:bottom w:val="single" w:sz="4" w:space="0" w:color="000000"/>
              <w:right w:val="single" w:sz="4" w:space="0" w:color="000000"/>
            </w:tcBorders>
          </w:tcPr>
          <w:p>
            <w:pPr/>
          </w:p>
        </w:tc>
        <w:tc>
          <w:tcPr>
            <w:tcW w:w="497"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402"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r>
      <w:tr>
        <w:trPr>
          <w:trHeight w:val="49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266" w:type="dxa"/>
            <w:tcBorders>
              <w:top w:val="single" w:sz="4" w:space="0" w:color="000000"/>
              <w:left w:val="single" w:sz="4" w:space="0" w:color="000000"/>
              <w:bottom w:val="single" w:sz="4" w:space="0" w:color="000000"/>
              <w:right w:val="single" w:sz="4" w:space="0" w:color="000000"/>
            </w:tcBorders>
          </w:tcPr>
          <w:p>
            <w:pPr/>
          </w:p>
        </w:tc>
        <w:tc>
          <w:tcPr>
            <w:tcW w:w="894" w:type="dxa"/>
            <w:tcBorders>
              <w:top w:val="single" w:sz="4" w:space="0" w:color="000000"/>
              <w:left w:val="single" w:sz="4" w:space="0" w:color="000000"/>
              <w:bottom w:val="single" w:sz="4" w:space="0" w:color="000000"/>
              <w:right w:val="single" w:sz="4" w:space="0" w:color="000000"/>
            </w:tcBorders>
          </w:tcPr>
          <w:p>
            <w:pPr/>
          </w:p>
        </w:tc>
        <w:tc>
          <w:tcPr>
            <w:tcW w:w="768" w:type="dxa"/>
            <w:tcBorders>
              <w:top w:val="single" w:sz="4" w:space="0" w:color="000000"/>
              <w:left w:val="single" w:sz="4" w:space="0" w:color="000000"/>
              <w:bottom w:val="single" w:sz="4" w:space="0" w:color="000000"/>
              <w:right w:val="single" w:sz="4" w:space="0" w:color="000000"/>
            </w:tcBorders>
          </w:tcPr>
          <w:p>
            <w:pPr/>
          </w:p>
        </w:tc>
        <w:tc>
          <w:tcPr>
            <w:tcW w:w="497"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402"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r>
      <w:tr>
        <w:trPr>
          <w:trHeight w:val="49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266" w:type="dxa"/>
            <w:tcBorders>
              <w:top w:val="single" w:sz="4" w:space="0" w:color="000000"/>
              <w:left w:val="single" w:sz="4" w:space="0" w:color="000000"/>
              <w:bottom w:val="single" w:sz="4" w:space="0" w:color="000000"/>
              <w:right w:val="single" w:sz="4" w:space="0" w:color="000000"/>
            </w:tcBorders>
          </w:tcPr>
          <w:p>
            <w:pPr/>
          </w:p>
        </w:tc>
        <w:tc>
          <w:tcPr>
            <w:tcW w:w="894" w:type="dxa"/>
            <w:tcBorders>
              <w:top w:val="single" w:sz="4" w:space="0" w:color="000000"/>
              <w:left w:val="single" w:sz="4" w:space="0" w:color="000000"/>
              <w:bottom w:val="single" w:sz="4" w:space="0" w:color="000000"/>
              <w:right w:val="single" w:sz="4" w:space="0" w:color="000000"/>
            </w:tcBorders>
          </w:tcPr>
          <w:p>
            <w:pPr/>
          </w:p>
        </w:tc>
        <w:tc>
          <w:tcPr>
            <w:tcW w:w="768" w:type="dxa"/>
            <w:tcBorders>
              <w:top w:val="single" w:sz="4" w:space="0" w:color="000000"/>
              <w:left w:val="single" w:sz="4" w:space="0" w:color="000000"/>
              <w:bottom w:val="single" w:sz="4" w:space="0" w:color="000000"/>
              <w:right w:val="single" w:sz="4" w:space="0" w:color="000000"/>
            </w:tcBorders>
          </w:tcPr>
          <w:p>
            <w:pPr/>
          </w:p>
        </w:tc>
        <w:tc>
          <w:tcPr>
            <w:tcW w:w="497"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402"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r>
      <w:tr>
        <w:trPr>
          <w:trHeight w:val="49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3" w:right="0"/>
              <w:jc w:val="left"/>
              <w:rPr>
                <w:rFonts w:ascii="Times New Roman" w:hAnsi="Times New Roman" w:cs="Times New Roman" w:eastAsia="Times New Roman" w:hint="default"/>
                <w:sz w:val="18"/>
                <w:szCs w:val="18"/>
              </w:rPr>
            </w:pPr>
            <w:r>
              <w:rPr>
                <w:rFonts w:ascii="Times New Roman"/>
                <w:sz w:val="18"/>
              </w:rPr>
              <w:t>90,486,000</w:t>
            </w:r>
          </w:p>
        </w:tc>
        <w:tc>
          <w:tcPr>
            <w:tcW w:w="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2" w:right="0"/>
              <w:jc w:val="left"/>
              <w:rPr>
                <w:rFonts w:ascii="Times New Roman" w:hAnsi="Times New Roman" w:cs="Times New Roman" w:eastAsia="Times New Roman" w:hint="default"/>
                <w:sz w:val="18"/>
                <w:szCs w:val="18"/>
              </w:rPr>
            </w:pPr>
            <w:r>
              <w:rPr>
                <w:rFonts w:ascii="Times New Roman"/>
                <w:sz w:val="18"/>
              </w:rPr>
              <w:t>100%</w:t>
            </w:r>
          </w:p>
        </w:tc>
        <w:tc>
          <w:tcPr>
            <w:tcW w:w="768" w:type="dxa"/>
            <w:tcBorders>
              <w:top w:val="single" w:sz="4" w:space="0" w:color="000000"/>
              <w:left w:val="single" w:sz="4" w:space="0" w:color="000000"/>
              <w:bottom w:val="single" w:sz="4" w:space="0" w:color="000000"/>
              <w:right w:val="single" w:sz="4" w:space="0" w:color="000000"/>
            </w:tcBorders>
          </w:tcPr>
          <w:p>
            <w:pPr/>
          </w:p>
        </w:tc>
        <w:tc>
          <w:tcPr>
            <w:tcW w:w="497"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402"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3" w:right="0"/>
              <w:jc w:val="left"/>
              <w:rPr>
                <w:rFonts w:ascii="Times New Roman" w:hAnsi="Times New Roman" w:cs="Times New Roman" w:eastAsia="Times New Roman" w:hint="default"/>
                <w:sz w:val="18"/>
                <w:szCs w:val="18"/>
              </w:rPr>
            </w:pPr>
            <w:r>
              <w:rPr>
                <w:rFonts w:ascii="Times New Roman"/>
                <w:sz w:val="18"/>
              </w:rPr>
              <w:t>90,486,000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2" w:right="0"/>
              <w:jc w:val="left"/>
              <w:rPr>
                <w:rFonts w:ascii="Times New Roman" w:hAnsi="Times New Roman" w:cs="Times New Roman" w:eastAsia="Times New Roman" w:hint="default"/>
                <w:sz w:val="18"/>
                <w:szCs w:val="18"/>
              </w:rPr>
            </w:pPr>
            <w:r>
              <w:rPr>
                <w:rFonts w:ascii="Times New Roman"/>
                <w:sz w:val="18"/>
              </w:rPr>
              <w:t>100%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pStyle w:val="BodyText"/>
        <w:spacing w:line="240" w:lineRule="auto" w:before="26"/>
        <w:ind w:left="218" w:right="106"/>
        <w:jc w:val="left"/>
      </w:pPr>
      <w:r>
        <w:rPr/>
        <w:t>（二）股票发行与上市情况</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spacing w:line="338" w:lineRule="auto" w:before="0"/>
        <w:ind w:left="698" w:right="106" w:hanging="480"/>
        <w:jc w:val="left"/>
        <w:rPr>
          <w:rFonts w:ascii="Times New Roman" w:hAnsi="Times New Roman" w:cs="Times New Roman" w:eastAsia="Times New Roman" w:hint="default"/>
        </w:rPr>
      </w:pPr>
      <w:r>
        <w:rPr>
          <w:rFonts w:ascii="Times New Roman" w:hAnsi="Times New Roman" w:cs="Times New Roman" w:eastAsia="Times New Roman" w:hint="default"/>
        </w:rPr>
        <w:t>1</w:t>
      </w:r>
      <w:r>
        <w:rPr/>
        <w:t>、公司设立时及首次公开发行股票的情况 </w:t>
      </w:r>
      <w:r>
        <w:rPr>
          <w:spacing w:val="-2"/>
        </w:rPr>
        <w:t>公司前身为大通实业（深圳）有限公司，系经深圳市人民政府深府外复（</w:t>
      </w:r>
      <w:r>
        <w:rPr>
          <w:rFonts w:ascii="Times New Roman" w:hAnsi="Times New Roman" w:cs="Times New Roman" w:eastAsia="Times New Roman" w:hint="default"/>
          <w:spacing w:val="-2"/>
        </w:rPr>
        <w:t>1987</w:t>
      </w:r>
      <w:r>
        <w:rPr>
          <w:spacing w:val="-2"/>
        </w:rPr>
        <w:t>）</w:t>
      </w:r>
      <w:r>
        <w:rPr>
          <w:rFonts w:ascii="Times New Roman" w:hAnsi="Times New Roman" w:cs="Times New Roman" w:eastAsia="Times New Roman" w:hint="default"/>
          <w:spacing w:val="-2"/>
        </w:rPr>
        <w:t>97</w:t>
      </w:r>
    </w:p>
    <w:p>
      <w:pPr>
        <w:pStyle w:val="BodyText"/>
        <w:spacing w:line="338" w:lineRule="auto" w:before="27"/>
        <w:ind w:left="218" w:right="106"/>
        <w:jc w:val="left"/>
      </w:pPr>
      <w:r>
        <w:rPr/>
        <w:t>号文批准，于</w:t>
      </w:r>
      <w:r>
        <w:rPr>
          <w:rFonts w:ascii="Times New Roman" w:hAnsi="Times New Roman" w:cs="Times New Roman" w:eastAsia="Times New Roman" w:hint="default"/>
        </w:rPr>
        <w:t>1987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24</w:t>
      </w:r>
      <w:r>
        <w:rPr/>
        <w:t>日正式设立，由香港益通电子有限公司投资兴办的外商独资 企业。公司以生产电子元器件为主营业务，注册资本为</w:t>
      </w:r>
      <w:r>
        <w:rPr>
          <w:rFonts w:ascii="Times New Roman" w:hAnsi="Times New Roman" w:cs="Times New Roman" w:eastAsia="Times New Roman" w:hint="default"/>
        </w:rPr>
        <w:t>250</w:t>
      </w:r>
      <w:r>
        <w:rPr/>
        <w:t>万美元。</w:t>
      </w:r>
      <w:r>
        <w:rPr>
          <w:rFonts w:ascii="Times New Roman" w:hAnsi="Times New Roman" w:cs="Times New Roman" w:eastAsia="Times New Roman" w:hint="default"/>
        </w:rPr>
        <w:t>1990</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26</w:t>
      </w:r>
      <w:r>
        <w:rPr/>
        <w:t>日，经 深圳市人民政府外复（</w:t>
      </w:r>
      <w:r>
        <w:rPr>
          <w:rFonts w:ascii="Times New Roman" w:hAnsi="Times New Roman" w:cs="Times New Roman" w:eastAsia="Times New Roman" w:hint="default"/>
        </w:rPr>
        <w:t>1990</w:t>
      </w:r>
      <w:r>
        <w:rPr/>
        <w:t>）</w:t>
      </w:r>
      <w:r>
        <w:rPr>
          <w:rFonts w:ascii="Times New Roman" w:hAnsi="Times New Roman" w:cs="Times New Roman" w:eastAsia="Times New Roman" w:hint="default"/>
        </w:rPr>
        <w:t>686</w:t>
      </w:r>
      <w:r>
        <w:rPr/>
        <w:t>号文批准，原大通实业（深圳）有限公司进行内部股 份制改组，改组后总股本和注册资本上升为人民币</w:t>
      </w:r>
      <w:r>
        <w:rPr>
          <w:rFonts w:ascii="Times New Roman" w:hAnsi="Times New Roman" w:cs="Times New Roman" w:eastAsia="Times New Roman" w:hint="default"/>
        </w:rPr>
        <w:t>6000</w:t>
      </w:r>
      <w:r>
        <w:rPr/>
        <w:t>万元，公司更名为</w:t>
      </w:r>
      <w:r>
        <w:rPr>
          <w:rFonts w:ascii="Times New Roman" w:hAnsi="Times New Roman" w:cs="Times New Roman" w:eastAsia="Times New Roman" w:hint="default"/>
        </w:rPr>
        <w:t>“</w:t>
      </w:r>
      <w:r>
        <w:rPr/>
        <w:t>深圳大通实 </w:t>
      </w:r>
      <w:r>
        <w:rPr>
          <w:spacing w:val="-4"/>
        </w:rPr>
        <w:t>业股份有限公司</w:t>
      </w:r>
      <w:r>
        <w:rPr>
          <w:rFonts w:ascii="Times New Roman" w:hAnsi="Times New Roman" w:cs="Times New Roman" w:eastAsia="Times New Roman" w:hint="default"/>
          <w:spacing w:val="-4"/>
        </w:rPr>
        <w:t>”</w:t>
      </w:r>
      <w:r>
        <w:rPr>
          <w:spacing w:val="-4"/>
        </w:rPr>
        <w:t>。</w:t>
      </w:r>
      <w:r>
        <w:rPr>
          <w:rFonts w:ascii="Times New Roman" w:hAnsi="Times New Roman" w:cs="Times New Roman" w:eastAsia="Times New Roman" w:hint="default"/>
          <w:spacing w:val="-4"/>
        </w:rPr>
        <w:t>1993</w:t>
      </w:r>
      <w:r>
        <w:rPr>
          <w:spacing w:val="-4"/>
        </w:rPr>
        <w:t>年</w:t>
      </w:r>
      <w:r>
        <w:rPr>
          <w:rFonts w:ascii="Times New Roman" w:hAnsi="Times New Roman" w:cs="Times New Roman" w:eastAsia="Times New Roman" w:hint="default"/>
          <w:spacing w:val="-4"/>
        </w:rPr>
        <w:t>11</w:t>
      </w:r>
      <w:r>
        <w:rPr>
          <w:spacing w:val="-4"/>
        </w:rPr>
        <w:t>月</w:t>
      </w:r>
      <w:r>
        <w:rPr>
          <w:rFonts w:ascii="Times New Roman" w:hAnsi="Times New Roman" w:cs="Times New Roman" w:eastAsia="Times New Roman" w:hint="default"/>
          <w:spacing w:val="-4"/>
        </w:rPr>
        <w:t>11</w:t>
      </w:r>
      <w:r>
        <w:rPr>
          <w:spacing w:val="-4"/>
        </w:rPr>
        <w:t>日，经深圳市人民政府深府办复（</w:t>
      </w:r>
      <w:r>
        <w:rPr>
          <w:rFonts w:ascii="Times New Roman" w:hAnsi="Times New Roman" w:cs="Times New Roman" w:eastAsia="Times New Roman" w:hint="default"/>
          <w:spacing w:val="-4"/>
        </w:rPr>
        <w:t>1993</w:t>
      </w:r>
      <w:r>
        <w:rPr>
          <w:spacing w:val="-4"/>
        </w:rPr>
        <w:t>）</w:t>
      </w:r>
      <w:r>
        <w:rPr>
          <w:rFonts w:ascii="Times New Roman" w:hAnsi="Times New Roman" w:cs="Times New Roman" w:eastAsia="Times New Roman" w:hint="default"/>
          <w:spacing w:val="-4"/>
        </w:rPr>
        <w:t>888</w:t>
      </w:r>
      <w:r>
        <w:rPr>
          <w:spacing w:val="-4"/>
        </w:rPr>
        <w:t>号文批准，</w:t>
      </w:r>
      <w:r>
        <w:rPr>
          <w:spacing w:val="-92"/>
        </w:rPr>
        <w:t> </w:t>
      </w:r>
      <w:r>
        <w:rPr/>
        <w:t>原深圳大通实业股份有限公司进行公众股份公司改组，并经深圳市证管办深证办复</w:t>
      </w:r>
    </w:p>
    <w:p>
      <w:pPr>
        <w:pStyle w:val="BodyText"/>
        <w:spacing w:line="338" w:lineRule="auto" w:before="55"/>
        <w:ind w:left="218" w:right="106"/>
        <w:jc w:val="left"/>
      </w:pPr>
      <w:r>
        <w:rPr/>
        <w:t>（</w:t>
      </w:r>
      <w:r>
        <w:rPr>
          <w:rFonts w:ascii="Times New Roman" w:hAnsi="Times New Roman" w:cs="Times New Roman" w:eastAsia="Times New Roman" w:hint="default"/>
        </w:rPr>
        <w:t>1993</w:t>
      </w:r>
      <w:r>
        <w:rPr/>
        <w:t>）</w:t>
      </w:r>
      <w:r>
        <w:rPr>
          <w:rFonts w:ascii="Times New Roman" w:hAnsi="Times New Roman" w:cs="Times New Roman" w:eastAsia="Times New Roman" w:hint="default"/>
        </w:rPr>
        <w:t>147</w:t>
      </w:r>
      <w:r>
        <w:rPr/>
        <w:t>号文批准，原有股东以其拥有的净资产按每股</w:t>
      </w:r>
      <w:r>
        <w:rPr>
          <w:rFonts w:ascii="Times New Roman" w:hAnsi="Times New Roman" w:cs="Times New Roman" w:eastAsia="Times New Roman" w:hint="default"/>
        </w:rPr>
        <w:t>1.40</w:t>
      </w:r>
      <w:r>
        <w:rPr/>
        <w:t>元的价格折合</w:t>
      </w:r>
      <w:r>
        <w:rPr>
          <w:rFonts w:ascii="Times New Roman" w:hAnsi="Times New Roman" w:cs="Times New Roman" w:eastAsia="Times New Roman" w:hint="default"/>
        </w:rPr>
        <w:t>5640</w:t>
      </w:r>
      <w:r>
        <w:rPr/>
        <w:t>万股， </w:t>
      </w:r>
      <w:r>
        <w:rPr>
          <w:spacing w:val="-3"/>
        </w:rPr>
        <w:t>同时以每股</w:t>
      </w:r>
      <w:r>
        <w:rPr>
          <w:rFonts w:ascii="Times New Roman" w:hAnsi="Times New Roman" w:cs="Times New Roman" w:eastAsia="Times New Roman" w:hint="default"/>
          <w:spacing w:val="-3"/>
        </w:rPr>
        <w:t>3.68</w:t>
      </w:r>
      <w:r>
        <w:rPr>
          <w:spacing w:val="-3"/>
        </w:rPr>
        <w:t>元溢价向境内社会公众股发行</w:t>
      </w:r>
      <w:r>
        <w:rPr>
          <w:rFonts w:ascii="Times New Roman" w:hAnsi="Times New Roman" w:cs="Times New Roman" w:eastAsia="Times New Roman" w:hint="default"/>
          <w:spacing w:val="-3"/>
        </w:rPr>
        <w:t>1000</w:t>
      </w:r>
      <w:r>
        <w:rPr>
          <w:spacing w:val="-3"/>
        </w:rPr>
        <w:t>万股，向内部职工发行</w:t>
      </w:r>
      <w:r>
        <w:rPr>
          <w:rFonts w:ascii="Times New Roman" w:hAnsi="Times New Roman" w:cs="Times New Roman" w:eastAsia="Times New Roman" w:hint="default"/>
          <w:spacing w:val="-3"/>
        </w:rPr>
        <w:t>200</w:t>
      </w:r>
      <w:r>
        <w:rPr>
          <w:spacing w:val="-3"/>
        </w:rPr>
        <w:t>万股，总计</w:t>
      </w:r>
      <w:r>
        <w:rPr>
          <w:spacing w:val="-100"/>
        </w:rPr>
        <w:t> </w:t>
      </w:r>
      <w:r>
        <w:rPr>
          <w:spacing w:val="-100"/>
        </w:rPr>
      </w:r>
      <w:r>
        <w:rPr/>
        <w:t>发行面值</w:t>
      </w:r>
      <w:r>
        <w:rPr>
          <w:rFonts w:ascii="Times New Roman" w:hAnsi="Times New Roman" w:cs="Times New Roman" w:eastAsia="Times New Roman" w:hint="default"/>
        </w:rPr>
        <w:t>1</w:t>
      </w:r>
      <w:r>
        <w:rPr/>
        <w:t>元的普通股</w:t>
      </w:r>
      <w:r>
        <w:rPr>
          <w:rFonts w:ascii="Times New Roman" w:hAnsi="Times New Roman" w:cs="Times New Roman" w:eastAsia="Times New Roman" w:hint="default"/>
        </w:rPr>
        <w:t>6840</w:t>
      </w:r>
      <w:r>
        <w:rPr/>
        <w:t>万股。公司委托深圳经济特区证券公司为主承销商、南方证 券公司深圳分公司为分销商，经按深圳证券交易所深证市字（</w:t>
      </w:r>
      <w:r>
        <w:rPr>
          <w:rFonts w:ascii="Times New Roman" w:hAnsi="Times New Roman" w:cs="Times New Roman" w:eastAsia="Times New Roman" w:hint="default"/>
        </w:rPr>
        <w:t>1994</w:t>
      </w:r>
      <w:r>
        <w:rPr/>
        <w:t>）第</w:t>
      </w:r>
      <w:r>
        <w:rPr>
          <w:rFonts w:ascii="Times New Roman" w:hAnsi="Times New Roman" w:cs="Times New Roman" w:eastAsia="Times New Roman" w:hint="default"/>
        </w:rPr>
        <w:t>18</w:t>
      </w:r>
      <w:r>
        <w:rPr/>
        <w:t>号《上市通知 书》，公司股票于</w:t>
      </w:r>
      <w:r>
        <w:rPr>
          <w:rFonts w:ascii="Times New Roman" w:hAnsi="Times New Roman" w:cs="Times New Roman" w:eastAsia="Times New Roman" w:hint="default"/>
        </w:rPr>
        <w:t>1994</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8</w:t>
      </w:r>
      <w:r>
        <w:rPr/>
        <w:t>日在深圳证券交易所挂牌交易。公司总股本为</w:t>
      </w:r>
      <w:r>
        <w:rPr>
          <w:rFonts w:ascii="Times New Roman" w:hAnsi="Times New Roman" w:cs="Times New Roman" w:eastAsia="Times New Roman" w:hint="default"/>
        </w:rPr>
        <w:t>6840</w:t>
      </w:r>
      <w:r>
        <w:rPr/>
        <w:t>万股， 其中可流通股份为</w:t>
      </w:r>
      <w:r>
        <w:rPr>
          <w:rFonts w:ascii="Times New Roman" w:hAnsi="Times New Roman" w:cs="Times New Roman" w:eastAsia="Times New Roman" w:hint="default"/>
        </w:rPr>
        <w:t>1000</w:t>
      </w:r>
      <w:r>
        <w:rPr/>
        <w:t>万股。</w:t>
      </w:r>
    </w:p>
    <w:p>
      <w:pPr>
        <w:spacing w:line="240" w:lineRule="auto" w:before="0"/>
        <w:rPr>
          <w:rFonts w:ascii="宋体" w:hAnsi="宋体" w:cs="宋体" w:eastAsia="宋体" w:hint="default"/>
          <w:sz w:val="24"/>
          <w:szCs w:val="24"/>
        </w:rPr>
      </w:pPr>
    </w:p>
    <w:p>
      <w:pPr>
        <w:pStyle w:val="BodyText"/>
        <w:spacing w:line="240" w:lineRule="auto" w:before="180"/>
        <w:ind w:left="218" w:right="106"/>
        <w:jc w:val="left"/>
      </w:pPr>
      <w:r>
        <w:rPr>
          <w:rFonts w:ascii="Times New Roman" w:hAnsi="Times New Roman" w:cs="Times New Roman" w:eastAsia="Times New Roman" w:hint="default"/>
        </w:rPr>
        <w:t>2</w:t>
      </w:r>
      <w:r>
        <w:rPr/>
        <w:t>、配股情况</w:t>
      </w:r>
    </w:p>
    <w:p>
      <w:pPr>
        <w:spacing w:after="0" w:line="240" w:lineRule="auto"/>
        <w:jc w:val="left"/>
        <w:sectPr>
          <w:pgSz w:w="11910" w:h="16840"/>
          <w:pgMar w:header="0" w:footer="614" w:top="1400" w:bottom="800" w:left="1200" w:right="1180"/>
        </w:sectPr>
      </w:pPr>
    </w:p>
    <w:p>
      <w:pPr>
        <w:pStyle w:val="BodyText"/>
        <w:spacing w:line="338" w:lineRule="auto" w:before="13"/>
        <w:ind w:right="326" w:firstLine="480"/>
        <w:jc w:val="left"/>
      </w:pPr>
      <w:r>
        <w:rPr>
          <w:rFonts w:ascii="Times New Roman" w:hAnsi="Times New Roman" w:cs="Times New Roman" w:eastAsia="Times New Roman" w:hint="default"/>
        </w:rPr>
        <w:t>1996</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19</w:t>
      </w:r>
      <w:r>
        <w:rPr/>
        <w:t>日，公司发布《配股公告》，按照</w:t>
      </w:r>
      <w:r>
        <w:rPr>
          <w:rFonts w:ascii="Times New Roman" w:hAnsi="Times New Roman" w:cs="Times New Roman" w:eastAsia="Times New Roman" w:hint="default"/>
        </w:rPr>
        <w:t>1994</w:t>
      </w:r>
      <w:r>
        <w:rPr/>
        <w:t>年末总股本</w:t>
      </w:r>
      <w:r>
        <w:rPr>
          <w:rFonts w:ascii="Times New Roman" w:hAnsi="Times New Roman" w:cs="Times New Roman" w:eastAsia="Times New Roman" w:hint="default"/>
        </w:rPr>
        <w:t>6840</w:t>
      </w:r>
      <w:r>
        <w:rPr/>
        <w:t>万股每</w:t>
      </w:r>
      <w:r>
        <w:rPr>
          <w:rFonts w:ascii="Times New Roman" w:hAnsi="Times New Roman" w:cs="Times New Roman" w:eastAsia="Times New Roman" w:hint="default"/>
        </w:rPr>
        <w:t>10</w:t>
      </w:r>
      <w:r>
        <w:rPr/>
        <w:t>股普 通股配售</w:t>
      </w:r>
      <w:r>
        <w:rPr>
          <w:rFonts w:ascii="Times New Roman" w:hAnsi="Times New Roman" w:cs="Times New Roman" w:eastAsia="Times New Roman" w:hint="default"/>
        </w:rPr>
        <w:t>3</w:t>
      </w:r>
      <w:r>
        <w:rPr/>
        <w:t>股新股的比例向全体股东配售面值人民币</w:t>
      </w:r>
      <w:r>
        <w:rPr>
          <w:rFonts w:ascii="Times New Roman" w:hAnsi="Times New Roman" w:cs="Times New Roman" w:eastAsia="Times New Roman" w:hint="default"/>
        </w:rPr>
        <w:t>1.00</w:t>
      </w:r>
      <w:r>
        <w:rPr/>
        <w:t>元的新股（普通股）</w:t>
      </w:r>
      <w:r>
        <w:rPr>
          <w:rFonts w:ascii="Times New Roman" w:hAnsi="Times New Roman" w:cs="Times New Roman" w:eastAsia="Times New Roman" w:hint="default"/>
        </w:rPr>
        <w:t>2052</w:t>
      </w:r>
      <w:r>
        <w:rPr/>
        <w:t>万股， 每股配股价</w:t>
      </w:r>
      <w:r>
        <w:rPr>
          <w:rFonts w:ascii="Times New Roman" w:hAnsi="Times New Roman" w:cs="Times New Roman" w:eastAsia="Times New Roman" w:hint="default"/>
        </w:rPr>
        <w:t>4.50</w:t>
      </w:r>
      <w:r>
        <w:rPr/>
        <w:t>元。国家股东和法人股东放弃本次配股权，仅向个人股东配售</w:t>
      </w:r>
      <w:r>
        <w:rPr>
          <w:rFonts w:ascii="Times New Roman" w:hAnsi="Times New Roman" w:cs="Times New Roman" w:eastAsia="Times New Roman" w:hint="default"/>
        </w:rPr>
        <w:t>360</w:t>
      </w:r>
      <w:r>
        <w:rPr/>
        <w:t>万股。 </w:t>
      </w:r>
      <w:r>
        <w:rPr>
          <w:rFonts w:ascii="Times New Roman" w:hAnsi="Times New Roman" w:cs="Times New Roman" w:eastAsia="Times New Roman" w:hint="default"/>
        </w:rPr>
        <w:t>1996</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17</w:t>
      </w:r>
      <w:r>
        <w:rPr/>
        <w:t>日实施配股方案，共募集资金</w:t>
      </w:r>
      <w:r>
        <w:rPr>
          <w:rFonts w:ascii="Times New Roman" w:hAnsi="Times New Roman" w:cs="Times New Roman" w:eastAsia="Times New Roman" w:hint="default"/>
        </w:rPr>
        <w:t>1620</w:t>
      </w:r>
      <w:r>
        <w:rPr/>
        <w:t>万元，总股数上升至</w:t>
      </w:r>
      <w:r>
        <w:rPr>
          <w:rFonts w:ascii="Times New Roman" w:hAnsi="Times New Roman" w:cs="Times New Roman" w:eastAsia="Times New Roman" w:hint="default"/>
        </w:rPr>
        <w:t>7200</w:t>
      </w:r>
      <w:r>
        <w:rPr/>
        <w:t>万股。</w:t>
      </w:r>
    </w:p>
    <w:p>
      <w:pPr>
        <w:spacing w:line="240" w:lineRule="auto" w:before="0"/>
        <w:rPr>
          <w:rFonts w:ascii="宋体" w:hAnsi="宋体" w:cs="宋体" w:eastAsia="宋体" w:hint="default"/>
          <w:sz w:val="24"/>
          <w:szCs w:val="24"/>
        </w:rPr>
      </w:pPr>
    </w:p>
    <w:p>
      <w:pPr>
        <w:pStyle w:val="BodyText"/>
        <w:spacing w:line="240" w:lineRule="auto" w:before="180"/>
        <w:ind w:right="326"/>
        <w:jc w:val="left"/>
      </w:pPr>
      <w:r>
        <w:rPr>
          <w:rFonts w:ascii="Times New Roman" w:hAnsi="Times New Roman" w:cs="Times New Roman" w:eastAsia="Times New Roman" w:hint="default"/>
        </w:rPr>
        <w:t>3</w:t>
      </w:r>
      <w:r>
        <w:rPr/>
        <w:t>、分红、送股及资本公积金转赠股本</w:t>
      </w:r>
    </w:p>
    <w:p>
      <w:pPr>
        <w:pStyle w:val="BodyText"/>
        <w:spacing w:line="338" w:lineRule="auto"/>
        <w:ind w:right="326" w:firstLine="480"/>
        <w:jc w:val="left"/>
      </w:pPr>
      <w:r>
        <w:rPr>
          <w:rFonts w:ascii="Times New Roman" w:hAnsi="Times New Roman" w:cs="Times New Roman" w:eastAsia="Times New Roman" w:hint="default"/>
          <w:spacing w:val="-3"/>
        </w:rPr>
        <w:t>1996</w:t>
      </w:r>
      <w:r>
        <w:rPr>
          <w:spacing w:val="-3"/>
        </w:rPr>
        <w:t>年</w:t>
      </w:r>
      <w:r>
        <w:rPr>
          <w:rFonts w:ascii="Times New Roman" w:hAnsi="Times New Roman" w:cs="Times New Roman" w:eastAsia="Times New Roman" w:hint="default"/>
          <w:spacing w:val="-3"/>
        </w:rPr>
        <w:t>10</w:t>
      </w:r>
      <w:r>
        <w:rPr>
          <w:spacing w:val="-3"/>
        </w:rPr>
        <w:t>月，公司以配股前的总股本</w:t>
      </w:r>
      <w:r>
        <w:rPr>
          <w:rFonts w:ascii="Times New Roman" w:hAnsi="Times New Roman" w:cs="Times New Roman" w:eastAsia="Times New Roman" w:hint="default"/>
          <w:spacing w:val="-3"/>
        </w:rPr>
        <w:t>6840</w:t>
      </w:r>
      <w:r>
        <w:rPr>
          <w:spacing w:val="-3"/>
        </w:rPr>
        <w:t>万股为基数，每</w:t>
      </w:r>
      <w:r>
        <w:rPr>
          <w:rFonts w:ascii="Times New Roman" w:hAnsi="Times New Roman" w:cs="Times New Roman" w:eastAsia="Times New Roman" w:hint="default"/>
          <w:spacing w:val="-3"/>
        </w:rPr>
        <w:t>10</w:t>
      </w:r>
      <w:r>
        <w:rPr>
          <w:spacing w:val="-3"/>
        </w:rPr>
        <w:t>股送</w:t>
      </w:r>
      <w:r>
        <w:rPr>
          <w:rFonts w:ascii="Times New Roman" w:hAnsi="Times New Roman" w:cs="Times New Roman" w:eastAsia="Times New Roman" w:hint="default"/>
          <w:spacing w:val="-3"/>
        </w:rPr>
        <w:t>0.5</w:t>
      </w:r>
      <w:r>
        <w:rPr>
          <w:spacing w:val="-3"/>
        </w:rPr>
        <w:t>股并以资本公积</w:t>
      </w:r>
      <w:r>
        <w:rPr/>
        <w:t> 金每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1</w:t>
      </w:r>
      <w:r>
        <w:rPr/>
        <w:t>股，方案实施后公司总股本增至</w:t>
      </w:r>
      <w:r>
        <w:rPr>
          <w:rFonts w:ascii="Times New Roman" w:hAnsi="Times New Roman" w:cs="Times New Roman" w:eastAsia="Times New Roman" w:hint="default"/>
        </w:rPr>
        <w:t>8226</w:t>
      </w:r>
      <w:r>
        <w:rPr/>
        <w:t>万股。</w:t>
      </w:r>
    </w:p>
    <w:p>
      <w:pPr>
        <w:pStyle w:val="BodyText"/>
        <w:spacing w:line="338" w:lineRule="auto" w:before="27"/>
        <w:ind w:right="326" w:firstLine="480"/>
        <w:jc w:val="left"/>
      </w:pPr>
      <w:r>
        <w:rPr>
          <w:rFonts w:ascii="Times New Roman" w:hAnsi="Times New Roman" w:cs="Times New Roman" w:eastAsia="Times New Roman" w:hint="default"/>
        </w:rPr>
        <w:t>1998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4</w:t>
      </w:r>
      <w:r>
        <w:rPr/>
        <w:t>日，公司向全体股东以资本公积金转增股本，每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1</w:t>
      </w:r>
      <w:r>
        <w:rPr/>
        <w:t>股，共计转 </w:t>
      </w:r>
      <w:r>
        <w:rPr>
          <w:spacing w:val="-2"/>
        </w:rPr>
        <w:t>增</w:t>
      </w:r>
      <w:r>
        <w:rPr>
          <w:rFonts w:ascii="Times New Roman" w:hAnsi="Times New Roman" w:cs="Times New Roman" w:eastAsia="Times New Roman" w:hint="default"/>
          <w:spacing w:val="-2"/>
        </w:rPr>
        <w:t>822.6</w:t>
      </w:r>
      <w:r>
        <w:rPr>
          <w:spacing w:val="-2"/>
        </w:rPr>
        <w:t>万股。</w:t>
      </w:r>
      <w:r>
        <w:rPr>
          <w:rFonts w:ascii="Times New Roman" w:hAnsi="Times New Roman" w:cs="Times New Roman" w:eastAsia="Times New Roman" w:hint="default"/>
          <w:spacing w:val="-2"/>
        </w:rPr>
        <w:t>1998</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16</w:t>
      </w:r>
      <w:r>
        <w:rPr>
          <w:spacing w:val="-2"/>
        </w:rPr>
        <w:t>日该方案实施后，公司股本总额由</w:t>
      </w:r>
      <w:r>
        <w:rPr>
          <w:rFonts w:ascii="Times New Roman" w:hAnsi="Times New Roman" w:cs="Times New Roman" w:eastAsia="Times New Roman" w:hint="default"/>
          <w:spacing w:val="-2"/>
        </w:rPr>
        <w:t>8226</w:t>
      </w:r>
      <w:r>
        <w:rPr>
          <w:spacing w:val="-2"/>
        </w:rPr>
        <w:t>万股增至</w:t>
      </w:r>
      <w:r>
        <w:rPr>
          <w:rFonts w:ascii="Times New Roman" w:hAnsi="Times New Roman" w:cs="Times New Roman" w:eastAsia="Times New Roman" w:hint="default"/>
          <w:spacing w:val="-2"/>
        </w:rPr>
        <w:t>9048.6</w:t>
      </w:r>
      <w:r>
        <w:rPr>
          <w:spacing w:val="-2"/>
        </w:rPr>
        <w:t>万股。</w:t>
      </w:r>
    </w:p>
    <w:p>
      <w:pPr>
        <w:spacing w:line="240" w:lineRule="auto" w:before="0"/>
        <w:rPr>
          <w:rFonts w:ascii="宋体" w:hAnsi="宋体" w:cs="宋体" w:eastAsia="宋体" w:hint="default"/>
          <w:sz w:val="24"/>
          <w:szCs w:val="24"/>
        </w:rPr>
      </w:pPr>
    </w:p>
    <w:p>
      <w:pPr>
        <w:pStyle w:val="BodyText"/>
        <w:spacing w:line="240" w:lineRule="auto" w:before="180"/>
        <w:ind w:right="326"/>
        <w:jc w:val="left"/>
      </w:pPr>
      <w:r>
        <w:rPr>
          <w:rFonts w:ascii="Times New Roman" w:hAnsi="Times New Roman" w:cs="Times New Roman" w:eastAsia="Times New Roman" w:hint="default"/>
        </w:rPr>
        <w:t>4</w:t>
      </w:r>
      <w:r>
        <w:rPr/>
        <w:t>、公司最近三年内没有发行股票及衍生证券；</w:t>
      </w: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2"/>
          <w:szCs w:val="22"/>
        </w:rPr>
      </w:pPr>
    </w:p>
    <w:p>
      <w:pPr>
        <w:pStyle w:val="BodyText"/>
        <w:spacing w:line="240" w:lineRule="auto" w:before="0"/>
        <w:ind w:right="326"/>
        <w:jc w:val="left"/>
      </w:pPr>
      <w:r>
        <w:rPr>
          <w:rFonts w:ascii="Times New Roman" w:hAnsi="Times New Roman" w:cs="Times New Roman" w:eastAsia="Times New Roman" w:hint="default"/>
        </w:rPr>
        <w:t>5</w:t>
      </w:r>
      <w:r>
        <w:rPr/>
        <w:t>、报告期内因重大资产重组引起的公司股份结构变动的情况</w:t>
      </w:r>
    </w:p>
    <w:p>
      <w:pPr>
        <w:pStyle w:val="BodyText"/>
        <w:spacing w:line="338" w:lineRule="auto"/>
        <w:ind w:right="453" w:firstLine="600"/>
        <w:jc w:val="both"/>
      </w:pPr>
      <w:r>
        <w:rPr>
          <w:rFonts w:ascii="Times New Roman" w:hAnsi="Times New Roman" w:cs="Times New Roman" w:eastAsia="Times New Roman" w:hint="default"/>
        </w:rPr>
        <w:t>2007 </w:t>
      </w:r>
      <w:r>
        <w:rPr/>
        <w:t>年</w:t>
      </w:r>
      <w:r>
        <w:rPr>
          <w:rFonts w:ascii="Times New Roman" w:hAnsi="Times New Roman" w:cs="Times New Roman" w:eastAsia="Times New Roman" w:hint="default"/>
        </w:rPr>
        <w:t>11 </w:t>
      </w:r>
      <w:r>
        <w:rPr/>
        <w:t>月</w:t>
      </w:r>
      <w:r>
        <w:rPr>
          <w:rFonts w:ascii="Times New Roman" w:hAnsi="Times New Roman" w:cs="Times New Roman" w:eastAsia="Times New Roman" w:hint="default"/>
        </w:rPr>
        <w:t>23</w:t>
      </w:r>
      <w:r>
        <w:rPr>
          <w:rFonts w:ascii="Times New Roman" w:hAnsi="Times New Roman" w:cs="Times New Roman" w:eastAsia="Times New Roman" w:hint="default"/>
          <w:spacing w:val="32"/>
        </w:rPr>
        <w:t> </w:t>
      </w:r>
      <w:r>
        <w:rPr/>
        <w:t>日，青岛亚星实业有限公司（以下简称</w:t>
      </w:r>
      <w:r>
        <w:rPr>
          <w:rFonts w:ascii="Times New Roman" w:hAnsi="Times New Roman" w:cs="Times New Roman" w:eastAsia="Times New Roman" w:hint="default"/>
        </w:rPr>
        <w:t>“</w:t>
      </w:r>
      <w:r>
        <w:rPr/>
        <w:t>亚星实业</w:t>
      </w:r>
      <w:r>
        <w:rPr>
          <w:rFonts w:ascii="Times New Roman" w:hAnsi="Times New Roman" w:cs="Times New Roman" w:eastAsia="Times New Roman" w:hint="default"/>
        </w:rPr>
        <w:t>”</w:t>
      </w:r>
      <w:r>
        <w:rPr/>
        <w:t>）与深大通第</w:t>
      </w:r>
      <w:r>
        <w:rPr>
          <w:spacing w:val="-1"/>
        </w:rPr>
        <w:t> </w:t>
      </w:r>
      <w:r>
        <w:rPr>
          <w:spacing w:val="-2"/>
        </w:rPr>
        <w:t>一大股东方正延中传媒有限公司签订股权转让协议，受让深大通</w:t>
      </w:r>
      <w:r>
        <w:rPr>
          <w:rFonts w:ascii="Times New Roman" w:hAnsi="Times New Roman" w:cs="Times New Roman" w:eastAsia="Times New Roman" w:hint="default"/>
          <w:spacing w:val="-2"/>
        </w:rPr>
        <w:t>1000</w:t>
      </w:r>
      <w:r>
        <w:rPr>
          <w:spacing w:val="-2"/>
        </w:rPr>
        <w:t>万股股权。股权受</w:t>
      </w:r>
      <w:r>
        <w:rPr>
          <w:spacing w:val="-92"/>
        </w:rPr>
        <w:t> </w:t>
      </w:r>
      <w:r>
        <w:rPr>
          <w:spacing w:val="-92"/>
        </w:rPr>
      </w:r>
      <w:r>
        <w:rPr/>
        <w:t>让后，亚星实业将成为深大通的并列第三大股东。目前该股份转让事宜尚未完成。</w:t>
      </w:r>
    </w:p>
    <w:p>
      <w:pPr>
        <w:spacing w:line="240" w:lineRule="auto" w:before="0"/>
        <w:rPr>
          <w:rFonts w:ascii="宋体" w:hAnsi="宋体" w:cs="宋体" w:eastAsia="宋体" w:hint="default"/>
          <w:sz w:val="24"/>
          <w:szCs w:val="24"/>
        </w:rPr>
      </w:pPr>
    </w:p>
    <w:p>
      <w:pPr>
        <w:pStyle w:val="BodyText"/>
        <w:spacing w:line="240" w:lineRule="auto" w:before="209"/>
        <w:ind w:right="326"/>
        <w:jc w:val="left"/>
      </w:pPr>
      <w:r>
        <w:rPr>
          <w:rFonts w:ascii="Times New Roman" w:hAnsi="Times New Roman" w:cs="Times New Roman" w:eastAsia="Times New Roman" w:hint="default"/>
        </w:rPr>
        <w:t>6</w:t>
      </w:r>
      <w:r>
        <w:rPr/>
        <w:t>、公司报告期内无因股权分置改革引起公司股份变动的情况</w:t>
      </w:r>
    </w:p>
    <w:p>
      <w:pPr>
        <w:pStyle w:val="BodyText"/>
        <w:spacing w:line="240" w:lineRule="auto"/>
        <w:ind w:right="326"/>
        <w:jc w:val="left"/>
      </w:pPr>
      <w:r>
        <w:rPr/>
        <w:t>（</w:t>
      </w:r>
      <w:r>
        <w:rPr>
          <w:rFonts w:ascii="Times New Roman" w:hAnsi="Times New Roman" w:cs="Times New Roman" w:eastAsia="Times New Roman" w:hint="default"/>
        </w:rPr>
        <w:t>1</w:t>
      </w:r>
      <w:r>
        <w:rPr/>
        <w:t>）公司在报告期内无因股权分置改革引起公司股份变动的情况。</w:t>
      </w:r>
    </w:p>
    <w:p>
      <w:pPr>
        <w:pStyle w:val="BodyText"/>
        <w:spacing w:line="240" w:lineRule="auto"/>
        <w:ind w:right="326"/>
        <w:jc w:val="left"/>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29</w:t>
      </w:r>
      <w:r>
        <w:rPr/>
        <w:t>日，公司发布了股权分置改革实施公告。</w:t>
      </w:r>
    </w:p>
    <w:p>
      <w:pPr>
        <w:pStyle w:val="BodyText"/>
        <w:spacing w:line="930" w:lineRule="atLeast" w:before="6"/>
        <w:ind w:right="6746"/>
        <w:jc w:val="left"/>
      </w:pPr>
      <w:r>
        <w:rPr>
          <w:rFonts w:ascii="Times New Roman" w:hAnsi="Times New Roman" w:cs="Times New Roman" w:eastAsia="Times New Roman" w:hint="default"/>
        </w:rPr>
        <w:t>7</w:t>
      </w:r>
      <w:r>
        <w:rPr/>
        <w:t>、公司已无内部职工股。 </w:t>
      </w:r>
      <w:r>
        <w:rPr>
          <w:rFonts w:ascii="Times New Roman" w:hAnsi="Times New Roman" w:cs="Times New Roman" w:eastAsia="Times New Roman" w:hint="default"/>
        </w:rPr>
        <w:t>(</w:t>
      </w:r>
      <w:r>
        <w:rPr/>
        <w:t>三</w:t>
      </w:r>
      <w:r>
        <w:rPr>
          <w:rFonts w:ascii="Times New Roman" w:hAnsi="Times New Roman" w:cs="Times New Roman" w:eastAsia="Times New Roman" w:hint="default"/>
        </w:rPr>
        <w:t>)</w:t>
      </w:r>
      <w:r>
        <w:rPr>
          <w:rFonts w:ascii="Times New Roman" w:hAnsi="Times New Roman" w:cs="Times New Roman" w:eastAsia="Times New Roman" w:hint="default"/>
          <w:spacing w:val="54"/>
        </w:rPr>
        <w:t> </w:t>
      </w:r>
      <w:r>
        <w:rPr/>
        <w:t>股东情况介绍</w:t>
      </w:r>
    </w:p>
    <w:p>
      <w:pPr>
        <w:pStyle w:val="BodyText"/>
        <w:spacing w:line="240" w:lineRule="auto"/>
        <w:ind w:right="326"/>
        <w:jc w:val="left"/>
      </w:pPr>
      <w:r>
        <w:rPr>
          <w:rFonts w:ascii="Times New Roman" w:hAnsi="Times New Roman" w:cs="Times New Roman" w:eastAsia="Times New Roman" w:hint="default"/>
        </w:rPr>
        <w:t>1</w:t>
      </w:r>
      <w:r>
        <w:rPr/>
        <w:t>、截止</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日，本公司共有股东</w:t>
      </w:r>
      <w:r>
        <w:rPr>
          <w:rFonts w:ascii="Times New Roman" w:hAnsi="Times New Roman" w:cs="Times New Roman" w:eastAsia="Times New Roman" w:hint="default"/>
        </w:rPr>
        <w:t>4292</w:t>
      </w:r>
      <w:r>
        <w:rPr/>
        <w:t>名。</w:t>
      </w:r>
    </w:p>
    <w:p>
      <w:pPr>
        <w:pStyle w:val="BodyText"/>
        <w:spacing w:line="240" w:lineRule="auto"/>
        <w:ind w:right="326"/>
        <w:jc w:val="left"/>
      </w:pPr>
      <w:r>
        <w:rPr>
          <w:rFonts w:ascii="Times New Roman" w:hAnsi="Times New Roman" w:cs="Times New Roman" w:eastAsia="Times New Roman" w:hint="default"/>
        </w:rPr>
        <w:t>2</w:t>
      </w:r>
      <w:r>
        <w:rPr/>
        <w:t>、报告期末，公司前十名股东持股情况如下：</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1910" w:h="16840"/>
          <w:pgMar w:header="0" w:footer="614" w:top="1500" w:bottom="800" w:left="1300" w:right="960"/>
        </w:sectPr>
      </w:pPr>
    </w:p>
    <w:p>
      <w:pPr>
        <w:spacing w:line="240" w:lineRule="auto" w:before="10"/>
        <w:rPr>
          <w:rFonts w:ascii="宋体" w:hAnsi="宋体" w:cs="宋体" w:eastAsia="宋体" w:hint="default"/>
          <w:sz w:val="16"/>
          <w:szCs w:val="16"/>
        </w:rPr>
      </w:pPr>
    </w:p>
    <w:p>
      <w:pPr>
        <w:tabs>
          <w:tab w:pos="2167" w:val="left" w:leader="none"/>
        </w:tabs>
        <w:spacing w:before="0"/>
        <w:ind w:left="489" w:right="-19" w:firstLine="0"/>
        <w:jc w:val="left"/>
        <w:rPr>
          <w:rFonts w:ascii="宋体" w:hAnsi="宋体" w:cs="宋体" w:eastAsia="宋体" w:hint="default"/>
          <w:sz w:val="18"/>
          <w:szCs w:val="18"/>
        </w:rPr>
      </w:pPr>
      <w:r>
        <w:rPr>
          <w:rFonts w:ascii="宋体" w:hAnsi="宋体" w:cs="宋体" w:eastAsia="宋体" w:hint="default"/>
          <w:sz w:val="18"/>
          <w:szCs w:val="18"/>
        </w:rPr>
        <w:t>股东名称</w:t>
        <w:tab/>
        <w:t>年度内增减</w:t>
      </w:r>
    </w:p>
    <w:p>
      <w:pPr>
        <w:spacing w:before="44"/>
        <w:ind w:left="363"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持股比例</w:t>
      </w:r>
    </w:p>
    <w:p>
      <w:pPr>
        <w:spacing w:before="115"/>
        <w:ind w:left="453" w:right="-20" w:firstLine="0"/>
        <w:jc w:val="lef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10"/>
        <w:rPr>
          <w:rFonts w:ascii="宋体" w:hAnsi="宋体" w:cs="宋体" w:eastAsia="宋体" w:hint="default"/>
          <w:sz w:val="16"/>
          <w:szCs w:val="16"/>
        </w:rPr>
      </w:pPr>
      <w:r>
        <w:rPr/>
        <w:br w:type="column"/>
      </w:r>
      <w:r>
        <w:rPr>
          <w:rFonts w:ascii="宋体"/>
          <w:sz w:val="16"/>
        </w:rPr>
      </w:r>
    </w:p>
    <w:p>
      <w:pPr>
        <w:spacing w:before="0"/>
        <w:ind w:left="489" w:right="-20" w:firstLine="0"/>
        <w:jc w:val="left"/>
        <w:rPr>
          <w:rFonts w:ascii="宋体" w:hAnsi="宋体" w:cs="宋体" w:eastAsia="宋体" w:hint="default"/>
          <w:sz w:val="18"/>
          <w:szCs w:val="18"/>
        </w:rPr>
      </w:pPr>
      <w:r>
        <w:rPr>
          <w:rFonts w:ascii="宋体" w:hAnsi="宋体" w:cs="宋体" w:eastAsia="宋体" w:hint="default"/>
          <w:sz w:val="18"/>
          <w:szCs w:val="18"/>
        </w:rPr>
        <w:t>持股总数</w:t>
      </w:r>
    </w:p>
    <w:p>
      <w:pPr>
        <w:spacing w:line="357" w:lineRule="auto" w:before="44"/>
        <w:ind w:left="489"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质押或冻结 的股份数量</w:t>
      </w:r>
    </w:p>
    <w:p>
      <w:pPr>
        <w:tabs>
          <w:tab w:pos="1399" w:val="left" w:leader="none"/>
        </w:tabs>
        <w:spacing w:before="44"/>
        <w:ind w:left="48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股东</w:t>
        <w:tab/>
      </w:r>
      <w:r>
        <w:rPr>
          <w:rFonts w:ascii="宋体" w:hAnsi="宋体" w:cs="宋体" w:eastAsia="宋体" w:hint="default"/>
          <w:spacing w:val="-12"/>
          <w:sz w:val="18"/>
          <w:szCs w:val="18"/>
        </w:rPr>
        <w:t>股份类别（已</w:t>
      </w:r>
    </w:p>
    <w:p>
      <w:pPr>
        <w:tabs>
          <w:tab w:pos="1519" w:val="left" w:leader="none"/>
        </w:tabs>
        <w:spacing w:before="115"/>
        <w:ind w:left="489" w:right="0" w:firstLine="0"/>
        <w:jc w:val="left"/>
        <w:rPr>
          <w:rFonts w:ascii="宋体" w:hAnsi="宋体" w:cs="宋体" w:eastAsia="宋体" w:hint="default"/>
          <w:sz w:val="18"/>
          <w:szCs w:val="18"/>
        </w:rPr>
      </w:pPr>
      <w:r>
        <w:rPr>
          <w:rFonts w:ascii="宋体" w:hAnsi="宋体" w:cs="宋体" w:eastAsia="宋体" w:hint="default"/>
          <w:sz w:val="18"/>
          <w:szCs w:val="18"/>
        </w:rPr>
        <w:t>性质</w:t>
        <w:tab/>
        <w:t>流通</w:t>
      </w:r>
      <w:r>
        <w:rPr>
          <w:rFonts w:ascii="Times New Roman" w:hAnsi="Times New Roman" w:cs="Times New Roman" w:eastAsia="Times New Roman" w:hint="default"/>
          <w:sz w:val="18"/>
          <w:szCs w:val="18"/>
        </w:rPr>
        <w:t>/</w:t>
      </w:r>
      <w:r>
        <w:rPr>
          <w:rFonts w:ascii="宋体" w:hAnsi="宋体" w:cs="宋体" w:eastAsia="宋体" w:hint="default"/>
          <w:sz w:val="18"/>
          <w:szCs w:val="18"/>
        </w:rPr>
        <w:t>未流</w:t>
      </w:r>
    </w:p>
    <w:p>
      <w:pPr>
        <w:spacing w:after="0"/>
        <w:jc w:val="left"/>
        <w:rPr>
          <w:rFonts w:ascii="宋体" w:hAnsi="宋体" w:cs="宋体" w:eastAsia="宋体" w:hint="default"/>
          <w:sz w:val="18"/>
          <w:szCs w:val="18"/>
        </w:rPr>
        <w:sectPr>
          <w:type w:val="continuous"/>
          <w:pgSz w:w="11910" w:h="16840"/>
          <w:pgMar w:top="1600" w:bottom="280" w:left="1300" w:right="960"/>
          <w:cols w:num="5" w:equalWidth="0">
            <w:col w:w="3069" w:space="40"/>
            <w:col w:w="1084" w:space="140"/>
            <w:col w:w="1210" w:space="55"/>
            <w:col w:w="1390" w:space="132"/>
            <w:col w:w="2530"/>
          </w:cols>
        </w:sectPr>
      </w:pPr>
    </w:p>
    <w:p>
      <w:pPr>
        <w:spacing w:line="240" w:lineRule="auto" w:before="0"/>
        <w:rPr>
          <w:rFonts w:ascii="宋体" w:hAnsi="宋体" w:cs="宋体" w:eastAsia="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2123"/>
        <w:gridCol w:w="1232"/>
        <w:gridCol w:w="1135"/>
        <w:gridCol w:w="1431"/>
        <w:gridCol w:w="1326"/>
        <w:gridCol w:w="1334"/>
        <w:gridCol w:w="833"/>
      </w:tblGrid>
      <w:tr>
        <w:trPr>
          <w:trHeight w:val="633" w:hRule="exact"/>
        </w:trPr>
        <w:tc>
          <w:tcPr>
            <w:tcW w:w="5922" w:type="dxa"/>
            <w:gridSpan w:val="4"/>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left="7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1700</w:t>
            </w:r>
            <w:r>
              <w:rPr>
                <w:rFonts w:ascii="宋体" w:hAnsi="宋体" w:cs="宋体" w:eastAsia="宋体" w:hint="default"/>
                <w:sz w:val="18"/>
                <w:szCs w:val="18"/>
              </w:rPr>
              <w:t>万股被</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right="80"/>
              <w:jc w:val="center"/>
              <w:rPr>
                <w:rFonts w:ascii="宋体" w:hAnsi="宋体" w:cs="宋体" w:eastAsia="宋体" w:hint="default"/>
                <w:sz w:val="18"/>
                <w:szCs w:val="18"/>
              </w:rPr>
            </w:pPr>
            <w:r>
              <w:rPr>
                <w:rFonts w:ascii="宋体" w:hAnsi="宋体" w:cs="宋体" w:eastAsia="宋体" w:hint="default"/>
                <w:sz w:val="18"/>
                <w:szCs w:val="18"/>
              </w:rPr>
              <w:t>定向境内法</w:t>
            </w:r>
          </w:p>
        </w:tc>
        <w:tc>
          <w:tcPr>
            <w:tcW w:w="83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2" w:right="0"/>
              <w:jc w:val="center"/>
              <w:rPr>
                <w:rFonts w:ascii="宋体" w:hAnsi="宋体" w:cs="宋体" w:eastAsia="宋体" w:hint="default"/>
                <w:sz w:val="18"/>
                <w:szCs w:val="18"/>
              </w:rPr>
            </w:pPr>
            <w:r>
              <w:rPr>
                <w:rFonts w:ascii="宋体" w:hAnsi="宋体" w:cs="宋体" w:eastAsia="宋体" w:hint="default"/>
                <w:sz w:val="18"/>
                <w:szCs w:val="18"/>
              </w:rPr>
              <w:t>通）</w:t>
            </w:r>
          </w:p>
        </w:tc>
      </w:tr>
      <w:tr>
        <w:trPr>
          <w:trHeight w:val="176"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173" w:lineRule="exact"/>
              <w:ind w:right="252"/>
              <w:jc w:val="center"/>
              <w:rPr>
                <w:rFonts w:ascii="宋体" w:hAnsi="宋体" w:cs="宋体" w:eastAsia="宋体" w:hint="default"/>
                <w:sz w:val="18"/>
                <w:szCs w:val="18"/>
              </w:rPr>
            </w:pPr>
            <w:r>
              <w:rPr>
                <w:rFonts w:ascii="宋体" w:hAnsi="宋体" w:cs="宋体" w:eastAsia="宋体" w:hint="default"/>
                <w:sz w:val="18"/>
                <w:szCs w:val="18"/>
              </w:rPr>
              <w:t>方正延中传媒有限公司</w:t>
            </w:r>
          </w:p>
        </w:tc>
        <w:tc>
          <w:tcPr>
            <w:tcW w:w="1232" w:type="dxa"/>
            <w:tcBorders>
              <w:top w:val="nil" w:sz="6" w:space="0" w:color="auto"/>
              <w:left w:val="nil" w:sz="6" w:space="0" w:color="auto"/>
              <w:bottom w:val="nil" w:sz="6" w:space="0" w:color="auto"/>
              <w:right w:val="nil" w:sz="6" w:space="0" w:color="auto"/>
            </w:tcBorders>
          </w:tcPr>
          <w:p>
            <w:pPr>
              <w:pStyle w:val="TableParagraph"/>
              <w:spacing w:line="189" w:lineRule="exact"/>
              <w:ind w:right="67"/>
              <w:jc w:val="center"/>
              <w:rPr>
                <w:rFonts w:ascii="Times New Roman" w:hAnsi="Times New Roman" w:cs="Times New Roman" w:eastAsia="Times New Roman" w:hint="default"/>
                <w:sz w:val="18"/>
                <w:szCs w:val="18"/>
              </w:rPr>
            </w:pPr>
            <w:r>
              <w:rPr>
                <w:rFonts w:ascii="Times New Roman"/>
                <w:sz w:val="18"/>
              </w:rPr>
              <w:t>0</w:t>
            </w:r>
          </w:p>
        </w:tc>
        <w:tc>
          <w:tcPr>
            <w:tcW w:w="1135" w:type="dxa"/>
            <w:tcBorders>
              <w:top w:val="nil" w:sz="6" w:space="0" w:color="auto"/>
              <w:left w:val="nil" w:sz="6" w:space="0" w:color="auto"/>
              <w:bottom w:val="nil" w:sz="6" w:space="0" w:color="auto"/>
              <w:right w:val="nil" w:sz="6" w:space="0" w:color="auto"/>
            </w:tcBorders>
          </w:tcPr>
          <w:p>
            <w:pPr>
              <w:pStyle w:val="TableParagraph"/>
              <w:spacing w:line="189" w:lineRule="exact"/>
              <w:ind w:right="9"/>
              <w:jc w:val="center"/>
              <w:rPr>
                <w:rFonts w:ascii="Times New Roman" w:hAnsi="Times New Roman" w:cs="Times New Roman" w:eastAsia="Times New Roman" w:hint="default"/>
                <w:sz w:val="18"/>
                <w:szCs w:val="18"/>
              </w:rPr>
            </w:pPr>
            <w:r>
              <w:rPr>
                <w:rFonts w:ascii="Times New Roman"/>
                <w:sz w:val="18"/>
              </w:rPr>
              <w:t>29.84</w:t>
            </w:r>
          </w:p>
        </w:tc>
        <w:tc>
          <w:tcPr>
            <w:tcW w:w="1431" w:type="dxa"/>
            <w:tcBorders>
              <w:top w:val="nil" w:sz="6" w:space="0" w:color="auto"/>
              <w:left w:val="nil" w:sz="6" w:space="0" w:color="auto"/>
              <w:bottom w:val="nil" w:sz="6" w:space="0" w:color="auto"/>
              <w:right w:val="nil" w:sz="6" w:space="0" w:color="auto"/>
            </w:tcBorders>
          </w:tcPr>
          <w:p>
            <w:pPr>
              <w:pStyle w:val="TableParagraph"/>
              <w:spacing w:line="189" w:lineRule="exact"/>
              <w:ind w:left="121" w:right="0"/>
              <w:jc w:val="center"/>
              <w:rPr>
                <w:rFonts w:ascii="Times New Roman" w:hAnsi="Times New Roman" w:cs="Times New Roman" w:eastAsia="Times New Roman" w:hint="default"/>
                <w:sz w:val="18"/>
                <w:szCs w:val="18"/>
              </w:rPr>
            </w:pPr>
            <w:r>
              <w:rPr>
                <w:rFonts w:ascii="Times New Roman"/>
                <w:sz w:val="18"/>
              </w:rPr>
              <w:t>27,000,000</w:t>
            </w: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Style w:val="TableParagraph"/>
              <w:spacing w:line="173" w:lineRule="exact"/>
              <w:ind w:left="222" w:right="0"/>
              <w:jc w:val="center"/>
              <w:rPr>
                <w:rFonts w:ascii="宋体" w:hAnsi="宋体" w:cs="宋体" w:eastAsia="宋体" w:hint="default"/>
                <w:sz w:val="18"/>
                <w:szCs w:val="18"/>
              </w:rPr>
            </w:pPr>
            <w:r>
              <w:rPr>
                <w:rFonts w:ascii="宋体" w:hAnsi="宋体" w:cs="宋体" w:eastAsia="宋体" w:hint="default"/>
                <w:sz w:val="18"/>
                <w:szCs w:val="18"/>
              </w:rPr>
              <w:t>未流通</w:t>
            </w:r>
          </w:p>
        </w:tc>
      </w:tr>
      <w:tr>
        <w:trPr>
          <w:trHeight w:val="257" w:hRule="exact"/>
        </w:trPr>
        <w:tc>
          <w:tcPr>
            <w:tcW w:w="2123" w:type="dxa"/>
            <w:tcBorders>
              <w:top w:val="nil" w:sz="6" w:space="0" w:color="auto"/>
              <w:left w:val="nil" w:sz="6" w:space="0" w:color="auto"/>
              <w:bottom w:val="nil" w:sz="6" w:space="0" w:color="auto"/>
              <w:right w:val="nil" w:sz="6" w:space="0" w:color="auto"/>
            </w:tcBorders>
          </w:tcPr>
          <w:p>
            <w:pP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Style w:val="TableParagraph"/>
              <w:spacing w:line="171" w:lineRule="exact"/>
              <w:ind w:left="73" w:right="0"/>
              <w:jc w:val="center"/>
              <w:rPr>
                <w:rFonts w:ascii="宋体" w:hAnsi="宋体" w:cs="宋体" w:eastAsia="宋体" w:hint="default"/>
                <w:sz w:val="18"/>
                <w:szCs w:val="18"/>
              </w:rPr>
            </w:pPr>
            <w:r>
              <w:rPr>
                <w:rFonts w:ascii="宋体" w:hAnsi="宋体" w:cs="宋体" w:eastAsia="宋体" w:hint="default"/>
                <w:sz w:val="18"/>
                <w:szCs w:val="18"/>
              </w:rPr>
              <w:t>质押</w:t>
            </w:r>
          </w:p>
        </w:tc>
        <w:tc>
          <w:tcPr>
            <w:tcW w:w="1334" w:type="dxa"/>
            <w:tcBorders>
              <w:top w:val="nil" w:sz="6" w:space="0" w:color="auto"/>
              <w:left w:val="nil" w:sz="6" w:space="0" w:color="auto"/>
              <w:bottom w:val="nil" w:sz="6" w:space="0" w:color="auto"/>
              <w:right w:val="nil" w:sz="6" w:space="0" w:color="auto"/>
            </w:tcBorders>
          </w:tcPr>
          <w:p>
            <w:pPr>
              <w:pStyle w:val="TableParagraph"/>
              <w:spacing w:line="171" w:lineRule="exact"/>
              <w:ind w:right="80"/>
              <w:jc w:val="center"/>
              <w:rPr>
                <w:rFonts w:ascii="宋体" w:hAnsi="宋体" w:cs="宋体" w:eastAsia="宋体" w:hint="default"/>
                <w:sz w:val="18"/>
                <w:szCs w:val="18"/>
              </w:rPr>
            </w:pPr>
            <w:r>
              <w:rPr>
                <w:rFonts w:ascii="宋体" w:hAnsi="宋体" w:cs="宋体" w:eastAsia="宋体" w:hint="default"/>
                <w:sz w:val="18"/>
                <w:szCs w:val="18"/>
              </w:rPr>
              <w:t>人股</w:t>
            </w:r>
          </w:p>
        </w:tc>
        <w:tc>
          <w:tcPr>
            <w:tcW w:w="833" w:type="dxa"/>
            <w:tcBorders>
              <w:top w:val="nil" w:sz="6" w:space="0" w:color="auto"/>
              <w:left w:val="nil" w:sz="6" w:space="0" w:color="auto"/>
              <w:bottom w:val="nil" w:sz="6" w:space="0" w:color="auto"/>
              <w:right w:val="nil" w:sz="6" w:space="0" w:color="auto"/>
            </w:tcBorders>
          </w:tcPr>
          <w:p>
            <w:pPr/>
          </w:p>
        </w:tc>
      </w:tr>
      <w:tr>
        <w:trPr>
          <w:trHeight w:val="263" w:hRule="exact"/>
        </w:trPr>
        <w:tc>
          <w:tcPr>
            <w:tcW w:w="2123" w:type="dxa"/>
            <w:tcBorders>
              <w:top w:val="nil" w:sz="6" w:space="0" w:color="auto"/>
              <w:left w:val="nil" w:sz="6" w:space="0" w:color="auto"/>
              <w:bottom w:val="nil" w:sz="6" w:space="0" w:color="auto"/>
              <w:right w:val="nil" w:sz="6" w:space="0" w:color="auto"/>
            </w:tcBorders>
          </w:tcPr>
          <w:p>
            <w:pP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73" w:right="0"/>
              <w:jc w:val="center"/>
              <w:rPr>
                <w:rFonts w:ascii="宋体" w:hAnsi="宋体" w:cs="宋体" w:eastAsia="宋体" w:hint="default"/>
                <w:sz w:val="18"/>
                <w:szCs w:val="18"/>
              </w:rPr>
            </w:pPr>
            <w:r>
              <w:rPr>
                <w:rFonts w:ascii="宋体" w:hAnsi="宋体" w:cs="宋体" w:eastAsia="宋体" w:hint="default"/>
                <w:sz w:val="18"/>
                <w:szCs w:val="18"/>
              </w:rPr>
              <w:t>全部司</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0"/>
              <w:jc w:val="center"/>
              <w:rPr>
                <w:rFonts w:ascii="宋体" w:hAnsi="宋体" w:cs="宋体" w:eastAsia="宋体" w:hint="default"/>
                <w:sz w:val="18"/>
                <w:szCs w:val="18"/>
              </w:rPr>
            </w:pPr>
            <w:r>
              <w:rPr>
                <w:rFonts w:ascii="宋体" w:hAnsi="宋体" w:cs="宋体" w:eastAsia="宋体" w:hint="default"/>
                <w:sz w:val="18"/>
                <w:szCs w:val="18"/>
              </w:rPr>
              <w:t>发起人境内</w:t>
            </w:r>
          </w:p>
        </w:tc>
        <w:tc>
          <w:tcPr>
            <w:tcW w:w="833" w:type="dxa"/>
            <w:tcBorders>
              <w:top w:val="nil" w:sz="6" w:space="0" w:color="auto"/>
              <w:left w:val="nil" w:sz="6" w:space="0" w:color="auto"/>
              <w:bottom w:val="nil" w:sz="6" w:space="0" w:color="auto"/>
              <w:right w:val="nil" w:sz="6" w:space="0" w:color="auto"/>
            </w:tcBorders>
          </w:tcPr>
          <w:p>
            <w:pPr/>
          </w:p>
        </w:tc>
      </w:tr>
      <w:tr>
        <w:trPr>
          <w:trHeight w:val="181"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178" w:lineRule="exact"/>
              <w:ind w:right="252"/>
              <w:jc w:val="center"/>
              <w:rPr>
                <w:rFonts w:ascii="宋体" w:hAnsi="宋体" w:cs="宋体" w:eastAsia="宋体" w:hint="default"/>
                <w:sz w:val="18"/>
                <w:szCs w:val="18"/>
              </w:rPr>
            </w:pPr>
            <w:r>
              <w:rPr>
                <w:rFonts w:ascii="宋体" w:hAnsi="宋体" w:cs="宋体" w:eastAsia="宋体" w:hint="default"/>
                <w:sz w:val="18"/>
                <w:szCs w:val="18"/>
              </w:rPr>
              <w:t>上海文慧投资有限公司</w:t>
            </w:r>
          </w:p>
        </w:tc>
        <w:tc>
          <w:tcPr>
            <w:tcW w:w="1232" w:type="dxa"/>
            <w:tcBorders>
              <w:top w:val="nil" w:sz="6" w:space="0" w:color="auto"/>
              <w:left w:val="nil" w:sz="6" w:space="0" w:color="auto"/>
              <w:bottom w:val="nil" w:sz="6" w:space="0" w:color="auto"/>
              <w:right w:val="nil" w:sz="6" w:space="0" w:color="auto"/>
            </w:tcBorders>
          </w:tcPr>
          <w:p>
            <w:pPr>
              <w:pStyle w:val="TableParagraph"/>
              <w:spacing w:line="194" w:lineRule="exact"/>
              <w:ind w:right="67"/>
              <w:jc w:val="center"/>
              <w:rPr>
                <w:rFonts w:ascii="Times New Roman" w:hAnsi="Times New Roman" w:cs="Times New Roman" w:eastAsia="Times New Roman" w:hint="default"/>
                <w:sz w:val="18"/>
                <w:szCs w:val="18"/>
              </w:rPr>
            </w:pPr>
            <w:r>
              <w:rPr>
                <w:rFonts w:ascii="Times New Roman"/>
                <w:sz w:val="18"/>
              </w:rPr>
              <w:t>0</w:t>
            </w:r>
          </w:p>
        </w:tc>
        <w:tc>
          <w:tcPr>
            <w:tcW w:w="1135" w:type="dxa"/>
            <w:tcBorders>
              <w:top w:val="nil" w:sz="6" w:space="0" w:color="auto"/>
              <w:left w:val="nil" w:sz="6" w:space="0" w:color="auto"/>
              <w:bottom w:val="nil" w:sz="6" w:space="0" w:color="auto"/>
              <w:right w:val="nil" w:sz="6" w:space="0" w:color="auto"/>
            </w:tcBorders>
          </w:tcPr>
          <w:p>
            <w:pPr>
              <w:pStyle w:val="TableParagraph"/>
              <w:spacing w:line="194" w:lineRule="exact"/>
              <w:ind w:right="9"/>
              <w:jc w:val="center"/>
              <w:rPr>
                <w:rFonts w:ascii="Times New Roman" w:hAnsi="Times New Roman" w:cs="Times New Roman" w:eastAsia="Times New Roman" w:hint="default"/>
                <w:sz w:val="18"/>
                <w:szCs w:val="18"/>
              </w:rPr>
            </w:pPr>
            <w:r>
              <w:rPr>
                <w:rFonts w:ascii="Times New Roman"/>
                <w:sz w:val="18"/>
              </w:rPr>
              <w:t>19.58</w:t>
            </w:r>
          </w:p>
        </w:tc>
        <w:tc>
          <w:tcPr>
            <w:tcW w:w="1431" w:type="dxa"/>
            <w:tcBorders>
              <w:top w:val="nil" w:sz="6" w:space="0" w:color="auto"/>
              <w:left w:val="nil" w:sz="6" w:space="0" w:color="auto"/>
              <w:bottom w:val="nil" w:sz="6" w:space="0" w:color="auto"/>
              <w:right w:val="nil" w:sz="6" w:space="0" w:color="auto"/>
            </w:tcBorders>
          </w:tcPr>
          <w:p>
            <w:pPr>
              <w:pStyle w:val="TableParagraph"/>
              <w:spacing w:line="194" w:lineRule="exact"/>
              <w:ind w:left="121" w:right="0"/>
              <w:jc w:val="center"/>
              <w:rPr>
                <w:rFonts w:ascii="Times New Roman" w:hAnsi="Times New Roman" w:cs="Times New Roman" w:eastAsia="Times New Roman" w:hint="default"/>
                <w:sz w:val="18"/>
                <w:szCs w:val="18"/>
              </w:rPr>
            </w:pPr>
            <w:r>
              <w:rPr>
                <w:rFonts w:ascii="Times New Roman"/>
                <w:sz w:val="18"/>
              </w:rPr>
              <w:t>17,712,690</w:t>
            </w: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Style w:val="TableParagraph"/>
              <w:spacing w:line="178" w:lineRule="exact"/>
              <w:ind w:left="222" w:right="0"/>
              <w:jc w:val="center"/>
              <w:rPr>
                <w:rFonts w:ascii="宋体" w:hAnsi="宋体" w:cs="宋体" w:eastAsia="宋体" w:hint="default"/>
                <w:sz w:val="18"/>
                <w:szCs w:val="18"/>
              </w:rPr>
            </w:pPr>
            <w:r>
              <w:rPr>
                <w:rFonts w:ascii="宋体" w:hAnsi="宋体" w:cs="宋体" w:eastAsia="宋体" w:hint="default"/>
                <w:sz w:val="18"/>
                <w:szCs w:val="18"/>
              </w:rPr>
              <w:t>未流通</w:t>
            </w:r>
          </w:p>
        </w:tc>
      </w:tr>
      <w:tr>
        <w:trPr>
          <w:trHeight w:val="256" w:hRule="exact"/>
        </w:trPr>
        <w:tc>
          <w:tcPr>
            <w:tcW w:w="2123" w:type="dxa"/>
            <w:tcBorders>
              <w:top w:val="nil" w:sz="6" w:space="0" w:color="auto"/>
              <w:left w:val="nil" w:sz="6" w:space="0" w:color="auto"/>
              <w:bottom w:val="nil" w:sz="6" w:space="0" w:color="auto"/>
              <w:right w:val="nil" w:sz="6" w:space="0" w:color="auto"/>
            </w:tcBorders>
          </w:tcPr>
          <w:p>
            <w:pP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Style w:val="TableParagraph"/>
              <w:spacing w:line="171" w:lineRule="exact"/>
              <w:ind w:left="73" w:right="0"/>
              <w:jc w:val="center"/>
              <w:rPr>
                <w:rFonts w:ascii="宋体" w:hAnsi="宋体" w:cs="宋体" w:eastAsia="宋体" w:hint="default"/>
                <w:sz w:val="18"/>
                <w:szCs w:val="18"/>
              </w:rPr>
            </w:pPr>
            <w:r>
              <w:rPr>
                <w:rFonts w:ascii="宋体" w:hAnsi="宋体" w:cs="宋体" w:eastAsia="宋体" w:hint="default"/>
                <w:sz w:val="18"/>
                <w:szCs w:val="18"/>
              </w:rPr>
              <w:t>法冻结</w:t>
            </w:r>
          </w:p>
        </w:tc>
        <w:tc>
          <w:tcPr>
            <w:tcW w:w="1334" w:type="dxa"/>
            <w:tcBorders>
              <w:top w:val="nil" w:sz="6" w:space="0" w:color="auto"/>
              <w:left w:val="nil" w:sz="6" w:space="0" w:color="auto"/>
              <w:bottom w:val="nil" w:sz="6" w:space="0" w:color="auto"/>
              <w:right w:val="nil" w:sz="6" w:space="0" w:color="auto"/>
            </w:tcBorders>
          </w:tcPr>
          <w:p>
            <w:pPr>
              <w:pStyle w:val="TableParagraph"/>
              <w:spacing w:line="171" w:lineRule="exact"/>
              <w:ind w:right="80"/>
              <w:jc w:val="center"/>
              <w:rPr>
                <w:rFonts w:ascii="宋体" w:hAnsi="宋体" w:cs="宋体" w:eastAsia="宋体" w:hint="default"/>
                <w:sz w:val="18"/>
                <w:szCs w:val="18"/>
              </w:rPr>
            </w:pPr>
            <w:r>
              <w:rPr>
                <w:rFonts w:ascii="宋体" w:hAnsi="宋体" w:cs="宋体" w:eastAsia="宋体" w:hint="default"/>
                <w:sz w:val="18"/>
                <w:szCs w:val="18"/>
              </w:rPr>
              <w:t>法人股</w:t>
            </w:r>
          </w:p>
        </w:tc>
        <w:tc>
          <w:tcPr>
            <w:tcW w:w="833" w:type="dxa"/>
            <w:tcBorders>
              <w:top w:val="nil" w:sz="6" w:space="0" w:color="auto"/>
              <w:left w:val="nil" w:sz="6" w:space="0" w:color="auto"/>
              <w:bottom w:val="nil" w:sz="6" w:space="0" w:color="auto"/>
              <w:right w:val="nil" w:sz="6" w:space="0" w:color="auto"/>
            </w:tcBorders>
          </w:tcPr>
          <w:p>
            <w:pPr/>
          </w:p>
        </w:tc>
      </w:tr>
      <w:tr>
        <w:trPr>
          <w:trHeight w:val="262"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52"/>
              <w:jc w:val="center"/>
              <w:rPr>
                <w:rFonts w:ascii="宋体" w:hAnsi="宋体" w:cs="宋体" w:eastAsia="宋体" w:hint="default"/>
                <w:sz w:val="18"/>
                <w:szCs w:val="18"/>
              </w:rPr>
            </w:pPr>
            <w:r>
              <w:rPr>
                <w:rFonts w:ascii="宋体" w:hAnsi="宋体" w:cs="宋体" w:eastAsia="宋体" w:hint="default"/>
                <w:sz w:val="18"/>
                <w:szCs w:val="18"/>
              </w:rPr>
              <w:t>上海港银投资管理</w:t>
            </w: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73" w:right="0"/>
              <w:jc w:val="center"/>
              <w:rPr>
                <w:rFonts w:ascii="宋体" w:hAnsi="宋体" w:cs="宋体" w:eastAsia="宋体" w:hint="default"/>
                <w:sz w:val="18"/>
                <w:szCs w:val="18"/>
              </w:rPr>
            </w:pPr>
            <w:r>
              <w:rPr>
                <w:rFonts w:ascii="宋体" w:hAnsi="宋体" w:cs="宋体" w:eastAsia="宋体" w:hint="default"/>
                <w:sz w:val="18"/>
                <w:szCs w:val="18"/>
              </w:rPr>
              <w:t>全部司</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0"/>
              <w:jc w:val="center"/>
              <w:rPr>
                <w:rFonts w:ascii="宋体" w:hAnsi="宋体" w:cs="宋体" w:eastAsia="宋体" w:hint="default"/>
                <w:sz w:val="18"/>
                <w:szCs w:val="18"/>
              </w:rPr>
            </w:pPr>
            <w:r>
              <w:rPr>
                <w:rFonts w:ascii="宋体" w:hAnsi="宋体" w:cs="宋体" w:eastAsia="宋体" w:hint="default"/>
                <w:sz w:val="18"/>
                <w:szCs w:val="18"/>
              </w:rPr>
              <w:t>发起人境内</w:t>
            </w:r>
          </w:p>
        </w:tc>
        <w:tc>
          <w:tcPr>
            <w:tcW w:w="833" w:type="dxa"/>
            <w:tcBorders>
              <w:top w:val="nil" w:sz="6" w:space="0" w:color="auto"/>
              <w:left w:val="nil" w:sz="6" w:space="0" w:color="auto"/>
              <w:bottom w:val="nil" w:sz="6" w:space="0" w:color="auto"/>
              <w:right w:val="nil" w:sz="6" w:space="0" w:color="auto"/>
            </w:tcBorders>
          </w:tcPr>
          <w:p>
            <w:pPr/>
          </w:p>
        </w:tc>
      </w:tr>
      <w:tr>
        <w:trPr>
          <w:trHeight w:val="181" w:hRule="exact"/>
        </w:trPr>
        <w:tc>
          <w:tcPr>
            <w:tcW w:w="2123" w:type="dxa"/>
            <w:tcBorders>
              <w:top w:val="nil" w:sz="6" w:space="0" w:color="auto"/>
              <w:left w:val="nil" w:sz="6" w:space="0" w:color="auto"/>
              <w:bottom w:val="nil" w:sz="6" w:space="0" w:color="auto"/>
              <w:right w:val="nil" w:sz="6" w:space="0" w:color="auto"/>
            </w:tcBorders>
          </w:tcPr>
          <w:p>
            <w:pPr/>
          </w:p>
        </w:tc>
        <w:tc>
          <w:tcPr>
            <w:tcW w:w="1232" w:type="dxa"/>
            <w:tcBorders>
              <w:top w:val="nil" w:sz="6" w:space="0" w:color="auto"/>
              <w:left w:val="nil" w:sz="6" w:space="0" w:color="auto"/>
              <w:bottom w:val="nil" w:sz="6" w:space="0" w:color="auto"/>
              <w:right w:val="nil" w:sz="6" w:space="0" w:color="auto"/>
            </w:tcBorders>
          </w:tcPr>
          <w:p>
            <w:pPr>
              <w:pStyle w:val="TableParagraph"/>
              <w:spacing w:line="194" w:lineRule="exact"/>
              <w:ind w:right="67"/>
              <w:jc w:val="center"/>
              <w:rPr>
                <w:rFonts w:ascii="Times New Roman" w:hAnsi="Times New Roman" w:cs="Times New Roman" w:eastAsia="Times New Roman" w:hint="default"/>
                <w:sz w:val="18"/>
                <w:szCs w:val="18"/>
              </w:rPr>
            </w:pPr>
            <w:r>
              <w:rPr>
                <w:rFonts w:ascii="Times New Roman"/>
                <w:sz w:val="18"/>
              </w:rPr>
              <w:t>0</w:t>
            </w:r>
          </w:p>
        </w:tc>
        <w:tc>
          <w:tcPr>
            <w:tcW w:w="1135" w:type="dxa"/>
            <w:tcBorders>
              <w:top w:val="nil" w:sz="6" w:space="0" w:color="auto"/>
              <w:left w:val="nil" w:sz="6" w:space="0" w:color="auto"/>
              <w:bottom w:val="nil" w:sz="6" w:space="0" w:color="auto"/>
              <w:right w:val="nil" w:sz="6" w:space="0" w:color="auto"/>
            </w:tcBorders>
          </w:tcPr>
          <w:p>
            <w:pPr>
              <w:pStyle w:val="TableParagraph"/>
              <w:spacing w:line="194" w:lineRule="exact"/>
              <w:ind w:right="9"/>
              <w:jc w:val="center"/>
              <w:rPr>
                <w:rFonts w:ascii="Times New Roman" w:hAnsi="Times New Roman" w:cs="Times New Roman" w:eastAsia="Times New Roman" w:hint="default"/>
                <w:sz w:val="18"/>
                <w:szCs w:val="18"/>
              </w:rPr>
            </w:pPr>
            <w:r>
              <w:rPr>
                <w:rFonts w:ascii="Times New Roman"/>
                <w:sz w:val="18"/>
              </w:rPr>
              <w:t>11.05</w:t>
            </w:r>
          </w:p>
        </w:tc>
        <w:tc>
          <w:tcPr>
            <w:tcW w:w="1431" w:type="dxa"/>
            <w:tcBorders>
              <w:top w:val="nil" w:sz="6" w:space="0" w:color="auto"/>
              <w:left w:val="nil" w:sz="6" w:space="0" w:color="auto"/>
              <w:bottom w:val="nil" w:sz="6" w:space="0" w:color="auto"/>
              <w:right w:val="nil" w:sz="6" w:space="0" w:color="auto"/>
            </w:tcBorders>
          </w:tcPr>
          <w:p>
            <w:pPr>
              <w:pStyle w:val="TableParagraph"/>
              <w:spacing w:line="194" w:lineRule="exact"/>
              <w:ind w:left="121" w:right="0"/>
              <w:jc w:val="center"/>
              <w:rPr>
                <w:rFonts w:ascii="Times New Roman" w:hAnsi="Times New Roman" w:cs="Times New Roman" w:eastAsia="Times New Roman" w:hint="default"/>
                <w:sz w:val="18"/>
                <w:szCs w:val="18"/>
              </w:rPr>
            </w:pPr>
            <w:r>
              <w:rPr>
                <w:rFonts w:ascii="Times New Roman"/>
                <w:sz w:val="18"/>
              </w:rPr>
              <w:t>10,000,000</w:t>
            </w: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Style w:val="TableParagraph"/>
              <w:spacing w:line="178" w:lineRule="exact"/>
              <w:ind w:left="222" w:right="0"/>
              <w:jc w:val="center"/>
              <w:rPr>
                <w:rFonts w:ascii="宋体" w:hAnsi="宋体" w:cs="宋体" w:eastAsia="宋体" w:hint="default"/>
                <w:sz w:val="18"/>
                <w:szCs w:val="18"/>
              </w:rPr>
            </w:pPr>
            <w:r>
              <w:rPr>
                <w:rFonts w:ascii="宋体" w:hAnsi="宋体" w:cs="宋体" w:eastAsia="宋体" w:hint="default"/>
                <w:sz w:val="18"/>
                <w:szCs w:val="18"/>
              </w:rPr>
              <w:t>未流通</w:t>
            </w:r>
          </w:p>
        </w:tc>
      </w:tr>
      <w:tr>
        <w:trPr>
          <w:trHeight w:val="257"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171" w:lineRule="exact"/>
              <w:ind w:right="251"/>
              <w:jc w:val="center"/>
              <w:rPr>
                <w:rFonts w:ascii="宋体" w:hAnsi="宋体" w:cs="宋体" w:eastAsia="宋体" w:hint="default"/>
                <w:sz w:val="18"/>
                <w:szCs w:val="18"/>
              </w:rPr>
            </w:pPr>
            <w:r>
              <w:rPr>
                <w:rFonts w:ascii="宋体" w:hAnsi="宋体" w:cs="宋体" w:eastAsia="宋体" w:hint="default"/>
                <w:sz w:val="18"/>
                <w:szCs w:val="18"/>
              </w:rPr>
              <w:t>有限公司</w:t>
            </w: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Style w:val="TableParagraph"/>
              <w:spacing w:line="171" w:lineRule="exact"/>
              <w:ind w:left="73" w:right="0"/>
              <w:jc w:val="center"/>
              <w:rPr>
                <w:rFonts w:ascii="宋体" w:hAnsi="宋体" w:cs="宋体" w:eastAsia="宋体" w:hint="default"/>
                <w:sz w:val="18"/>
                <w:szCs w:val="18"/>
              </w:rPr>
            </w:pPr>
            <w:r>
              <w:rPr>
                <w:rFonts w:ascii="宋体" w:hAnsi="宋体" w:cs="宋体" w:eastAsia="宋体" w:hint="default"/>
                <w:sz w:val="18"/>
                <w:szCs w:val="18"/>
              </w:rPr>
              <w:t>法冻结</w:t>
            </w:r>
          </w:p>
        </w:tc>
        <w:tc>
          <w:tcPr>
            <w:tcW w:w="1334" w:type="dxa"/>
            <w:tcBorders>
              <w:top w:val="nil" w:sz="6" w:space="0" w:color="auto"/>
              <w:left w:val="nil" w:sz="6" w:space="0" w:color="auto"/>
              <w:bottom w:val="nil" w:sz="6" w:space="0" w:color="auto"/>
              <w:right w:val="nil" w:sz="6" w:space="0" w:color="auto"/>
            </w:tcBorders>
          </w:tcPr>
          <w:p>
            <w:pPr>
              <w:pStyle w:val="TableParagraph"/>
              <w:spacing w:line="171" w:lineRule="exact"/>
              <w:ind w:right="80"/>
              <w:jc w:val="center"/>
              <w:rPr>
                <w:rFonts w:ascii="宋体" w:hAnsi="宋体" w:cs="宋体" w:eastAsia="宋体" w:hint="default"/>
                <w:sz w:val="18"/>
                <w:szCs w:val="18"/>
              </w:rPr>
            </w:pPr>
            <w:r>
              <w:rPr>
                <w:rFonts w:ascii="宋体" w:hAnsi="宋体" w:cs="宋体" w:eastAsia="宋体" w:hint="default"/>
                <w:sz w:val="18"/>
                <w:szCs w:val="18"/>
              </w:rPr>
              <w:t>法人股</w:t>
            </w:r>
          </w:p>
        </w:tc>
        <w:tc>
          <w:tcPr>
            <w:tcW w:w="833" w:type="dxa"/>
            <w:tcBorders>
              <w:top w:val="nil" w:sz="6" w:space="0" w:color="auto"/>
              <w:left w:val="nil" w:sz="6" w:space="0" w:color="auto"/>
              <w:bottom w:val="nil" w:sz="6" w:space="0" w:color="auto"/>
              <w:right w:val="nil" w:sz="6" w:space="0" w:color="auto"/>
            </w:tcBorders>
          </w:tcPr>
          <w:p>
            <w:pPr/>
          </w:p>
        </w:tc>
      </w:tr>
      <w:tr>
        <w:trPr>
          <w:trHeight w:val="263" w:hRule="exact"/>
        </w:trPr>
        <w:tc>
          <w:tcPr>
            <w:tcW w:w="2123" w:type="dxa"/>
            <w:tcBorders>
              <w:top w:val="nil" w:sz="6" w:space="0" w:color="auto"/>
              <w:left w:val="nil" w:sz="6" w:space="0" w:color="auto"/>
              <w:bottom w:val="nil" w:sz="6" w:space="0" w:color="auto"/>
              <w:right w:val="nil" w:sz="6" w:space="0" w:color="auto"/>
            </w:tcBorders>
          </w:tcPr>
          <w:p>
            <w:pP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0"/>
              <w:jc w:val="center"/>
              <w:rPr>
                <w:rFonts w:ascii="宋体" w:hAnsi="宋体" w:cs="宋体" w:eastAsia="宋体" w:hint="default"/>
                <w:sz w:val="18"/>
                <w:szCs w:val="18"/>
              </w:rPr>
            </w:pPr>
            <w:r>
              <w:rPr>
                <w:rFonts w:ascii="宋体" w:hAnsi="宋体" w:cs="宋体" w:eastAsia="宋体" w:hint="default"/>
                <w:sz w:val="18"/>
                <w:szCs w:val="18"/>
              </w:rPr>
              <w:t>发起人境内</w:t>
            </w:r>
          </w:p>
        </w:tc>
        <w:tc>
          <w:tcPr>
            <w:tcW w:w="833" w:type="dxa"/>
            <w:tcBorders>
              <w:top w:val="nil" w:sz="6" w:space="0" w:color="auto"/>
              <w:left w:val="nil" w:sz="6" w:space="0" w:color="auto"/>
              <w:bottom w:val="nil" w:sz="6" w:space="0" w:color="auto"/>
              <w:right w:val="nil" w:sz="6" w:space="0" w:color="auto"/>
            </w:tcBorders>
          </w:tcPr>
          <w:p>
            <w:pPr/>
          </w:p>
        </w:tc>
      </w:tr>
      <w:tr>
        <w:trPr>
          <w:trHeight w:val="181"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178" w:lineRule="exact"/>
              <w:ind w:right="252"/>
              <w:jc w:val="center"/>
              <w:rPr>
                <w:rFonts w:ascii="宋体" w:hAnsi="宋体" w:cs="宋体" w:eastAsia="宋体" w:hint="default"/>
                <w:sz w:val="18"/>
                <w:szCs w:val="18"/>
              </w:rPr>
            </w:pPr>
            <w:r>
              <w:rPr>
                <w:rFonts w:ascii="宋体" w:hAnsi="宋体" w:cs="宋体" w:eastAsia="宋体" w:hint="default"/>
                <w:sz w:val="18"/>
                <w:szCs w:val="18"/>
              </w:rPr>
              <w:t>江西省电子物资公司</w:t>
            </w:r>
          </w:p>
        </w:tc>
        <w:tc>
          <w:tcPr>
            <w:tcW w:w="1232" w:type="dxa"/>
            <w:tcBorders>
              <w:top w:val="nil" w:sz="6" w:space="0" w:color="auto"/>
              <w:left w:val="nil" w:sz="6" w:space="0" w:color="auto"/>
              <w:bottom w:val="nil" w:sz="6" w:space="0" w:color="auto"/>
              <w:right w:val="nil" w:sz="6" w:space="0" w:color="auto"/>
            </w:tcBorders>
          </w:tcPr>
          <w:p>
            <w:pPr>
              <w:pStyle w:val="TableParagraph"/>
              <w:spacing w:line="194" w:lineRule="exact"/>
              <w:ind w:right="67"/>
              <w:jc w:val="center"/>
              <w:rPr>
                <w:rFonts w:ascii="Times New Roman" w:hAnsi="Times New Roman" w:cs="Times New Roman" w:eastAsia="Times New Roman" w:hint="default"/>
                <w:sz w:val="18"/>
                <w:szCs w:val="18"/>
              </w:rPr>
            </w:pPr>
            <w:r>
              <w:rPr>
                <w:rFonts w:ascii="Times New Roman"/>
                <w:sz w:val="18"/>
              </w:rPr>
              <w:t>0</w:t>
            </w:r>
          </w:p>
        </w:tc>
        <w:tc>
          <w:tcPr>
            <w:tcW w:w="1135" w:type="dxa"/>
            <w:tcBorders>
              <w:top w:val="nil" w:sz="6" w:space="0" w:color="auto"/>
              <w:left w:val="nil" w:sz="6" w:space="0" w:color="auto"/>
              <w:bottom w:val="nil" w:sz="6" w:space="0" w:color="auto"/>
              <w:right w:val="nil" w:sz="6" w:space="0" w:color="auto"/>
            </w:tcBorders>
          </w:tcPr>
          <w:p>
            <w:pPr>
              <w:pStyle w:val="TableParagraph"/>
              <w:spacing w:line="194" w:lineRule="exact"/>
              <w:ind w:right="11"/>
              <w:jc w:val="center"/>
              <w:rPr>
                <w:rFonts w:ascii="Times New Roman" w:hAnsi="Times New Roman" w:cs="Times New Roman" w:eastAsia="Times New Roman" w:hint="default"/>
                <w:sz w:val="18"/>
                <w:szCs w:val="18"/>
              </w:rPr>
            </w:pPr>
            <w:r>
              <w:rPr>
                <w:rFonts w:ascii="Times New Roman"/>
                <w:sz w:val="18"/>
              </w:rPr>
              <w:t>9.95</w:t>
            </w:r>
          </w:p>
        </w:tc>
        <w:tc>
          <w:tcPr>
            <w:tcW w:w="1431" w:type="dxa"/>
            <w:tcBorders>
              <w:top w:val="nil" w:sz="6" w:space="0" w:color="auto"/>
              <w:left w:val="nil" w:sz="6" w:space="0" w:color="auto"/>
              <w:bottom w:val="nil" w:sz="6" w:space="0" w:color="auto"/>
              <w:right w:val="nil" w:sz="6" w:space="0" w:color="auto"/>
            </w:tcBorders>
          </w:tcPr>
          <w:p>
            <w:pPr>
              <w:pStyle w:val="TableParagraph"/>
              <w:spacing w:line="194" w:lineRule="exact"/>
              <w:ind w:left="119" w:right="0"/>
              <w:jc w:val="center"/>
              <w:rPr>
                <w:rFonts w:ascii="Times New Roman" w:hAnsi="Times New Roman" w:cs="Times New Roman" w:eastAsia="Times New Roman" w:hint="default"/>
                <w:sz w:val="18"/>
                <w:szCs w:val="18"/>
              </w:rPr>
            </w:pPr>
            <w:r>
              <w:rPr>
                <w:rFonts w:ascii="Times New Roman"/>
                <w:sz w:val="18"/>
              </w:rPr>
              <w:t>9,000,000</w:t>
            </w:r>
          </w:p>
        </w:tc>
        <w:tc>
          <w:tcPr>
            <w:tcW w:w="1326" w:type="dxa"/>
            <w:tcBorders>
              <w:top w:val="nil" w:sz="6" w:space="0" w:color="auto"/>
              <w:left w:val="nil" w:sz="6" w:space="0" w:color="auto"/>
              <w:bottom w:val="nil" w:sz="6" w:space="0" w:color="auto"/>
              <w:right w:val="nil" w:sz="6" w:space="0" w:color="auto"/>
            </w:tcBorders>
          </w:tcPr>
          <w:p>
            <w:pPr>
              <w:pStyle w:val="TableParagraph"/>
              <w:spacing w:line="178" w:lineRule="exact"/>
              <w:ind w:left="73"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334"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Style w:val="TableParagraph"/>
              <w:spacing w:line="178" w:lineRule="exact"/>
              <w:ind w:left="222" w:right="0"/>
              <w:jc w:val="center"/>
              <w:rPr>
                <w:rFonts w:ascii="宋体" w:hAnsi="宋体" w:cs="宋体" w:eastAsia="宋体" w:hint="default"/>
                <w:sz w:val="18"/>
                <w:szCs w:val="18"/>
              </w:rPr>
            </w:pPr>
            <w:r>
              <w:rPr>
                <w:rFonts w:ascii="宋体" w:hAnsi="宋体" w:cs="宋体" w:eastAsia="宋体" w:hint="default"/>
                <w:sz w:val="18"/>
                <w:szCs w:val="18"/>
              </w:rPr>
              <w:t>未流通</w:t>
            </w:r>
          </w:p>
        </w:tc>
      </w:tr>
      <w:tr>
        <w:trPr>
          <w:trHeight w:val="257" w:hRule="exact"/>
        </w:trPr>
        <w:tc>
          <w:tcPr>
            <w:tcW w:w="2123" w:type="dxa"/>
            <w:tcBorders>
              <w:top w:val="nil" w:sz="6" w:space="0" w:color="auto"/>
              <w:left w:val="nil" w:sz="6" w:space="0" w:color="auto"/>
              <w:bottom w:val="nil" w:sz="6" w:space="0" w:color="auto"/>
              <w:right w:val="nil" w:sz="6" w:space="0" w:color="auto"/>
            </w:tcBorders>
          </w:tcPr>
          <w:p>
            <w:pP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171" w:lineRule="exact"/>
              <w:ind w:right="80"/>
              <w:jc w:val="center"/>
              <w:rPr>
                <w:rFonts w:ascii="宋体" w:hAnsi="宋体" w:cs="宋体" w:eastAsia="宋体" w:hint="default"/>
                <w:sz w:val="18"/>
                <w:szCs w:val="18"/>
              </w:rPr>
            </w:pPr>
            <w:r>
              <w:rPr>
                <w:rFonts w:ascii="宋体" w:hAnsi="宋体" w:cs="宋体" w:eastAsia="宋体" w:hint="default"/>
                <w:sz w:val="18"/>
                <w:szCs w:val="18"/>
              </w:rPr>
              <w:t>法人股</w:t>
            </w:r>
          </w:p>
        </w:tc>
        <w:tc>
          <w:tcPr>
            <w:tcW w:w="833" w:type="dxa"/>
            <w:tcBorders>
              <w:top w:val="nil" w:sz="6" w:space="0" w:color="auto"/>
              <w:left w:val="nil" w:sz="6" w:space="0" w:color="auto"/>
              <w:bottom w:val="nil" w:sz="6" w:space="0" w:color="auto"/>
              <w:right w:val="nil" w:sz="6" w:space="0" w:color="auto"/>
            </w:tcBorders>
          </w:tcPr>
          <w:p>
            <w:pPr/>
          </w:p>
        </w:tc>
      </w:tr>
      <w:tr>
        <w:trPr>
          <w:trHeight w:val="263"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52"/>
              <w:jc w:val="center"/>
              <w:rPr>
                <w:rFonts w:ascii="宋体" w:hAnsi="宋体" w:cs="宋体" w:eastAsia="宋体" w:hint="default"/>
                <w:sz w:val="18"/>
                <w:szCs w:val="18"/>
              </w:rPr>
            </w:pPr>
            <w:r>
              <w:rPr>
                <w:rFonts w:ascii="宋体" w:hAnsi="宋体" w:cs="宋体" w:eastAsia="宋体" w:hint="default"/>
                <w:sz w:val="18"/>
                <w:szCs w:val="18"/>
              </w:rPr>
              <w:t>北京科希盟科技集团</w:t>
            </w: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0"/>
              <w:jc w:val="center"/>
              <w:rPr>
                <w:rFonts w:ascii="宋体" w:hAnsi="宋体" w:cs="宋体" w:eastAsia="宋体" w:hint="default"/>
                <w:sz w:val="18"/>
                <w:szCs w:val="18"/>
              </w:rPr>
            </w:pPr>
            <w:r>
              <w:rPr>
                <w:rFonts w:ascii="宋体" w:hAnsi="宋体" w:cs="宋体" w:eastAsia="宋体" w:hint="default"/>
                <w:sz w:val="18"/>
                <w:szCs w:val="18"/>
              </w:rPr>
              <w:t>定向境内法</w:t>
            </w:r>
          </w:p>
        </w:tc>
        <w:tc>
          <w:tcPr>
            <w:tcW w:w="833" w:type="dxa"/>
            <w:tcBorders>
              <w:top w:val="nil" w:sz="6" w:space="0" w:color="auto"/>
              <w:left w:val="nil" w:sz="6" w:space="0" w:color="auto"/>
              <w:bottom w:val="nil" w:sz="6" w:space="0" w:color="auto"/>
              <w:right w:val="nil" w:sz="6" w:space="0" w:color="auto"/>
            </w:tcBorders>
          </w:tcPr>
          <w:p>
            <w:pPr/>
          </w:p>
        </w:tc>
      </w:tr>
      <w:tr>
        <w:trPr>
          <w:trHeight w:val="181" w:hRule="exact"/>
        </w:trPr>
        <w:tc>
          <w:tcPr>
            <w:tcW w:w="2123" w:type="dxa"/>
            <w:tcBorders>
              <w:top w:val="nil" w:sz="6" w:space="0" w:color="auto"/>
              <w:left w:val="nil" w:sz="6" w:space="0" w:color="auto"/>
              <w:bottom w:val="nil" w:sz="6" w:space="0" w:color="auto"/>
              <w:right w:val="nil" w:sz="6" w:space="0" w:color="auto"/>
            </w:tcBorders>
          </w:tcPr>
          <w:p>
            <w:pPr/>
          </w:p>
        </w:tc>
        <w:tc>
          <w:tcPr>
            <w:tcW w:w="1232" w:type="dxa"/>
            <w:tcBorders>
              <w:top w:val="nil" w:sz="6" w:space="0" w:color="auto"/>
              <w:left w:val="nil" w:sz="6" w:space="0" w:color="auto"/>
              <w:bottom w:val="nil" w:sz="6" w:space="0" w:color="auto"/>
              <w:right w:val="nil" w:sz="6" w:space="0" w:color="auto"/>
            </w:tcBorders>
          </w:tcPr>
          <w:p>
            <w:pPr>
              <w:pStyle w:val="TableParagraph"/>
              <w:spacing w:line="194" w:lineRule="exact"/>
              <w:ind w:right="67"/>
              <w:jc w:val="center"/>
              <w:rPr>
                <w:rFonts w:ascii="Times New Roman" w:hAnsi="Times New Roman" w:cs="Times New Roman" w:eastAsia="Times New Roman" w:hint="default"/>
                <w:sz w:val="18"/>
                <w:szCs w:val="18"/>
              </w:rPr>
            </w:pPr>
            <w:r>
              <w:rPr>
                <w:rFonts w:ascii="Times New Roman"/>
                <w:sz w:val="18"/>
              </w:rPr>
              <w:t>0</w:t>
            </w:r>
          </w:p>
        </w:tc>
        <w:tc>
          <w:tcPr>
            <w:tcW w:w="1135" w:type="dxa"/>
            <w:tcBorders>
              <w:top w:val="nil" w:sz="6" w:space="0" w:color="auto"/>
              <w:left w:val="nil" w:sz="6" w:space="0" w:color="auto"/>
              <w:bottom w:val="nil" w:sz="6" w:space="0" w:color="auto"/>
              <w:right w:val="nil" w:sz="6" w:space="0" w:color="auto"/>
            </w:tcBorders>
          </w:tcPr>
          <w:p>
            <w:pPr>
              <w:pStyle w:val="TableParagraph"/>
              <w:spacing w:line="194" w:lineRule="exact"/>
              <w:ind w:right="11"/>
              <w:jc w:val="center"/>
              <w:rPr>
                <w:rFonts w:ascii="Times New Roman" w:hAnsi="Times New Roman" w:cs="Times New Roman" w:eastAsia="Times New Roman" w:hint="default"/>
                <w:sz w:val="18"/>
                <w:szCs w:val="18"/>
              </w:rPr>
            </w:pPr>
            <w:r>
              <w:rPr>
                <w:rFonts w:ascii="Times New Roman"/>
                <w:sz w:val="18"/>
              </w:rPr>
              <w:t>5.52</w:t>
            </w:r>
          </w:p>
        </w:tc>
        <w:tc>
          <w:tcPr>
            <w:tcW w:w="1431" w:type="dxa"/>
            <w:tcBorders>
              <w:top w:val="nil" w:sz="6" w:space="0" w:color="auto"/>
              <w:left w:val="nil" w:sz="6" w:space="0" w:color="auto"/>
              <w:bottom w:val="nil" w:sz="6" w:space="0" w:color="auto"/>
              <w:right w:val="nil" w:sz="6" w:space="0" w:color="auto"/>
            </w:tcBorders>
          </w:tcPr>
          <w:p>
            <w:pPr>
              <w:pStyle w:val="TableParagraph"/>
              <w:spacing w:line="194" w:lineRule="exact"/>
              <w:ind w:left="119" w:right="0"/>
              <w:jc w:val="center"/>
              <w:rPr>
                <w:rFonts w:ascii="Times New Roman" w:hAnsi="Times New Roman" w:cs="Times New Roman" w:eastAsia="Times New Roman" w:hint="default"/>
                <w:sz w:val="18"/>
                <w:szCs w:val="18"/>
              </w:rPr>
            </w:pPr>
            <w:r>
              <w:rPr>
                <w:rFonts w:ascii="Times New Roman"/>
                <w:sz w:val="18"/>
              </w:rPr>
              <w:t>4,994,220</w:t>
            </w:r>
          </w:p>
        </w:tc>
        <w:tc>
          <w:tcPr>
            <w:tcW w:w="1326" w:type="dxa"/>
            <w:tcBorders>
              <w:top w:val="nil" w:sz="6" w:space="0" w:color="auto"/>
              <w:left w:val="nil" w:sz="6" w:space="0" w:color="auto"/>
              <w:bottom w:val="nil" w:sz="6" w:space="0" w:color="auto"/>
              <w:right w:val="nil" w:sz="6" w:space="0" w:color="auto"/>
            </w:tcBorders>
          </w:tcPr>
          <w:p>
            <w:pPr>
              <w:pStyle w:val="TableParagraph"/>
              <w:spacing w:line="178" w:lineRule="exact"/>
              <w:ind w:left="73"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334"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Style w:val="TableParagraph"/>
              <w:spacing w:line="178" w:lineRule="exact"/>
              <w:ind w:left="222" w:right="0"/>
              <w:jc w:val="center"/>
              <w:rPr>
                <w:rFonts w:ascii="宋体" w:hAnsi="宋体" w:cs="宋体" w:eastAsia="宋体" w:hint="default"/>
                <w:sz w:val="18"/>
                <w:szCs w:val="18"/>
              </w:rPr>
            </w:pPr>
            <w:r>
              <w:rPr>
                <w:rFonts w:ascii="宋体" w:hAnsi="宋体" w:cs="宋体" w:eastAsia="宋体" w:hint="default"/>
                <w:sz w:val="18"/>
                <w:szCs w:val="18"/>
              </w:rPr>
              <w:t>未流通</w:t>
            </w:r>
          </w:p>
        </w:tc>
      </w:tr>
      <w:tr>
        <w:trPr>
          <w:trHeight w:val="256"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171" w:lineRule="exact"/>
              <w:ind w:right="251"/>
              <w:jc w:val="center"/>
              <w:rPr>
                <w:rFonts w:ascii="宋体" w:hAnsi="宋体" w:cs="宋体" w:eastAsia="宋体" w:hint="default"/>
                <w:sz w:val="18"/>
                <w:szCs w:val="18"/>
              </w:rPr>
            </w:pPr>
            <w:r>
              <w:rPr>
                <w:rFonts w:ascii="宋体" w:hAnsi="宋体" w:cs="宋体" w:eastAsia="宋体" w:hint="default"/>
                <w:sz w:val="18"/>
                <w:szCs w:val="18"/>
              </w:rPr>
              <w:t>有限公司</w:t>
            </w: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171" w:lineRule="exact"/>
              <w:ind w:right="80"/>
              <w:jc w:val="center"/>
              <w:rPr>
                <w:rFonts w:ascii="宋体" w:hAnsi="宋体" w:cs="宋体" w:eastAsia="宋体" w:hint="default"/>
                <w:sz w:val="18"/>
                <w:szCs w:val="18"/>
              </w:rPr>
            </w:pPr>
            <w:r>
              <w:rPr>
                <w:rFonts w:ascii="宋体" w:hAnsi="宋体" w:cs="宋体" w:eastAsia="宋体" w:hint="default"/>
                <w:sz w:val="18"/>
                <w:szCs w:val="18"/>
              </w:rPr>
              <w:t>人股</w:t>
            </w:r>
          </w:p>
        </w:tc>
        <w:tc>
          <w:tcPr>
            <w:tcW w:w="833" w:type="dxa"/>
            <w:tcBorders>
              <w:top w:val="nil" w:sz="6" w:space="0" w:color="auto"/>
              <w:left w:val="nil" w:sz="6" w:space="0" w:color="auto"/>
              <w:bottom w:val="nil" w:sz="6" w:space="0" w:color="auto"/>
              <w:right w:val="nil" w:sz="6" w:space="0" w:color="auto"/>
            </w:tcBorders>
          </w:tcPr>
          <w:p>
            <w:pPr/>
          </w:p>
        </w:tc>
      </w:tr>
      <w:tr>
        <w:trPr>
          <w:trHeight w:val="263"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52"/>
              <w:jc w:val="center"/>
              <w:rPr>
                <w:rFonts w:ascii="宋体" w:hAnsi="宋体" w:cs="宋体" w:eastAsia="宋体" w:hint="default"/>
                <w:sz w:val="18"/>
                <w:szCs w:val="18"/>
              </w:rPr>
            </w:pPr>
            <w:r>
              <w:rPr>
                <w:rFonts w:ascii="宋体" w:hAnsi="宋体" w:cs="宋体" w:eastAsia="宋体" w:hint="default"/>
                <w:sz w:val="18"/>
                <w:szCs w:val="18"/>
              </w:rPr>
              <w:t>深圳市立信创展投资</w:t>
            </w: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0"/>
              <w:jc w:val="center"/>
              <w:rPr>
                <w:rFonts w:ascii="宋体" w:hAnsi="宋体" w:cs="宋体" w:eastAsia="宋体" w:hint="default"/>
                <w:sz w:val="18"/>
                <w:szCs w:val="18"/>
              </w:rPr>
            </w:pPr>
            <w:r>
              <w:rPr>
                <w:rFonts w:ascii="宋体" w:hAnsi="宋体" w:cs="宋体" w:eastAsia="宋体" w:hint="default"/>
                <w:sz w:val="18"/>
                <w:szCs w:val="18"/>
              </w:rPr>
              <w:t>定向境内法</w:t>
            </w:r>
          </w:p>
        </w:tc>
        <w:tc>
          <w:tcPr>
            <w:tcW w:w="833" w:type="dxa"/>
            <w:tcBorders>
              <w:top w:val="nil" w:sz="6" w:space="0" w:color="auto"/>
              <w:left w:val="nil" w:sz="6" w:space="0" w:color="auto"/>
              <w:bottom w:val="nil" w:sz="6" w:space="0" w:color="auto"/>
              <w:right w:val="nil" w:sz="6" w:space="0" w:color="auto"/>
            </w:tcBorders>
          </w:tcPr>
          <w:p>
            <w:pPr/>
          </w:p>
        </w:tc>
      </w:tr>
      <w:tr>
        <w:trPr>
          <w:trHeight w:val="181" w:hRule="exact"/>
        </w:trPr>
        <w:tc>
          <w:tcPr>
            <w:tcW w:w="2123" w:type="dxa"/>
            <w:tcBorders>
              <w:top w:val="nil" w:sz="6" w:space="0" w:color="auto"/>
              <w:left w:val="nil" w:sz="6" w:space="0" w:color="auto"/>
              <w:bottom w:val="nil" w:sz="6" w:space="0" w:color="auto"/>
              <w:right w:val="nil" w:sz="6" w:space="0" w:color="auto"/>
            </w:tcBorders>
          </w:tcPr>
          <w:p>
            <w:pPr/>
          </w:p>
        </w:tc>
        <w:tc>
          <w:tcPr>
            <w:tcW w:w="1232" w:type="dxa"/>
            <w:tcBorders>
              <w:top w:val="nil" w:sz="6" w:space="0" w:color="auto"/>
              <w:left w:val="nil" w:sz="6" w:space="0" w:color="auto"/>
              <w:bottom w:val="nil" w:sz="6" w:space="0" w:color="auto"/>
              <w:right w:val="nil" w:sz="6" w:space="0" w:color="auto"/>
            </w:tcBorders>
          </w:tcPr>
          <w:p>
            <w:pPr>
              <w:pStyle w:val="TableParagraph"/>
              <w:spacing w:line="194" w:lineRule="exact"/>
              <w:ind w:right="67"/>
              <w:jc w:val="center"/>
              <w:rPr>
                <w:rFonts w:ascii="Times New Roman" w:hAnsi="Times New Roman" w:cs="Times New Roman" w:eastAsia="Times New Roman" w:hint="default"/>
                <w:sz w:val="18"/>
                <w:szCs w:val="18"/>
              </w:rPr>
            </w:pPr>
            <w:r>
              <w:rPr>
                <w:rFonts w:ascii="Times New Roman"/>
                <w:sz w:val="18"/>
              </w:rPr>
              <w:t>0</w:t>
            </w:r>
          </w:p>
        </w:tc>
        <w:tc>
          <w:tcPr>
            <w:tcW w:w="1135" w:type="dxa"/>
            <w:tcBorders>
              <w:top w:val="nil" w:sz="6" w:space="0" w:color="auto"/>
              <w:left w:val="nil" w:sz="6" w:space="0" w:color="auto"/>
              <w:bottom w:val="nil" w:sz="6" w:space="0" w:color="auto"/>
              <w:right w:val="nil" w:sz="6" w:space="0" w:color="auto"/>
            </w:tcBorders>
          </w:tcPr>
          <w:p>
            <w:pPr>
              <w:pStyle w:val="TableParagraph"/>
              <w:spacing w:line="194" w:lineRule="exact"/>
              <w:ind w:right="11"/>
              <w:jc w:val="center"/>
              <w:rPr>
                <w:rFonts w:ascii="Times New Roman" w:hAnsi="Times New Roman" w:cs="Times New Roman" w:eastAsia="Times New Roman" w:hint="default"/>
                <w:sz w:val="18"/>
                <w:szCs w:val="18"/>
              </w:rPr>
            </w:pPr>
            <w:r>
              <w:rPr>
                <w:rFonts w:ascii="Times New Roman"/>
                <w:sz w:val="18"/>
              </w:rPr>
              <w:t>2.36</w:t>
            </w:r>
          </w:p>
        </w:tc>
        <w:tc>
          <w:tcPr>
            <w:tcW w:w="1431" w:type="dxa"/>
            <w:tcBorders>
              <w:top w:val="nil" w:sz="6" w:space="0" w:color="auto"/>
              <w:left w:val="nil" w:sz="6" w:space="0" w:color="auto"/>
              <w:bottom w:val="nil" w:sz="6" w:space="0" w:color="auto"/>
              <w:right w:val="nil" w:sz="6" w:space="0" w:color="auto"/>
            </w:tcBorders>
          </w:tcPr>
          <w:p>
            <w:pPr>
              <w:pStyle w:val="TableParagraph"/>
              <w:spacing w:line="194" w:lineRule="exact"/>
              <w:ind w:left="119" w:right="0"/>
              <w:jc w:val="center"/>
              <w:rPr>
                <w:rFonts w:ascii="Times New Roman" w:hAnsi="Times New Roman" w:cs="Times New Roman" w:eastAsia="Times New Roman" w:hint="default"/>
                <w:sz w:val="18"/>
                <w:szCs w:val="18"/>
              </w:rPr>
            </w:pPr>
            <w:r>
              <w:rPr>
                <w:rFonts w:ascii="Times New Roman"/>
                <w:sz w:val="18"/>
              </w:rPr>
              <w:t>2,140,380</w:t>
            </w:r>
          </w:p>
        </w:tc>
        <w:tc>
          <w:tcPr>
            <w:tcW w:w="1326" w:type="dxa"/>
            <w:tcBorders>
              <w:top w:val="nil" w:sz="6" w:space="0" w:color="auto"/>
              <w:left w:val="nil" w:sz="6" w:space="0" w:color="auto"/>
              <w:bottom w:val="nil" w:sz="6" w:space="0" w:color="auto"/>
              <w:right w:val="nil" w:sz="6" w:space="0" w:color="auto"/>
            </w:tcBorders>
          </w:tcPr>
          <w:p>
            <w:pPr>
              <w:pStyle w:val="TableParagraph"/>
              <w:spacing w:line="178" w:lineRule="exact"/>
              <w:ind w:left="73"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334"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Style w:val="TableParagraph"/>
              <w:spacing w:line="178" w:lineRule="exact"/>
              <w:ind w:left="222" w:right="0"/>
              <w:jc w:val="center"/>
              <w:rPr>
                <w:rFonts w:ascii="宋体" w:hAnsi="宋体" w:cs="宋体" w:eastAsia="宋体" w:hint="default"/>
                <w:sz w:val="18"/>
                <w:szCs w:val="18"/>
              </w:rPr>
            </w:pPr>
            <w:r>
              <w:rPr>
                <w:rFonts w:ascii="宋体" w:hAnsi="宋体" w:cs="宋体" w:eastAsia="宋体" w:hint="default"/>
                <w:sz w:val="18"/>
                <w:szCs w:val="18"/>
              </w:rPr>
              <w:t>未流通</w:t>
            </w:r>
          </w:p>
        </w:tc>
      </w:tr>
      <w:tr>
        <w:trPr>
          <w:trHeight w:val="257"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171" w:lineRule="exact"/>
              <w:ind w:right="251"/>
              <w:jc w:val="center"/>
              <w:rPr>
                <w:rFonts w:ascii="宋体" w:hAnsi="宋体" w:cs="宋体" w:eastAsia="宋体" w:hint="default"/>
                <w:sz w:val="18"/>
                <w:szCs w:val="18"/>
              </w:rPr>
            </w:pPr>
            <w:r>
              <w:rPr>
                <w:rFonts w:ascii="宋体" w:hAnsi="宋体" w:cs="宋体" w:eastAsia="宋体" w:hint="default"/>
                <w:sz w:val="18"/>
                <w:szCs w:val="18"/>
              </w:rPr>
              <w:t>有限公司</w:t>
            </w: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171" w:lineRule="exact"/>
              <w:ind w:right="80"/>
              <w:jc w:val="center"/>
              <w:rPr>
                <w:rFonts w:ascii="宋体" w:hAnsi="宋体" w:cs="宋体" w:eastAsia="宋体" w:hint="default"/>
                <w:sz w:val="18"/>
                <w:szCs w:val="18"/>
              </w:rPr>
            </w:pPr>
            <w:r>
              <w:rPr>
                <w:rFonts w:ascii="宋体" w:hAnsi="宋体" w:cs="宋体" w:eastAsia="宋体" w:hint="default"/>
                <w:sz w:val="18"/>
                <w:szCs w:val="18"/>
              </w:rPr>
              <w:t>人股</w:t>
            </w:r>
          </w:p>
        </w:tc>
        <w:tc>
          <w:tcPr>
            <w:tcW w:w="833" w:type="dxa"/>
            <w:tcBorders>
              <w:top w:val="nil" w:sz="6" w:space="0" w:color="auto"/>
              <w:left w:val="nil" w:sz="6" w:space="0" w:color="auto"/>
              <w:bottom w:val="nil" w:sz="6" w:space="0" w:color="auto"/>
              <w:right w:val="nil" w:sz="6" w:space="0" w:color="auto"/>
            </w:tcBorders>
          </w:tcPr>
          <w:p>
            <w:pPr/>
          </w:p>
        </w:tc>
      </w:tr>
      <w:tr>
        <w:trPr>
          <w:trHeight w:val="263" w:hRule="exact"/>
        </w:trPr>
        <w:tc>
          <w:tcPr>
            <w:tcW w:w="2123" w:type="dxa"/>
            <w:tcBorders>
              <w:top w:val="nil" w:sz="6" w:space="0" w:color="auto"/>
              <w:left w:val="nil" w:sz="6" w:space="0" w:color="auto"/>
              <w:bottom w:val="nil" w:sz="6" w:space="0" w:color="auto"/>
              <w:right w:val="nil" w:sz="6" w:space="0" w:color="auto"/>
            </w:tcBorders>
          </w:tcPr>
          <w:p>
            <w:pP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33" w:type="dxa"/>
            <w:tcBorders>
              <w:top w:val="nil" w:sz="6" w:space="0" w:color="auto"/>
              <w:left w:val="nil" w:sz="6" w:space="0" w:color="auto"/>
              <w:bottom w:val="nil" w:sz="6" w:space="0" w:color="auto"/>
              <w:right w:val="nil" w:sz="6" w:space="0" w:color="auto"/>
            </w:tcBorders>
          </w:tcPr>
          <w:p>
            <w:pPr/>
          </w:p>
        </w:tc>
      </w:tr>
      <w:tr>
        <w:trPr>
          <w:trHeight w:val="181"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178" w:lineRule="exact"/>
              <w:ind w:right="251"/>
              <w:jc w:val="center"/>
              <w:rPr>
                <w:rFonts w:ascii="宋体" w:hAnsi="宋体" w:cs="宋体" w:eastAsia="宋体" w:hint="default"/>
                <w:sz w:val="18"/>
                <w:szCs w:val="18"/>
              </w:rPr>
            </w:pPr>
            <w:r>
              <w:rPr>
                <w:rFonts w:ascii="宋体" w:hAnsi="宋体" w:cs="宋体" w:eastAsia="宋体" w:hint="default"/>
                <w:sz w:val="18"/>
                <w:szCs w:val="18"/>
              </w:rPr>
              <w:t>林仁平</w:t>
            </w:r>
          </w:p>
        </w:tc>
        <w:tc>
          <w:tcPr>
            <w:tcW w:w="1232" w:type="dxa"/>
            <w:tcBorders>
              <w:top w:val="nil" w:sz="6" w:space="0" w:color="auto"/>
              <w:left w:val="nil" w:sz="6" w:space="0" w:color="auto"/>
              <w:bottom w:val="nil" w:sz="6" w:space="0" w:color="auto"/>
              <w:right w:val="nil" w:sz="6" w:space="0" w:color="auto"/>
            </w:tcBorders>
          </w:tcPr>
          <w:p>
            <w:pPr>
              <w:pStyle w:val="TableParagraph"/>
              <w:spacing w:line="194" w:lineRule="exact"/>
              <w:ind w:right="68"/>
              <w:jc w:val="center"/>
              <w:rPr>
                <w:rFonts w:ascii="Times New Roman" w:hAnsi="Times New Roman" w:cs="Times New Roman" w:eastAsia="Times New Roman" w:hint="default"/>
                <w:sz w:val="18"/>
                <w:szCs w:val="18"/>
              </w:rPr>
            </w:pPr>
            <w:r>
              <w:rPr>
                <w:rFonts w:ascii="Times New Roman"/>
                <w:sz w:val="18"/>
              </w:rPr>
              <w:t>165,745</w:t>
            </w:r>
          </w:p>
        </w:tc>
        <w:tc>
          <w:tcPr>
            <w:tcW w:w="1135" w:type="dxa"/>
            <w:tcBorders>
              <w:top w:val="nil" w:sz="6" w:space="0" w:color="auto"/>
              <w:left w:val="nil" w:sz="6" w:space="0" w:color="auto"/>
              <w:bottom w:val="nil" w:sz="6" w:space="0" w:color="auto"/>
              <w:right w:val="nil" w:sz="6" w:space="0" w:color="auto"/>
            </w:tcBorders>
          </w:tcPr>
          <w:p>
            <w:pPr>
              <w:pStyle w:val="TableParagraph"/>
              <w:spacing w:line="194" w:lineRule="exact"/>
              <w:ind w:right="11"/>
              <w:jc w:val="center"/>
              <w:rPr>
                <w:rFonts w:ascii="Times New Roman" w:hAnsi="Times New Roman" w:cs="Times New Roman" w:eastAsia="Times New Roman" w:hint="default"/>
                <w:sz w:val="18"/>
                <w:szCs w:val="18"/>
              </w:rPr>
            </w:pPr>
            <w:r>
              <w:rPr>
                <w:rFonts w:ascii="Times New Roman"/>
                <w:sz w:val="18"/>
              </w:rPr>
              <w:t>1.05</w:t>
            </w:r>
          </w:p>
        </w:tc>
        <w:tc>
          <w:tcPr>
            <w:tcW w:w="1431" w:type="dxa"/>
            <w:tcBorders>
              <w:top w:val="nil" w:sz="6" w:space="0" w:color="auto"/>
              <w:left w:val="nil" w:sz="6" w:space="0" w:color="auto"/>
              <w:bottom w:val="nil" w:sz="6" w:space="0" w:color="auto"/>
              <w:right w:val="nil" w:sz="6" w:space="0" w:color="auto"/>
            </w:tcBorders>
          </w:tcPr>
          <w:p>
            <w:pPr>
              <w:pStyle w:val="TableParagraph"/>
              <w:spacing w:line="194" w:lineRule="exact"/>
              <w:ind w:left="121" w:right="0"/>
              <w:jc w:val="center"/>
              <w:rPr>
                <w:rFonts w:ascii="Times New Roman" w:hAnsi="Times New Roman" w:cs="Times New Roman" w:eastAsia="Times New Roman" w:hint="default"/>
                <w:sz w:val="18"/>
                <w:szCs w:val="18"/>
              </w:rPr>
            </w:pPr>
            <w:r>
              <w:rPr>
                <w:rFonts w:ascii="Times New Roman"/>
                <w:sz w:val="18"/>
              </w:rPr>
              <w:t>950,895</w:t>
            </w:r>
          </w:p>
        </w:tc>
        <w:tc>
          <w:tcPr>
            <w:tcW w:w="1326" w:type="dxa"/>
            <w:tcBorders>
              <w:top w:val="nil" w:sz="6" w:space="0" w:color="auto"/>
              <w:left w:val="nil" w:sz="6" w:space="0" w:color="auto"/>
              <w:bottom w:val="nil" w:sz="6" w:space="0" w:color="auto"/>
              <w:right w:val="nil" w:sz="6" w:space="0" w:color="auto"/>
            </w:tcBorders>
          </w:tcPr>
          <w:p>
            <w:pPr>
              <w:pStyle w:val="TableParagraph"/>
              <w:spacing w:line="178" w:lineRule="exact"/>
              <w:ind w:left="73"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334"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Style w:val="TableParagraph"/>
              <w:spacing w:line="178" w:lineRule="exact"/>
              <w:ind w:left="222" w:right="0"/>
              <w:jc w:val="center"/>
              <w:rPr>
                <w:rFonts w:ascii="宋体" w:hAnsi="宋体" w:cs="宋体" w:eastAsia="宋体" w:hint="default"/>
                <w:sz w:val="18"/>
                <w:szCs w:val="18"/>
              </w:rPr>
            </w:pPr>
            <w:r>
              <w:rPr>
                <w:rFonts w:ascii="宋体" w:hAnsi="宋体" w:cs="宋体" w:eastAsia="宋体" w:hint="default"/>
                <w:sz w:val="18"/>
                <w:szCs w:val="18"/>
              </w:rPr>
              <w:t>已流通</w:t>
            </w:r>
          </w:p>
        </w:tc>
      </w:tr>
      <w:tr>
        <w:trPr>
          <w:trHeight w:val="256" w:hRule="exact"/>
        </w:trPr>
        <w:tc>
          <w:tcPr>
            <w:tcW w:w="2123" w:type="dxa"/>
            <w:tcBorders>
              <w:top w:val="nil" w:sz="6" w:space="0" w:color="auto"/>
              <w:left w:val="nil" w:sz="6" w:space="0" w:color="auto"/>
              <w:bottom w:val="nil" w:sz="6" w:space="0" w:color="auto"/>
              <w:right w:val="nil" w:sz="6" w:space="0" w:color="auto"/>
            </w:tcBorders>
          </w:tcPr>
          <w:p>
            <w:pP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171" w:lineRule="exact"/>
              <w:ind w:right="80"/>
              <w:jc w:val="center"/>
              <w:rPr>
                <w:rFonts w:ascii="宋体" w:hAnsi="宋体" w:cs="宋体" w:eastAsia="宋体" w:hint="default"/>
                <w:sz w:val="18"/>
                <w:szCs w:val="18"/>
              </w:rPr>
            </w:pPr>
            <w:r>
              <w:rPr>
                <w:rFonts w:ascii="宋体" w:hAnsi="宋体" w:cs="宋体" w:eastAsia="宋体" w:hint="default"/>
                <w:sz w:val="18"/>
                <w:szCs w:val="18"/>
              </w:rPr>
              <w:t>股</w:t>
            </w:r>
          </w:p>
        </w:tc>
        <w:tc>
          <w:tcPr>
            <w:tcW w:w="833" w:type="dxa"/>
            <w:tcBorders>
              <w:top w:val="nil" w:sz="6" w:space="0" w:color="auto"/>
              <w:left w:val="nil" w:sz="6" w:space="0" w:color="auto"/>
              <w:bottom w:val="nil" w:sz="6" w:space="0" w:color="auto"/>
              <w:right w:val="nil" w:sz="6" w:space="0" w:color="auto"/>
            </w:tcBorders>
          </w:tcPr>
          <w:p>
            <w:pPr/>
          </w:p>
        </w:tc>
      </w:tr>
      <w:tr>
        <w:trPr>
          <w:trHeight w:val="263" w:hRule="exact"/>
        </w:trPr>
        <w:tc>
          <w:tcPr>
            <w:tcW w:w="2123" w:type="dxa"/>
            <w:tcBorders>
              <w:top w:val="nil" w:sz="6" w:space="0" w:color="auto"/>
              <w:left w:val="nil" w:sz="6" w:space="0" w:color="auto"/>
              <w:bottom w:val="nil" w:sz="6" w:space="0" w:color="auto"/>
              <w:right w:val="nil" w:sz="6" w:space="0" w:color="auto"/>
            </w:tcBorders>
          </w:tcPr>
          <w:p>
            <w:pP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33" w:type="dxa"/>
            <w:tcBorders>
              <w:top w:val="nil" w:sz="6" w:space="0" w:color="auto"/>
              <w:left w:val="nil" w:sz="6" w:space="0" w:color="auto"/>
              <w:bottom w:val="nil" w:sz="6" w:space="0" w:color="auto"/>
              <w:right w:val="nil" w:sz="6" w:space="0" w:color="auto"/>
            </w:tcBorders>
          </w:tcPr>
          <w:p>
            <w:pPr/>
          </w:p>
        </w:tc>
      </w:tr>
      <w:tr>
        <w:trPr>
          <w:trHeight w:val="181"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178" w:lineRule="exact"/>
              <w:ind w:right="251"/>
              <w:jc w:val="center"/>
              <w:rPr>
                <w:rFonts w:ascii="宋体" w:hAnsi="宋体" w:cs="宋体" w:eastAsia="宋体" w:hint="default"/>
                <w:sz w:val="18"/>
                <w:szCs w:val="18"/>
              </w:rPr>
            </w:pPr>
            <w:r>
              <w:rPr>
                <w:rFonts w:ascii="宋体" w:hAnsi="宋体" w:cs="宋体" w:eastAsia="宋体" w:hint="default"/>
                <w:sz w:val="18"/>
                <w:szCs w:val="18"/>
              </w:rPr>
              <w:t>林仁忠</w:t>
            </w:r>
          </w:p>
        </w:tc>
        <w:tc>
          <w:tcPr>
            <w:tcW w:w="1232" w:type="dxa"/>
            <w:tcBorders>
              <w:top w:val="nil" w:sz="6" w:space="0" w:color="auto"/>
              <w:left w:val="nil" w:sz="6" w:space="0" w:color="auto"/>
              <w:bottom w:val="nil" w:sz="6" w:space="0" w:color="auto"/>
              <w:right w:val="nil" w:sz="6" w:space="0" w:color="auto"/>
            </w:tcBorders>
          </w:tcPr>
          <w:p>
            <w:pPr>
              <w:pStyle w:val="TableParagraph"/>
              <w:spacing w:line="194" w:lineRule="exact"/>
              <w:ind w:right="67"/>
              <w:jc w:val="center"/>
              <w:rPr>
                <w:rFonts w:ascii="Times New Roman" w:hAnsi="Times New Roman" w:cs="Times New Roman" w:eastAsia="Times New Roman" w:hint="default"/>
                <w:sz w:val="18"/>
                <w:szCs w:val="18"/>
              </w:rPr>
            </w:pPr>
            <w:r>
              <w:rPr>
                <w:rFonts w:ascii="Times New Roman"/>
                <w:sz w:val="18"/>
              </w:rPr>
              <w:t>56,989</w:t>
            </w:r>
          </w:p>
        </w:tc>
        <w:tc>
          <w:tcPr>
            <w:tcW w:w="1135" w:type="dxa"/>
            <w:tcBorders>
              <w:top w:val="nil" w:sz="6" w:space="0" w:color="auto"/>
              <w:left w:val="nil" w:sz="6" w:space="0" w:color="auto"/>
              <w:bottom w:val="nil" w:sz="6" w:space="0" w:color="auto"/>
              <w:right w:val="nil" w:sz="6" w:space="0" w:color="auto"/>
            </w:tcBorders>
          </w:tcPr>
          <w:p>
            <w:pPr>
              <w:pStyle w:val="TableParagraph"/>
              <w:spacing w:line="194" w:lineRule="exact"/>
              <w:ind w:right="11"/>
              <w:jc w:val="center"/>
              <w:rPr>
                <w:rFonts w:ascii="Times New Roman" w:hAnsi="Times New Roman" w:cs="Times New Roman" w:eastAsia="Times New Roman" w:hint="default"/>
                <w:sz w:val="18"/>
                <w:szCs w:val="18"/>
              </w:rPr>
            </w:pPr>
            <w:r>
              <w:rPr>
                <w:rFonts w:ascii="Times New Roman"/>
                <w:sz w:val="18"/>
              </w:rPr>
              <w:t>0.86</w:t>
            </w:r>
          </w:p>
        </w:tc>
        <w:tc>
          <w:tcPr>
            <w:tcW w:w="1431" w:type="dxa"/>
            <w:tcBorders>
              <w:top w:val="nil" w:sz="6" w:space="0" w:color="auto"/>
              <w:left w:val="nil" w:sz="6" w:space="0" w:color="auto"/>
              <w:bottom w:val="nil" w:sz="6" w:space="0" w:color="auto"/>
              <w:right w:val="nil" w:sz="6" w:space="0" w:color="auto"/>
            </w:tcBorders>
          </w:tcPr>
          <w:p>
            <w:pPr>
              <w:pStyle w:val="TableParagraph"/>
              <w:spacing w:line="194" w:lineRule="exact"/>
              <w:ind w:left="120" w:right="0"/>
              <w:jc w:val="center"/>
              <w:rPr>
                <w:rFonts w:ascii="Times New Roman" w:hAnsi="Times New Roman" w:cs="Times New Roman" w:eastAsia="Times New Roman" w:hint="default"/>
                <w:sz w:val="18"/>
                <w:szCs w:val="18"/>
              </w:rPr>
            </w:pPr>
            <w:r>
              <w:rPr>
                <w:rFonts w:ascii="Times New Roman"/>
                <w:sz w:val="18"/>
              </w:rPr>
              <w:t>775,800</w:t>
            </w:r>
          </w:p>
        </w:tc>
        <w:tc>
          <w:tcPr>
            <w:tcW w:w="1326" w:type="dxa"/>
            <w:tcBorders>
              <w:top w:val="nil" w:sz="6" w:space="0" w:color="auto"/>
              <w:left w:val="nil" w:sz="6" w:space="0" w:color="auto"/>
              <w:bottom w:val="nil" w:sz="6" w:space="0" w:color="auto"/>
              <w:right w:val="nil" w:sz="6" w:space="0" w:color="auto"/>
            </w:tcBorders>
          </w:tcPr>
          <w:p>
            <w:pPr>
              <w:pStyle w:val="TableParagraph"/>
              <w:spacing w:line="178" w:lineRule="exact"/>
              <w:ind w:left="73"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334"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Style w:val="TableParagraph"/>
              <w:spacing w:line="178" w:lineRule="exact"/>
              <w:ind w:left="222" w:right="0"/>
              <w:jc w:val="center"/>
              <w:rPr>
                <w:rFonts w:ascii="宋体" w:hAnsi="宋体" w:cs="宋体" w:eastAsia="宋体" w:hint="default"/>
                <w:sz w:val="18"/>
                <w:szCs w:val="18"/>
              </w:rPr>
            </w:pPr>
            <w:r>
              <w:rPr>
                <w:rFonts w:ascii="宋体" w:hAnsi="宋体" w:cs="宋体" w:eastAsia="宋体" w:hint="default"/>
                <w:sz w:val="18"/>
                <w:szCs w:val="18"/>
              </w:rPr>
              <w:t>已流通</w:t>
            </w:r>
          </w:p>
        </w:tc>
      </w:tr>
      <w:tr>
        <w:trPr>
          <w:trHeight w:val="257" w:hRule="exact"/>
        </w:trPr>
        <w:tc>
          <w:tcPr>
            <w:tcW w:w="2123" w:type="dxa"/>
            <w:tcBorders>
              <w:top w:val="nil" w:sz="6" w:space="0" w:color="auto"/>
              <w:left w:val="nil" w:sz="6" w:space="0" w:color="auto"/>
              <w:bottom w:val="nil" w:sz="6" w:space="0" w:color="auto"/>
              <w:right w:val="nil" w:sz="6" w:space="0" w:color="auto"/>
            </w:tcBorders>
          </w:tcPr>
          <w:p>
            <w:pP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171" w:lineRule="exact"/>
              <w:ind w:right="80"/>
              <w:jc w:val="center"/>
              <w:rPr>
                <w:rFonts w:ascii="宋体" w:hAnsi="宋体" w:cs="宋体" w:eastAsia="宋体" w:hint="default"/>
                <w:sz w:val="18"/>
                <w:szCs w:val="18"/>
              </w:rPr>
            </w:pPr>
            <w:r>
              <w:rPr>
                <w:rFonts w:ascii="宋体" w:hAnsi="宋体" w:cs="宋体" w:eastAsia="宋体" w:hint="default"/>
                <w:sz w:val="18"/>
                <w:szCs w:val="18"/>
              </w:rPr>
              <w:t>股</w:t>
            </w:r>
          </w:p>
        </w:tc>
        <w:tc>
          <w:tcPr>
            <w:tcW w:w="833" w:type="dxa"/>
            <w:tcBorders>
              <w:top w:val="nil" w:sz="6" w:space="0" w:color="auto"/>
              <w:left w:val="nil" w:sz="6" w:space="0" w:color="auto"/>
              <w:bottom w:val="nil" w:sz="6" w:space="0" w:color="auto"/>
              <w:right w:val="nil" w:sz="6" w:space="0" w:color="auto"/>
            </w:tcBorders>
          </w:tcPr>
          <w:p>
            <w:pPr/>
          </w:p>
        </w:tc>
      </w:tr>
      <w:tr>
        <w:trPr>
          <w:trHeight w:val="263" w:hRule="exact"/>
        </w:trPr>
        <w:tc>
          <w:tcPr>
            <w:tcW w:w="2123" w:type="dxa"/>
            <w:tcBorders>
              <w:top w:val="nil" w:sz="6" w:space="0" w:color="auto"/>
              <w:left w:val="nil" w:sz="6" w:space="0" w:color="auto"/>
              <w:bottom w:val="nil" w:sz="6" w:space="0" w:color="auto"/>
              <w:right w:val="nil" w:sz="6" w:space="0" w:color="auto"/>
            </w:tcBorders>
          </w:tcPr>
          <w:p>
            <w:pP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33" w:type="dxa"/>
            <w:tcBorders>
              <w:top w:val="nil" w:sz="6" w:space="0" w:color="auto"/>
              <w:left w:val="nil" w:sz="6" w:space="0" w:color="auto"/>
              <w:bottom w:val="nil" w:sz="6" w:space="0" w:color="auto"/>
              <w:right w:val="nil" w:sz="6" w:space="0" w:color="auto"/>
            </w:tcBorders>
          </w:tcPr>
          <w:p>
            <w:pPr/>
          </w:p>
        </w:tc>
      </w:tr>
      <w:tr>
        <w:trPr>
          <w:trHeight w:val="181"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178" w:lineRule="exact"/>
              <w:ind w:right="251"/>
              <w:jc w:val="center"/>
              <w:rPr>
                <w:rFonts w:ascii="宋体" w:hAnsi="宋体" w:cs="宋体" w:eastAsia="宋体" w:hint="default"/>
                <w:sz w:val="18"/>
                <w:szCs w:val="18"/>
              </w:rPr>
            </w:pPr>
            <w:r>
              <w:rPr>
                <w:rFonts w:ascii="宋体" w:hAnsi="宋体" w:cs="宋体" w:eastAsia="宋体" w:hint="default"/>
                <w:sz w:val="18"/>
                <w:szCs w:val="18"/>
              </w:rPr>
              <w:t>杜进军</w:t>
            </w:r>
          </w:p>
        </w:tc>
        <w:tc>
          <w:tcPr>
            <w:tcW w:w="1232" w:type="dxa"/>
            <w:tcBorders>
              <w:top w:val="nil" w:sz="6" w:space="0" w:color="auto"/>
              <w:left w:val="nil" w:sz="6" w:space="0" w:color="auto"/>
              <w:bottom w:val="nil" w:sz="6" w:space="0" w:color="auto"/>
              <w:right w:val="nil" w:sz="6" w:space="0" w:color="auto"/>
            </w:tcBorders>
          </w:tcPr>
          <w:p>
            <w:pPr>
              <w:pStyle w:val="TableParagraph"/>
              <w:spacing w:line="194" w:lineRule="exact"/>
              <w:ind w:right="68"/>
              <w:jc w:val="center"/>
              <w:rPr>
                <w:rFonts w:ascii="Times New Roman" w:hAnsi="Times New Roman" w:cs="Times New Roman" w:eastAsia="Times New Roman" w:hint="default"/>
                <w:sz w:val="18"/>
                <w:szCs w:val="18"/>
              </w:rPr>
            </w:pPr>
            <w:r>
              <w:rPr>
                <w:rFonts w:ascii="Times New Roman"/>
                <w:sz w:val="18"/>
              </w:rPr>
              <w:t>306,100</w:t>
            </w:r>
          </w:p>
        </w:tc>
        <w:tc>
          <w:tcPr>
            <w:tcW w:w="1135" w:type="dxa"/>
            <w:tcBorders>
              <w:top w:val="nil" w:sz="6" w:space="0" w:color="auto"/>
              <w:left w:val="nil" w:sz="6" w:space="0" w:color="auto"/>
              <w:bottom w:val="nil" w:sz="6" w:space="0" w:color="auto"/>
              <w:right w:val="nil" w:sz="6" w:space="0" w:color="auto"/>
            </w:tcBorders>
          </w:tcPr>
          <w:p>
            <w:pPr>
              <w:pStyle w:val="TableParagraph"/>
              <w:spacing w:line="194" w:lineRule="exact"/>
              <w:ind w:right="11"/>
              <w:jc w:val="center"/>
              <w:rPr>
                <w:rFonts w:ascii="Times New Roman" w:hAnsi="Times New Roman" w:cs="Times New Roman" w:eastAsia="Times New Roman" w:hint="default"/>
                <w:sz w:val="18"/>
                <w:szCs w:val="18"/>
              </w:rPr>
            </w:pPr>
            <w:r>
              <w:rPr>
                <w:rFonts w:ascii="Times New Roman"/>
                <w:sz w:val="18"/>
              </w:rPr>
              <w:t>0.34</w:t>
            </w:r>
          </w:p>
        </w:tc>
        <w:tc>
          <w:tcPr>
            <w:tcW w:w="1431" w:type="dxa"/>
            <w:tcBorders>
              <w:top w:val="nil" w:sz="6" w:space="0" w:color="auto"/>
              <w:left w:val="nil" w:sz="6" w:space="0" w:color="auto"/>
              <w:bottom w:val="nil" w:sz="6" w:space="0" w:color="auto"/>
              <w:right w:val="nil" w:sz="6" w:space="0" w:color="auto"/>
            </w:tcBorders>
          </w:tcPr>
          <w:p>
            <w:pPr>
              <w:pStyle w:val="TableParagraph"/>
              <w:spacing w:line="194" w:lineRule="exact"/>
              <w:ind w:left="121" w:right="0"/>
              <w:jc w:val="center"/>
              <w:rPr>
                <w:rFonts w:ascii="Times New Roman" w:hAnsi="Times New Roman" w:cs="Times New Roman" w:eastAsia="Times New Roman" w:hint="default"/>
                <w:sz w:val="18"/>
                <w:szCs w:val="18"/>
              </w:rPr>
            </w:pPr>
            <w:r>
              <w:rPr>
                <w:rFonts w:ascii="Times New Roman"/>
                <w:sz w:val="18"/>
              </w:rPr>
              <w:t>306,100</w:t>
            </w:r>
          </w:p>
        </w:tc>
        <w:tc>
          <w:tcPr>
            <w:tcW w:w="1326" w:type="dxa"/>
            <w:tcBorders>
              <w:top w:val="nil" w:sz="6" w:space="0" w:color="auto"/>
              <w:left w:val="nil" w:sz="6" w:space="0" w:color="auto"/>
              <w:bottom w:val="nil" w:sz="6" w:space="0" w:color="auto"/>
              <w:right w:val="nil" w:sz="6" w:space="0" w:color="auto"/>
            </w:tcBorders>
          </w:tcPr>
          <w:p>
            <w:pPr>
              <w:pStyle w:val="TableParagraph"/>
              <w:spacing w:line="178" w:lineRule="exact"/>
              <w:ind w:left="73"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334"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Style w:val="TableParagraph"/>
              <w:spacing w:line="178" w:lineRule="exact"/>
              <w:ind w:left="223" w:right="0"/>
              <w:jc w:val="center"/>
              <w:rPr>
                <w:rFonts w:ascii="宋体" w:hAnsi="宋体" w:cs="宋体" w:eastAsia="宋体" w:hint="default"/>
                <w:sz w:val="18"/>
                <w:szCs w:val="18"/>
              </w:rPr>
            </w:pPr>
            <w:r>
              <w:rPr>
                <w:rFonts w:ascii="宋体" w:hAnsi="宋体" w:cs="宋体" w:eastAsia="宋体" w:hint="default"/>
                <w:sz w:val="18"/>
                <w:szCs w:val="18"/>
              </w:rPr>
              <w:t>已流通</w:t>
            </w:r>
          </w:p>
        </w:tc>
      </w:tr>
      <w:tr>
        <w:trPr>
          <w:trHeight w:val="256" w:hRule="exact"/>
        </w:trPr>
        <w:tc>
          <w:tcPr>
            <w:tcW w:w="2123" w:type="dxa"/>
            <w:tcBorders>
              <w:top w:val="nil" w:sz="6" w:space="0" w:color="auto"/>
              <w:left w:val="nil" w:sz="6" w:space="0" w:color="auto"/>
              <w:bottom w:val="nil" w:sz="6" w:space="0" w:color="auto"/>
              <w:right w:val="nil" w:sz="6" w:space="0" w:color="auto"/>
            </w:tcBorders>
          </w:tcPr>
          <w:p>
            <w:pP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171" w:lineRule="exact"/>
              <w:ind w:right="80"/>
              <w:jc w:val="center"/>
              <w:rPr>
                <w:rFonts w:ascii="宋体" w:hAnsi="宋体" w:cs="宋体" w:eastAsia="宋体" w:hint="default"/>
                <w:sz w:val="18"/>
                <w:szCs w:val="18"/>
              </w:rPr>
            </w:pPr>
            <w:r>
              <w:rPr>
                <w:rFonts w:ascii="宋体" w:hAnsi="宋体" w:cs="宋体" w:eastAsia="宋体" w:hint="default"/>
                <w:sz w:val="18"/>
                <w:szCs w:val="18"/>
              </w:rPr>
              <w:t>股</w:t>
            </w:r>
          </w:p>
        </w:tc>
        <w:tc>
          <w:tcPr>
            <w:tcW w:w="833" w:type="dxa"/>
            <w:tcBorders>
              <w:top w:val="nil" w:sz="6" w:space="0" w:color="auto"/>
              <w:left w:val="nil" w:sz="6" w:space="0" w:color="auto"/>
              <w:bottom w:val="nil" w:sz="6" w:space="0" w:color="auto"/>
              <w:right w:val="nil" w:sz="6" w:space="0" w:color="auto"/>
            </w:tcBorders>
          </w:tcPr>
          <w:p>
            <w:pPr/>
          </w:p>
        </w:tc>
      </w:tr>
      <w:tr>
        <w:trPr>
          <w:trHeight w:val="262" w:hRule="exact"/>
        </w:trPr>
        <w:tc>
          <w:tcPr>
            <w:tcW w:w="2123" w:type="dxa"/>
            <w:tcBorders>
              <w:top w:val="nil" w:sz="6" w:space="0" w:color="auto"/>
              <w:left w:val="nil" w:sz="6" w:space="0" w:color="auto"/>
              <w:bottom w:val="nil" w:sz="6" w:space="0" w:color="auto"/>
              <w:right w:val="nil" w:sz="6" w:space="0" w:color="auto"/>
            </w:tcBorders>
          </w:tcPr>
          <w:p>
            <w:pP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33" w:type="dxa"/>
            <w:tcBorders>
              <w:top w:val="nil" w:sz="6" w:space="0" w:color="auto"/>
              <w:left w:val="nil" w:sz="6" w:space="0" w:color="auto"/>
              <w:bottom w:val="nil" w:sz="6" w:space="0" w:color="auto"/>
              <w:right w:val="nil" w:sz="6" w:space="0" w:color="auto"/>
            </w:tcBorders>
          </w:tcPr>
          <w:p>
            <w:pPr/>
          </w:p>
        </w:tc>
      </w:tr>
      <w:tr>
        <w:trPr>
          <w:trHeight w:val="181"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178" w:lineRule="exact"/>
              <w:ind w:right="252"/>
              <w:jc w:val="center"/>
              <w:rPr>
                <w:rFonts w:ascii="宋体" w:hAnsi="宋体" w:cs="宋体" w:eastAsia="宋体" w:hint="default"/>
                <w:sz w:val="18"/>
                <w:szCs w:val="18"/>
              </w:rPr>
            </w:pPr>
            <w:r>
              <w:rPr>
                <w:rFonts w:ascii="宋体" w:hAnsi="宋体" w:cs="宋体" w:eastAsia="宋体" w:hint="default"/>
                <w:sz w:val="18"/>
                <w:szCs w:val="18"/>
              </w:rPr>
              <w:t>朱欣怡</w:t>
            </w:r>
          </w:p>
        </w:tc>
        <w:tc>
          <w:tcPr>
            <w:tcW w:w="1232" w:type="dxa"/>
            <w:tcBorders>
              <w:top w:val="nil" w:sz="6" w:space="0" w:color="auto"/>
              <w:left w:val="nil" w:sz="6" w:space="0" w:color="auto"/>
              <w:bottom w:val="nil" w:sz="6" w:space="0" w:color="auto"/>
              <w:right w:val="nil" w:sz="6" w:space="0" w:color="auto"/>
            </w:tcBorders>
          </w:tcPr>
          <w:p>
            <w:pPr>
              <w:pStyle w:val="TableParagraph"/>
              <w:spacing w:line="194" w:lineRule="exact"/>
              <w:ind w:right="68"/>
              <w:jc w:val="center"/>
              <w:rPr>
                <w:rFonts w:ascii="Times New Roman" w:hAnsi="Times New Roman" w:cs="Times New Roman" w:eastAsia="Times New Roman" w:hint="default"/>
                <w:sz w:val="18"/>
                <w:szCs w:val="18"/>
              </w:rPr>
            </w:pPr>
            <w:r>
              <w:rPr>
                <w:rFonts w:ascii="Times New Roman"/>
                <w:sz w:val="18"/>
              </w:rPr>
              <w:t>275,500</w:t>
            </w:r>
          </w:p>
        </w:tc>
        <w:tc>
          <w:tcPr>
            <w:tcW w:w="1135" w:type="dxa"/>
            <w:tcBorders>
              <w:top w:val="nil" w:sz="6" w:space="0" w:color="auto"/>
              <w:left w:val="nil" w:sz="6" w:space="0" w:color="auto"/>
              <w:bottom w:val="nil" w:sz="6" w:space="0" w:color="auto"/>
              <w:right w:val="nil" w:sz="6" w:space="0" w:color="auto"/>
            </w:tcBorders>
          </w:tcPr>
          <w:p>
            <w:pPr>
              <w:pStyle w:val="TableParagraph"/>
              <w:spacing w:line="194" w:lineRule="exact"/>
              <w:ind w:right="11"/>
              <w:jc w:val="center"/>
              <w:rPr>
                <w:rFonts w:ascii="Times New Roman" w:hAnsi="Times New Roman" w:cs="Times New Roman" w:eastAsia="Times New Roman" w:hint="default"/>
                <w:sz w:val="18"/>
                <w:szCs w:val="18"/>
              </w:rPr>
            </w:pPr>
            <w:r>
              <w:rPr>
                <w:rFonts w:ascii="Times New Roman"/>
                <w:sz w:val="18"/>
              </w:rPr>
              <w:t>0.30</w:t>
            </w:r>
          </w:p>
        </w:tc>
        <w:tc>
          <w:tcPr>
            <w:tcW w:w="1431" w:type="dxa"/>
            <w:tcBorders>
              <w:top w:val="nil" w:sz="6" w:space="0" w:color="auto"/>
              <w:left w:val="nil" w:sz="6" w:space="0" w:color="auto"/>
              <w:bottom w:val="nil" w:sz="6" w:space="0" w:color="auto"/>
              <w:right w:val="nil" w:sz="6" w:space="0" w:color="auto"/>
            </w:tcBorders>
          </w:tcPr>
          <w:p>
            <w:pPr>
              <w:pStyle w:val="TableParagraph"/>
              <w:spacing w:line="194" w:lineRule="exact"/>
              <w:ind w:left="121" w:right="0"/>
              <w:jc w:val="center"/>
              <w:rPr>
                <w:rFonts w:ascii="Times New Roman" w:hAnsi="Times New Roman" w:cs="Times New Roman" w:eastAsia="Times New Roman" w:hint="default"/>
                <w:sz w:val="18"/>
                <w:szCs w:val="18"/>
              </w:rPr>
            </w:pPr>
            <w:r>
              <w:rPr>
                <w:rFonts w:ascii="Times New Roman"/>
                <w:sz w:val="18"/>
              </w:rPr>
              <w:t>275,500</w:t>
            </w:r>
          </w:p>
        </w:tc>
        <w:tc>
          <w:tcPr>
            <w:tcW w:w="1326" w:type="dxa"/>
            <w:tcBorders>
              <w:top w:val="nil" w:sz="6" w:space="0" w:color="auto"/>
              <w:left w:val="nil" w:sz="6" w:space="0" w:color="auto"/>
              <w:bottom w:val="nil" w:sz="6" w:space="0" w:color="auto"/>
              <w:right w:val="nil" w:sz="6" w:space="0" w:color="auto"/>
            </w:tcBorders>
          </w:tcPr>
          <w:p>
            <w:pPr>
              <w:pStyle w:val="TableParagraph"/>
              <w:spacing w:line="178" w:lineRule="exact"/>
              <w:ind w:left="73"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334"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Style w:val="TableParagraph"/>
              <w:spacing w:line="178" w:lineRule="exact"/>
              <w:ind w:left="223" w:right="0"/>
              <w:jc w:val="center"/>
              <w:rPr>
                <w:rFonts w:ascii="宋体" w:hAnsi="宋体" w:cs="宋体" w:eastAsia="宋体" w:hint="default"/>
                <w:sz w:val="18"/>
                <w:szCs w:val="18"/>
              </w:rPr>
            </w:pPr>
            <w:r>
              <w:rPr>
                <w:rFonts w:ascii="宋体" w:hAnsi="宋体" w:cs="宋体" w:eastAsia="宋体" w:hint="default"/>
                <w:sz w:val="18"/>
                <w:szCs w:val="18"/>
              </w:rPr>
              <w:t>已流通</w:t>
            </w:r>
          </w:p>
        </w:tc>
      </w:tr>
      <w:tr>
        <w:trPr>
          <w:trHeight w:val="271" w:hRule="exact"/>
        </w:trPr>
        <w:tc>
          <w:tcPr>
            <w:tcW w:w="2123" w:type="dxa"/>
            <w:tcBorders>
              <w:top w:val="nil" w:sz="6" w:space="0" w:color="auto"/>
              <w:left w:val="nil" w:sz="6" w:space="0" w:color="auto"/>
              <w:bottom w:val="nil" w:sz="6" w:space="0" w:color="auto"/>
              <w:right w:val="nil" w:sz="6" w:space="0" w:color="auto"/>
            </w:tcBorders>
          </w:tcPr>
          <w:p>
            <w:pPr/>
          </w:p>
        </w:tc>
        <w:tc>
          <w:tcPr>
            <w:tcW w:w="123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171" w:lineRule="exact"/>
              <w:ind w:right="80"/>
              <w:jc w:val="center"/>
              <w:rPr>
                <w:rFonts w:ascii="宋体" w:hAnsi="宋体" w:cs="宋体" w:eastAsia="宋体" w:hint="default"/>
                <w:sz w:val="18"/>
                <w:szCs w:val="18"/>
              </w:rPr>
            </w:pPr>
            <w:r>
              <w:rPr>
                <w:rFonts w:ascii="宋体" w:hAnsi="宋体" w:cs="宋体" w:eastAsia="宋体" w:hint="default"/>
                <w:sz w:val="18"/>
                <w:szCs w:val="18"/>
              </w:rPr>
              <w:t>股</w:t>
            </w:r>
          </w:p>
        </w:tc>
        <w:tc>
          <w:tcPr>
            <w:tcW w:w="833"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p>
      <w:pPr>
        <w:pStyle w:val="BodyText"/>
        <w:spacing w:line="338" w:lineRule="auto" w:before="26"/>
        <w:ind w:left="318" w:right="0"/>
        <w:jc w:val="left"/>
      </w:pPr>
      <w:r>
        <w:rPr>
          <w:spacing w:val="-2"/>
        </w:rPr>
        <w:t>注：（</w:t>
      </w:r>
      <w:r>
        <w:rPr>
          <w:rFonts w:ascii="Times New Roman" w:hAnsi="Times New Roman" w:cs="Times New Roman" w:eastAsia="Times New Roman" w:hint="default"/>
          <w:spacing w:val="-2"/>
        </w:rPr>
        <w:t>1</w:t>
      </w:r>
      <w:r>
        <w:rPr>
          <w:spacing w:val="-2"/>
        </w:rPr>
        <w:t>）方正延中传媒有限公司与其他</w:t>
      </w:r>
      <w:r>
        <w:rPr>
          <w:rFonts w:ascii="Times New Roman" w:hAnsi="Times New Roman" w:cs="Times New Roman" w:eastAsia="Times New Roman" w:hint="default"/>
          <w:spacing w:val="-2"/>
        </w:rPr>
        <w:t>9</w:t>
      </w:r>
      <w:r>
        <w:rPr>
          <w:spacing w:val="-2"/>
        </w:rPr>
        <w:t>名股东无关联关系或一致行动人。林仁平和林</w:t>
      </w:r>
      <w:r>
        <w:rPr>
          <w:spacing w:val="-92"/>
        </w:rPr>
        <w:t> </w:t>
      </w:r>
      <w:r>
        <w:rPr>
          <w:spacing w:val="-92"/>
        </w:rPr>
      </w:r>
      <w:r>
        <w:rPr/>
        <w:t>仁忠为亲兄弟，本公司未知其他</w:t>
      </w:r>
      <w:r>
        <w:rPr>
          <w:rFonts w:ascii="Times New Roman" w:hAnsi="Times New Roman" w:cs="Times New Roman" w:eastAsia="Times New Roman" w:hint="default"/>
        </w:rPr>
        <w:t>8</w:t>
      </w:r>
      <w:r>
        <w:rPr/>
        <w:t>名股东之间的关联关系或一致行动人。</w:t>
      </w:r>
    </w:p>
    <w:p>
      <w:pPr>
        <w:pStyle w:val="BodyText"/>
        <w:spacing w:line="338" w:lineRule="auto" w:before="27"/>
        <w:ind w:left="318" w:right="325" w:firstLine="480"/>
        <w:jc w:val="both"/>
      </w:pPr>
      <w:r>
        <w:rPr/>
        <w:t>（</w:t>
      </w:r>
      <w:r>
        <w:rPr>
          <w:rFonts w:ascii="Times New Roman" w:hAnsi="Times New Roman" w:cs="Times New Roman" w:eastAsia="Times New Roman" w:hint="default"/>
        </w:rPr>
        <w:t>2</w:t>
      </w:r>
      <w:r>
        <w:rPr/>
        <w:t>）公司第一大股东方正延中传媒有限公司所持有的深大通定向法人境内法人股 </w:t>
      </w:r>
      <w:r>
        <w:rPr>
          <w:rFonts w:ascii="Times New Roman" w:hAnsi="Times New Roman" w:cs="Times New Roman" w:eastAsia="Times New Roman" w:hint="default"/>
        </w:rPr>
        <w:t>2700</w:t>
      </w:r>
      <w:r>
        <w:rPr/>
        <w:t>万 股</w:t>
      </w:r>
      <w:r>
        <w:rPr>
          <w:rFonts w:ascii="Times New Roman" w:hAnsi="Times New Roman" w:cs="Times New Roman" w:eastAsia="Times New Roman" w:hint="default"/>
        </w:rPr>
        <w:t>(</w:t>
      </w:r>
      <w:r>
        <w:rPr/>
        <w:t>占公司总股本的</w:t>
      </w:r>
      <w:r>
        <w:rPr>
          <w:rFonts w:ascii="Times New Roman" w:hAnsi="Times New Roman" w:cs="Times New Roman" w:eastAsia="Times New Roman" w:hint="default"/>
        </w:rPr>
        <w:t>29.84%)</w:t>
      </w:r>
      <w:r>
        <w:rPr/>
        <w:t>已全部质押给中国建设银行股份有限公司上海第二 支行，质押期限自</w:t>
      </w:r>
      <w:r>
        <w:rPr>
          <w:rFonts w:ascii="Times New Roman" w:hAnsi="Times New Roman" w:cs="Times New Roman" w:eastAsia="Times New Roman" w:hint="default"/>
        </w:rPr>
        <w:t>2006 </w:t>
      </w:r>
      <w:r>
        <w:rPr/>
        <w:t>年</w:t>
      </w:r>
      <w:r>
        <w:rPr>
          <w:rFonts w:ascii="Times New Roman" w:hAnsi="Times New Roman" w:cs="Times New Roman" w:eastAsia="Times New Roman" w:hint="default"/>
        </w:rPr>
        <w:t>7 </w:t>
      </w:r>
      <w:r>
        <w:rPr/>
        <w:t>月</w:t>
      </w:r>
      <w:r>
        <w:rPr>
          <w:rFonts w:ascii="Times New Roman" w:hAnsi="Times New Roman" w:cs="Times New Roman" w:eastAsia="Times New Roman" w:hint="default"/>
        </w:rPr>
        <w:t>25 </w:t>
      </w:r>
      <w:r>
        <w:rPr/>
        <w:t>日至双方解除质押之日止，并于</w:t>
      </w:r>
      <w:r>
        <w:rPr>
          <w:rFonts w:ascii="Times New Roman" w:hAnsi="Times New Roman" w:cs="Times New Roman" w:eastAsia="Times New Roman" w:hint="default"/>
        </w:rPr>
        <w:t>2006</w:t>
      </w:r>
      <w:r>
        <w:rPr/>
        <w:t>年</w:t>
      </w:r>
      <w:r>
        <w:rPr>
          <w:rFonts w:ascii="Times New Roman" w:hAnsi="Times New Roman" w:cs="Times New Roman" w:eastAsia="Times New Roman" w:hint="default"/>
        </w:rPr>
        <w:t>7 </w:t>
      </w:r>
      <w:r>
        <w:rPr/>
        <w:t>月</w:t>
      </w:r>
      <w:r>
        <w:rPr>
          <w:rFonts w:ascii="Times New Roman" w:hAnsi="Times New Roman" w:cs="Times New Roman" w:eastAsia="Times New Roman" w:hint="default"/>
        </w:rPr>
        <w:t>25 </w:t>
      </w:r>
      <w:r>
        <w:rPr/>
        <w:t>日中 国证券登记结算有限责任公司深圳分公司办理了股份质押登记。</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5</w:t>
      </w:r>
      <w:r>
        <w:rPr/>
        <w:t>月，中国建设 银行股份有限公司上海第二支行解除了其中</w:t>
      </w:r>
      <w:r>
        <w:rPr>
          <w:rFonts w:ascii="Times New Roman" w:hAnsi="Times New Roman" w:cs="Times New Roman" w:eastAsia="Times New Roman" w:hint="default"/>
        </w:rPr>
        <w:t>1000</w:t>
      </w:r>
      <w:r>
        <w:rPr/>
        <w:t>万股的质押登记。</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4</w:t>
      </w:r>
      <w:r>
        <w:rPr/>
        <w:t>月，中国建 设银行股份有限公司上海第二支行解除了其余</w:t>
      </w:r>
      <w:r>
        <w:rPr>
          <w:rFonts w:ascii="Times New Roman" w:hAnsi="Times New Roman" w:cs="Times New Roman" w:eastAsia="Times New Roman" w:hint="default"/>
        </w:rPr>
        <w:t>1700</w:t>
      </w:r>
      <w:r>
        <w:rPr/>
        <w:t>万股的质押登记。</w:t>
      </w:r>
    </w:p>
    <w:p>
      <w:pPr>
        <w:pStyle w:val="BodyText"/>
        <w:spacing w:line="338" w:lineRule="auto" w:before="27"/>
        <w:ind w:left="318" w:right="254" w:firstLine="480"/>
        <w:jc w:val="both"/>
      </w:pPr>
      <w:r>
        <w:rPr/>
        <w:t>（</w:t>
      </w:r>
      <w:r>
        <w:rPr>
          <w:rFonts w:ascii="Times New Roman" w:hAnsi="Times New Roman" w:cs="Times New Roman" w:eastAsia="Times New Roman" w:hint="default"/>
        </w:rPr>
        <w:t>3</w:t>
      </w:r>
      <w:r>
        <w:rPr/>
        <w:t>）公司第二大股东上海文慧投资有限公司所持公司</w:t>
      </w:r>
      <w:r>
        <w:rPr>
          <w:rFonts w:ascii="Times New Roman" w:hAnsi="Times New Roman" w:cs="Times New Roman" w:eastAsia="Times New Roman" w:hint="default"/>
        </w:rPr>
        <w:t>17,712,690 </w:t>
      </w:r>
      <w:r>
        <w:rPr/>
        <w:t>股（占公司总股 本</w:t>
      </w:r>
      <w:r>
        <w:rPr>
          <w:rFonts w:ascii="Times New Roman" w:hAnsi="Times New Roman" w:cs="Times New Roman" w:eastAsia="Times New Roman" w:hint="default"/>
        </w:rPr>
        <w:t>19.58%</w:t>
      </w:r>
      <w:r>
        <w:rPr/>
        <w:t>）和公司第三大股东上海港银投资管理有限公司所持有的深大通</w:t>
      </w:r>
      <w:r>
        <w:rPr>
          <w:rFonts w:ascii="Times New Roman" w:hAnsi="Times New Roman" w:cs="Times New Roman" w:eastAsia="Times New Roman" w:hint="default"/>
        </w:rPr>
        <w:t>A</w:t>
      </w:r>
      <w:r>
        <w:rPr>
          <w:rFonts w:ascii="Times New Roman" w:hAnsi="Times New Roman" w:cs="Times New Roman" w:eastAsia="Times New Roman" w:hint="default"/>
          <w:spacing w:val="59"/>
        </w:rPr>
        <w:t> </w:t>
      </w:r>
      <w:r>
        <w:rPr/>
        <w:t>发起人境 内法人股</w:t>
      </w:r>
      <w:r>
        <w:rPr>
          <w:rFonts w:ascii="Times New Roman" w:hAnsi="Times New Roman" w:cs="Times New Roman" w:eastAsia="Times New Roman" w:hint="default"/>
        </w:rPr>
        <w:t>10,000,000 </w:t>
      </w:r>
      <w:r>
        <w:rPr/>
        <w:t>股</w:t>
      </w:r>
      <w:r>
        <w:rPr>
          <w:rFonts w:ascii="Times New Roman" w:hAnsi="Times New Roman" w:cs="Times New Roman" w:eastAsia="Times New Roman" w:hint="default"/>
        </w:rPr>
        <w:t>(</w:t>
      </w:r>
      <w:r>
        <w:rPr/>
        <w:t>占公司总股本</w:t>
      </w:r>
      <w:r>
        <w:rPr>
          <w:rFonts w:ascii="Times New Roman" w:hAnsi="Times New Roman" w:cs="Times New Roman" w:eastAsia="Times New Roman" w:hint="default"/>
        </w:rPr>
        <w:t>11.05%)</w:t>
      </w:r>
      <w:r>
        <w:rPr/>
        <w:t>，因债务纠纷被深圳市中级人民法院在中 </w:t>
      </w:r>
      <w:r>
        <w:rPr>
          <w:spacing w:val="-2"/>
        </w:rPr>
        <w:t>国证券登记结算有限责任公司深圳分公司冻结，冻结期限自</w:t>
      </w:r>
      <w:r>
        <w:rPr>
          <w:rFonts w:ascii="Times New Roman" w:hAnsi="Times New Roman" w:cs="Times New Roman" w:eastAsia="Times New Roman" w:hint="default"/>
          <w:spacing w:val="-2"/>
        </w:rPr>
        <w:t>2005</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2</w:t>
      </w:r>
      <w:r>
        <w:rPr>
          <w:spacing w:val="-2"/>
        </w:rPr>
        <w:t>日至</w:t>
      </w:r>
      <w:r>
        <w:rPr>
          <w:rFonts w:ascii="Times New Roman" w:hAnsi="Times New Roman" w:cs="Times New Roman" w:eastAsia="Times New Roman" w:hint="default"/>
          <w:spacing w:val="-2"/>
        </w:rPr>
        <w:t>2010</w:t>
      </w:r>
      <w:r>
        <w:rPr>
          <w:spacing w:val="-2"/>
        </w:rPr>
        <w:t>年</w:t>
      </w:r>
      <w:r>
        <w:rPr>
          <w:rFonts w:ascii="Times New Roman" w:hAnsi="Times New Roman" w:cs="Times New Roman" w:eastAsia="Times New Roman" w:hint="default"/>
          <w:spacing w:val="-2"/>
        </w:rPr>
        <w:t>5</w:t>
      </w:r>
      <w:r>
        <w:rPr>
          <w:spacing w:val="-2"/>
        </w:rPr>
        <w:t>月</w:t>
      </w:r>
      <w:r>
        <w:rPr>
          <w:spacing w:val="-83"/>
        </w:rPr>
        <w:t> </w:t>
      </w:r>
      <w:r>
        <w:rPr>
          <w:rFonts w:ascii="Times New Roman" w:hAnsi="Times New Roman" w:cs="Times New Roman" w:eastAsia="Times New Roman" w:hint="default"/>
        </w:rPr>
        <w:t>20</w:t>
      </w:r>
      <w:r>
        <w:rPr/>
        <w:t>日，并于</w:t>
      </w:r>
      <w:r>
        <w:rPr>
          <w:rFonts w:ascii="Times New Roman" w:hAnsi="Times New Roman" w:cs="Times New Roman" w:eastAsia="Times New Roman" w:hint="default"/>
        </w:rPr>
        <w:t>2006</w:t>
      </w:r>
      <w:r>
        <w:rPr/>
        <w:t>年</w:t>
      </w:r>
      <w:r>
        <w:rPr>
          <w:rFonts w:ascii="Times New Roman" w:hAnsi="Times New Roman" w:cs="Times New Roman" w:eastAsia="Times New Roman" w:hint="default"/>
        </w:rPr>
        <w:t>4</w:t>
      </w:r>
      <w:r>
        <w:rPr/>
        <w:t>月和</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5</w:t>
      </w:r>
      <w:r>
        <w:rPr/>
        <w:t>月被河南郑州市中级人民法院两次申请了轮侯冻结。</w:t>
      </w:r>
    </w:p>
    <w:p>
      <w:pPr>
        <w:spacing w:after="0" w:line="338" w:lineRule="auto"/>
        <w:jc w:val="both"/>
        <w:sectPr>
          <w:pgSz w:w="11910" w:h="16840"/>
          <w:pgMar w:header="0" w:footer="614" w:top="1320" w:bottom="800" w:left="1100" w:right="1160"/>
        </w:sectPr>
      </w:pPr>
    </w:p>
    <w:p>
      <w:pPr>
        <w:pStyle w:val="BodyText"/>
        <w:spacing w:line="338" w:lineRule="auto" w:before="13"/>
        <w:ind w:right="446"/>
        <w:jc w:val="left"/>
      </w:pPr>
      <w:r>
        <w:rPr>
          <w:rFonts w:ascii="Times New Roman" w:hAnsi="Times New Roman" w:cs="Times New Roman" w:eastAsia="Times New Roman" w:hint="default"/>
        </w:rPr>
        <w:t>2009</w:t>
      </w:r>
      <w:r>
        <w:rPr/>
        <w:t>年</w:t>
      </w:r>
      <w:r>
        <w:rPr>
          <w:rFonts w:ascii="Times New Roman" w:hAnsi="Times New Roman" w:cs="Times New Roman" w:eastAsia="Times New Roman" w:hint="default"/>
        </w:rPr>
        <w:t>4</w:t>
      </w:r>
      <w:r>
        <w:rPr/>
        <w:t>月，河南郑州市中级人民法院向中国证券登记结算有限责任公司深圳分公司注 销了两次轮侯冻结</w:t>
      </w:r>
      <w:r>
        <w:rPr>
          <w:color w:val="FF0000"/>
        </w:rPr>
        <w:t>。</w:t>
      </w:r>
      <w:r>
        <w:rPr/>
      </w:r>
    </w:p>
    <w:p>
      <w:pPr>
        <w:spacing w:line="240" w:lineRule="auto" w:before="0"/>
        <w:rPr>
          <w:rFonts w:ascii="宋体" w:hAnsi="宋体" w:cs="宋体" w:eastAsia="宋体" w:hint="default"/>
          <w:sz w:val="24"/>
          <w:szCs w:val="24"/>
        </w:rPr>
      </w:pPr>
    </w:p>
    <w:p>
      <w:pPr>
        <w:pStyle w:val="BodyText"/>
        <w:spacing w:line="240" w:lineRule="auto" w:before="209"/>
        <w:ind w:right="446"/>
        <w:jc w:val="left"/>
      </w:pPr>
      <w:r>
        <w:rPr>
          <w:rFonts w:ascii="Times New Roman" w:hAnsi="Times New Roman" w:cs="Times New Roman" w:eastAsia="Times New Roman" w:hint="default"/>
        </w:rPr>
        <w:t>3</w:t>
      </w:r>
      <w:r>
        <w:rPr/>
        <w:t>、公司控股股东基本情况</w:t>
      </w:r>
    </w:p>
    <w:p>
      <w:pPr>
        <w:pStyle w:val="BodyText"/>
        <w:spacing w:line="240" w:lineRule="auto"/>
        <w:ind w:right="446"/>
        <w:jc w:val="left"/>
      </w:pPr>
      <w:r>
        <w:rPr/>
        <w:t>（</w:t>
      </w:r>
      <w:r>
        <w:rPr>
          <w:rFonts w:ascii="Times New Roman" w:hAnsi="Times New Roman" w:cs="Times New Roman" w:eastAsia="Times New Roman" w:hint="default"/>
        </w:rPr>
        <w:t>1</w:t>
      </w:r>
      <w:r>
        <w:rPr/>
        <w:t>）基本情况</w:t>
      </w:r>
    </w:p>
    <w:p>
      <w:pPr>
        <w:pStyle w:val="BodyText"/>
        <w:spacing w:line="352" w:lineRule="auto"/>
        <w:ind w:right="393" w:firstLine="480"/>
        <w:jc w:val="both"/>
      </w:pPr>
      <w:r>
        <w:rPr>
          <w:spacing w:val="-2"/>
        </w:rPr>
        <w:t>方正延中传媒有限公司为公司第一大股东。法定代表人为卢旸；住所：上海市蓬莱</w:t>
      </w:r>
      <w:r>
        <w:rPr/>
        <w:t> 路</w:t>
      </w:r>
      <w:r>
        <w:rPr>
          <w:rFonts w:ascii="Times New Roman" w:hAnsi="Times New Roman" w:cs="Times New Roman" w:eastAsia="Times New Roman" w:hint="default"/>
        </w:rPr>
        <w:t>285</w:t>
      </w:r>
      <w:r>
        <w:rPr/>
        <w:t>弄</w:t>
      </w:r>
      <w:r>
        <w:rPr>
          <w:rFonts w:ascii="Times New Roman" w:hAnsi="Times New Roman" w:cs="Times New Roman" w:eastAsia="Times New Roman" w:hint="default"/>
        </w:rPr>
        <w:t>4</w:t>
      </w:r>
      <w:r>
        <w:rPr/>
        <w:t>号，成立时间</w:t>
      </w:r>
      <w:r>
        <w:rPr>
          <w:rFonts w:ascii="Times New Roman" w:hAnsi="Times New Roman" w:cs="Times New Roman" w:eastAsia="Times New Roman" w:hint="default"/>
        </w:rPr>
        <w:t>1995</w:t>
      </w:r>
      <w:r>
        <w:rPr/>
        <w:t>年</w:t>
      </w:r>
      <w:r>
        <w:rPr>
          <w:rFonts w:ascii="Times New Roman" w:hAnsi="Times New Roman" w:cs="Times New Roman" w:eastAsia="Times New Roman" w:hint="default"/>
        </w:rPr>
        <w:t>5</w:t>
      </w:r>
      <w:r>
        <w:rPr/>
        <w:t>月；注册资本</w:t>
      </w:r>
      <w:r>
        <w:rPr>
          <w:rFonts w:ascii="Times New Roman" w:hAnsi="Times New Roman" w:cs="Times New Roman" w:eastAsia="Times New Roman" w:hint="default"/>
        </w:rPr>
        <w:t>45000 </w:t>
      </w:r>
      <w:r>
        <w:rPr/>
        <w:t>万元；企业类型为有限责任公司； </w:t>
      </w:r>
      <w:r>
        <w:rPr>
          <w:spacing w:val="-9"/>
        </w:rPr>
        <w:t>经营范围为资产管理、实业投资、房地产开发与经营；计算机软硬件开发；国内贸易（除</w:t>
      </w:r>
      <w:r>
        <w:rPr>
          <w:spacing w:val="-93"/>
        </w:rPr>
        <w:t> </w:t>
      </w:r>
      <w:r>
        <w:rPr>
          <w:spacing w:val="-93"/>
        </w:rPr>
      </w:r>
      <w:r>
        <w:rPr>
          <w:spacing w:val="-2"/>
        </w:rPr>
        <w:t>专项审批）；自营或代理各类商品和技术的进出口，但国家限定公司经营或禁止进出口</w:t>
      </w:r>
      <w:r>
        <w:rPr>
          <w:spacing w:val="-95"/>
        </w:rPr>
        <w:t> </w:t>
      </w:r>
      <w:r>
        <w:rPr>
          <w:spacing w:val="-95"/>
        </w:rPr>
      </w:r>
      <w:r>
        <w:rPr>
          <w:spacing w:val="-2"/>
        </w:rPr>
        <w:t>的商品和技术除外；承接各类广告设计、制作；承办本公司所属场地发布国内广告；商</w:t>
      </w:r>
      <w:r>
        <w:rPr>
          <w:spacing w:val="-94"/>
        </w:rPr>
        <w:t> </w:t>
      </w:r>
      <w:r>
        <w:rPr>
          <w:spacing w:val="-94"/>
        </w:rPr>
      </w:r>
      <w:r>
        <w:rPr>
          <w:spacing w:val="-2"/>
        </w:rPr>
        <w:t>务、文化活动和策划、咨询服务；展示展览；礼仪和会务服务。（以上经营范围涉及行</w:t>
      </w:r>
      <w:r>
        <w:rPr>
          <w:spacing w:val="-97"/>
        </w:rPr>
        <w:t> </w:t>
      </w:r>
      <w:r>
        <w:rPr>
          <w:spacing w:val="-97"/>
        </w:rPr>
      </w:r>
      <w:r>
        <w:rPr>
          <w:spacing w:val="-2"/>
        </w:rPr>
        <w:t>政许可的，凭许可证件经营），经营期限：</w:t>
      </w:r>
      <w:r>
        <w:rPr>
          <w:rFonts w:ascii="Times New Roman" w:hAnsi="Times New Roman" w:cs="Times New Roman" w:eastAsia="Times New Roman" w:hint="default"/>
          <w:spacing w:val="-2"/>
        </w:rPr>
        <w:t>1995</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5</w:t>
      </w:r>
      <w:r>
        <w:rPr>
          <w:spacing w:val="-2"/>
        </w:rPr>
        <w:t>日至</w:t>
      </w:r>
      <w:r>
        <w:rPr>
          <w:rFonts w:ascii="Times New Roman" w:hAnsi="Times New Roman" w:cs="Times New Roman" w:eastAsia="Times New Roman" w:hint="default"/>
          <w:spacing w:val="-2"/>
        </w:rPr>
        <w:t>2009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04</w:t>
      </w:r>
      <w:r>
        <w:rPr>
          <w:spacing w:val="-2"/>
        </w:rPr>
        <w:t>日，延中传媒</w:t>
      </w:r>
      <w:r>
        <w:rPr>
          <w:spacing w:val="-82"/>
        </w:rPr>
        <w:t> </w:t>
      </w:r>
      <w:r>
        <w:rPr>
          <w:spacing w:val="-82"/>
        </w:rPr>
      </w:r>
      <w:r>
        <w:rPr/>
        <w:t>已通过</w:t>
      </w:r>
      <w:r>
        <w:rPr>
          <w:rFonts w:ascii="Times New Roman" w:hAnsi="Times New Roman" w:cs="Times New Roman" w:eastAsia="Times New Roman" w:hint="default"/>
        </w:rPr>
        <w:t>2008</w:t>
      </w:r>
      <w:r>
        <w:rPr/>
        <w:t>年度工商年检。</w:t>
      </w:r>
    </w:p>
    <w:p>
      <w:pPr>
        <w:spacing w:line="240" w:lineRule="auto" w:before="0"/>
        <w:rPr>
          <w:rFonts w:ascii="宋体" w:hAnsi="宋体" w:cs="宋体" w:eastAsia="宋体" w:hint="default"/>
          <w:sz w:val="24"/>
          <w:szCs w:val="24"/>
        </w:rPr>
      </w:pPr>
    </w:p>
    <w:p>
      <w:pPr>
        <w:pStyle w:val="BodyText"/>
        <w:spacing w:line="338" w:lineRule="auto" w:before="164"/>
        <w:ind w:left="478" w:right="3806" w:hanging="360"/>
        <w:jc w:val="left"/>
      </w:pPr>
      <w:r>
        <w:rPr/>
        <w:pict>
          <v:shape style="position:absolute;margin-left:70.919998pt;margin-top:92.055611pt;width:468pt;height:354.75pt;mso-position-horizontal-relative:page;mso-position-vertical-relative:paragraph;z-index:-455752"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36"/>
                    <w:ind w:left="0" w:right="299" w:firstLine="0"/>
                    <w:jc w:val="center"/>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xbxContent>
            </v:textbox>
            <w10:wrap type="none"/>
          </v:shape>
        </w:pict>
      </w:r>
      <w:r>
        <w:rPr/>
        <w:pict>
          <v:shape style="position:absolute;margin-left:70.919998pt;margin-top:92.055611pt;width:468.0pt;height:354.71998pt;mso-position-horizontal-relative:page;mso-position-vertical-relative:paragraph;z-index:1048" type="#_x0000_t75" stroked="false">
            <v:imagedata r:id="rId11" o:title=""/>
          </v:shape>
        </w:pict>
      </w:r>
      <w:r>
        <w:rPr/>
        <w:t>（</w:t>
      </w:r>
      <w:r>
        <w:rPr>
          <w:rFonts w:ascii="Times New Roman" w:hAnsi="Times New Roman" w:cs="Times New Roman" w:eastAsia="Times New Roman" w:hint="default"/>
        </w:rPr>
        <w:t>2</w:t>
      </w:r>
      <w:r>
        <w:rPr/>
        <w:t>）公司第一大股东情况 公司第一大股东与公司之间的产权和控制关系图：</w:t>
      </w:r>
    </w:p>
    <w:p>
      <w:pPr>
        <w:spacing w:after="0" w:line="338" w:lineRule="auto"/>
        <w:jc w:val="left"/>
        <w:sectPr>
          <w:footerReference w:type="default" r:id="rId10"/>
          <w:pgSz w:w="11910" w:h="16840"/>
          <w:pgMar w:footer="0" w:header="0" w:top="1500" w:bottom="0" w:left="1300" w:right="10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45" w:lineRule="auto" w:before="194"/>
        <w:ind w:right="111"/>
        <w:jc w:val="left"/>
      </w:pPr>
      <w:r>
        <w:rPr/>
        <w:t>（</w:t>
      </w:r>
      <w:r>
        <w:rPr>
          <w:rFonts w:ascii="Times New Roman" w:hAnsi="Times New Roman" w:cs="Times New Roman" w:eastAsia="Times New Roman" w:hint="default"/>
        </w:rPr>
        <w:t>3</w:t>
      </w:r>
      <w:r>
        <w:rPr/>
        <w:t>）实际控制人：北京新奥特集团有限公司（简称新奥特公司），法定代表人为陈崇 玉，住所：北京市海淀区北四环西路</w:t>
      </w:r>
      <w:r>
        <w:rPr>
          <w:rFonts w:ascii="Times New Roman" w:hAnsi="Times New Roman" w:cs="Times New Roman" w:eastAsia="Times New Roman" w:hint="default"/>
        </w:rPr>
        <w:t>52</w:t>
      </w:r>
      <w:r>
        <w:rPr/>
        <w:t>号七层，注册资本：</w:t>
      </w:r>
      <w:r>
        <w:rPr>
          <w:rFonts w:ascii="Times New Roman" w:hAnsi="Times New Roman" w:cs="Times New Roman" w:eastAsia="Times New Roman" w:hint="default"/>
        </w:rPr>
        <w:t>28000</w:t>
      </w:r>
      <w:r>
        <w:rPr/>
        <w:t>万元，其中上海圆融 担保租赁有限公司（简称上海圆融）持有</w:t>
      </w:r>
      <w:r>
        <w:rPr>
          <w:rFonts w:ascii="Times New Roman" w:hAnsi="Times New Roman" w:cs="Times New Roman" w:eastAsia="Times New Roman" w:hint="default"/>
        </w:rPr>
        <w:t>67</w:t>
      </w:r>
      <w:r>
        <w:rPr/>
        <w:t>％，成都华鼎文化发展有限公司（简称成都</w:t>
      </w:r>
      <w:r>
        <w:rPr>
          <w:spacing w:val="-1"/>
        </w:rPr>
        <w:t> </w:t>
      </w:r>
      <w:r>
        <w:rPr/>
        <w:t>华鼎）持有</w:t>
      </w:r>
      <w:r>
        <w:rPr>
          <w:rFonts w:ascii="Times New Roman" w:hAnsi="Times New Roman" w:cs="Times New Roman" w:eastAsia="Times New Roman" w:hint="default"/>
        </w:rPr>
        <w:t>33%</w:t>
      </w:r>
      <w:r>
        <w:rPr/>
        <w:t>。经营范围：电子产品、图形图像设备、财务软件、技术服务、销售； </w:t>
      </w:r>
      <w:r>
        <w:rPr>
          <w:spacing w:val="-5"/>
        </w:rPr>
        <w:t>财务管理咨询、货运咨询、对北京新奥特集团开发大楼进行物业管理、办公用房的租赁、</w:t>
      </w:r>
      <w:r>
        <w:rPr>
          <w:spacing w:val="-96"/>
        </w:rPr>
        <w:t> </w:t>
      </w:r>
      <w:r>
        <w:rPr>
          <w:spacing w:val="-96"/>
        </w:rPr>
      </w:r>
      <w:r>
        <w:rPr>
          <w:spacing w:val="-3"/>
        </w:rPr>
        <w:t>办公家具、工艺品销售、节能技术开发、技术转让；承办生产要素市场及为市场经营提</w:t>
      </w:r>
      <w:r>
        <w:rPr>
          <w:spacing w:val="-88"/>
        </w:rPr>
        <w:t> </w:t>
      </w:r>
      <w:r>
        <w:rPr>
          <w:spacing w:val="-88"/>
        </w:rPr>
      </w:r>
      <w:r>
        <w:rPr/>
        <w:t>供物业管理服务；自营和代理各类商品和技术的进出口；房地产开发；销售自行开发的</w:t>
      </w:r>
      <w:r>
        <w:rPr/>
        <w:t> 商品房；机动车公共停车场服务；中餐、饮料、酒。</w:t>
      </w:r>
    </w:p>
    <w:p>
      <w:pPr>
        <w:spacing w:line="240" w:lineRule="auto" w:before="0"/>
        <w:rPr>
          <w:rFonts w:ascii="宋体" w:hAnsi="宋体" w:cs="宋体" w:eastAsia="宋体" w:hint="default"/>
          <w:sz w:val="24"/>
          <w:szCs w:val="24"/>
        </w:rPr>
      </w:pPr>
    </w:p>
    <w:p>
      <w:pPr>
        <w:pStyle w:val="BodyText"/>
        <w:spacing w:line="345" w:lineRule="auto" w:before="202"/>
        <w:ind w:right="5446"/>
        <w:jc w:val="left"/>
      </w:pPr>
      <w:r>
        <w:rPr/>
        <w:t>（</w:t>
      </w:r>
      <w:r>
        <w:rPr>
          <w:rFonts w:ascii="Times New Roman" w:hAnsi="Times New Roman" w:cs="Times New Roman" w:eastAsia="Times New Roman" w:hint="default"/>
        </w:rPr>
        <w:t>4</w:t>
      </w:r>
      <w:r>
        <w:rPr/>
        <w:t>）潜在控股股东基本情况 公司名称：青岛亚星实业有限公司； 设立时间：</w:t>
      </w:r>
      <w:r>
        <w:rPr>
          <w:rFonts w:ascii="Times New Roman" w:hAnsi="Times New Roman" w:cs="Times New Roman" w:eastAsia="Times New Roman" w:hint="default"/>
        </w:rPr>
        <w:t>1994</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6</w:t>
      </w:r>
      <w:r>
        <w:rPr/>
        <w:t>日； 注册资本：</w:t>
      </w:r>
      <w:r>
        <w:rPr>
          <w:rFonts w:ascii="Times New Roman" w:hAnsi="Times New Roman" w:cs="Times New Roman" w:eastAsia="Times New Roman" w:hint="default"/>
        </w:rPr>
        <w:t>16000</w:t>
      </w:r>
      <w:r>
        <w:rPr/>
        <w:t>万元；</w:t>
      </w:r>
    </w:p>
    <w:p>
      <w:pPr>
        <w:pStyle w:val="BodyText"/>
        <w:spacing w:line="338" w:lineRule="auto" w:before="19"/>
        <w:ind w:right="343"/>
        <w:jc w:val="left"/>
      </w:pPr>
      <w:r>
        <w:rPr/>
        <w:t>注册地址：青岛市市南区东海西路</w:t>
      </w:r>
      <w:r>
        <w:rPr>
          <w:rFonts w:ascii="Times New Roman" w:hAnsi="Times New Roman" w:cs="Times New Roman" w:eastAsia="Times New Roman" w:hint="default"/>
        </w:rPr>
        <w:t>43</w:t>
      </w:r>
      <w:r>
        <w:rPr/>
        <w:t>号凯旋大厦东塔</w:t>
      </w:r>
      <w:r>
        <w:rPr>
          <w:rFonts w:ascii="Times New Roman" w:hAnsi="Times New Roman" w:cs="Times New Roman" w:eastAsia="Times New Roman" w:hint="default"/>
        </w:rPr>
        <w:t>15</w:t>
      </w:r>
      <w:r>
        <w:rPr/>
        <w:t>楼 法定代表人：姜剑，注册号码：</w:t>
      </w:r>
      <w:r>
        <w:rPr>
          <w:rFonts w:ascii="Times New Roman" w:hAnsi="Times New Roman" w:cs="Times New Roman" w:eastAsia="Times New Roman" w:hint="default"/>
        </w:rPr>
        <w:t>3702002806212</w:t>
      </w:r>
      <w:r>
        <w:rPr/>
        <w:t>，组织机构代码：</w:t>
      </w:r>
      <w:r>
        <w:rPr>
          <w:rFonts w:ascii="Times New Roman" w:hAnsi="Times New Roman" w:cs="Times New Roman" w:eastAsia="Times New Roman" w:hint="default"/>
        </w:rPr>
        <w:t>26459132-6</w:t>
      </w:r>
      <w:r>
        <w:rPr/>
        <w:t>，国税地 税登记注册号：</w:t>
      </w:r>
      <w:r>
        <w:rPr>
          <w:rFonts w:ascii="Times New Roman" w:hAnsi="Times New Roman" w:cs="Times New Roman" w:eastAsia="Times New Roman" w:hint="default"/>
        </w:rPr>
        <w:t>370202264591326</w:t>
      </w:r>
      <w:r>
        <w:rPr/>
        <w:t>，</w:t>
      </w:r>
    </w:p>
    <w:p>
      <w:pPr>
        <w:pStyle w:val="BodyText"/>
        <w:spacing w:line="357" w:lineRule="auto" w:before="27"/>
        <w:ind w:right="111"/>
        <w:jc w:val="left"/>
      </w:pPr>
      <w:r>
        <w:rPr/>
        <w:t>企业类型和经济性质：有限责任公司 </w:t>
      </w:r>
      <w:r>
        <w:rPr>
          <w:spacing w:val="-3"/>
        </w:rPr>
        <w:t>经营范围：批发、零售：金属材料（不含贵重金属），建筑装饰材料，机电产品，汽车</w:t>
      </w:r>
      <w:r>
        <w:rPr/>
      </w:r>
    </w:p>
    <w:p>
      <w:pPr>
        <w:pStyle w:val="BodyText"/>
        <w:spacing w:line="240" w:lineRule="auto" w:before="36"/>
        <w:ind w:right="111"/>
        <w:jc w:val="left"/>
      </w:pPr>
      <w:r>
        <w:rPr>
          <w:spacing w:val="-3"/>
        </w:rPr>
        <w:t>（不含小轿车），摩托车，木材，化工产品（不含危险品），五金交电，办公自动化设</w:t>
      </w:r>
      <w:r>
        <w:rPr/>
      </w:r>
    </w:p>
    <w:p>
      <w:pPr>
        <w:spacing w:after="0" w:line="240" w:lineRule="auto"/>
        <w:jc w:val="left"/>
        <w:sectPr>
          <w:footerReference w:type="default" r:id="rId12"/>
          <w:pgSz w:w="11910" w:h="16840"/>
          <w:pgMar w:footer="594" w:header="0" w:top="1600" w:bottom="780" w:left="1300" w:right="1180"/>
          <w:pgNumType w:start="12"/>
        </w:sectPr>
      </w:pPr>
    </w:p>
    <w:p>
      <w:pPr>
        <w:pStyle w:val="BodyText"/>
        <w:spacing w:line="350" w:lineRule="auto" w:before="13"/>
        <w:ind w:right="346"/>
        <w:jc w:val="left"/>
        <w:rPr>
          <w:rFonts w:ascii="Times New Roman" w:hAnsi="Times New Roman" w:cs="Times New Roman" w:eastAsia="Times New Roman" w:hint="default"/>
        </w:rPr>
      </w:pPr>
      <w:r>
        <w:rPr/>
        <w:t>备，百货；电子产品及机械配套产品、包装容器开发、生产；劳务服务；房地产开发、 经营（以上范围需要经营许可证的，须凭许可证经营）。 营业期限：</w:t>
      </w:r>
      <w:r>
        <w:rPr>
          <w:rFonts w:ascii="Times New Roman" w:hAnsi="Times New Roman" w:cs="Times New Roman" w:eastAsia="Times New Roman" w:hint="default"/>
        </w:rPr>
        <w:t>1994</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6</w:t>
      </w:r>
      <w:r>
        <w:rPr/>
        <w:t>日至</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31</w:t>
      </w:r>
      <w:r>
        <w:rPr/>
        <w:t>日，公司通讯地址：青岛市市南区东海西路</w:t>
      </w:r>
      <w:r>
        <w:rPr>
          <w:rFonts w:ascii="Times New Roman" w:hAnsi="Times New Roman" w:cs="Times New Roman" w:eastAsia="Times New Roman" w:hint="default"/>
        </w:rPr>
        <w:t>43 </w:t>
      </w:r>
      <w:r>
        <w:rPr/>
        <w:t>号凯旋大厦东塔</w:t>
      </w:r>
      <w:r>
        <w:rPr>
          <w:rFonts w:ascii="Times New Roman" w:hAnsi="Times New Roman" w:cs="Times New Roman" w:eastAsia="Times New Roman" w:hint="default"/>
        </w:rPr>
        <w:t>15</w:t>
      </w:r>
      <w:r>
        <w:rPr/>
        <w:t>楼，邮编：</w:t>
      </w:r>
      <w:r>
        <w:rPr>
          <w:rFonts w:ascii="Times New Roman" w:hAnsi="Times New Roman" w:cs="Times New Roman" w:eastAsia="Times New Roman" w:hint="default"/>
        </w:rPr>
        <w:t>266071</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BodyText"/>
        <w:spacing w:line="240" w:lineRule="auto" w:before="145"/>
        <w:ind w:right="346"/>
        <w:jc w:val="left"/>
      </w:pPr>
      <w:r>
        <w:rPr/>
        <w:pict>
          <v:group style="position:absolute;margin-left:149.700455pt;margin-top:85.450943pt;width:158.9pt;height:78.4pt;mso-position-horizontal-relative:page;mso-position-vertical-relative:paragraph;z-index:-455104" coordorigin="2994,1709" coordsize="3178,1568">
            <v:group style="position:absolute;left:3215;top:1717;width:1080;height:624" coordorigin="3215,1717" coordsize="1080,624">
              <v:shape style="position:absolute;left:3215;top:1717;width:1080;height:624" coordorigin="3215,1717" coordsize="1080,624" path="m4295,1717l3215,1717,3215,2341,4295,2341,4295,1717xe" filled="false" stroked="true" strokeweight=".75pt" strokecolor="#000000">
                <v:path arrowok="t"/>
              </v:shape>
            </v:group>
            <v:group style="position:absolute;left:4838;top:1717;width:1080;height:624" coordorigin="4838,1717" coordsize="1080,624">
              <v:shape style="position:absolute;left:4838;top:1717;width:1080;height:624" coordorigin="4838,1717" coordsize="1080,624" path="m5918,1717l4838,1717,4838,2341,5918,2341,5918,1717xe" filled="false" stroked="true" strokeweight=".75pt" strokecolor="#000000">
                <v:path arrowok="t"/>
              </v:shape>
            </v:group>
            <v:group style="position:absolute;left:3758;top:2341;width:1620;height:468" coordorigin="3758,2341" coordsize="1620,468">
              <v:shape style="position:absolute;left:3758;top:2341;width:1620;height:468" coordorigin="3758,2341" coordsize="1620,468" path="m3758,2341l3758,2809,5378,2809e" filled="false" stroked="true" strokeweight=".75pt" strokecolor="#000000">
                <v:path arrowok="t"/>
              </v:shape>
            </v:group>
            <v:group style="position:absolute;left:5378;top:2341;width:2;height:468" coordorigin="5378,2341" coordsize="2,468">
              <v:shape style="position:absolute;left:5378;top:2341;width:2;height:468" coordorigin="5378,2341" coordsize="0,468" path="m5378,2341l5378,2809e" filled="false" stroked="true" strokeweight=".75pt" strokecolor="#000000">
                <v:path arrowok="t"/>
              </v:shape>
            </v:group>
            <v:group style="position:absolute;left:4538;top:2801;width:120;height:476" coordorigin="4538,2801" coordsize="120,476">
              <v:shape style="position:absolute;left:4538;top:2801;width:120;height:476" coordorigin="4538,2801" coordsize="120,476" path="m4590,3157l4538,3157,4598,3277,4645,3184,4598,3184,4592,3182,4590,3176,4590,3157xe" filled="true" fillcolor="#000000" stroked="false">
                <v:path arrowok="t"/>
                <v:fill type="solid"/>
              </v:shape>
              <v:shape style="position:absolute;left:4538;top:2801;width:120;height:476" coordorigin="4538,2801" coordsize="120,476" path="m4598,2801l4592,2803,4590,2809,4590,3176,4592,3182,4598,3184,4603,3182,4606,3176,4606,2809,4603,2803,4598,2801xe" filled="true" fillcolor="#000000" stroked="false">
                <v:path arrowok="t"/>
                <v:fill type="solid"/>
              </v:shape>
              <v:shape style="position:absolute;left:4538;top:2801;width:120;height:476" coordorigin="4538,2801" coordsize="120,476" path="m4658,3157l4606,3157,4606,3176,4603,3182,4598,3184,4645,3184,4658,3157xe" filled="true" fillcolor="#000000" stroked="false">
                <v:path arrowok="t"/>
                <v:fill type="solid"/>
              </v:shape>
              <v:shape style="position:absolute;left:3215;top:1717;width:1080;height:624" type="#_x0000_t202" filled="false" stroked="false">
                <v:textbox inset="0,0,0,0">
                  <w:txbxContent>
                    <w:p>
                      <w:pPr>
                        <w:spacing w:before="64"/>
                        <w:ind w:left="331" w:right="0" w:firstLine="0"/>
                        <w:jc w:val="left"/>
                        <w:rPr>
                          <w:rFonts w:ascii="宋体" w:hAnsi="宋体" w:cs="宋体" w:eastAsia="宋体" w:hint="default"/>
                          <w:sz w:val="21"/>
                          <w:szCs w:val="21"/>
                        </w:rPr>
                      </w:pPr>
                      <w:r>
                        <w:rPr>
                          <w:rFonts w:ascii="宋体" w:hAnsi="宋体" w:cs="宋体" w:eastAsia="宋体" w:hint="default"/>
                          <w:sz w:val="21"/>
                          <w:szCs w:val="21"/>
                        </w:rPr>
                        <w:t>姜剑</w:t>
                      </w:r>
                    </w:p>
                  </w:txbxContent>
                </v:textbox>
                <w10:wrap type="none"/>
              </v:shape>
              <v:shape style="position:absolute;left:4838;top:1717;width:1080;height:624" type="#_x0000_t202" filled="false" stroked="false">
                <v:textbox inset="0,0,0,0">
                  <w:txbxContent>
                    <w:p>
                      <w:pPr>
                        <w:spacing w:before="64"/>
                        <w:ind w:left="151" w:right="0" w:firstLine="0"/>
                        <w:jc w:val="left"/>
                        <w:rPr>
                          <w:rFonts w:ascii="宋体" w:hAnsi="宋体" w:cs="宋体" w:eastAsia="宋体" w:hint="default"/>
                          <w:sz w:val="21"/>
                          <w:szCs w:val="21"/>
                        </w:rPr>
                      </w:pPr>
                      <w:r>
                        <w:rPr>
                          <w:rFonts w:ascii="宋体" w:hAnsi="宋体" w:cs="宋体" w:eastAsia="宋体" w:hint="default"/>
                          <w:sz w:val="21"/>
                          <w:szCs w:val="21"/>
                        </w:rPr>
                        <w:t>朱兰英</w:t>
                      </w:r>
                    </w:p>
                  </w:txbxContent>
                </v:textbox>
                <w10:wrap type="none"/>
              </v:shape>
              <v:shape style="position:absolute;left:2994;top:2506;width:649;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50.89%</w:t>
                      </w:r>
                    </w:p>
                  </w:txbxContent>
                </v:textbox>
                <w10:wrap type="none"/>
              </v:shape>
              <v:shape style="position:absolute;left:5531;top:2506;width:64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2"/>
                          <w:sz w:val="21"/>
                        </w:rPr>
                        <w:t>49.11%</w:t>
                      </w:r>
                    </w:p>
                  </w:txbxContent>
                </v:textbox>
                <w10:wrap type="none"/>
              </v:shape>
            </v:group>
            <w10:wrap type="none"/>
          </v:group>
        </w:pict>
      </w:r>
      <w:r>
        <w:rPr/>
        <w:t>（</w:t>
      </w:r>
      <w:r>
        <w:rPr>
          <w:rFonts w:ascii="Times New Roman" w:hAnsi="Times New Roman" w:cs="Times New Roman" w:eastAsia="Times New Roman" w:hint="default"/>
        </w:rPr>
        <w:t>5</w:t>
      </w:r>
      <w:r>
        <w:rPr/>
        <w:t>）潜在控股股东的股权结构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0"/>
          <w:szCs w:val="10"/>
        </w:rPr>
      </w:pPr>
    </w:p>
    <w:p>
      <w:pPr>
        <w:spacing w:line="1567" w:lineRule="exact"/>
        <w:ind w:left="5690"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135.75pt;height:78.4pt;mso-position-horizontal-relative:char;mso-position-vertical-relative:line" coordorigin="0,0" coordsize="2715,1568">
            <v:group style="position:absolute;left:8;top:8;width:1080;height:624" coordorigin="8,8" coordsize="1080,624">
              <v:shape style="position:absolute;left:8;top:8;width:1080;height:624" coordorigin="8,8" coordsize="1080,624" path="m1088,8l8,8,8,631,1088,631,1088,8xe" filled="false" stroked="true" strokeweight=".75pt" strokecolor="#000000">
                <v:path arrowok="t"/>
              </v:shape>
            </v:group>
            <v:group style="position:absolute;left:548;top:632;width:2;height:468" coordorigin="548,632" coordsize="2,468">
              <v:shape style="position:absolute;left:548;top:632;width:2;height:468" coordorigin="548,632" coordsize="0,468" path="m548,632l548,1100e" filled="false" stroked="true" strokeweight=".75pt" strokecolor="#000000">
                <v:path arrowok="t"/>
              </v:shape>
            </v:group>
            <v:group style="position:absolute;left:1628;top:8;width:1080;height:624" coordorigin="1628,8" coordsize="1080,624">
              <v:shape style="position:absolute;left:1628;top:8;width:1080;height:624" coordorigin="1628,8" coordsize="1080,624" path="m2708,8l1628,8,1628,631,2708,631,2708,8xe" filled="false" stroked="true" strokeweight=".75pt" strokecolor="#000000">
                <v:path arrowok="t"/>
              </v:shape>
            </v:group>
            <v:group style="position:absolute;left:2168;top:632;width:2;height:468" coordorigin="2168,632" coordsize="2,468">
              <v:shape style="position:absolute;left:2168;top:632;width:2;height:468" coordorigin="2168,632" coordsize="0,468" path="m2168,632l2168,1100e" filled="false" stroked="true" strokeweight=".75pt" strokecolor="#000000">
                <v:path arrowok="t"/>
              </v:shape>
            </v:group>
            <v:group style="position:absolute;left:548;top:1099;width:1620;height:2" coordorigin="548,1099" coordsize="1620,2">
              <v:shape style="position:absolute;left:548;top:1099;width:1620;height:2" coordorigin="548,1099" coordsize="1620,0" path="m548,1099l2168,1099e" filled="false" stroked="true" strokeweight=".75pt" strokecolor="#000000">
                <v:path arrowok="t"/>
              </v:shape>
            </v:group>
            <v:group style="position:absolute;left:1312;top:1092;width:120;height:476" coordorigin="1312,1092" coordsize="120,476">
              <v:shape style="position:absolute;left:1312;top:1092;width:120;height:476" coordorigin="1312,1092" coordsize="120,476" path="m1365,1448l1312,1448,1372,1568,1418,1475,1372,1475,1367,1473,1365,1468,1365,1448xe" filled="true" fillcolor="#000000" stroked="false">
                <v:path arrowok="t"/>
                <v:fill type="solid"/>
              </v:shape>
              <v:shape style="position:absolute;left:1312;top:1092;width:120;height:476" coordorigin="1312,1092" coordsize="120,476" path="m1372,1092l1367,1095,1365,1100,1365,1468,1367,1473,1372,1475,1378,1473,1379,1468,1379,1100,1378,1095,1372,1092xe" filled="true" fillcolor="#000000" stroked="false">
                <v:path arrowok="t"/>
                <v:fill type="solid"/>
              </v:shape>
              <v:shape style="position:absolute;left:1312;top:1092;width:120;height:476" coordorigin="1312,1092" coordsize="120,476" path="m1432,1448l1379,1448,1379,1468,1378,1473,1372,1475,1418,1475,1432,1448xe" filled="true" fillcolor="#000000" stroked="false">
                <v:path arrowok="t"/>
                <v:fill type="solid"/>
              </v:shape>
              <v:shape style="position:absolute;left:8;top:8;width:1080;height:624" type="#_x0000_t202" filled="false" stroked="false">
                <v:textbox inset="0,0,0,0">
                  <w:txbxContent>
                    <w:p>
                      <w:pPr>
                        <w:spacing w:before="64"/>
                        <w:ind w:left="151" w:right="0" w:firstLine="0"/>
                        <w:jc w:val="left"/>
                        <w:rPr>
                          <w:rFonts w:ascii="宋体" w:hAnsi="宋体" w:cs="宋体" w:eastAsia="宋体" w:hint="default"/>
                          <w:sz w:val="21"/>
                          <w:szCs w:val="21"/>
                        </w:rPr>
                      </w:pPr>
                      <w:r>
                        <w:rPr>
                          <w:rFonts w:ascii="宋体" w:hAnsi="宋体" w:cs="宋体" w:eastAsia="宋体" w:hint="default"/>
                          <w:sz w:val="21"/>
                          <w:szCs w:val="21"/>
                        </w:rPr>
                        <w:t>姜剑</w:t>
                      </w:r>
                    </w:p>
                  </w:txbxContent>
                </v:textbox>
                <w10:wrap type="none"/>
              </v:shape>
              <v:shape style="position:absolute;left:1628;top:8;width:1080;height:624" type="#_x0000_t202" filled="false" stroked="false">
                <v:textbox inset="0,0,0,0">
                  <w:txbxContent>
                    <w:p>
                      <w:pPr>
                        <w:spacing w:before="64"/>
                        <w:ind w:left="151" w:right="0" w:firstLine="0"/>
                        <w:jc w:val="left"/>
                        <w:rPr>
                          <w:rFonts w:ascii="宋体" w:hAnsi="宋体" w:cs="宋体" w:eastAsia="宋体" w:hint="default"/>
                          <w:sz w:val="21"/>
                          <w:szCs w:val="21"/>
                        </w:rPr>
                      </w:pPr>
                      <w:r>
                        <w:rPr>
                          <w:rFonts w:ascii="宋体" w:hAnsi="宋体" w:cs="宋体" w:eastAsia="宋体" w:hint="default"/>
                          <w:sz w:val="21"/>
                          <w:szCs w:val="21"/>
                        </w:rPr>
                        <w:t>朱兰英</w:t>
                      </w:r>
                    </w:p>
                  </w:txbxContent>
                </v:textbox>
                <w10:wrap type="none"/>
              </v:shape>
              <v:shape style="position:absolute;left:20;top:849;width:38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90%</w:t>
                      </w:r>
                    </w:p>
                  </w:txbxContent>
                </v:textbox>
                <w10:wrap type="none"/>
              </v:shape>
              <v:shape style="position:absolute;left:2294;top:849;width:387;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10%</w:t>
                      </w:r>
                    </w:p>
                  </w:txbxContent>
                </v:textbox>
                <w10:wrap type="none"/>
              </v:shape>
            </v:group>
          </v:group>
        </w:pict>
      </w:r>
      <w:r>
        <w:rPr>
          <w:rFonts w:ascii="宋体" w:hAnsi="宋体" w:cs="宋体" w:eastAsia="宋体" w:hint="default"/>
          <w:position w:val="-30"/>
          <w:sz w:val="20"/>
          <w:szCs w:val="20"/>
        </w:rPr>
      </w:r>
    </w:p>
    <w:p>
      <w:pPr>
        <w:spacing w:line="240" w:lineRule="auto" w:before="5"/>
        <w:rPr>
          <w:rFonts w:ascii="宋体" w:hAnsi="宋体" w:cs="宋体" w:eastAsia="宋体" w:hint="default"/>
          <w:sz w:val="3"/>
          <w:szCs w:val="3"/>
        </w:rPr>
      </w:pPr>
    </w:p>
    <w:tbl>
      <w:tblPr>
        <w:tblW w:w="0" w:type="auto"/>
        <w:jc w:val="left"/>
        <w:tblInd w:w="1670" w:type="dxa"/>
        <w:tblLayout w:type="fixed"/>
        <w:tblCellMar>
          <w:top w:w="0" w:type="dxa"/>
          <w:left w:w="0" w:type="dxa"/>
          <w:bottom w:w="0" w:type="dxa"/>
          <w:right w:w="0" w:type="dxa"/>
        </w:tblCellMar>
        <w:tblLook w:val="01E0"/>
      </w:tblPr>
      <w:tblGrid>
        <w:gridCol w:w="1620"/>
        <w:gridCol w:w="1620"/>
        <w:gridCol w:w="554"/>
        <w:gridCol w:w="1620"/>
        <w:gridCol w:w="1620"/>
      </w:tblGrid>
      <w:tr>
        <w:trPr>
          <w:trHeight w:val="624" w:hRule="exact"/>
        </w:trPr>
        <w:tc>
          <w:tcPr>
            <w:tcW w:w="324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left="143" w:right="0"/>
              <w:jc w:val="left"/>
              <w:rPr>
                <w:rFonts w:ascii="宋体" w:hAnsi="宋体" w:cs="宋体" w:eastAsia="宋体" w:hint="default"/>
                <w:sz w:val="21"/>
                <w:szCs w:val="21"/>
              </w:rPr>
            </w:pPr>
            <w:r>
              <w:rPr>
                <w:rFonts w:ascii="宋体" w:hAnsi="宋体" w:cs="宋体" w:eastAsia="宋体" w:hint="default"/>
                <w:sz w:val="21"/>
                <w:szCs w:val="21"/>
              </w:rPr>
              <w:t>北京天和智远投资有限公司</w:t>
            </w:r>
          </w:p>
        </w:tc>
        <w:tc>
          <w:tcPr>
            <w:tcW w:w="554" w:type="dxa"/>
            <w:tcBorders>
              <w:top w:val="nil" w:sz="6" w:space="0" w:color="auto"/>
              <w:left w:val="single" w:sz="6" w:space="0" w:color="000000"/>
              <w:bottom w:val="nil" w:sz="6" w:space="0" w:color="auto"/>
              <w:right w:val="single" w:sz="6" w:space="0" w:color="000000"/>
            </w:tcBorders>
          </w:tcPr>
          <w:p>
            <w:pPr/>
          </w:p>
        </w:tc>
        <w:tc>
          <w:tcPr>
            <w:tcW w:w="324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left="144" w:right="0"/>
              <w:jc w:val="left"/>
              <w:rPr>
                <w:rFonts w:ascii="宋体" w:hAnsi="宋体" w:cs="宋体" w:eastAsia="宋体" w:hint="default"/>
                <w:sz w:val="21"/>
                <w:szCs w:val="21"/>
              </w:rPr>
            </w:pPr>
            <w:r>
              <w:rPr>
                <w:rFonts w:ascii="宋体" w:hAnsi="宋体" w:cs="宋体" w:eastAsia="宋体" w:hint="default"/>
                <w:sz w:val="21"/>
                <w:szCs w:val="21"/>
              </w:rPr>
              <w:t>上海信泽至恒投资有限公司</w:t>
            </w:r>
          </w:p>
        </w:tc>
      </w:tr>
      <w:tr>
        <w:trPr>
          <w:trHeight w:val="638" w:hRule="exact"/>
        </w:trPr>
        <w:tc>
          <w:tcPr>
            <w:tcW w:w="1620" w:type="dxa"/>
            <w:tcBorders>
              <w:top w:val="single" w:sz="6" w:space="0" w:color="000000"/>
              <w:left w:val="nil" w:sz="6" w:space="0" w:color="auto"/>
              <w:bottom w:val="nil" w:sz="6" w:space="0" w:color="auto"/>
              <w:right w:val="single" w:sz="6" w:space="0" w:color="000000"/>
            </w:tcBorders>
          </w:tcPr>
          <w:p>
            <w:pPr/>
          </w:p>
        </w:tc>
        <w:tc>
          <w:tcPr>
            <w:tcW w:w="3794" w:type="dxa"/>
            <w:gridSpan w:val="3"/>
            <w:tcBorders>
              <w:top w:val="single" w:sz="6" w:space="0" w:color="000000"/>
              <w:left w:val="single" w:sz="6" w:space="0" w:color="000000"/>
              <w:bottom w:val="single" w:sz="6" w:space="0" w:color="000000"/>
              <w:right w:val="single" w:sz="6" w:space="0" w:color="000000"/>
            </w:tcBorders>
          </w:tcPr>
          <w:p>
            <w:pPr/>
          </w:p>
        </w:tc>
        <w:tc>
          <w:tcPr>
            <w:tcW w:w="1620" w:type="dxa"/>
            <w:tcBorders>
              <w:top w:val="single" w:sz="6" w:space="0" w:color="000000"/>
              <w:left w:val="single" w:sz="6" w:space="0" w:color="000000"/>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9"/>
          <w:szCs w:val="29"/>
        </w:rPr>
      </w:pPr>
    </w:p>
    <w:p>
      <w:pPr>
        <w:spacing w:before="73"/>
        <w:ind w:left="854" w:right="346" w:firstLine="0"/>
        <w:jc w:val="left"/>
        <w:rPr>
          <w:rFonts w:ascii="Times New Roman" w:hAnsi="Times New Roman" w:cs="Times New Roman" w:eastAsia="Times New Roman" w:hint="default"/>
          <w:sz w:val="21"/>
          <w:szCs w:val="21"/>
        </w:rPr>
      </w:pPr>
      <w:r>
        <w:rPr/>
        <w:pict>
          <v:group style="position:absolute;margin-left:97.919998pt;margin-top:-189.343506pt;width:441.4pt;height:265.6pt;mso-position-horizontal-relative:page;mso-position-vertical-relative:paragraph;z-index:-455224" coordorigin="1958,-3787" coordsize="8828,5312">
            <v:group style="position:absolute;left:2858;top:147;width:1800;height:2" coordorigin="2858,147" coordsize="1800,2">
              <v:shape style="position:absolute;left:2858;top:147;width:1800;height:2" coordorigin="2858,147" coordsize="1800,0" path="m2858,147l4658,147e" filled="false" stroked="true" strokeweight=".75pt" strokecolor="#000000">
                <v:path arrowok="t"/>
              </v:shape>
            </v:group>
            <v:group style="position:absolute;left:10763;top:-2973;width:16;height:3120" coordorigin="10763,-2973" coordsize="16,3120">
              <v:shape style="position:absolute;left:10763;top:-2973;width:16;height:3120" coordorigin="10763,-2973" coordsize="16,3120" path="m10763,-2973l10778,147e" filled="false" stroked="true" strokeweight=".75pt" strokecolor="#000000">
                <v:path arrowok="t"/>
              </v:shape>
            </v:group>
            <v:group style="position:absolute;left:8033;top:-3000;width:2730;height:2" coordorigin="8033,-3000" coordsize="2730,2">
              <v:shape style="position:absolute;left:8033;top:-3000;width:2730;height:2" coordorigin="8033,-3000" coordsize="2730,0" path="m8033,-3000l10763,-3000e" filled="false" stroked="true" strokeweight=".75pt" strokecolor="#000000">
                <v:path arrowok="t"/>
              </v:shape>
            </v:group>
            <v:group style="position:absolute;left:6398;top:-3787;width:120;height:476" coordorigin="6398,-3787" coordsize="120,476">
              <v:shape style="position:absolute;left:6398;top:-3787;width:120;height:476" coordorigin="6398,-3787" coordsize="120,476" path="m6450,-3432l6398,-3432,6458,-3312,6505,-3404,6458,-3404,6452,-3406,6450,-3412,6450,-3432xe" filled="true" fillcolor="#000000" stroked="false">
                <v:path arrowok="t"/>
                <v:fill type="solid"/>
              </v:shape>
              <v:shape style="position:absolute;left:6398;top:-3787;width:120;height:476" coordorigin="6398,-3787" coordsize="120,476" path="m6458,-3787l6452,-3786,6450,-3780,6450,-3412,6452,-3406,6458,-3404,6463,-3406,6466,-3412,6466,-3780,6463,-3786,6458,-3787xe" filled="true" fillcolor="#000000" stroked="false">
                <v:path arrowok="t"/>
                <v:fill type="solid"/>
              </v:shape>
              <v:shape style="position:absolute;left:6398;top:-3787;width:120;height:476" coordorigin="6398,-3787" coordsize="120,476" path="m6518,-3432l6466,-3432,6466,-3412,6463,-3406,6458,-3404,6505,-3404,6518,-3432xe" filled="true" fillcolor="#000000" stroked="false">
                <v:path arrowok="t"/>
                <v:fill type="solid"/>
              </v:shape>
            </v:group>
            <v:group style="position:absolute;left:4988;top:-3312;width:3060;height:624" coordorigin="4988,-3312" coordsize="3060,624">
              <v:shape style="position:absolute;left:4988;top:-3312;width:3060;height:624" coordorigin="4988,-3312" coordsize="3060,624" path="m8048,-3312l4988,-3312,4988,-2688,8048,-2688,8048,-3312xe" filled="false" stroked="true" strokeweight=".75pt" strokecolor="#000000">
                <v:path arrowok="t"/>
              </v:shape>
            </v:group>
            <v:group style="position:absolute;left:6458;top:-2688;width:2;height:780" coordorigin="6458,-2688" coordsize="2,780">
              <v:shape style="position:absolute;left:6458;top:-2688;width:2;height:780" coordorigin="6458,-2688" coordsize="0,780" path="m6458,-2688l6458,-1908e" filled="false" stroked="true" strokeweight=".75pt" strokecolor="#000000">
                <v:path arrowok="t"/>
              </v:shape>
            </v:group>
            <v:group style="position:absolute;left:3758;top:-1908;width:5580;height:2" coordorigin="3758,-1908" coordsize="5580,2">
              <v:shape style="position:absolute;left:3758;top:-1908;width:5580;height:2" coordorigin="3758,-1908" coordsize="5580,0" path="m3758,-1908l9338,-1908e" filled="false" stroked="true" strokeweight=".75pt" strokecolor="#000000">
                <v:path arrowok="t"/>
              </v:shape>
            </v:group>
            <v:group style="position:absolute;left:3038;top:-1128;width:1440;height:780" coordorigin="3038,-1128" coordsize="1440,780">
              <v:shape style="position:absolute;left:3038;top:-1128;width:1440;height:780" coordorigin="3038,-1128" coordsize="1440,780" path="m4478,-1128l3038,-1128,3038,-348,4478,-348,4478,-1128xe" filled="false" stroked="true" strokeweight=".75pt" strokecolor="#000000">
                <v:path arrowok="t"/>
              </v:shape>
            </v:group>
            <v:group style="position:absolute;left:3758;top:-1908;width:2;height:780" coordorigin="3758,-1908" coordsize="2,780">
              <v:shape style="position:absolute;left:3758;top:-1908;width:2;height:780" coordorigin="3758,-1908" coordsize="0,780" path="m3758,-1908l3758,-1128e" filled="false" stroked="true" strokeweight=".75pt" strokecolor="#000000">
                <v:path arrowok="t"/>
              </v:shape>
            </v:group>
            <v:group style="position:absolute;left:5738;top:-1128;width:1440;height:780" coordorigin="5738,-1128" coordsize="1440,780">
              <v:shape style="position:absolute;left:5738;top:-1128;width:1440;height:780" coordorigin="5738,-1128" coordsize="1440,780" path="m7178,-1128l5738,-1128,5738,-348,7178,-348,7178,-1128xe" filled="false" stroked="true" strokeweight=".75pt" strokecolor="#000000">
                <v:path arrowok="t"/>
              </v:shape>
            </v:group>
            <v:group style="position:absolute;left:6458;top:-1908;width:2;height:780" coordorigin="6458,-1908" coordsize="2,780">
              <v:shape style="position:absolute;left:6458;top:-1908;width:2;height:780" coordorigin="6458,-1908" coordsize="0,780" path="m6458,-1908l6458,-1128e" filled="false" stroked="true" strokeweight=".75pt" strokecolor="#000000">
                <v:path arrowok="t"/>
              </v:shape>
            </v:group>
            <v:group style="position:absolute;left:8438;top:-1128;width:1620;height:780" coordorigin="8438,-1128" coordsize="1620,780">
              <v:shape style="position:absolute;left:8438;top:-1128;width:1620;height:780" coordorigin="8438,-1128" coordsize="1620,780" path="m10058,-1128l8438,-1128,8438,-348,10058,-348,10058,-1128xe" filled="false" stroked="true" strokeweight=".75pt" strokecolor="#000000">
                <v:path arrowok="t"/>
              </v:shape>
            </v:group>
            <v:group style="position:absolute;left:9338;top:-1908;width:2;height:780" coordorigin="9338,-1908" coordsize="2,780">
              <v:shape style="position:absolute;left:9338;top:-1908;width:2;height:780" coordorigin="9338,-1908" coordsize="0,780" path="m9338,-1908l9338,-1128e" filled="false" stroked="true" strokeweight=".75pt" strokecolor="#000000">
                <v:path arrowok="t"/>
              </v:shape>
            </v:group>
            <v:group style="position:absolute;left:3758;top:-348;width:2;height:468" coordorigin="3758,-348" coordsize="2,468">
              <v:shape style="position:absolute;left:3758;top:-348;width:2;height:468" coordorigin="3758,-348" coordsize="0,468" path="m3758,-348l3758,120e" filled="false" stroked="true" strokeweight=".75pt" strokecolor="#000000">
                <v:path arrowok="t"/>
              </v:shape>
            </v:group>
            <v:group style="position:absolute;left:2798;top:113;width:120;height:476" coordorigin="2798,113" coordsize="120,476">
              <v:shape style="position:absolute;left:2798;top:113;width:120;height:476" coordorigin="2798,113" coordsize="120,476" path="m2850,468l2798,468,2858,588,2905,496,2858,496,2852,494,2850,488,2850,468xe" filled="true" fillcolor="#000000" stroked="false">
                <v:path arrowok="t"/>
                <v:fill type="solid"/>
              </v:shape>
              <v:shape style="position:absolute;left:2798;top:113;width:120;height:476" coordorigin="2798,113" coordsize="120,476" path="m2858,113l2852,114,2850,120,2850,488,2852,494,2858,496,2863,494,2866,488,2866,120,2863,114,2858,113xe" filled="true" fillcolor="#000000" stroked="false">
                <v:path arrowok="t"/>
                <v:fill type="solid"/>
              </v:shape>
              <v:shape style="position:absolute;left:2798;top:113;width:120;height:476" coordorigin="2798,113" coordsize="120,476" path="m2918,468l2866,468,2866,488,2863,494,2858,496,2905,496,2918,468xe" filled="true" fillcolor="#000000" stroked="false">
                <v:path arrowok="t"/>
                <v:fill type="solid"/>
              </v:shape>
            </v:group>
            <v:group style="position:absolute;left:4598;top:113;width:120;height:476" coordorigin="4598,113" coordsize="120,476">
              <v:shape style="position:absolute;left:4598;top:113;width:120;height:476" coordorigin="4598,113" coordsize="120,476" path="m4650,468l4598,468,4658,588,4705,496,4658,496,4652,494,4650,488,4650,468xe" filled="true" fillcolor="#000000" stroked="false">
                <v:path arrowok="t"/>
                <v:fill type="solid"/>
              </v:shape>
              <v:shape style="position:absolute;left:4598;top:113;width:120;height:476" coordorigin="4598,113" coordsize="120,476" path="m4658,113l4652,114,4650,120,4650,488,4652,494,4658,496,4663,494,4666,488,4666,120,4663,114,4658,113xe" filled="true" fillcolor="#000000" stroked="false">
                <v:path arrowok="t"/>
                <v:fill type="solid"/>
              </v:shape>
              <v:shape style="position:absolute;left:4598;top:113;width:120;height:476" coordorigin="4598,113" coordsize="120,476" path="m4718,468l4666,468,4666,488,4663,494,4658,496,4705,496,4718,468xe" filled="true" fillcolor="#000000" stroked="false">
                <v:path arrowok="t"/>
                <v:fill type="solid"/>
              </v:shape>
            </v:group>
            <v:group style="position:absolute;left:6443;top:-348;width:4320;height:468" coordorigin="6443,-348" coordsize="4320,468">
              <v:shape style="position:absolute;left:6443;top:-348;width:4320;height:468" coordorigin="6443,-348" coordsize="4320,468" path="m6443,-348l6443,120,10763,120e" filled="false" stroked="true" strokeweight=".75pt" strokecolor="#000000">
                <v:path arrowok="t"/>
              </v:shape>
            </v:group>
            <v:group style="position:absolute;left:7838;top:113;width:120;height:476" coordorigin="7838,113" coordsize="120,476">
              <v:shape style="position:absolute;left:7838;top:113;width:120;height:476" coordorigin="7838,113" coordsize="120,476" path="m7890,468l7838,468,7898,588,7945,496,7898,496,7892,494,7890,488,7890,468xe" filled="true" fillcolor="#000000" stroked="false">
                <v:path arrowok="t"/>
                <v:fill type="solid"/>
              </v:shape>
              <v:shape style="position:absolute;left:7838;top:113;width:120;height:476" coordorigin="7838,113" coordsize="120,476" path="m7898,113l7892,114,7890,120,7890,488,7892,494,7898,496,7903,494,7906,488,7906,120,7903,114,7898,113xe" filled="true" fillcolor="#000000" stroked="false">
                <v:path arrowok="t"/>
                <v:fill type="solid"/>
              </v:shape>
              <v:shape style="position:absolute;left:7838;top:113;width:120;height:476" coordorigin="7838,113" coordsize="120,476" path="m7958,468l7906,468,7906,488,7903,494,7898,496,7945,496,7958,468xe" filled="true" fillcolor="#000000" stroked="false">
                <v:path arrowok="t"/>
                <v:fill type="solid"/>
              </v:shape>
              <v:shape style="position:absolute;left:3834;top:-3644;width:64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84.37%</w:t>
                      </w:r>
                    </w:p>
                  </w:txbxContent>
                </v:textbox>
                <w10:wrap type="none"/>
              </v:shape>
              <v:shape style="position:absolute;left:8574;top:-3644;width:649;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15.63%</w:t>
                      </w:r>
                    </w:p>
                  </w:txbxContent>
                </v:textbox>
                <w10:wrap type="none"/>
              </v:shape>
              <v:shape style="position:absolute;left:5140;top:-3184;width:21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青岛亚星实业有限公司</w:t>
                      </w:r>
                    </w:p>
                  </w:txbxContent>
                </v:textbox>
                <w10:wrap type="none"/>
              </v:shape>
              <v:shape style="position:absolute;left:3098;top:-1460;width:49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100%</w:t>
                      </w:r>
                    </w:p>
                  </w:txbxContent>
                </v:textbox>
                <w10:wrap type="none"/>
              </v:shape>
              <v:shape style="position:absolute;left:6004;top:-1460;width:38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60%</w:t>
                      </w:r>
                    </w:p>
                  </w:txbxContent>
                </v:textbox>
                <w10:wrap type="none"/>
              </v:shape>
              <v:shape style="position:absolute;left:8803;top:-1460;width:49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100%</w:t>
                      </w:r>
                    </w:p>
                  </w:txbxContent>
                </v:textbox>
                <w10:wrap type="none"/>
              </v:shape>
              <v:shape style="position:absolute;left:3190;top:-997;width:1159;height:52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6"/>
                          <w:sz w:val="21"/>
                          <w:szCs w:val="21"/>
                        </w:rPr>
                        <w:t>青岛亚星投</w:t>
                      </w:r>
                      <w:r>
                        <w:rPr>
                          <w:rFonts w:ascii="宋体" w:hAnsi="宋体" w:cs="宋体" w:eastAsia="宋体" w:hint="default"/>
                          <w:spacing w:val="-84"/>
                          <w:sz w:val="21"/>
                          <w:szCs w:val="21"/>
                        </w:rPr>
                        <w:t> </w:t>
                      </w:r>
                      <w:r>
                        <w:rPr>
                          <w:rFonts w:ascii="宋体" w:hAnsi="宋体" w:cs="宋体" w:eastAsia="宋体" w:hint="default"/>
                          <w:sz w:val="21"/>
                          <w:szCs w:val="21"/>
                        </w:rPr>
                      </w:r>
                    </w:p>
                    <w:p>
                      <w:pPr>
                        <w:spacing w:before="36"/>
                        <w:ind w:left="0" w:right="0" w:firstLine="0"/>
                        <w:jc w:val="left"/>
                        <w:rPr>
                          <w:rFonts w:ascii="宋体" w:hAnsi="宋体" w:cs="宋体" w:eastAsia="宋体" w:hint="default"/>
                          <w:sz w:val="21"/>
                          <w:szCs w:val="21"/>
                        </w:rPr>
                      </w:pPr>
                      <w:r>
                        <w:rPr>
                          <w:rFonts w:ascii="宋体" w:hAnsi="宋体" w:cs="宋体" w:eastAsia="宋体" w:hint="default"/>
                          <w:sz w:val="21"/>
                          <w:szCs w:val="21"/>
                        </w:rPr>
                        <w:t>资有限公司</w:t>
                      </w:r>
                    </w:p>
                  </w:txbxContent>
                </v:textbox>
                <w10:wrap type="none"/>
              </v:shape>
              <v:shape style="position:absolute;left:5890;top:-997;width:1159;height:52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6"/>
                          <w:sz w:val="21"/>
                          <w:szCs w:val="21"/>
                        </w:rPr>
                        <w:t>青岛美丰置</w:t>
                      </w:r>
                      <w:r>
                        <w:rPr>
                          <w:rFonts w:ascii="宋体" w:hAnsi="宋体" w:cs="宋体" w:eastAsia="宋体" w:hint="default"/>
                          <w:spacing w:val="-84"/>
                          <w:sz w:val="21"/>
                          <w:szCs w:val="21"/>
                        </w:rPr>
                        <w:t> </w:t>
                      </w:r>
                      <w:r>
                        <w:rPr>
                          <w:rFonts w:ascii="宋体" w:hAnsi="宋体" w:cs="宋体" w:eastAsia="宋体" w:hint="default"/>
                          <w:sz w:val="21"/>
                          <w:szCs w:val="21"/>
                        </w:rPr>
                      </w:r>
                    </w:p>
                    <w:p>
                      <w:pPr>
                        <w:spacing w:before="36"/>
                        <w:ind w:left="0" w:right="0" w:firstLine="0"/>
                        <w:jc w:val="left"/>
                        <w:rPr>
                          <w:rFonts w:ascii="宋体" w:hAnsi="宋体" w:cs="宋体" w:eastAsia="宋体" w:hint="default"/>
                          <w:sz w:val="21"/>
                          <w:szCs w:val="21"/>
                        </w:rPr>
                      </w:pPr>
                      <w:r>
                        <w:rPr>
                          <w:rFonts w:ascii="宋体" w:hAnsi="宋体" w:cs="宋体" w:eastAsia="宋体" w:hint="default"/>
                          <w:sz w:val="21"/>
                          <w:szCs w:val="21"/>
                        </w:rPr>
                        <w:t>业有限公司</w:t>
                      </w:r>
                    </w:p>
                  </w:txbxContent>
                </v:textbox>
                <w10:wrap type="none"/>
              </v:shape>
              <v:shape style="position:absolute;left:8590;top:-997;width:1317;height:52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9"/>
                          <w:sz w:val="21"/>
                          <w:szCs w:val="21"/>
                        </w:rPr>
                        <w:t>泌阳亿嘉合矿</w:t>
                      </w:r>
                    </w:p>
                    <w:p>
                      <w:pPr>
                        <w:spacing w:before="36"/>
                        <w:ind w:left="0" w:right="0" w:firstLine="0"/>
                        <w:jc w:val="left"/>
                        <w:rPr>
                          <w:rFonts w:ascii="宋体" w:hAnsi="宋体" w:cs="宋体" w:eastAsia="宋体" w:hint="default"/>
                          <w:sz w:val="21"/>
                          <w:szCs w:val="21"/>
                        </w:rPr>
                      </w:pPr>
                      <w:r>
                        <w:rPr>
                          <w:rFonts w:ascii="宋体" w:hAnsi="宋体" w:cs="宋体" w:eastAsia="宋体" w:hint="default"/>
                          <w:sz w:val="21"/>
                          <w:szCs w:val="21"/>
                        </w:rPr>
                        <w:t>业有限公司</w:t>
                      </w:r>
                    </w:p>
                  </w:txbxContent>
                </v:textbox>
                <w10:wrap type="none"/>
              </v:shape>
              <v:shape style="position:absolute;left:5828;top:-212;width:387;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98%</w:t>
                      </w:r>
                    </w:p>
                  </w:txbxContent>
                </v:textbox>
                <w10:wrap type="none"/>
              </v:shape>
              <v:shape style="position:absolute;left:10098;top:-212;width:28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w:t>
                      </w:r>
                    </w:p>
                  </w:txbxContent>
                </v:textbox>
                <w10:wrap type="none"/>
              </v:shape>
              <v:shape style="position:absolute;left:4849;top:100;width:38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75%</w:t>
                      </w:r>
                    </w:p>
                  </w:txbxContent>
                </v:textbox>
                <w10:wrap type="none"/>
              </v:shape>
              <v:shape style="position:absolute;left:1958;top:588;width:1620;height:780" type="#_x0000_t202" filled="false" stroked="true" strokeweight=".75pt" strokecolor="#000000">
                <v:textbox inset="0,0,0,0">
                  <w:txbxContent>
                    <w:p>
                      <w:pPr>
                        <w:spacing w:line="273" w:lineRule="auto" w:before="57"/>
                        <w:ind w:left="143" w:right="142" w:firstLine="0"/>
                        <w:jc w:val="left"/>
                        <w:rPr>
                          <w:rFonts w:ascii="宋体" w:hAnsi="宋体" w:cs="宋体" w:eastAsia="宋体" w:hint="default"/>
                          <w:sz w:val="21"/>
                          <w:szCs w:val="21"/>
                        </w:rPr>
                      </w:pPr>
                      <w:r>
                        <w:rPr>
                          <w:rFonts w:ascii="宋体" w:hAnsi="宋体" w:cs="宋体" w:eastAsia="宋体" w:hint="default"/>
                          <w:spacing w:val="9"/>
                          <w:sz w:val="21"/>
                          <w:szCs w:val="21"/>
                        </w:rPr>
                        <w:t>哈尔滨福地置</w:t>
                      </w:r>
                      <w:r>
                        <w:rPr>
                          <w:rFonts w:ascii="宋体" w:hAnsi="宋体" w:cs="宋体" w:eastAsia="宋体" w:hint="default"/>
                          <w:sz w:val="21"/>
                          <w:szCs w:val="21"/>
                        </w:rPr>
                        <w:t> 业有限公司</w:t>
                      </w:r>
                    </w:p>
                  </w:txbxContent>
                </v:textbox>
                <w10:wrap type="none"/>
              </v:shape>
              <v:shape style="position:absolute;left:3938;top:588;width:1440;height:780" type="#_x0000_t202" filled="false" stroked="true" strokeweight=".75pt" strokecolor="#000000">
                <v:textbox inset="0,0,0,0">
                  <w:txbxContent>
                    <w:p>
                      <w:pPr>
                        <w:spacing w:line="273" w:lineRule="auto" w:before="57"/>
                        <w:ind w:left="143" w:right="121" w:firstLine="0"/>
                        <w:jc w:val="left"/>
                        <w:rPr>
                          <w:rFonts w:ascii="宋体" w:hAnsi="宋体" w:cs="宋体" w:eastAsia="宋体" w:hint="default"/>
                          <w:sz w:val="21"/>
                          <w:szCs w:val="21"/>
                        </w:rPr>
                      </w:pPr>
                      <w:r>
                        <w:rPr>
                          <w:rFonts w:ascii="宋体" w:hAnsi="宋体" w:cs="宋体" w:eastAsia="宋体" w:hint="default"/>
                          <w:spacing w:val="16"/>
                          <w:sz w:val="21"/>
                          <w:szCs w:val="21"/>
                        </w:rPr>
                        <w:t>青岛亚星置</w:t>
                      </w:r>
                      <w:r>
                        <w:rPr>
                          <w:rFonts w:ascii="宋体" w:hAnsi="宋体" w:cs="宋体" w:eastAsia="宋体" w:hint="default"/>
                          <w:spacing w:val="-101"/>
                          <w:sz w:val="21"/>
                          <w:szCs w:val="21"/>
                        </w:rPr>
                        <w:t> </w:t>
                      </w:r>
                      <w:r>
                        <w:rPr>
                          <w:rFonts w:ascii="宋体" w:hAnsi="宋体" w:cs="宋体" w:eastAsia="宋体" w:hint="default"/>
                          <w:sz w:val="21"/>
                          <w:szCs w:val="21"/>
                        </w:rPr>
                        <w:t>业有限公司</w:t>
                      </w:r>
                    </w:p>
                  </w:txbxContent>
                </v:textbox>
                <w10:wrap type="none"/>
              </v:shape>
              <v:shape style="position:absolute;left:6938;top:588;width:1980;height:936" type="#_x0000_t202" filled="false" stroked="true" strokeweight=".75pt" strokecolor="#000000">
                <v:textbox inset="0,0,0,0">
                  <w:txbxContent>
                    <w:p>
                      <w:pPr>
                        <w:spacing w:line="273" w:lineRule="auto" w:before="57"/>
                        <w:ind w:left="143" w:right="106" w:firstLine="0"/>
                        <w:jc w:val="left"/>
                        <w:rPr>
                          <w:rFonts w:ascii="宋体" w:hAnsi="宋体" w:cs="宋体" w:eastAsia="宋体" w:hint="default"/>
                          <w:sz w:val="21"/>
                          <w:szCs w:val="21"/>
                        </w:rPr>
                      </w:pPr>
                      <w:r>
                        <w:rPr>
                          <w:rFonts w:ascii="宋体" w:hAnsi="宋体" w:cs="宋体" w:eastAsia="宋体" w:hint="default"/>
                          <w:spacing w:val="27"/>
                          <w:sz w:val="21"/>
                          <w:szCs w:val="21"/>
                        </w:rPr>
                        <w:t>青岛高科技</w:t>
                      </w:r>
                      <w:r>
                        <w:rPr>
                          <w:rFonts w:ascii="宋体" w:hAnsi="宋体" w:cs="宋体" w:eastAsia="宋体" w:hint="default"/>
                          <w:spacing w:val="-72"/>
                          <w:sz w:val="21"/>
                          <w:szCs w:val="21"/>
                        </w:rPr>
                        <w:t> </w:t>
                      </w:r>
                      <w:r>
                        <w:rPr>
                          <w:rFonts w:ascii="宋体" w:hAnsi="宋体" w:cs="宋体" w:eastAsia="宋体" w:hint="default"/>
                          <w:spacing w:val="17"/>
                          <w:sz w:val="21"/>
                          <w:szCs w:val="21"/>
                        </w:rPr>
                        <w:t>工业</w:t>
                      </w:r>
                      <w:r>
                        <w:rPr>
                          <w:rFonts w:ascii="宋体" w:hAnsi="宋体" w:cs="宋体" w:eastAsia="宋体" w:hint="default"/>
                          <w:spacing w:val="-71"/>
                          <w:sz w:val="21"/>
                          <w:szCs w:val="21"/>
                        </w:rPr>
                        <w:t> </w:t>
                      </w:r>
                      <w:r>
                        <w:rPr>
                          <w:rFonts w:ascii="宋体" w:hAnsi="宋体" w:cs="宋体" w:eastAsia="宋体" w:hint="default"/>
                          <w:spacing w:val="27"/>
                          <w:sz w:val="21"/>
                          <w:szCs w:val="21"/>
                        </w:rPr>
                        <w:t>园山东头房</w:t>
                      </w:r>
                      <w:r>
                        <w:rPr>
                          <w:rFonts w:ascii="宋体" w:hAnsi="宋体" w:cs="宋体" w:eastAsia="宋体" w:hint="default"/>
                          <w:spacing w:val="-72"/>
                          <w:sz w:val="21"/>
                          <w:szCs w:val="21"/>
                        </w:rPr>
                        <w:t> </w:t>
                      </w:r>
                      <w:r>
                        <w:rPr>
                          <w:rFonts w:ascii="宋体" w:hAnsi="宋体" w:cs="宋体" w:eastAsia="宋体" w:hint="default"/>
                          <w:spacing w:val="17"/>
                          <w:sz w:val="21"/>
                          <w:szCs w:val="21"/>
                        </w:rPr>
                        <w:t>地产</w:t>
                      </w:r>
                      <w:r>
                        <w:rPr>
                          <w:rFonts w:ascii="宋体" w:hAnsi="宋体" w:cs="宋体" w:eastAsia="宋体" w:hint="default"/>
                          <w:spacing w:val="-71"/>
                          <w:sz w:val="21"/>
                          <w:szCs w:val="21"/>
                        </w:rPr>
                        <w:t> </w:t>
                      </w:r>
                      <w:r>
                        <w:rPr>
                          <w:rFonts w:ascii="宋体" w:hAnsi="宋体" w:cs="宋体" w:eastAsia="宋体" w:hint="default"/>
                          <w:sz w:val="21"/>
                          <w:szCs w:val="21"/>
                        </w:rPr>
                      </w:r>
                    </w:p>
                  </w:txbxContent>
                </v:textbox>
                <w10:wrap type="none"/>
              </v:shape>
            </v:group>
            <w10:wrap type="none"/>
          </v:group>
        </w:pict>
      </w:r>
      <w:r>
        <w:rPr>
          <w:rFonts w:ascii="Times New Roman"/>
          <w:sz w:val="21"/>
        </w:rPr>
        <w:t>100%</w:t>
      </w:r>
    </w:p>
    <w:p>
      <w:pPr>
        <w:spacing w:after="0"/>
        <w:jc w:val="left"/>
        <w:rPr>
          <w:rFonts w:ascii="Times New Roman" w:hAnsi="Times New Roman" w:cs="Times New Roman" w:eastAsia="Times New Roman" w:hint="default"/>
          <w:sz w:val="21"/>
          <w:szCs w:val="21"/>
        </w:rPr>
        <w:sectPr>
          <w:pgSz w:w="11910" w:h="16840"/>
          <w:pgMar w:header="0" w:footer="594" w:top="1500" w:bottom="800" w:left="1300" w:right="1000"/>
        </w:sect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4"/>
          <w:szCs w:val="24"/>
        </w:rPr>
      </w:pPr>
    </w:p>
    <w:p>
      <w:pPr>
        <w:pStyle w:val="BodyText"/>
        <w:spacing w:line="348" w:lineRule="auto" w:before="26"/>
        <w:ind w:right="126"/>
        <w:jc w:val="left"/>
      </w:pPr>
      <w:r>
        <w:rPr>
          <w:spacing w:val="-7"/>
        </w:rPr>
        <w:t>注：</w:t>
      </w:r>
      <w:r>
        <w:rPr>
          <w:rFonts w:ascii="Times New Roman" w:hAnsi="Times New Roman" w:cs="Times New Roman" w:eastAsia="Times New Roman" w:hint="default"/>
          <w:spacing w:val="-7"/>
        </w:rPr>
        <w:t>1</w:t>
      </w:r>
      <w:r>
        <w:rPr>
          <w:spacing w:val="-7"/>
        </w:rPr>
        <w:t>、</w:t>
      </w:r>
      <w:r>
        <w:rPr>
          <w:rFonts w:ascii="Times New Roman" w:hAnsi="Times New Roman" w:cs="Times New Roman" w:eastAsia="Times New Roman" w:hint="default"/>
          <w:spacing w:val="-7"/>
        </w:rPr>
        <w:t>2009</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3 </w:t>
      </w:r>
      <w:r>
        <w:rPr/>
        <w:t>月青岛瑞恒智信企业管理有限公司将持有的</w:t>
      </w:r>
      <w:r>
        <w:rPr>
          <w:spacing w:val="-60"/>
        </w:rPr>
        <w:t> </w:t>
      </w:r>
      <w:r>
        <w:rPr>
          <w:rFonts w:ascii="Times New Roman" w:hAnsi="Times New Roman" w:cs="Times New Roman" w:eastAsia="Times New Roman" w:hint="default"/>
        </w:rPr>
        <w:t>10%</w:t>
      </w:r>
      <w:r>
        <w:rPr/>
        <w:t>的兖州海情置业有限 公司的股份转让给了青岛亚星实业有限公司。上述股权变更后，兖州海情股权结构为： 公司出资</w:t>
      </w:r>
      <w:r>
        <w:rPr>
          <w:spacing w:val="-60"/>
        </w:rPr>
        <w:t> </w:t>
      </w:r>
      <w:r>
        <w:rPr>
          <w:rFonts w:ascii="Times New Roman" w:hAnsi="Times New Roman" w:cs="Times New Roman" w:eastAsia="Times New Roman" w:hint="default"/>
        </w:rPr>
        <w:t>1800 </w:t>
      </w:r>
      <w:r>
        <w:rPr/>
        <w:t>万元，占总股份的</w:t>
      </w:r>
      <w:r>
        <w:rPr>
          <w:spacing w:val="-60"/>
        </w:rPr>
        <w:t> </w:t>
      </w:r>
      <w:r>
        <w:rPr>
          <w:rFonts w:ascii="Times New Roman" w:hAnsi="Times New Roman" w:cs="Times New Roman" w:eastAsia="Times New Roman" w:hint="default"/>
        </w:rPr>
        <w:t>90%</w:t>
      </w:r>
      <w:r>
        <w:rPr/>
        <w:t>；亚星实业出资</w:t>
      </w:r>
      <w:r>
        <w:rPr>
          <w:spacing w:val="-60"/>
        </w:rPr>
        <w:t> </w:t>
      </w:r>
      <w:r>
        <w:rPr>
          <w:rFonts w:ascii="Times New Roman" w:hAnsi="Times New Roman" w:cs="Times New Roman" w:eastAsia="Times New Roman" w:hint="default"/>
        </w:rPr>
        <w:t>200 </w:t>
      </w:r>
      <w:r>
        <w:rPr/>
        <w:t>万元，占总股份的</w:t>
      </w:r>
      <w:r>
        <w:rPr>
          <w:spacing w:val="-60"/>
        </w:rPr>
        <w:t> </w:t>
      </w:r>
      <w:r>
        <w:rPr>
          <w:rFonts w:ascii="Times New Roman" w:hAnsi="Times New Roman" w:cs="Times New Roman" w:eastAsia="Times New Roman" w:hint="default"/>
        </w:rPr>
        <w:t>10%</w:t>
      </w:r>
      <w:r>
        <w:rPr/>
        <w:t>。</w:t>
      </w:r>
    </w:p>
    <w:p>
      <w:pPr>
        <w:pStyle w:val="BodyText"/>
        <w:spacing w:line="240" w:lineRule="auto" w:before="16"/>
        <w:ind w:left="598" w:right="0"/>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2009</w:t>
      </w:r>
      <w:r>
        <w:rPr>
          <w:rFonts w:ascii="Times New Roman" w:hAnsi="Times New Roman" w:cs="Times New Roman" w:eastAsia="Times New Roman" w:hint="default"/>
          <w:spacing w:val="-6"/>
        </w:rPr>
        <w:t> </w:t>
      </w:r>
      <w:r>
        <w:rPr/>
        <w:t>年</w:t>
      </w:r>
      <w:r>
        <w:rPr>
          <w:spacing w:val="-66"/>
        </w:rPr>
        <w:t> </w:t>
      </w:r>
      <w:r>
        <w:rPr>
          <w:rFonts w:ascii="Times New Roman" w:hAnsi="Times New Roman" w:cs="Times New Roman" w:eastAsia="Times New Roman" w:hint="default"/>
        </w:rPr>
        <w:t>3</w:t>
      </w:r>
      <w:r>
        <w:rPr>
          <w:rFonts w:ascii="Times New Roman" w:hAnsi="Times New Roman" w:cs="Times New Roman" w:eastAsia="Times New Roman" w:hint="default"/>
          <w:spacing w:val="-6"/>
        </w:rPr>
        <w:t> </w:t>
      </w:r>
      <w:r>
        <w:rPr/>
        <w:t>月，亚星实业出资</w:t>
      </w:r>
      <w:r>
        <w:rPr>
          <w:spacing w:val="-66"/>
        </w:rPr>
        <w:t> </w:t>
      </w:r>
      <w:r>
        <w:rPr>
          <w:rFonts w:ascii="Times New Roman" w:hAnsi="Times New Roman" w:cs="Times New Roman" w:eastAsia="Times New Roman" w:hint="default"/>
        </w:rPr>
        <w:t>1000</w:t>
      </w:r>
      <w:r>
        <w:rPr>
          <w:rFonts w:ascii="Times New Roman" w:hAnsi="Times New Roman" w:cs="Times New Roman" w:eastAsia="Times New Roman" w:hint="default"/>
          <w:spacing w:val="-6"/>
        </w:rPr>
        <w:t> </w:t>
      </w:r>
      <w:r>
        <w:rPr/>
        <w:t>万元，全资设立了绵阳亿嘉合投资有限公司。</w:t>
      </w: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34"/>
          <w:szCs w:val="34"/>
        </w:rPr>
      </w:pPr>
    </w:p>
    <w:p>
      <w:pPr>
        <w:pStyle w:val="BodyText"/>
        <w:spacing w:line="338" w:lineRule="auto" w:before="0"/>
        <w:ind w:left="478" w:right="180" w:hanging="360"/>
        <w:jc w:val="left"/>
        <w:rPr>
          <w:rFonts w:ascii="Times New Roman" w:hAnsi="Times New Roman" w:cs="Times New Roman" w:eastAsia="Times New Roman" w:hint="default"/>
        </w:rPr>
      </w:pPr>
      <w:r>
        <w:rPr/>
        <w:t>（</w:t>
      </w:r>
      <w:r>
        <w:rPr>
          <w:rFonts w:ascii="Times New Roman" w:hAnsi="Times New Roman" w:cs="Times New Roman" w:eastAsia="Times New Roman" w:hint="default"/>
        </w:rPr>
        <w:t>6</w:t>
      </w:r>
      <w:r>
        <w:rPr/>
        <w:t>）公司潜在控股股东的实际控制人 </w:t>
      </w:r>
      <w:r>
        <w:rPr>
          <w:spacing w:val="-5"/>
        </w:rPr>
        <w:t>公司潜在实际控制人为姜剑先生，中国国籍，</w:t>
      </w:r>
      <w:r>
        <w:rPr>
          <w:rFonts w:ascii="Times New Roman" w:hAnsi="Times New Roman" w:cs="Times New Roman" w:eastAsia="Times New Roman" w:hint="default"/>
          <w:spacing w:val="-5"/>
        </w:rPr>
        <w:t>1967 </w:t>
      </w:r>
      <w:r>
        <w:rPr>
          <w:rFonts w:ascii="Times New Roman" w:hAnsi="Times New Roman" w:cs="Times New Roman" w:eastAsia="Times New Roman" w:hint="default"/>
          <w:spacing w:val="18"/>
        </w:rPr>
        <w:t> </w:t>
      </w:r>
      <w:r>
        <w:rPr>
          <w:spacing w:val="-11"/>
        </w:rPr>
        <w:t>年出生，硕士学位，经济师。</w:t>
      </w:r>
      <w:r>
        <w:rPr>
          <w:rFonts w:ascii="Times New Roman" w:hAnsi="Times New Roman" w:cs="Times New Roman" w:eastAsia="Times New Roman" w:hint="default"/>
          <w:spacing w:val="-11"/>
        </w:rPr>
        <w:t>1994</w:t>
      </w:r>
      <w:r>
        <w:rPr>
          <w:rFonts w:ascii="Times New Roman" w:hAnsi="Times New Roman" w:cs="Times New Roman" w:eastAsia="Times New Roman" w:hint="default"/>
        </w:rPr>
      </w:r>
    </w:p>
    <w:p>
      <w:pPr>
        <w:pStyle w:val="BodyText"/>
        <w:spacing w:line="357" w:lineRule="auto" w:before="27"/>
        <w:ind w:right="126"/>
        <w:jc w:val="left"/>
      </w:pPr>
      <w:r>
        <w:rPr>
          <w:spacing w:val="-2"/>
        </w:rPr>
        <w:t>年至今担任青岛亚星实业有限公司董事长、总裁，青岛市第十三届人大代表。未取得其</w:t>
      </w:r>
      <w:r>
        <w:rPr>
          <w:spacing w:val="-95"/>
        </w:rPr>
        <w:t> </w:t>
      </w:r>
      <w:r>
        <w:rPr>
          <w:spacing w:val="-95"/>
        </w:rPr>
      </w:r>
      <w:r>
        <w:rPr/>
        <w:t>他国家或地区居留权，最近五年内职业：企业投资、经营、管理；</w:t>
      </w:r>
    </w:p>
    <w:p>
      <w:pPr>
        <w:pStyle w:val="BodyText"/>
        <w:spacing w:line="348" w:lineRule="auto" w:before="36"/>
        <w:ind w:right="4846"/>
        <w:jc w:val="left"/>
      </w:pPr>
      <w:r>
        <w:rPr/>
        <w:t>（</w:t>
      </w:r>
      <w:r>
        <w:rPr>
          <w:rFonts w:ascii="Times New Roman" w:hAnsi="Times New Roman" w:cs="Times New Roman" w:eastAsia="Times New Roman" w:hint="default"/>
        </w:rPr>
        <w:t>7</w:t>
      </w:r>
      <w:r>
        <w:rPr/>
        <w:t>）其他持股公司</w:t>
      </w:r>
      <w:r>
        <w:rPr>
          <w:rFonts w:ascii="Times New Roman" w:hAnsi="Times New Roman" w:cs="Times New Roman" w:eastAsia="Times New Roman" w:hint="default"/>
        </w:rPr>
        <w:t>10%</w:t>
      </w:r>
      <w:r>
        <w:rPr/>
        <w:t>以上股东情况简介 公司股东名称：上海文慧投资有限公司 法定代表人：王庆如</w:t>
      </w:r>
    </w:p>
    <w:p>
      <w:pPr>
        <w:pStyle w:val="BodyText"/>
        <w:spacing w:line="338" w:lineRule="auto" w:before="46"/>
        <w:ind w:right="5206"/>
        <w:jc w:val="left"/>
      </w:pPr>
      <w:r>
        <w:rPr/>
        <w:t>成立时间：</w:t>
      </w:r>
      <w:r>
        <w:rPr>
          <w:rFonts w:ascii="Times New Roman" w:hAnsi="Times New Roman" w:cs="Times New Roman" w:eastAsia="Times New Roman" w:hint="default"/>
        </w:rPr>
        <w:t>2003 </w:t>
      </w:r>
      <w:r>
        <w:rPr/>
        <w:t>年</w:t>
      </w:r>
      <w:r>
        <w:rPr>
          <w:rFonts w:ascii="Times New Roman" w:hAnsi="Times New Roman" w:cs="Times New Roman" w:eastAsia="Times New Roman" w:hint="default"/>
        </w:rPr>
        <w:t>7 </w:t>
      </w:r>
      <w:r>
        <w:rPr/>
        <w:t>月 注册资本：</w:t>
      </w:r>
      <w:r>
        <w:rPr>
          <w:rFonts w:ascii="Times New Roman" w:hAnsi="Times New Roman" w:cs="Times New Roman" w:eastAsia="Times New Roman" w:hint="default"/>
        </w:rPr>
        <w:t>8000  </w:t>
      </w:r>
      <w:r>
        <w:rPr/>
        <w:t>万元</w:t>
      </w:r>
    </w:p>
    <w:p>
      <w:pPr>
        <w:pStyle w:val="BodyText"/>
        <w:spacing w:line="357" w:lineRule="auto" w:before="27"/>
        <w:ind w:right="192"/>
        <w:jc w:val="both"/>
      </w:pPr>
      <w:r>
        <w:rPr>
          <w:spacing w:val="-2"/>
        </w:rPr>
        <w:t>经营范围：实业投资，资产经营（不含融资），资产管理（质押担保资产托管、抵押担</w:t>
      </w:r>
      <w:r>
        <w:rPr>
          <w:spacing w:val="-100"/>
        </w:rPr>
        <w:t> </w:t>
      </w:r>
      <w:r>
        <w:rPr>
          <w:spacing w:val="-100"/>
        </w:rPr>
      </w:r>
      <w:r>
        <w:rPr>
          <w:spacing w:val="-2"/>
        </w:rPr>
        <w:t>保资产监管、货币及动产、不动产的托管），资产置换，收购兼并，不良资产处置，投</w:t>
      </w:r>
      <w:r>
        <w:rPr>
          <w:spacing w:val="-100"/>
        </w:rPr>
        <w:t> </w:t>
      </w:r>
      <w:r>
        <w:rPr>
          <w:spacing w:val="-100"/>
        </w:rPr>
      </w:r>
      <w:r>
        <w:rPr>
          <w:spacing w:val="-3"/>
        </w:rPr>
        <w:t>资咨询，房地产开发，数字电视及网络系统集成的开发：通信设备及相关产品，化工产</w:t>
      </w:r>
      <w:r>
        <w:rPr>
          <w:spacing w:val="-88"/>
        </w:rPr>
        <w:t> </w:t>
      </w:r>
      <w:r>
        <w:rPr>
          <w:spacing w:val="-88"/>
        </w:rPr>
      </w:r>
      <w:r>
        <w:rPr>
          <w:spacing w:val="-3"/>
        </w:rPr>
        <w:t>品（除危险品），纺织品，机电设备，金属材料，建筑装潢材料（销售）。（凡涉及许</w:t>
      </w:r>
      <w:r>
        <w:rPr>
          <w:spacing w:val="-84"/>
        </w:rPr>
        <w:t> </w:t>
      </w:r>
      <w:r>
        <w:rPr>
          <w:spacing w:val="-84"/>
        </w:rPr>
      </w:r>
      <w:r>
        <w:rPr/>
        <w:t>可证经营的项目凭许可证经营）。</w:t>
      </w:r>
    </w:p>
    <w:p>
      <w:pPr>
        <w:spacing w:line="240" w:lineRule="auto" w:before="0"/>
        <w:rPr>
          <w:rFonts w:ascii="宋体" w:hAnsi="宋体" w:cs="宋体" w:eastAsia="宋体" w:hint="default"/>
          <w:sz w:val="24"/>
          <w:szCs w:val="24"/>
        </w:rPr>
      </w:pPr>
    </w:p>
    <w:p>
      <w:pPr>
        <w:pStyle w:val="BodyText"/>
        <w:spacing w:line="357" w:lineRule="auto" w:before="190"/>
        <w:ind w:right="4686"/>
        <w:jc w:val="left"/>
      </w:pPr>
      <w:r>
        <w:rPr/>
        <w:t>公司股东名称：上海港银投资管理有限公司 法定代表人：陈晓平</w:t>
      </w:r>
    </w:p>
    <w:p>
      <w:pPr>
        <w:pStyle w:val="BodyText"/>
        <w:spacing w:line="338" w:lineRule="auto" w:before="36"/>
        <w:ind w:right="5206"/>
        <w:jc w:val="left"/>
      </w:pPr>
      <w:r>
        <w:rPr/>
        <w:t>成立时间：</w:t>
      </w:r>
      <w:r>
        <w:rPr>
          <w:rFonts w:ascii="Times New Roman" w:hAnsi="Times New Roman" w:cs="Times New Roman" w:eastAsia="Times New Roman" w:hint="default"/>
        </w:rPr>
        <w:t>2003 </w:t>
      </w:r>
      <w:r>
        <w:rPr/>
        <w:t>年</w:t>
      </w:r>
      <w:r>
        <w:rPr>
          <w:rFonts w:ascii="Times New Roman" w:hAnsi="Times New Roman" w:cs="Times New Roman" w:eastAsia="Times New Roman" w:hint="default"/>
        </w:rPr>
        <w:t>3 </w:t>
      </w:r>
      <w:r>
        <w:rPr/>
        <w:t>月 注册资本：</w:t>
      </w:r>
      <w:r>
        <w:rPr>
          <w:rFonts w:ascii="Times New Roman" w:hAnsi="Times New Roman" w:cs="Times New Roman" w:eastAsia="Times New Roman" w:hint="default"/>
        </w:rPr>
        <w:t>1000  </w:t>
      </w:r>
      <w:r>
        <w:rPr/>
        <w:t>万元</w:t>
      </w:r>
    </w:p>
    <w:p>
      <w:pPr>
        <w:pStyle w:val="BodyText"/>
        <w:spacing w:line="357" w:lineRule="auto" w:before="27"/>
        <w:ind w:right="126"/>
        <w:jc w:val="left"/>
      </w:pPr>
      <w:r>
        <w:rPr>
          <w:spacing w:val="-3"/>
        </w:rPr>
        <w:t>经营范围：企业投资管理、企业投资咨询、企业资产委托管理。（涉及许可经营的凭许</w:t>
      </w:r>
      <w:r>
        <w:rPr>
          <w:spacing w:val="-90"/>
        </w:rPr>
        <w:t> </w:t>
      </w:r>
      <w:r>
        <w:rPr>
          <w:spacing w:val="-90"/>
        </w:rPr>
      </w:r>
      <w:r>
        <w:rPr/>
        <w:t>可证经营）。</w:t>
      </w:r>
    </w:p>
    <w:p>
      <w:pPr>
        <w:spacing w:line="240" w:lineRule="auto" w:before="0"/>
        <w:rPr>
          <w:rFonts w:ascii="宋体" w:hAnsi="宋体" w:cs="宋体" w:eastAsia="宋体" w:hint="default"/>
          <w:sz w:val="24"/>
          <w:szCs w:val="24"/>
        </w:rPr>
      </w:pPr>
    </w:p>
    <w:p>
      <w:pPr>
        <w:pStyle w:val="BodyText"/>
        <w:spacing w:line="240" w:lineRule="auto" w:before="190"/>
        <w:ind w:right="126"/>
        <w:jc w:val="left"/>
      </w:pPr>
      <w:r>
        <w:rPr>
          <w:rFonts w:ascii="Times New Roman" w:hAnsi="Times New Roman" w:cs="Times New Roman" w:eastAsia="Times New Roman" w:hint="default"/>
        </w:rPr>
        <w:t>4</w:t>
      </w:r>
      <w:r>
        <w:rPr/>
        <w:t>、公司前</w:t>
      </w:r>
      <w:r>
        <w:rPr>
          <w:rFonts w:ascii="Times New Roman" w:hAnsi="Times New Roman" w:cs="Times New Roman" w:eastAsia="Times New Roman" w:hint="default"/>
        </w:rPr>
        <w:t>10</w:t>
      </w:r>
      <w:r>
        <w:rPr/>
        <w:t>名无限售条件股股东情况：</w:t>
      </w:r>
    </w:p>
    <w:p>
      <w:pPr>
        <w:spacing w:after="0" w:line="240" w:lineRule="auto"/>
        <w:jc w:val="left"/>
        <w:sectPr>
          <w:pgSz w:w="11910" w:h="16840"/>
          <w:pgMar w:header="0" w:footer="594" w:top="1600" w:bottom="800" w:left="1300" w:right="1220"/>
        </w:sectPr>
      </w:pPr>
    </w:p>
    <w:p>
      <w:pPr>
        <w:spacing w:line="240" w:lineRule="auto" w:before="2"/>
        <w:rPr>
          <w:rFonts w:ascii="宋体" w:hAnsi="宋体" w:cs="宋体" w:eastAsia="宋体" w:hint="default"/>
          <w:sz w:val="21"/>
          <w:szCs w:val="21"/>
        </w:rPr>
      </w:pPr>
    </w:p>
    <w:tbl>
      <w:tblPr>
        <w:tblW w:w="0" w:type="auto"/>
        <w:jc w:val="left"/>
        <w:tblInd w:w="798" w:type="dxa"/>
        <w:tblLayout w:type="fixed"/>
        <w:tblCellMar>
          <w:top w:w="0" w:type="dxa"/>
          <w:left w:w="0" w:type="dxa"/>
          <w:bottom w:w="0" w:type="dxa"/>
          <w:right w:w="0" w:type="dxa"/>
        </w:tblCellMar>
        <w:tblLook w:val="01E0"/>
      </w:tblPr>
      <w:tblGrid>
        <w:gridCol w:w="2342"/>
        <w:gridCol w:w="3267"/>
        <w:gridCol w:w="1955"/>
      </w:tblGrid>
      <w:tr>
        <w:trPr>
          <w:trHeight w:val="450"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51"/>
              <w:jc w:val="center"/>
              <w:rPr>
                <w:rFonts w:ascii="宋体" w:hAnsi="宋体" w:cs="宋体" w:eastAsia="宋体" w:hint="default"/>
                <w:sz w:val="24"/>
                <w:szCs w:val="24"/>
              </w:rPr>
            </w:pPr>
            <w:r>
              <w:rPr>
                <w:rFonts w:ascii="宋体" w:hAnsi="宋体" w:cs="宋体" w:eastAsia="宋体" w:hint="default"/>
                <w:sz w:val="24"/>
                <w:szCs w:val="24"/>
              </w:rPr>
              <w:t>股东名称（全称）</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2"/>
              <w:jc w:val="center"/>
              <w:rPr>
                <w:rFonts w:ascii="宋体" w:hAnsi="宋体" w:cs="宋体" w:eastAsia="宋体" w:hint="default"/>
                <w:sz w:val="24"/>
                <w:szCs w:val="24"/>
              </w:rPr>
            </w:pPr>
            <w:r>
              <w:rPr>
                <w:rFonts w:ascii="宋体" w:hAnsi="宋体" w:cs="宋体" w:eastAsia="宋体" w:hint="default"/>
                <w:sz w:val="24"/>
                <w:szCs w:val="24"/>
              </w:rPr>
              <w:t>年末持有流通股的数量</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444" w:right="0"/>
              <w:jc w:val="center"/>
              <w:rPr>
                <w:rFonts w:ascii="宋体" w:hAnsi="宋体" w:cs="宋体" w:eastAsia="宋体" w:hint="default"/>
                <w:sz w:val="24"/>
                <w:szCs w:val="24"/>
              </w:rPr>
            </w:pPr>
            <w:r>
              <w:rPr>
                <w:rFonts w:ascii="宋体" w:hAnsi="宋体" w:cs="宋体" w:eastAsia="宋体" w:hint="default"/>
                <w:sz w:val="24"/>
                <w:szCs w:val="24"/>
              </w:rPr>
              <w:t>股份种类</w:t>
            </w:r>
          </w:p>
        </w:tc>
      </w:tr>
      <w:tr>
        <w:trPr>
          <w:trHeight w:val="467"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50"/>
              <w:jc w:val="center"/>
              <w:rPr>
                <w:rFonts w:ascii="宋体" w:hAnsi="宋体" w:cs="宋体" w:eastAsia="宋体" w:hint="default"/>
                <w:sz w:val="24"/>
                <w:szCs w:val="24"/>
              </w:rPr>
            </w:pPr>
            <w:r>
              <w:rPr>
                <w:rFonts w:ascii="宋体" w:hAnsi="宋体" w:cs="宋体" w:eastAsia="宋体" w:hint="default"/>
                <w:sz w:val="24"/>
                <w:szCs w:val="24"/>
              </w:rPr>
              <w:t>林仁平</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91"/>
              <w:jc w:val="center"/>
              <w:rPr>
                <w:rFonts w:ascii="Times New Roman" w:hAnsi="Times New Roman" w:cs="Times New Roman" w:eastAsia="Times New Roman" w:hint="default"/>
                <w:sz w:val="24"/>
                <w:szCs w:val="24"/>
              </w:rPr>
            </w:pPr>
            <w:r>
              <w:rPr>
                <w:rFonts w:ascii="Times New Roman"/>
                <w:sz w:val="24"/>
              </w:rPr>
              <w:t>950,895</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44" w:right="0"/>
              <w:jc w:val="center"/>
              <w:rPr>
                <w:rFonts w:ascii="宋体" w:hAnsi="宋体" w:cs="宋体" w:eastAsia="宋体" w:hint="default"/>
                <w:sz w:val="24"/>
                <w:szCs w:val="24"/>
              </w:rPr>
            </w:pPr>
            <w:r>
              <w:rPr>
                <w:rFonts w:ascii="宋体" w:hAnsi="宋体" w:cs="宋体" w:eastAsia="宋体" w:hint="default"/>
                <w:sz w:val="24"/>
                <w:szCs w:val="24"/>
              </w:rPr>
              <w:t>人民币普通股</w:t>
            </w:r>
          </w:p>
        </w:tc>
      </w:tr>
      <w:tr>
        <w:trPr>
          <w:trHeight w:val="467"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50"/>
              <w:jc w:val="center"/>
              <w:rPr>
                <w:rFonts w:ascii="宋体" w:hAnsi="宋体" w:cs="宋体" w:eastAsia="宋体" w:hint="default"/>
                <w:sz w:val="24"/>
                <w:szCs w:val="24"/>
              </w:rPr>
            </w:pPr>
            <w:r>
              <w:rPr>
                <w:rFonts w:ascii="宋体" w:hAnsi="宋体" w:cs="宋体" w:eastAsia="宋体" w:hint="default"/>
                <w:sz w:val="24"/>
                <w:szCs w:val="24"/>
              </w:rPr>
              <w:t>林仁忠</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91"/>
              <w:jc w:val="center"/>
              <w:rPr>
                <w:rFonts w:ascii="Times New Roman" w:hAnsi="Times New Roman" w:cs="Times New Roman" w:eastAsia="Times New Roman" w:hint="default"/>
                <w:sz w:val="24"/>
                <w:szCs w:val="24"/>
              </w:rPr>
            </w:pPr>
            <w:r>
              <w:rPr>
                <w:rFonts w:ascii="Times New Roman"/>
                <w:sz w:val="24"/>
              </w:rPr>
              <w:t>775,800</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44" w:right="0"/>
              <w:jc w:val="center"/>
              <w:rPr>
                <w:rFonts w:ascii="宋体" w:hAnsi="宋体" w:cs="宋体" w:eastAsia="宋体" w:hint="default"/>
                <w:sz w:val="24"/>
                <w:szCs w:val="24"/>
              </w:rPr>
            </w:pPr>
            <w:r>
              <w:rPr>
                <w:rFonts w:ascii="宋体" w:hAnsi="宋体" w:cs="宋体" w:eastAsia="宋体" w:hint="default"/>
                <w:sz w:val="24"/>
                <w:szCs w:val="24"/>
              </w:rPr>
              <w:t>人民币普通股</w:t>
            </w:r>
          </w:p>
        </w:tc>
      </w:tr>
      <w:tr>
        <w:trPr>
          <w:trHeight w:val="467"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50"/>
              <w:jc w:val="center"/>
              <w:rPr>
                <w:rFonts w:ascii="宋体" w:hAnsi="宋体" w:cs="宋体" w:eastAsia="宋体" w:hint="default"/>
                <w:sz w:val="24"/>
                <w:szCs w:val="24"/>
              </w:rPr>
            </w:pPr>
            <w:r>
              <w:rPr>
                <w:rFonts w:ascii="宋体" w:hAnsi="宋体" w:cs="宋体" w:eastAsia="宋体" w:hint="default"/>
                <w:sz w:val="24"/>
                <w:szCs w:val="24"/>
              </w:rPr>
              <w:t>杜进军</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91"/>
              <w:jc w:val="center"/>
              <w:rPr>
                <w:rFonts w:ascii="Times New Roman" w:hAnsi="Times New Roman" w:cs="Times New Roman" w:eastAsia="Times New Roman" w:hint="default"/>
                <w:sz w:val="24"/>
                <w:szCs w:val="24"/>
              </w:rPr>
            </w:pPr>
            <w:r>
              <w:rPr>
                <w:rFonts w:ascii="Times New Roman"/>
                <w:sz w:val="24"/>
              </w:rPr>
              <w:t>306,100</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44" w:right="0"/>
              <w:jc w:val="center"/>
              <w:rPr>
                <w:rFonts w:ascii="宋体" w:hAnsi="宋体" w:cs="宋体" w:eastAsia="宋体" w:hint="default"/>
                <w:sz w:val="24"/>
                <w:szCs w:val="24"/>
              </w:rPr>
            </w:pPr>
            <w:r>
              <w:rPr>
                <w:rFonts w:ascii="宋体" w:hAnsi="宋体" w:cs="宋体" w:eastAsia="宋体" w:hint="default"/>
                <w:sz w:val="24"/>
                <w:szCs w:val="24"/>
              </w:rPr>
              <w:t>人民币普通股</w:t>
            </w:r>
          </w:p>
        </w:tc>
      </w:tr>
      <w:tr>
        <w:trPr>
          <w:trHeight w:val="467"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50"/>
              <w:jc w:val="center"/>
              <w:rPr>
                <w:rFonts w:ascii="宋体" w:hAnsi="宋体" w:cs="宋体" w:eastAsia="宋体" w:hint="default"/>
                <w:sz w:val="24"/>
                <w:szCs w:val="24"/>
              </w:rPr>
            </w:pPr>
            <w:r>
              <w:rPr>
                <w:rFonts w:ascii="宋体" w:hAnsi="宋体" w:cs="宋体" w:eastAsia="宋体" w:hint="default"/>
                <w:sz w:val="24"/>
                <w:szCs w:val="24"/>
              </w:rPr>
              <w:t>朱欣怡</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91"/>
              <w:jc w:val="center"/>
              <w:rPr>
                <w:rFonts w:ascii="Times New Roman" w:hAnsi="Times New Roman" w:cs="Times New Roman" w:eastAsia="Times New Roman" w:hint="default"/>
                <w:sz w:val="24"/>
                <w:szCs w:val="24"/>
              </w:rPr>
            </w:pPr>
            <w:r>
              <w:rPr>
                <w:rFonts w:ascii="Times New Roman"/>
                <w:sz w:val="24"/>
              </w:rPr>
              <w:t>275,500</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44" w:right="0"/>
              <w:jc w:val="center"/>
              <w:rPr>
                <w:rFonts w:ascii="宋体" w:hAnsi="宋体" w:cs="宋体" w:eastAsia="宋体" w:hint="default"/>
                <w:sz w:val="24"/>
                <w:szCs w:val="24"/>
              </w:rPr>
            </w:pPr>
            <w:r>
              <w:rPr>
                <w:rFonts w:ascii="宋体" w:hAnsi="宋体" w:cs="宋体" w:eastAsia="宋体" w:hint="default"/>
                <w:sz w:val="24"/>
                <w:szCs w:val="24"/>
              </w:rPr>
              <w:t>人民币普通股</w:t>
            </w:r>
          </w:p>
        </w:tc>
      </w:tr>
      <w:tr>
        <w:trPr>
          <w:trHeight w:val="467"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50"/>
              <w:jc w:val="center"/>
              <w:rPr>
                <w:rFonts w:ascii="宋体" w:hAnsi="宋体" w:cs="宋体" w:eastAsia="宋体" w:hint="default"/>
                <w:sz w:val="24"/>
                <w:szCs w:val="24"/>
              </w:rPr>
            </w:pPr>
            <w:r>
              <w:rPr>
                <w:rFonts w:ascii="宋体" w:hAnsi="宋体" w:cs="宋体" w:eastAsia="宋体" w:hint="default"/>
                <w:sz w:val="24"/>
                <w:szCs w:val="24"/>
              </w:rPr>
              <w:t>张建青</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91"/>
              <w:jc w:val="center"/>
              <w:rPr>
                <w:rFonts w:ascii="Times New Roman" w:hAnsi="Times New Roman" w:cs="Times New Roman" w:eastAsia="Times New Roman" w:hint="default"/>
                <w:sz w:val="24"/>
                <w:szCs w:val="24"/>
              </w:rPr>
            </w:pPr>
            <w:r>
              <w:rPr>
                <w:rFonts w:ascii="Times New Roman"/>
                <w:sz w:val="24"/>
              </w:rPr>
              <w:t>261,900</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44" w:right="0"/>
              <w:jc w:val="center"/>
              <w:rPr>
                <w:rFonts w:ascii="宋体" w:hAnsi="宋体" w:cs="宋体" w:eastAsia="宋体" w:hint="default"/>
                <w:sz w:val="24"/>
                <w:szCs w:val="24"/>
              </w:rPr>
            </w:pPr>
            <w:r>
              <w:rPr>
                <w:rFonts w:ascii="宋体" w:hAnsi="宋体" w:cs="宋体" w:eastAsia="宋体" w:hint="default"/>
                <w:sz w:val="24"/>
                <w:szCs w:val="24"/>
              </w:rPr>
              <w:t>人民币普通股</w:t>
            </w:r>
          </w:p>
        </w:tc>
      </w:tr>
      <w:tr>
        <w:trPr>
          <w:trHeight w:val="467"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50"/>
              <w:jc w:val="center"/>
              <w:rPr>
                <w:rFonts w:ascii="宋体" w:hAnsi="宋体" w:cs="宋体" w:eastAsia="宋体" w:hint="default"/>
                <w:sz w:val="24"/>
                <w:szCs w:val="24"/>
              </w:rPr>
            </w:pPr>
            <w:r>
              <w:rPr>
                <w:rFonts w:ascii="宋体" w:hAnsi="宋体" w:cs="宋体" w:eastAsia="宋体" w:hint="default"/>
                <w:sz w:val="24"/>
                <w:szCs w:val="24"/>
              </w:rPr>
              <w:t>章德华</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91"/>
              <w:jc w:val="center"/>
              <w:rPr>
                <w:rFonts w:ascii="Times New Roman" w:hAnsi="Times New Roman" w:cs="Times New Roman" w:eastAsia="Times New Roman" w:hint="default"/>
                <w:sz w:val="24"/>
                <w:szCs w:val="24"/>
              </w:rPr>
            </w:pPr>
            <w:r>
              <w:rPr>
                <w:rFonts w:ascii="Times New Roman"/>
                <w:sz w:val="24"/>
              </w:rPr>
              <w:t>219,447</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44" w:right="0"/>
              <w:jc w:val="center"/>
              <w:rPr>
                <w:rFonts w:ascii="宋体" w:hAnsi="宋体" w:cs="宋体" w:eastAsia="宋体" w:hint="default"/>
                <w:sz w:val="24"/>
                <w:szCs w:val="24"/>
              </w:rPr>
            </w:pPr>
            <w:r>
              <w:rPr>
                <w:rFonts w:ascii="宋体" w:hAnsi="宋体" w:cs="宋体" w:eastAsia="宋体" w:hint="default"/>
                <w:sz w:val="24"/>
                <w:szCs w:val="24"/>
              </w:rPr>
              <w:t>人民币普通股</w:t>
            </w:r>
          </w:p>
        </w:tc>
      </w:tr>
      <w:tr>
        <w:trPr>
          <w:trHeight w:val="467"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50"/>
              <w:jc w:val="center"/>
              <w:rPr>
                <w:rFonts w:ascii="宋体" w:hAnsi="宋体" w:cs="宋体" w:eastAsia="宋体" w:hint="default"/>
                <w:sz w:val="24"/>
                <w:szCs w:val="24"/>
              </w:rPr>
            </w:pPr>
            <w:r>
              <w:rPr>
                <w:rFonts w:ascii="宋体" w:hAnsi="宋体" w:cs="宋体" w:eastAsia="宋体" w:hint="default"/>
                <w:sz w:val="24"/>
                <w:szCs w:val="24"/>
              </w:rPr>
              <w:t>吴黛云</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91"/>
              <w:jc w:val="center"/>
              <w:rPr>
                <w:rFonts w:ascii="Times New Roman" w:hAnsi="Times New Roman" w:cs="Times New Roman" w:eastAsia="Times New Roman" w:hint="default"/>
                <w:sz w:val="24"/>
                <w:szCs w:val="24"/>
              </w:rPr>
            </w:pPr>
            <w:r>
              <w:rPr>
                <w:rFonts w:ascii="Times New Roman"/>
                <w:sz w:val="24"/>
              </w:rPr>
              <w:t>217,000</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44" w:right="0"/>
              <w:jc w:val="center"/>
              <w:rPr>
                <w:rFonts w:ascii="宋体" w:hAnsi="宋体" w:cs="宋体" w:eastAsia="宋体" w:hint="default"/>
                <w:sz w:val="24"/>
                <w:szCs w:val="24"/>
              </w:rPr>
            </w:pPr>
            <w:r>
              <w:rPr>
                <w:rFonts w:ascii="宋体" w:hAnsi="宋体" w:cs="宋体" w:eastAsia="宋体" w:hint="default"/>
                <w:sz w:val="24"/>
                <w:szCs w:val="24"/>
              </w:rPr>
              <w:t>人民币普通股</w:t>
            </w:r>
          </w:p>
        </w:tc>
      </w:tr>
      <w:tr>
        <w:trPr>
          <w:trHeight w:val="467"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50"/>
              <w:jc w:val="center"/>
              <w:rPr>
                <w:rFonts w:ascii="宋体" w:hAnsi="宋体" w:cs="宋体" w:eastAsia="宋体" w:hint="default"/>
                <w:sz w:val="24"/>
                <w:szCs w:val="24"/>
              </w:rPr>
            </w:pPr>
            <w:r>
              <w:rPr>
                <w:rFonts w:ascii="宋体" w:hAnsi="宋体" w:cs="宋体" w:eastAsia="宋体" w:hint="default"/>
                <w:sz w:val="24"/>
                <w:szCs w:val="24"/>
              </w:rPr>
              <w:t>秦辉</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91"/>
              <w:jc w:val="center"/>
              <w:rPr>
                <w:rFonts w:ascii="Times New Roman" w:hAnsi="Times New Roman" w:cs="Times New Roman" w:eastAsia="Times New Roman" w:hint="default"/>
                <w:sz w:val="24"/>
                <w:szCs w:val="24"/>
              </w:rPr>
            </w:pPr>
            <w:r>
              <w:rPr>
                <w:rFonts w:ascii="Times New Roman"/>
                <w:sz w:val="24"/>
              </w:rPr>
              <w:t>178,425</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44" w:right="0"/>
              <w:jc w:val="center"/>
              <w:rPr>
                <w:rFonts w:ascii="宋体" w:hAnsi="宋体" w:cs="宋体" w:eastAsia="宋体" w:hint="default"/>
                <w:sz w:val="24"/>
                <w:szCs w:val="24"/>
              </w:rPr>
            </w:pPr>
            <w:r>
              <w:rPr>
                <w:rFonts w:ascii="宋体" w:hAnsi="宋体" w:cs="宋体" w:eastAsia="宋体" w:hint="default"/>
                <w:sz w:val="24"/>
                <w:szCs w:val="24"/>
              </w:rPr>
              <w:t>人民币普通股</w:t>
            </w:r>
          </w:p>
        </w:tc>
      </w:tr>
      <w:tr>
        <w:trPr>
          <w:trHeight w:val="467"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50"/>
              <w:jc w:val="center"/>
              <w:rPr>
                <w:rFonts w:ascii="宋体" w:hAnsi="宋体" w:cs="宋体" w:eastAsia="宋体" w:hint="default"/>
                <w:sz w:val="24"/>
                <w:szCs w:val="24"/>
              </w:rPr>
            </w:pPr>
            <w:r>
              <w:rPr>
                <w:rFonts w:ascii="宋体" w:hAnsi="宋体" w:cs="宋体" w:eastAsia="宋体" w:hint="default"/>
                <w:sz w:val="24"/>
                <w:szCs w:val="24"/>
              </w:rPr>
              <w:t>金明飞</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91"/>
              <w:jc w:val="center"/>
              <w:rPr>
                <w:rFonts w:ascii="Times New Roman" w:hAnsi="Times New Roman" w:cs="Times New Roman" w:eastAsia="Times New Roman" w:hint="default"/>
                <w:sz w:val="24"/>
                <w:szCs w:val="24"/>
              </w:rPr>
            </w:pPr>
            <w:r>
              <w:rPr>
                <w:rFonts w:ascii="Times New Roman"/>
                <w:sz w:val="24"/>
              </w:rPr>
              <w:t>177,820</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44" w:right="0"/>
              <w:jc w:val="center"/>
              <w:rPr>
                <w:rFonts w:ascii="宋体" w:hAnsi="宋体" w:cs="宋体" w:eastAsia="宋体" w:hint="default"/>
                <w:sz w:val="24"/>
                <w:szCs w:val="24"/>
              </w:rPr>
            </w:pPr>
            <w:r>
              <w:rPr>
                <w:rFonts w:ascii="宋体" w:hAnsi="宋体" w:cs="宋体" w:eastAsia="宋体" w:hint="default"/>
                <w:sz w:val="24"/>
                <w:szCs w:val="24"/>
              </w:rPr>
              <w:t>人民币普通股</w:t>
            </w:r>
          </w:p>
        </w:tc>
      </w:tr>
      <w:tr>
        <w:trPr>
          <w:trHeight w:val="457" w:hRule="exact"/>
        </w:trPr>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50"/>
              <w:jc w:val="center"/>
              <w:rPr>
                <w:rFonts w:ascii="宋体" w:hAnsi="宋体" w:cs="宋体" w:eastAsia="宋体" w:hint="default"/>
                <w:sz w:val="24"/>
                <w:szCs w:val="24"/>
              </w:rPr>
            </w:pPr>
            <w:r>
              <w:rPr>
                <w:rFonts w:ascii="宋体" w:hAnsi="宋体" w:cs="宋体" w:eastAsia="宋体" w:hint="default"/>
                <w:sz w:val="24"/>
                <w:szCs w:val="24"/>
              </w:rPr>
              <w:t>易清明</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91"/>
              <w:jc w:val="center"/>
              <w:rPr>
                <w:rFonts w:ascii="Times New Roman" w:hAnsi="Times New Roman" w:cs="Times New Roman" w:eastAsia="Times New Roman" w:hint="default"/>
                <w:sz w:val="24"/>
                <w:szCs w:val="24"/>
              </w:rPr>
            </w:pPr>
            <w:r>
              <w:rPr>
                <w:rFonts w:ascii="Times New Roman"/>
                <w:sz w:val="24"/>
              </w:rPr>
              <w:t>165,800</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44" w:right="0"/>
              <w:jc w:val="center"/>
              <w:rPr>
                <w:rFonts w:ascii="宋体" w:hAnsi="宋体" w:cs="宋体" w:eastAsia="宋体" w:hint="default"/>
                <w:sz w:val="24"/>
                <w:szCs w:val="24"/>
              </w:rPr>
            </w:pPr>
            <w:r>
              <w:rPr>
                <w:rFonts w:ascii="宋体" w:hAnsi="宋体" w:cs="宋体" w:eastAsia="宋体" w:hint="default"/>
                <w:sz w:val="24"/>
                <w:szCs w:val="24"/>
              </w:rPr>
              <w:t>人民币普通股</w:t>
            </w:r>
          </w:p>
        </w:tc>
      </w:tr>
    </w:tbl>
    <w:p>
      <w:pPr>
        <w:pStyle w:val="BodyText"/>
        <w:spacing w:line="357" w:lineRule="auto" w:before="52"/>
        <w:ind w:left="497" w:right="473"/>
        <w:jc w:val="both"/>
      </w:pPr>
      <w:r>
        <w:rPr>
          <w:spacing w:val="-2"/>
        </w:rPr>
        <w:t>上述股东关联关系或一致行动的说明：除林仁平和林仁忠是亲兄弟以外，公司未</w:t>
      </w:r>
      <w:r>
        <w:rPr>
          <w:spacing w:val="-98"/>
        </w:rPr>
        <w:t> </w:t>
      </w:r>
      <w:r>
        <w:rPr>
          <w:spacing w:val="-98"/>
        </w:rPr>
      </w:r>
      <w:r>
        <w:rPr>
          <w:spacing w:val="-2"/>
        </w:rPr>
        <w:t>发现其他上述股东之间存在关联关系，也未发现其他上述股东属于《上市公司持</w:t>
      </w:r>
      <w:r>
        <w:rPr>
          <w:spacing w:val="-98"/>
        </w:rPr>
        <w:t> </w:t>
      </w:r>
      <w:r>
        <w:rPr>
          <w:spacing w:val="-98"/>
        </w:rPr>
      </w:r>
      <w:r>
        <w:rPr/>
        <w:t>股变动信息管理办法》中规定的一致行动人。</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18"/>
          <w:szCs w:val="18"/>
        </w:rPr>
      </w:pPr>
    </w:p>
    <w:p>
      <w:pPr>
        <w:pStyle w:val="Heading1"/>
        <w:tabs>
          <w:tab w:pos="2701" w:val="left" w:leader="none"/>
        </w:tabs>
        <w:spacing w:line="240" w:lineRule="auto"/>
        <w:ind w:left="1436" w:right="0"/>
        <w:jc w:val="left"/>
        <w:rPr>
          <w:b w:val="0"/>
          <w:bCs w:val="0"/>
        </w:rPr>
      </w:pPr>
      <w:bookmarkStart w:name="_TOC_250007" w:id="4"/>
      <w:r>
        <w:rPr>
          <w:w w:val="95"/>
        </w:rPr>
        <w:t>第四章</w:t>
        <w:tab/>
      </w:r>
      <w:r>
        <w:rPr/>
        <w:t>董事、监事、高级管理人员和员工情况</w:t>
      </w:r>
      <w:bookmarkEnd w:id="4"/>
      <w:r>
        <w:rPr>
          <w:b w:val="0"/>
          <w:bCs w:val="0"/>
        </w:rPr>
      </w:r>
    </w:p>
    <w:p>
      <w:pPr>
        <w:spacing w:line="240" w:lineRule="auto" w:before="0"/>
        <w:rPr>
          <w:rFonts w:ascii="宋体" w:hAnsi="宋体" w:cs="宋体" w:eastAsia="宋体" w:hint="default"/>
          <w:b/>
          <w:bCs/>
          <w:sz w:val="28"/>
          <w:szCs w:val="28"/>
        </w:rPr>
      </w:pPr>
    </w:p>
    <w:p>
      <w:pPr>
        <w:pStyle w:val="BodyText"/>
        <w:spacing w:line="240" w:lineRule="auto" w:before="240"/>
        <w:ind w:left="138" w:right="0"/>
        <w:jc w:val="left"/>
      </w:pPr>
      <w:r>
        <w:rPr/>
        <w:t>（一）董事、监事、高级管理人员基本情况</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10" w:h="16840"/>
          <w:pgMar w:header="0" w:footer="594" w:top="1600" w:bottom="800" w:left="1280" w:right="1300"/>
        </w:sectPr>
      </w:pPr>
    </w:p>
    <w:p>
      <w:pPr>
        <w:spacing w:line="240" w:lineRule="auto" w:before="10"/>
        <w:rPr>
          <w:rFonts w:ascii="宋体" w:hAnsi="宋体" w:cs="宋体" w:eastAsia="宋体" w:hint="default"/>
          <w:sz w:val="19"/>
          <w:szCs w:val="19"/>
        </w:rPr>
      </w:pPr>
    </w:p>
    <w:p>
      <w:pPr>
        <w:pStyle w:val="BodyText"/>
        <w:tabs>
          <w:tab w:pos="1584" w:val="left" w:leader="none"/>
          <w:tab w:pos="2618" w:val="left" w:leader="none"/>
          <w:tab w:pos="3297" w:val="left" w:leader="none"/>
        </w:tabs>
        <w:spacing w:line="240" w:lineRule="auto" w:before="0"/>
        <w:ind w:left="380" w:right="-19"/>
        <w:jc w:val="left"/>
      </w:pPr>
      <w:r>
        <w:rPr/>
        <w:t>姓</w:t>
        <w:tab/>
        <w:t>职</w:t>
        <w:tab/>
        <w:t>性</w:t>
        <w:tab/>
        <w:t>年</w:t>
      </w:r>
    </w:p>
    <w:p>
      <w:pPr>
        <w:pStyle w:val="BodyText"/>
        <w:tabs>
          <w:tab w:pos="1644" w:val="left" w:leader="none"/>
          <w:tab w:pos="2618" w:val="left" w:leader="none"/>
          <w:tab w:pos="3297" w:val="left" w:leader="none"/>
        </w:tabs>
        <w:spacing w:line="240" w:lineRule="auto" w:before="152"/>
        <w:ind w:left="380" w:right="-19"/>
        <w:jc w:val="left"/>
      </w:pPr>
      <w:r>
        <w:rPr/>
        <w:t>名</w:t>
        <w:tab/>
        <w:t>务</w:t>
        <w:tab/>
        <w:t>别</w:t>
        <w:tab/>
        <w:t>龄</w:t>
      </w:r>
    </w:p>
    <w:p>
      <w:pPr>
        <w:spacing w:line="240" w:lineRule="auto" w:before="7"/>
        <w:rPr>
          <w:rFonts w:ascii="宋体" w:hAnsi="宋体" w:cs="宋体" w:eastAsia="宋体" w:hint="default"/>
          <w:sz w:val="29"/>
          <w:szCs w:val="29"/>
        </w:rPr>
      </w:pPr>
    </w:p>
    <w:p>
      <w:pPr>
        <w:pStyle w:val="BodyText"/>
        <w:spacing w:line="307" w:lineRule="exact" w:before="0"/>
        <w:ind w:left="1114" w:right="-19"/>
        <w:jc w:val="left"/>
      </w:pPr>
      <w:r>
        <w:rPr>
          <w:spacing w:val="-4"/>
        </w:rPr>
        <w:t>董事长、董</w:t>
      </w:r>
    </w:p>
    <w:p>
      <w:pPr>
        <w:spacing w:line="240" w:lineRule="auto" w:before="0"/>
        <w:rPr>
          <w:rFonts w:ascii="宋体" w:hAnsi="宋体" w:cs="宋体" w:eastAsia="宋体" w:hint="default"/>
          <w:sz w:val="24"/>
          <w:szCs w:val="24"/>
        </w:rPr>
      </w:pPr>
      <w:r>
        <w:rPr/>
        <w:br w:type="column"/>
      </w:r>
      <w:r>
        <w:rPr>
          <w:rFonts w:ascii="宋体"/>
          <w:sz w:val="24"/>
        </w:rPr>
      </w:r>
    </w:p>
    <w:p>
      <w:pPr>
        <w:pStyle w:val="BodyText"/>
        <w:spacing w:line="240" w:lineRule="auto" w:before="178"/>
        <w:ind w:left="380" w:right="-20"/>
        <w:jc w:val="left"/>
      </w:pPr>
      <w:r>
        <w:rPr/>
        <w:t>任期起止日期</w:t>
      </w:r>
    </w:p>
    <w:p>
      <w:pPr>
        <w:spacing w:line="240" w:lineRule="auto" w:before="10"/>
        <w:rPr>
          <w:rFonts w:ascii="宋体" w:hAnsi="宋体" w:cs="宋体" w:eastAsia="宋体" w:hint="default"/>
          <w:sz w:val="19"/>
          <w:szCs w:val="19"/>
        </w:rPr>
      </w:pPr>
      <w:r>
        <w:rPr/>
        <w:br w:type="column"/>
      </w:r>
      <w:r>
        <w:rPr>
          <w:rFonts w:ascii="宋体"/>
          <w:sz w:val="19"/>
        </w:rPr>
      </w:r>
    </w:p>
    <w:p>
      <w:pPr>
        <w:pStyle w:val="BodyText"/>
        <w:spacing w:line="357" w:lineRule="auto" w:before="0"/>
        <w:ind w:left="485" w:right="-20" w:hanging="120"/>
        <w:jc w:val="left"/>
      </w:pPr>
      <w:r>
        <w:rPr/>
        <w:t>年初持 股数</w:t>
      </w:r>
    </w:p>
    <w:p>
      <w:pPr>
        <w:pStyle w:val="BodyText"/>
        <w:spacing w:line="357" w:lineRule="auto" w:before="26"/>
        <w:ind w:left="328" w:right="113"/>
        <w:jc w:val="both"/>
      </w:pPr>
      <w:r>
        <w:rPr/>
        <w:br w:type="column"/>
      </w:r>
      <w:r>
        <w:rPr/>
        <w:t>年末</w:t>
      </w:r>
      <w:r>
        <w:rPr>
          <w:spacing w:val="106"/>
        </w:rPr>
        <w:t> </w:t>
      </w:r>
      <w:r>
        <w:rPr>
          <w:color w:val="0000FF"/>
        </w:rPr>
        <w:t>报告期内从公</w:t>
      </w:r>
      <w:r>
        <w:rPr>
          <w:color w:val="0000FF"/>
        </w:rPr>
        <w:t> </w:t>
      </w:r>
      <w:r>
        <w:rPr/>
        <w:t>持</w:t>
      </w:r>
      <w:r>
        <w:rPr>
          <w:spacing w:val="106"/>
        </w:rPr>
        <w:t> </w:t>
      </w:r>
      <w:r>
        <w:rPr>
          <w:color w:val="0000FF"/>
        </w:rPr>
        <w:t>司领取的报酬</w:t>
      </w:r>
      <w:r>
        <w:rPr>
          <w:color w:val="0000FF"/>
        </w:rPr>
        <w:t> </w:t>
      </w:r>
      <w:r>
        <w:rPr/>
        <w:t>股数 </w:t>
      </w:r>
      <w:r>
        <w:rPr>
          <w:spacing w:val="106"/>
        </w:rPr>
        <w:t> </w:t>
      </w:r>
      <w:r>
        <w:rPr>
          <w:color w:val="0000FF"/>
        </w:rPr>
        <w:t>总额（万元）</w:t>
      </w:r>
      <w:r>
        <w:rPr/>
      </w:r>
    </w:p>
    <w:p>
      <w:pPr>
        <w:spacing w:after="0" w:line="357" w:lineRule="auto"/>
        <w:jc w:val="both"/>
        <w:sectPr>
          <w:type w:val="continuous"/>
          <w:pgSz w:w="11910" w:h="16840"/>
          <w:pgMar w:top="1600" w:bottom="280" w:left="1280" w:right="1300"/>
          <w:cols w:num="4" w:equalWidth="0">
            <w:col w:w="3539" w:space="90"/>
            <w:col w:w="1821" w:space="40"/>
            <w:col w:w="1086" w:space="40"/>
            <w:col w:w="2714"/>
          </w:cols>
        </w:sectPr>
      </w:pPr>
    </w:p>
    <w:p>
      <w:pPr>
        <w:pStyle w:val="BodyText"/>
        <w:tabs>
          <w:tab w:pos="2618" w:val="left" w:leader="none"/>
          <w:tab w:pos="3297" w:val="left" w:leader="none"/>
          <w:tab w:pos="3909" w:val="left" w:leader="none"/>
          <w:tab w:pos="6155" w:val="left" w:leader="none"/>
          <w:tab w:pos="7123" w:val="left" w:leader="none"/>
          <w:tab w:pos="8700" w:val="right" w:leader="none"/>
        </w:tabs>
        <w:spacing w:line="264" w:lineRule="exact" w:before="0"/>
        <w:ind w:left="106" w:right="0"/>
        <w:jc w:val="left"/>
        <w:rPr>
          <w:rFonts w:ascii="Times New Roman" w:hAnsi="Times New Roman" w:cs="Times New Roman" w:eastAsia="Times New Roman" w:hint="default"/>
        </w:rPr>
      </w:pPr>
      <w:r>
        <w:rPr/>
        <w:pict>
          <v:shape style="position:absolute;margin-left:69.290001pt;margin-top:11.7pt;width:428.5pt;height:88pt;mso-position-horizontal-relative:page;mso-position-vertical-relative:paragraph;z-index:16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82"/>
                    <w:gridCol w:w="1470"/>
                    <w:gridCol w:w="621"/>
                    <w:gridCol w:w="646"/>
                    <w:gridCol w:w="2129"/>
                    <w:gridCol w:w="847"/>
                    <w:gridCol w:w="1093"/>
                    <w:gridCol w:w="883"/>
                  </w:tblGrid>
                  <w:tr>
                    <w:trPr>
                      <w:trHeight w:val="830"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392"/>
                          <w:ind w:right="89"/>
                          <w:jc w:val="center"/>
                          <w:rPr>
                            <w:rFonts w:ascii="宋体" w:hAnsi="宋体" w:cs="宋体" w:eastAsia="宋体" w:hint="default"/>
                            <w:sz w:val="24"/>
                            <w:szCs w:val="24"/>
                          </w:rPr>
                        </w:pPr>
                        <w:r>
                          <w:rPr>
                            <w:rFonts w:ascii="宋体" w:hAnsi="宋体" w:cs="宋体" w:eastAsia="宋体" w:hint="default"/>
                            <w:sz w:val="24"/>
                            <w:szCs w:val="24"/>
                          </w:rPr>
                          <w:t>毛诚</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exact"/>
                          <w:ind w:right="32"/>
                          <w:jc w:val="center"/>
                          <w:rPr>
                            <w:rFonts w:ascii="宋体" w:hAnsi="宋体" w:cs="宋体" w:eastAsia="宋体" w:hint="default"/>
                            <w:sz w:val="24"/>
                            <w:szCs w:val="24"/>
                          </w:rPr>
                        </w:pPr>
                        <w:r>
                          <w:rPr>
                            <w:rFonts w:ascii="宋体" w:hAnsi="宋体" w:cs="宋体" w:eastAsia="宋体" w:hint="default"/>
                            <w:spacing w:val="-4"/>
                            <w:sz w:val="24"/>
                            <w:szCs w:val="24"/>
                          </w:rPr>
                          <w:t>事、总经理</w:t>
                        </w:r>
                      </w:p>
                      <w:p>
                        <w:pPr>
                          <w:pStyle w:val="TableParagraph"/>
                          <w:spacing w:line="240" w:lineRule="auto" w:before="152"/>
                          <w:ind w:right="34"/>
                          <w:jc w:val="center"/>
                          <w:rPr>
                            <w:rFonts w:ascii="宋体" w:hAnsi="宋体" w:cs="宋体" w:eastAsia="宋体" w:hint="default"/>
                            <w:sz w:val="24"/>
                            <w:szCs w:val="24"/>
                          </w:rPr>
                        </w:pPr>
                        <w:r>
                          <w:rPr>
                            <w:rFonts w:ascii="宋体" w:hAnsi="宋体" w:cs="宋体" w:eastAsia="宋体" w:hint="default"/>
                            <w:sz w:val="24"/>
                            <w:szCs w:val="24"/>
                          </w:rPr>
                          <w:t>董事</w:t>
                        </w:r>
                      </w:p>
                    </w:tc>
                    <w:tc>
                      <w:tcPr>
                        <w:tcW w:w="62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34"/>
                            <w:szCs w:val="34"/>
                          </w:rPr>
                        </w:pPr>
                      </w:p>
                      <w:p>
                        <w:pPr>
                          <w:pStyle w:val="TableParagraph"/>
                          <w:spacing w:line="240" w:lineRule="auto"/>
                          <w:ind w:right="56"/>
                          <w:jc w:val="center"/>
                          <w:rPr>
                            <w:rFonts w:ascii="宋体" w:hAnsi="宋体" w:cs="宋体" w:eastAsia="宋体" w:hint="default"/>
                            <w:sz w:val="24"/>
                            <w:szCs w:val="24"/>
                          </w:rPr>
                        </w:pPr>
                        <w:r>
                          <w:rPr>
                            <w:rFonts w:ascii="宋体" w:hAnsi="宋体" w:cs="宋体" w:eastAsia="宋体" w:hint="default"/>
                            <w:sz w:val="24"/>
                            <w:szCs w:val="24"/>
                          </w:rPr>
                          <w:t>男</w:t>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79"/>
                          <w:ind w:left="33" w:right="0"/>
                          <w:jc w:val="center"/>
                          <w:rPr>
                            <w:rFonts w:ascii="Times New Roman" w:hAnsi="Times New Roman" w:cs="Times New Roman" w:eastAsia="Times New Roman" w:hint="default"/>
                            <w:sz w:val="24"/>
                            <w:szCs w:val="24"/>
                          </w:rPr>
                        </w:pPr>
                        <w:r>
                          <w:rPr>
                            <w:rFonts w:ascii="Times New Roman"/>
                            <w:sz w:val="24"/>
                          </w:rPr>
                          <w:t>44</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79"/>
                          <w:ind w:left="186" w:right="0"/>
                          <w:jc w:val="left"/>
                          <w:rPr>
                            <w:rFonts w:ascii="Times New Roman" w:hAnsi="Times New Roman" w:cs="Times New Roman" w:eastAsia="Times New Roman" w:hint="default"/>
                            <w:sz w:val="24"/>
                            <w:szCs w:val="24"/>
                          </w:rPr>
                        </w:pPr>
                        <w:r>
                          <w:rPr>
                            <w:rFonts w:ascii="Times New Roman"/>
                            <w:sz w:val="24"/>
                          </w:rPr>
                          <w:t>2006.12-2009.12</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79"/>
                          <w:ind w:left="302" w:right="0"/>
                          <w:jc w:val="left"/>
                          <w:rPr>
                            <w:rFonts w:ascii="Times New Roman" w:hAnsi="Times New Roman" w:cs="Times New Roman" w:eastAsia="Times New Roman" w:hint="default"/>
                            <w:sz w:val="24"/>
                            <w:szCs w:val="24"/>
                          </w:rPr>
                        </w:pPr>
                        <w:r>
                          <w:rPr>
                            <w:rFonts w:ascii="Times New Roman"/>
                            <w:sz w:val="24"/>
                          </w:rPr>
                          <w:t>0</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79"/>
                          <w:ind w:left="424" w:right="0"/>
                          <w:jc w:val="left"/>
                          <w:rPr>
                            <w:rFonts w:ascii="Times New Roman" w:hAnsi="Times New Roman" w:cs="Times New Roman" w:eastAsia="Times New Roman" w:hint="default"/>
                            <w:sz w:val="24"/>
                            <w:szCs w:val="24"/>
                          </w:rPr>
                        </w:pPr>
                        <w:r>
                          <w:rPr>
                            <w:rFonts w:ascii="Times New Roman"/>
                            <w:sz w:val="24"/>
                          </w:rPr>
                          <w:t>0</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79"/>
                          <w:ind w:right="33"/>
                          <w:jc w:val="right"/>
                          <w:rPr>
                            <w:rFonts w:ascii="Times New Roman" w:hAnsi="Times New Roman" w:cs="Times New Roman" w:eastAsia="Times New Roman" w:hint="default"/>
                            <w:sz w:val="24"/>
                            <w:szCs w:val="24"/>
                          </w:rPr>
                        </w:pPr>
                        <w:r>
                          <w:rPr>
                            <w:rFonts w:ascii="Times New Roman"/>
                            <w:sz w:val="24"/>
                          </w:rPr>
                          <w:t>1.5</w:t>
                        </w:r>
                      </w:p>
                    </w:tc>
                  </w:tr>
                  <w:tr>
                    <w:trPr>
                      <w:trHeight w:val="467"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9"/>
                          <w:jc w:val="center"/>
                          <w:rPr>
                            <w:rFonts w:ascii="宋体" w:hAnsi="宋体" w:cs="宋体" w:eastAsia="宋体" w:hint="default"/>
                            <w:sz w:val="24"/>
                            <w:szCs w:val="24"/>
                          </w:rPr>
                        </w:pPr>
                        <w:r>
                          <w:rPr>
                            <w:rFonts w:ascii="宋体" w:hAnsi="宋体" w:cs="宋体" w:eastAsia="宋体" w:hint="default"/>
                            <w:sz w:val="24"/>
                            <w:szCs w:val="24"/>
                          </w:rPr>
                          <w:t>吴灿军</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76" w:right="0"/>
                          <w:jc w:val="left"/>
                          <w:rPr>
                            <w:rFonts w:ascii="宋体" w:hAnsi="宋体" w:cs="宋体" w:eastAsia="宋体" w:hint="default"/>
                            <w:sz w:val="24"/>
                            <w:szCs w:val="24"/>
                          </w:rPr>
                        </w:pPr>
                        <w:r>
                          <w:rPr>
                            <w:rFonts w:ascii="宋体" w:hAnsi="宋体" w:cs="宋体" w:eastAsia="宋体" w:hint="default"/>
                            <w:sz w:val="24"/>
                            <w:szCs w:val="24"/>
                          </w:rPr>
                          <w:t>董事</w:t>
                        </w:r>
                      </w:p>
                    </w:tc>
                    <w:tc>
                      <w:tcPr>
                        <w:tcW w:w="62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56"/>
                          <w:jc w:val="center"/>
                          <w:rPr>
                            <w:rFonts w:ascii="宋体" w:hAnsi="宋体" w:cs="宋体" w:eastAsia="宋体" w:hint="default"/>
                            <w:sz w:val="24"/>
                            <w:szCs w:val="24"/>
                          </w:rPr>
                        </w:pPr>
                        <w:r>
                          <w:rPr>
                            <w:rFonts w:ascii="宋体" w:hAnsi="宋体" w:cs="宋体" w:eastAsia="宋体" w:hint="default"/>
                            <w:sz w:val="24"/>
                            <w:szCs w:val="24"/>
                          </w:rPr>
                          <w:t>男</w:t>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3" w:right="0"/>
                          <w:jc w:val="center"/>
                          <w:rPr>
                            <w:rFonts w:ascii="Times New Roman" w:hAnsi="Times New Roman" w:cs="Times New Roman" w:eastAsia="Times New Roman" w:hint="default"/>
                            <w:sz w:val="24"/>
                            <w:szCs w:val="24"/>
                          </w:rPr>
                        </w:pPr>
                        <w:r>
                          <w:rPr>
                            <w:rFonts w:ascii="Times New Roman"/>
                            <w:sz w:val="24"/>
                          </w:rPr>
                          <w:t>46</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86" w:right="0"/>
                          <w:jc w:val="left"/>
                          <w:rPr>
                            <w:rFonts w:ascii="Times New Roman" w:hAnsi="Times New Roman" w:cs="Times New Roman" w:eastAsia="Times New Roman" w:hint="default"/>
                            <w:sz w:val="24"/>
                            <w:szCs w:val="24"/>
                          </w:rPr>
                        </w:pPr>
                        <w:r>
                          <w:rPr>
                            <w:rFonts w:ascii="Times New Roman"/>
                            <w:sz w:val="24"/>
                          </w:rPr>
                          <w:t>2006.12-2009.12</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02" w:right="0"/>
                          <w:jc w:val="left"/>
                          <w:rPr>
                            <w:rFonts w:ascii="Times New Roman" w:hAnsi="Times New Roman" w:cs="Times New Roman" w:eastAsia="Times New Roman" w:hint="default"/>
                            <w:sz w:val="24"/>
                            <w:szCs w:val="24"/>
                          </w:rPr>
                        </w:pPr>
                        <w:r>
                          <w:rPr>
                            <w:rFonts w:ascii="Times New Roman"/>
                            <w:sz w:val="24"/>
                          </w:rPr>
                          <w:t>0</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424" w:right="0"/>
                          <w:jc w:val="left"/>
                          <w:rPr>
                            <w:rFonts w:ascii="Times New Roman" w:hAnsi="Times New Roman" w:cs="Times New Roman" w:eastAsia="Times New Roman" w:hint="default"/>
                            <w:sz w:val="24"/>
                            <w:szCs w:val="24"/>
                          </w:rPr>
                        </w:pPr>
                        <w:r>
                          <w:rPr>
                            <w:rFonts w:ascii="Times New Roman"/>
                            <w:sz w:val="24"/>
                          </w:rPr>
                          <w:t>0</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Times New Roman" w:hAnsi="Times New Roman" w:cs="Times New Roman" w:eastAsia="Times New Roman" w:hint="default"/>
                            <w:sz w:val="24"/>
                            <w:szCs w:val="24"/>
                          </w:rPr>
                        </w:pPr>
                        <w:r>
                          <w:rPr>
                            <w:rFonts w:ascii="Times New Roman"/>
                            <w:sz w:val="24"/>
                          </w:rPr>
                          <w:t>1.5</w:t>
                        </w:r>
                      </w:p>
                    </w:tc>
                  </w:tr>
                  <w:tr>
                    <w:trPr>
                      <w:trHeight w:val="463"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9"/>
                          <w:jc w:val="center"/>
                          <w:rPr>
                            <w:rFonts w:ascii="宋体" w:hAnsi="宋体" w:cs="宋体" w:eastAsia="宋体" w:hint="default"/>
                            <w:sz w:val="24"/>
                            <w:szCs w:val="24"/>
                          </w:rPr>
                        </w:pPr>
                        <w:r>
                          <w:rPr>
                            <w:rFonts w:ascii="宋体" w:hAnsi="宋体" w:cs="宋体" w:eastAsia="宋体" w:hint="default"/>
                            <w:sz w:val="24"/>
                            <w:szCs w:val="24"/>
                          </w:rPr>
                          <w:t>胡滨</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76" w:right="0"/>
                          <w:jc w:val="left"/>
                          <w:rPr>
                            <w:rFonts w:ascii="宋体" w:hAnsi="宋体" w:cs="宋体" w:eastAsia="宋体" w:hint="default"/>
                            <w:sz w:val="24"/>
                            <w:szCs w:val="24"/>
                          </w:rPr>
                        </w:pPr>
                        <w:r>
                          <w:rPr>
                            <w:rFonts w:ascii="宋体" w:hAnsi="宋体" w:cs="宋体" w:eastAsia="宋体" w:hint="default"/>
                            <w:sz w:val="24"/>
                            <w:szCs w:val="24"/>
                          </w:rPr>
                          <w:t>董事</w:t>
                        </w:r>
                      </w:p>
                    </w:tc>
                    <w:tc>
                      <w:tcPr>
                        <w:tcW w:w="62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56"/>
                          <w:jc w:val="center"/>
                          <w:rPr>
                            <w:rFonts w:ascii="宋体" w:hAnsi="宋体" w:cs="宋体" w:eastAsia="宋体" w:hint="default"/>
                            <w:sz w:val="24"/>
                            <w:szCs w:val="24"/>
                          </w:rPr>
                        </w:pPr>
                        <w:r>
                          <w:rPr>
                            <w:rFonts w:ascii="宋体" w:hAnsi="宋体" w:cs="宋体" w:eastAsia="宋体" w:hint="default"/>
                            <w:sz w:val="24"/>
                            <w:szCs w:val="24"/>
                          </w:rPr>
                          <w:t>男</w:t>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3" w:right="0"/>
                          <w:jc w:val="center"/>
                          <w:rPr>
                            <w:rFonts w:ascii="Times New Roman" w:hAnsi="Times New Roman" w:cs="Times New Roman" w:eastAsia="Times New Roman" w:hint="default"/>
                            <w:sz w:val="24"/>
                            <w:szCs w:val="24"/>
                          </w:rPr>
                        </w:pPr>
                        <w:r>
                          <w:rPr>
                            <w:rFonts w:ascii="Times New Roman"/>
                            <w:sz w:val="24"/>
                          </w:rPr>
                          <w:t>50</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86" w:right="0"/>
                          <w:jc w:val="left"/>
                          <w:rPr>
                            <w:rFonts w:ascii="Times New Roman" w:hAnsi="Times New Roman" w:cs="Times New Roman" w:eastAsia="Times New Roman" w:hint="default"/>
                            <w:sz w:val="24"/>
                            <w:szCs w:val="24"/>
                          </w:rPr>
                        </w:pPr>
                        <w:r>
                          <w:rPr>
                            <w:rFonts w:ascii="Times New Roman"/>
                            <w:sz w:val="24"/>
                          </w:rPr>
                          <w:t>2006.12-2009.12</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02" w:right="0"/>
                          <w:jc w:val="left"/>
                          <w:rPr>
                            <w:rFonts w:ascii="Times New Roman" w:hAnsi="Times New Roman" w:cs="Times New Roman" w:eastAsia="Times New Roman" w:hint="default"/>
                            <w:sz w:val="24"/>
                            <w:szCs w:val="24"/>
                          </w:rPr>
                        </w:pPr>
                        <w:r>
                          <w:rPr>
                            <w:rFonts w:ascii="Times New Roman"/>
                            <w:sz w:val="24"/>
                          </w:rPr>
                          <w:t>0</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424" w:right="0"/>
                          <w:jc w:val="left"/>
                          <w:rPr>
                            <w:rFonts w:ascii="Times New Roman" w:hAnsi="Times New Roman" w:cs="Times New Roman" w:eastAsia="Times New Roman" w:hint="default"/>
                            <w:sz w:val="24"/>
                            <w:szCs w:val="24"/>
                          </w:rPr>
                        </w:pPr>
                        <w:r>
                          <w:rPr>
                            <w:rFonts w:ascii="Times New Roman"/>
                            <w:sz w:val="24"/>
                          </w:rPr>
                          <w:t>0</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Times New Roman" w:hAnsi="Times New Roman" w:cs="Times New Roman" w:eastAsia="Times New Roman" w:hint="default"/>
                            <w:sz w:val="24"/>
                            <w:szCs w:val="24"/>
                          </w:rPr>
                        </w:pPr>
                        <w:r>
                          <w:rPr>
                            <w:rFonts w:ascii="Times New Roman"/>
                            <w:sz w:val="24"/>
                          </w:rPr>
                          <w:t>1.5</w:t>
                        </w:r>
                      </w:p>
                    </w:tc>
                  </w:tr>
                </w:tbl>
                <w:p>
                  <w:pPr/>
                </w:p>
              </w:txbxContent>
            </v:textbox>
            <w10:wrap type="none"/>
          </v:shape>
        </w:pict>
      </w:r>
      <w:r>
        <w:rPr>
          <w:position w:val="1"/>
        </w:rPr>
        <w:t>高海波</w:t>
        <w:tab/>
        <w:t>男</w:t>
        <w:tab/>
      </w:r>
      <w:r>
        <w:rPr>
          <w:rFonts w:ascii="Times New Roman" w:hAnsi="Times New Roman" w:cs="Times New Roman" w:eastAsia="Times New Roman" w:hint="default"/>
        </w:rPr>
        <w:t>45</w:t>
        <w:tab/>
        <w:t>2006.12-2009.12</w:t>
        <w:tab/>
        <w:t>0</w:t>
        <w:tab/>
        <w:t>0</w:t>
        <w:tab/>
        <w:t>26.7</w:t>
      </w:r>
    </w:p>
    <w:p>
      <w:pPr>
        <w:spacing w:after="0" w:line="264" w:lineRule="exact"/>
        <w:jc w:val="left"/>
        <w:rPr>
          <w:rFonts w:ascii="Times New Roman" w:hAnsi="Times New Roman" w:cs="Times New Roman" w:eastAsia="Times New Roman" w:hint="default"/>
        </w:rPr>
        <w:sectPr>
          <w:type w:val="continuous"/>
          <w:pgSz w:w="11910" w:h="16840"/>
          <w:pgMar w:top="1600" w:bottom="280" w:left="1280" w:right="1300"/>
        </w:sectPr>
      </w:pPr>
    </w:p>
    <w:p>
      <w:pPr>
        <w:pStyle w:val="BodyText"/>
        <w:spacing w:line="273" w:lineRule="exact" w:before="14"/>
        <w:ind w:left="0" w:right="0"/>
        <w:jc w:val="right"/>
      </w:pPr>
      <w:r>
        <w:rPr/>
        <w:t>独立</w:t>
      </w:r>
    </w:p>
    <w:p>
      <w:pPr>
        <w:pStyle w:val="BodyText"/>
        <w:spacing w:line="233" w:lineRule="exact" w:before="0"/>
        <w:ind w:left="105" w:right="0"/>
        <w:jc w:val="left"/>
      </w:pPr>
      <w:r>
        <w:rPr/>
        <w:t>栾伟洁</w:t>
      </w:r>
    </w:p>
    <w:p>
      <w:pPr>
        <w:pStyle w:val="BodyText"/>
        <w:spacing w:line="274" w:lineRule="exact" w:before="0"/>
        <w:ind w:left="0" w:right="0"/>
        <w:jc w:val="right"/>
      </w:pPr>
      <w:r>
        <w:rPr/>
        <w:t>董事</w:t>
      </w:r>
    </w:p>
    <w:p>
      <w:pPr>
        <w:pStyle w:val="BodyText"/>
        <w:spacing w:line="273" w:lineRule="exact" w:before="152"/>
        <w:ind w:left="0" w:right="0"/>
        <w:jc w:val="right"/>
      </w:pPr>
      <w:r>
        <w:rPr/>
        <w:t>独立</w:t>
      </w:r>
    </w:p>
    <w:p>
      <w:pPr>
        <w:pStyle w:val="BodyText"/>
        <w:spacing w:line="234" w:lineRule="exact" w:before="0"/>
        <w:ind w:left="105" w:right="0"/>
        <w:jc w:val="left"/>
      </w:pPr>
      <w:r>
        <w:rPr/>
        <w:t>张永国</w:t>
      </w:r>
    </w:p>
    <w:p>
      <w:pPr>
        <w:pStyle w:val="BodyText"/>
        <w:spacing w:line="275" w:lineRule="exact" w:before="0"/>
        <w:ind w:left="0" w:right="0"/>
        <w:jc w:val="right"/>
      </w:pPr>
      <w:r>
        <w:rPr/>
        <w:t>董事</w:t>
      </w:r>
    </w:p>
    <w:p>
      <w:pPr>
        <w:pStyle w:val="BodyText"/>
        <w:spacing w:line="273" w:lineRule="exact" w:before="152"/>
        <w:ind w:left="0" w:right="0"/>
        <w:jc w:val="right"/>
      </w:pPr>
      <w:r>
        <w:rPr/>
        <w:t>独立</w:t>
      </w:r>
    </w:p>
    <w:p>
      <w:pPr>
        <w:pStyle w:val="BodyText"/>
        <w:spacing w:line="273" w:lineRule="exact" w:before="0"/>
        <w:ind w:left="105" w:right="0"/>
        <w:jc w:val="left"/>
      </w:pPr>
      <w:r>
        <w:rPr/>
        <w:pict>
          <v:shape style="position:absolute;margin-left:75.290001pt;margin-top:13.371556pt;width:425.5pt;height:88pt;mso-position-horizontal-relative:page;mso-position-vertical-relative:paragraph;z-index:17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77"/>
                    <w:gridCol w:w="1179"/>
                    <w:gridCol w:w="797"/>
                    <w:gridCol w:w="626"/>
                    <w:gridCol w:w="2167"/>
                    <w:gridCol w:w="827"/>
                    <w:gridCol w:w="1063"/>
                    <w:gridCol w:w="973"/>
                  </w:tblGrid>
                  <w:tr>
                    <w:trPr>
                      <w:trHeight w:val="830" w:hRule="exact"/>
                    </w:trPr>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30"/>
                            <w:szCs w:val="30"/>
                          </w:rPr>
                        </w:pPr>
                      </w:p>
                      <w:p>
                        <w:pPr>
                          <w:pStyle w:val="TableParagraph"/>
                          <w:spacing w:line="240" w:lineRule="auto"/>
                          <w:ind w:left="35" w:right="0"/>
                          <w:jc w:val="left"/>
                          <w:rPr>
                            <w:rFonts w:ascii="宋体" w:hAnsi="宋体" w:cs="宋体" w:eastAsia="宋体" w:hint="default"/>
                            <w:sz w:val="24"/>
                            <w:szCs w:val="24"/>
                          </w:rPr>
                        </w:pPr>
                        <w:r>
                          <w:rPr>
                            <w:rFonts w:ascii="宋体" w:hAnsi="宋体" w:cs="宋体" w:eastAsia="宋体" w:hint="default"/>
                            <w:sz w:val="24"/>
                            <w:szCs w:val="24"/>
                          </w:rPr>
                          <w:t>高皓</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exact"/>
                          <w:ind w:left="361" w:right="0"/>
                          <w:jc w:val="left"/>
                          <w:rPr>
                            <w:rFonts w:ascii="宋体" w:hAnsi="宋体" w:cs="宋体" w:eastAsia="宋体" w:hint="default"/>
                            <w:sz w:val="24"/>
                            <w:szCs w:val="24"/>
                          </w:rPr>
                        </w:pPr>
                        <w:r>
                          <w:rPr>
                            <w:rFonts w:ascii="宋体" w:hAnsi="宋体" w:cs="宋体" w:eastAsia="宋体" w:hint="default"/>
                            <w:sz w:val="24"/>
                            <w:szCs w:val="24"/>
                          </w:rPr>
                          <w:t>董事</w:t>
                        </w:r>
                      </w:p>
                      <w:p>
                        <w:pPr>
                          <w:pStyle w:val="TableParagraph"/>
                          <w:spacing w:line="240" w:lineRule="auto" w:before="152"/>
                          <w:ind w:left="361" w:right="0"/>
                          <w:jc w:val="left"/>
                          <w:rPr>
                            <w:rFonts w:ascii="宋体" w:hAnsi="宋体" w:cs="宋体" w:eastAsia="宋体" w:hint="default"/>
                            <w:sz w:val="24"/>
                            <w:szCs w:val="24"/>
                          </w:rPr>
                        </w:pPr>
                        <w:r>
                          <w:rPr>
                            <w:rFonts w:ascii="宋体" w:hAnsi="宋体" w:cs="宋体" w:eastAsia="宋体" w:hint="default"/>
                            <w:sz w:val="24"/>
                            <w:szCs w:val="24"/>
                          </w:rPr>
                          <w:t>监事</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30"/>
                            <w:szCs w:val="30"/>
                          </w:rPr>
                        </w:pPr>
                      </w:p>
                      <w:p>
                        <w:pPr>
                          <w:pStyle w:val="TableParagraph"/>
                          <w:spacing w:line="240" w:lineRule="auto"/>
                          <w:ind w:right="217"/>
                          <w:jc w:val="right"/>
                          <w:rPr>
                            <w:rFonts w:ascii="宋体" w:hAnsi="宋体" w:cs="宋体" w:eastAsia="宋体" w:hint="default"/>
                            <w:sz w:val="24"/>
                            <w:szCs w:val="24"/>
                          </w:rPr>
                        </w:pPr>
                        <w:r>
                          <w:rPr>
                            <w:rFonts w:ascii="宋体" w:hAnsi="宋体" w:cs="宋体" w:eastAsia="宋体" w:hint="default"/>
                            <w:sz w:val="24"/>
                            <w:szCs w:val="24"/>
                          </w:rPr>
                          <w:t>男</w:t>
                        </w: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34"/>
                            <w:szCs w:val="34"/>
                          </w:rPr>
                        </w:pPr>
                      </w:p>
                      <w:p>
                        <w:pPr>
                          <w:pStyle w:val="TableParagraph"/>
                          <w:spacing w:line="240" w:lineRule="auto"/>
                          <w:ind w:right="164"/>
                          <w:jc w:val="right"/>
                          <w:rPr>
                            <w:rFonts w:ascii="Times New Roman" w:hAnsi="Times New Roman" w:cs="Times New Roman" w:eastAsia="Times New Roman" w:hint="default"/>
                            <w:sz w:val="24"/>
                            <w:szCs w:val="24"/>
                          </w:rPr>
                        </w:pPr>
                        <w:r>
                          <w:rPr>
                            <w:rFonts w:ascii="Times New Roman"/>
                            <w:sz w:val="24"/>
                          </w:rPr>
                          <w:t>27</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34"/>
                            <w:szCs w:val="34"/>
                          </w:rPr>
                        </w:pPr>
                      </w:p>
                      <w:p>
                        <w:pPr>
                          <w:pStyle w:val="TableParagraph"/>
                          <w:spacing w:line="240" w:lineRule="auto"/>
                          <w:ind w:left="205" w:right="0"/>
                          <w:jc w:val="left"/>
                          <w:rPr>
                            <w:rFonts w:ascii="Times New Roman" w:hAnsi="Times New Roman" w:cs="Times New Roman" w:eastAsia="Times New Roman" w:hint="default"/>
                            <w:sz w:val="24"/>
                            <w:szCs w:val="24"/>
                          </w:rPr>
                        </w:pPr>
                        <w:r>
                          <w:rPr>
                            <w:rFonts w:ascii="Times New Roman"/>
                            <w:sz w:val="24"/>
                          </w:rPr>
                          <w:t>2006.12-2009.12</w:t>
                        </w:r>
                      </w:p>
                    </w:tc>
                    <w:tc>
                      <w:tcPr>
                        <w:tcW w:w="8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34"/>
                            <w:szCs w:val="34"/>
                          </w:rPr>
                        </w:pPr>
                      </w:p>
                      <w:p>
                        <w:pPr>
                          <w:pStyle w:val="TableParagraph"/>
                          <w:spacing w:line="240" w:lineRule="auto"/>
                          <w:ind w:left="283" w:right="0"/>
                          <w:jc w:val="left"/>
                          <w:rPr>
                            <w:rFonts w:ascii="Times New Roman" w:hAnsi="Times New Roman" w:cs="Times New Roman" w:eastAsia="Times New Roman" w:hint="default"/>
                            <w:sz w:val="24"/>
                            <w:szCs w:val="24"/>
                          </w:rPr>
                        </w:pPr>
                        <w:r>
                          <w:rPr>
                            <w:rFonts w:ascii="Times New Roman"/>
                            <w:sz w:val="24"/>
                          </w:rPr>
                          <w:t>0</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34"/>
                            <w:szCs w:val="34"/>
                          </w:rPr>
                        </w:pPr>
                      </w:p>
                      <w:p>
                        <w:pPr>
                          <w:pStyle w:val="TableParagraph"/>
                          <w:spacing w:line="240" w:lineRule="auto"/>
                          <w:ind w:left="424" w:right="0"/>
                          <w:jc w:val="left"/>
                          <w:rPr>
                            <w:rFonts w:ascii="Times New Roman" w:hAnsi="Times New Roman" w:cs="Times New Roman" w:eastAsia="Times New Roman" w:hint="default"/>
                            <w:sz w:val="24"/>
                            <w:szCs w:val="24"/>
                          </w:rPr>
                        </w:pPr>
                        <w:r>
                          <w:rPr>
                            <w:rFonts w:ascii="Times New Roman"/>
                            <w:sz w:val="24"/>
                          </w:rPr>
                          <w:t>0</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34"/>
                            <w:szCs w:val="34"/>
                          </w:rPr>
                        </w:pPr>
                      </w:p>
                      <w:p>
                        <w:pPr>
                          <w:pStyle w:val="TableParagraph"/>
                          <w:spacing w:line="240" w:lineRule="auto"/>
                          <w:ind w:right="93"/>
                          <w:jc w:val="right"/>
                          <w:rPr>
                            <w:rFonts w:ascii="Times New Roman" w:hAnsi="Times New Roman" w:cs="Times New Roman" w:eastAsia="Times New Roman" w:hint="default"/>
                            <w:sz w:val="24"/>
                            <w:szCs w:val="24"/>
                          </w:rPr>
                        </w:pPr>
                        <w:r>
                          <w:rPr>
                            <w:rFonts w:ascii="Times New Roman"/>
                            <w:sz w:val="24"/>
                          </w:rPr>
                          <w:t>0.5</w:t>
                        </w:r>
                      </w:p>
                    </w:tc>
                  </w:tr>
                  <w:tr>
                    <w:trPr>
                      <w:trHeight w:val="467" w:hRule="exact"/>
                    </w:trPr>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24"/>
                            <w:szCs w:val="24"/>
                          </w:rPr>
                        </w:pPr>
                        <w:r>
                          <w:rPr>
                            <w:rFonts w:ascii="宋体" w:hAnsi="宋体" w:cs="宋体" w:eastAsia="宋体" w:hint="default"/>
                            <w:sz w:val="24"/>
                            <w:szCs w:val="24"/>
                          </w:rPr>
                          <w:t>张岩</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61" w:right="0"/>
                          <w:jc w:val="left"/>
                          <w:rPr>
                            <w:rFonts w:ascii="宋体" w:hAnsi="宋体" w:cs="宋体" w:eastAsia="宋体" w:hint="default"/>
                            <w:sz w:val="24"/>
                            <w:szCs w:val="24"/>
                          </w:rPr>
                        </w:pPr>
                        <w:r>
                          <w:rPr>
                            <w:rFonts w:ascii="宋体" w:hAnsi="宋体" w:cs="宋体" w:eastAsia="宋体" w:hint="default"/>
                            <w:sz w:val="24"/>
                            <w:szCs w:val="24"/>
                          </w:rPr>
                          <w:t>监事</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7"/>
                          <w:jc w:val="right"/>
                          <w:rPr>
                            <w:rFonts w:ascii="宋体" w:hAnsi="宋体" w:cs="宋体" w:eastAsia="宋体" w:hint="default"/>
                            <w:sz w:val="24"/>
                            <w:szCs w:val="24"/>
                          </w:rPr>
                        </w:pPr>
                        <w:r>
                          <w:rPr>
                            <w:rFonts w:ascii="宋体" w:hAnsi="宋体" w:cs="宋体" w:eastAsia="宋体" w:hint="default"/>
                            <w:sz w:val="24"/>
                            <w:szCs w:val="24"/>
                          </w:rPr>
                          <w:t>男</w:t>
                        </w: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64"/>
                          <w:jc w:val="right"/>
                          <w:rPr>
                            <w:rFonts w:ascii="Times New Roman" w:hAnsi="Times New Roman" w:cs="Times New Roman" w:eastAsia="Times New Roman" w:hint="default"/>
                            <w:sz w:val="24"/>
                            <w:szCs w:val="24"/>
                          </w:rPr>
                        </w:pPr>
                        <w:r>
                          <w:rPr>
                            <w:rFonts w:ascii="Times New Roman"/>
                            <w:sz w:val="24"/>
                          </w:rPr>
                          <w:t>45</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66" w:right="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2006</w:t>
                        </w:r>
                        <w:r>
                          <w:rPr>
                            <w:rFonts w:ascii="宋体" w:hAnsi="宋体" w:cs="宋体" w:eastAsia="宋体" w:hint="default"/>
                            <w:spacing w:val="-104"/>
                            <w:sz w:val="24"/>
                            <w:szCs w:val="24"/>
                          </w:rPr>
                          <w:t>．</w:t>
                        </w:r>
                        <w:r>
                          <w:rPr>
                            <w:rFonts w:ascii="Times New Roman" w:hAnsi="Times New Roman" w:cs="Times New Roman" w:eastAsia="Times New Roman" w:hint="default"/>
                            <w:sz w:val="24"/>
                            <w:szCs w:val="24"/>
                          </w:rPr>
                          <w:t>12-2009.12</w:t>
                        </w:r>
                      </w:p>
                    </w:tc>
                    <w:tc>
                      <w:tcPr>
                        <w:tcW w:w="827" w:type="dxa"/>
                        <w:tcBorders>
                          <w:top w:val="nil" w:sz="6" w:space="0" w:color="auto"/>
                          <w:left w:val="nil" w:sz="6" w:space="0" w:color="auto"/>
                          <w:bottom w:val="nil" w:sz="6" w:space="0" w:color="auto"/>
                          <w:right w:val="nil" w:sz="6" w:space="0" w:color="auto"/>
                        </w:tcBorders>
                      </w:tcPr>
                      <w:p>
                        <w:pPr>
                          <w:pStyle w:val="TableParagraph"/>
                          <w:spacing w:line="240" w:lineRule="auto" w:before="92"/>
                          <w:ind w:left="283" w:right="0"/>
                          <w:jc w:val="left"/>
                          <w:rPr>
                            <w:rFonts w:ascii="Times New Roman" w:hAnsi="Times New Roman" w:cs="Times New Roman" w:eastAsia="Times New Roman" w:hint="default"/>
                            <w:sz w:val="24"/>
                            <w:szCs w:val="24"/>
                          </w:rPr>
                        </w:pPr>
                        <w:r>
                          <w:rPr>
                            <w:rFonts w:ascii="Times New Roman"/>
                            <w:sz w:val="24"/>
                          </w:rPr>
                          <w:t>0</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424" w:right="0"/>
                          <w:jc w:val="left"/>
                          <w:rPr>
                            <w:rFonts w:ascii="Times New Roman" w:hAnsi="Times New Roman" w:cs="Times New Roman" w:eastAsia="Times New Roman" w:hint="default"/>
                            <w:sz w:val="24"/>
                            <w:szCs w:val="24"/>
                          </w:rPr>
                        </w:pPr>
                        <w:r>
                          <w:rPr>
                            <w:rFonts w:ascii="Times New Roman"/>
                            <w:sz w:val="24"/>
                          </w:rPr>
                          <w:t>0</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93"/>
                          <w:jc w:val="right"/>
                          <w:rPr>
                            <w:rFonts w:ascii="Times New Roman" w:hAnsi="Times New Roman" w:cs="Times New Roman" w:eastAsia="Times New Roman" w:hint="default"/>
                            <w:sz w:val="24"/>
                            <w:szCs w:val="24"/>
                          </w:rPr>
                        </w:pPr>
                        <w:r>
                          <w:rPr>
                            <w:rFonts w:ascii="Times New Roman"/>
                            <w:sz w:val="24"/>
                          </w:rPr>
                          <w:t>0.5</w:t>
                        </w:r>
                      </w:p>
                    </w:tc>
                  </w:tr>
                  <w:tr>
                    <w:trPr>
                      <w:trHeight w:val="463" w:hRule="exact"/>
                    </w:trPr>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24"/>
                            <w:szCs w:val="24"/>
                          </w:rPr>
                        </w:pPr>
                        <w:r>
                          <w:rPr>
                            <w:rFonts w:ascii="宋体" w:hAnsi="宋体" w:cs="宋体" w:eastAsia="宋体" w:hint="default"/>
                            <w:sz w:val="24"/>
                            <w:szCs w:val="24"/>
                          </w:rPr>
                          <w:t>陈璇</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61" w:right="0"/>
                          <w:jc w:val="left"/>
                          <w:rPr>
                            <w:rFonts w:ascii="宋体" w:hAnsi="宋体" w:cs="宋体" w:eastAsia="宋体" w:hint="default"/>
                            <w:sz w:val="24"/>
                            <w:szCs w:val="24"/>
                          </w:rPr>
                        </w:pPr>
                        <w:r>
                          <w:rPr>
                            <w:rFonts w:ascii="宋体" w:hAnsi="宋体" w:cs="宋体" w:eastAsia="宋体" w:hint="default"/>
                            <w:sz w:val="24"/>
                            <w:szCs w:val="24"/>
                          </w:rPr>
                          <w:t>监事</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7"/>
                          <w:jc w:val="right"/>
                          <w:rPr>
                            <w:rFonts w:ascii="宋体" w:hAnsi="宋体" w:cs="宋体" w:eastAsia="宋体" w:hint="default"/>
                            <w:sz w:val="24"/>
                            <w:szCs w:val="24"/>
                          </w:rPr>
                        </w:pPr>
                        <w:r>
                          <w:rPr>
                            <w:rFonts w:ascii="宋体" w:hAnsi="宋体" w:cs="宋体" w:eastAsia="宋体" w:hint="default"/>
                            <w:sz w:val="24"/>
                            <w:szCs w:val="24"/>
                          </w:rPr>
                          <w:t>女</w:t>
                        </w: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64"/>
                          <w:jc w:val="right"/>
                          <w:rPr>
                            <w:rFonts w:ascii="Times New Roman" w:hAnsi="Times New Roman" w:cs="Times New Roman" w:eastAsia="Times New Roman" w:hint="default"/>
                            <w:sz w:val="24"/>
                            <w:szCs w:val="24"/>
                          </w:rPr>
                        </w:pPr>
                        <w:r>
                          <w:rPr>
                            <w:rFonts w:ascii="Times New Roman"/>
                            <w:sz w:val="24"/>
                          </w:rPr>
                          <w:t>41</w:t>
                        </w: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92"/>
                          <w:ind w:left="205" w:right="0"/>
                          <w:jc w:val="left"/>
                          <w:rPr>
                            <w:rFonts w:ascii="Times New Roman" w:hAnsi="Times New Roman" w:cs="Times New Roman" w:eastAsia="Times New Roman" w:hint="default"/>
                            <w:sz w:val="24"/>
                            <w:szCs w:val="24"/>
                          </w:rPr>
                        </w:pPr>
                        <w:r>
                          <w:rPr>
                            <w:rFonts w:ascii="Times New Roman"/>
                            <w:sz w:val="24"/>
                          </w:rPr>
                          <w:t>2006.12-2009.12</w:t>
                        </w:r>
                      </w:p>
                    </w:tc>
                    <w:tc>
                      <w:tcPr>
                        <w:tcW w:w="827" w:type="dxa"/>
                        <w:tcBorders>
                          <w:top w:val="nil" w:sz="6" w:space="0" w:color="auto"/>
                          <w:left w:val="nil" w:sz="6" w:space="0" w:color="auto"/>
                          <w:bottom w:val="nil" w:sz="6" w:space="0" w:color="auto"/>
                          <w:right w:val="nil" w:sz="6" w:space="0" w:color="auto"/>
                        </w:tcBorders>
                      </w:tcPr>
                      <w:p>
                        <w:pPr>
                          <w:pStyle w:val="TableParagraph"/>
                          <w:spacing w:line="240" w:lineRule="auto" w:before="92"/>
                          <w:ind w:left="283" w:right="0"/>
                          <w:jc w:val="left"/>
                          <w:rPr>
                            <w:rFonts w:ascii="Times New Roman" w:hAnsi="Times New Roman" w:cs="Times New Roman" w:eastAsia="Times New Roman" w:hint="default"/>
                            <w:sz w:val="24"/>
                            <w:szCs w:val="24"/>
                          </w:rPr>
                        </w:pPr>
                        <w:r>
                          <w:rPr>
                            <w:rFonts w:ascii="Times New Roman"/>
                            <w:sz w:val="24"/>
                          </w:rPr>
                          <w:t>0</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424" w:right="0"/>
                          <w:jc w:val="left"/>
                          <w:rPr>
                            <w:rFonts w:ascii="Times New Roman" w:hAnsi="Times New Roman" w:cs="Times New Roman" w:eastAsia="Times New Roman" w:hint="default"/>
                            <w:sz w:val="24"/>
                            <w:szCs w:val="24"/>
                          </w:rPr>
                        </w:pPr>
                        <w:r>
                          <w:rPr>
                            <w:rFonts w:ascii="Times New Roman"/>
                            <w:sz w:val="24"/>
                          </w:rPr>
                          <w:t>0</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Times New Roman" w:hAnsi="Times New Roman" w:cs="Times New Roman" w:eastAsia="Times New Roman" w:hint="default"/>
                            <w:sz w:val="24"/>
                            <w:szCs w:val="24"/>
                          </w:rPr>
                        </w:pPr>
                        <w:r>
                          <w:rPr>
                            <w:rFonts w:ascii="Times New Roman"/>
                            <w:sz w:val="24"/>
                          </w:rPr>
                          <w:t>9.74</w:t>
                        </w:r>
                      </w:p>
                    </w:tc>
                  </w:tr>
                </w:tbl>
                <w:p>
                  <w:pPr/>
                </w:p>
              </w:txbxContent>
            </v:textbox>
            <w10:wrap type="none"/>
          </v:shape>
        </w:pict>
      </w:r>
      <w:r>
        <w:rPr/>
        <w:t>邓朝晖</w:t>
      </w:r>
    </w:p>
    <w:p>
      <w:pPr>
        <w:spacing w:line="240" w:lineRule="auto" w:before="12"/>
        <w:rPr>
          <w:rFonts w:ascii="宋体" w:hAnsi="宋体" w:cs="宋体" w:eastAsia="宋体" w:hint="default"/>
          <w:sz w:val="18"/>
          <w:szCs w:val="18"/>
        </w:rPr>
      </w:pPr>
      <w:r>
        <w:rPr/>
        <w:br w:type="column"/>
      </w:r>
      <w:r>
        <w:rPr>
          <w:rFonts w:ascii="宋体"/>
          <w:sz w:val="18"/>
        </w:rPr>
      </w:r>
    </w:p>
    <w:p>
      <w:pPr>
        <w:pStyle w:val="BodyText"/>
        <w:spacing w:line="712" w:lineRule="auto" w:before="0"/>
        <w:ind w:left="105" w:right="6566"/>
        <w:jc w:val="left"/>
      </w:pPr>
      <w:r>
        <w:rPr/>
        <w:pict>
          <v:shape style="position:absolute;margin-left:227.149994pt;margin-top:4.659541pt;width:270.650pt;height:63.7pt;mso-position-horizontal-relative:page;mso-position-vertical-relative:paragraph;z-index:17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61"/>
                    <w:gridCol w:w="2129"/>
                    <w:gridCol w:w="847"/>
                    <w:gridCol w:w="1093"/>
                    <w:gridCol w:w="883"/>
                  </w:tblGrid>
                  <w:tr>
                    <w:trPr>
                      <w:trHeight w:val="587" w:hRule="exact"/>
                    </w:trPr>
                    <w:tc>
                      <w:tcPr>
                        <w:tcW w:w="461" w:type="dxa"/>
                        <w:tcBorders>
                          <w:top w:val="nil" w:sz="6" w:space="0" w:color="auto"/>
                          <w:left w:val="nil" w:sz="6" w:space="0" w:color="auto"/>
                          <w:bottom w:val="nil" w:sz="6" w:space="0" w:color="auto"/>
                          <w:right w:val="nil" w:sz="6" w:space="0" w:color="auto"/>
                        </w:tcBorders>
                      </w:tcPr>
                      <w:p>
                        <w:pPr>
                          <w:pStyle w:val="TableParagraph"/>
                          <w:spacing w:line="245" w:lineRule="exact"/>
                          <w:ind w:left="35" w:right="0"/>
                          <w:jc w:val="left"/>
                          <w:rPr>
                            <w:rFonts w:ascii="Times New Roman" w:hAnsi="Times New Roman" w:cs="Times New Roman" w:eastAsia="Times New Roman" w:hint="default"/>
                            <w:sz w:val="24"/>
                            <w:szCs w:val="24"/>
                          </w:rPr>
                        </w:pPr>
                        <w:r>
                          <w:rPr>
                            <w:rFonts w:ascii="Times New Roman"/>
                            <w:sz w:val="24"/>
                          </w:rPr>
                          <w:t>44</w:t>
                        </w:r>
                      </w:p>
                    </w:tc>
                    <w:tc>
                      <w:tcPr>
                        <w:tcW w:w="2129" w:type="dxa"/>
                        <w:tcBorders>
                          <w:top w:val="nil" w:sz="6" w:space="0" w:color="auto"/>
                          <w:left w:val="nil" w:sz="6" w:space="0" w:color="auto"/>
                          <w:bottom w:val="nil" w:sz="6" w:space="0" w:color="auto"/>
                          <w:right w:val="nil" w:sz="6" w:space="0" w:color="auto"/>
                        </w:tcBorders>
                      </w:tcPr>
                      <w:p>
                        <w:pPr>
                          <w:pStyle w:val="TableParagraph"/>
                          <w:spacing w:line="245" w:lineRule="exact"/>
                          <w:ind w:left="186" w:right="0"/>
                          <w:jc w:val="left"/>
                          <w:rPr>
                            <w:rFonts w:ascii="Times New Roman" w:hAnsi="Times New Roman" w:cs="Times New Roman" w:eastAsia="Times New Roman" w:hint="default"/>
                            <w:sz w:val="24"/>
                            <w:szCs w:val="24"/>
                          </w:rPr>
                        </w:pPr>
                        <w:r>
                          <w:rPr>
                            <w:rFonts w:ascii="Times New Roman"/>
                            <w:sz w:val="24"/>
                          </w:rPr>
                          <w:t>2006.12-2009.12</w:t>
                        </w:r>
                      </w:p>
                    </w:tc>
                    <w:tc>
                      <w:tcPr>
                        <w:tcW w:w="847" w:type="dxa"/>
                        <w:tcBorders>
                          <w:top w:val="nil" w:sz="6" w:space="0" w:color="auto"/>
                          <w:left w:val="nil" w:sz="6" w:space="0" w:color="auto"/>
                          <w:bottom w:val="nil" w:sz="6" w:space="0" w:color="auto"/>
                          <w:right w:val="nil" w:sz="6" w:space="0" w:color="auto"/>
                        </w:tcBorders>
                      </w:tcPr>
                      <w:p>
                        <w:pPr>
                          <w:pStyle w:val="TableParagraph"/>
                          <w:spacing w:line="245" w:lineRule="exact"/>
                          <w:ind w:left="302" w:right="0"/>
                          <w:jc w:val="left"/>
                          <w:rPr>
                            <w:rFonts w:ascii="Times New Roman" w:hAnsi="Times New Roman" w:cs="Times New Roman" w:eastAsia="Times New Roman" w:hint="default"/>
                            <w:sz w:val="24"/>
                            <w:szCs w:val="24"/>
                          </w:rPr>
                        </w:pPr>
                        <w:r>
                          <w:rPr>
                            <w:rFonts w:ascii="Times New Roman"/>
                            <w:sz w:val="24"/>
                          </w:rPr>
                          <w:t>0</w:t>
                        </w:r>
                      </w:p>
                    </w:tc>
                    <w:tc>
                      <w:tcPr>
                        <w:tcW w:w="1093" w:type="dxa"/>
                        <w:tcBorders>
                          <w:top w:val="nil" w:sz="6" w:space="0" w:color="auto"/>
                          <w:left w:val="nil" w:sz="6" w:space="0" w:color="auto"/>
                          <w:bottom w:val="nil" w:sz="6" w:space="0" w:color="auto"/>
                          <w:right w:val="nil" w:sz="6" w:space="0" w:color="auto"/>
                        </w:tcBorders>
                      </w:tcPr>
                      <w:p>
                        <w:pPr>
                          <w:pStyle w:val="TableParagraph"/>
                          <w:spacing w:line="245" w:lineRule="exact"/>
                          <w:ind w:left="424" w:right="0"/>
                          <w:jc w:val="left"/>
                          <w:rPr>
                            <w:rFonts w:ascii="Times New Roman" w:hAnsi="Times New Roman" w:cs="Times New Roman" w:eastAsia="Times New Roman" w:hint="default"/>
                            <w:sz w:val="24"/>
                            <w:szCs w:val="24"/>
                          </w:rPr>
                        </w:pPr>
                        <w:r>
                          <w:rPr>
                            <w:rFonts w:ascii="Times New Roman"/>
                            <w:sz w:val="24"/>
                          </w:rPr>
                          <w:t>0</w:t>
                        </w:r>
                      </w:p>
                    </w:tc>
                    <w:tc>
                      <w:tcPr>
                        <w:tcW w:w="883" w:type="dxa"/>
                        <w:tcBorders>
                          <w:top w:val="nil" w:sz="6" w:space="0" w:color="auto"/>
                          <w:left w:val="nil" w:sz="6" w:space="0" w:color="auto"/>
                          <w:bottom w:val="nil" w:sz="6" w:space="0" w:color="auto"/>
                          <w:right w:val="nil" w:sz="6" w:space="0" w:color="auto"/>
                        </w:tcBorders>
                      </w:tcPr>
                      <w:p>
                        <w:pPr>
                          <w:pStyle w:val="TableParagraph"/>
                          <w:spacing w:line="245" w:lineRule="exact"/>
                          <w:ind w:right="33"/>
                          <w:jc w:val="right"/>
                          <w:rPr>
                            <w:rFonts w:ascii="Times New Roman" w:hAnsi="Times New Roman" w:cs="Times New Roman" w:eastAsia="Times New Roman" w:hint="default"/>
                            <w:sz w:val="24"/>
                            <w:szCs w:val="24"/>
                          </w:rPr>
                        </w:pPr>
                        <w:r>
                          <w:rPr>
                            <w:rFonts w:ascii="Times New Roman"/>
                            <w:sz w:val="24"/>
                          </w:rPr>
                          <w:t>1.5</w:t>
                        </w:r>
                      </w:p>
                    </w:tc>
                  </w:tr>
                  <w:tr>
                    <w:trPr>
                      <w:trHeight w:val="687" w:hRule="exact"/>
                    </w:trPr>
                    <w:tc>
                      <w:tcPr>
                        <w:tcW w:w="46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35" w:right="0"/>
                          <w:jc w:val="left"/>
                          <w:rPr>
                            <w:rFonts w:ascii="Times New Roman" w:hAnsi="Times New Roman" w:cs="Times New Roman" w:eastAsia="Times New Roman" w:hint="default"/>
                            <w:sz w:val="24"/>
                            <w:szCs w:val="24"/>
                          </w:rPr>
                        </w:pPr>
                        <w:r>
                          <w:rPr>
                            <w:rFonts w:ascii="Times New Roman"/>
                            <w:sz w:val="24"/>
                          </w:rPr>
                          <w:t>45</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186" w:right="0"/>
                          <w:jc w:val="left"/>
                          <w:rPr>
                            <w:rFonts w:ascii="Times New Roman" w:hAnsi="Times New Roman" w:cs="Times New Roman" w:eastAsia="Times New Roman" w:hint="default"/>
                            <w:sz w:val="24"/>
                            <w:szCs w:val="24"/>
                          </w:rPr>
                        </w:pPr>
                        <w:r>
                          <w:rPr>
                            <w:rFonts w:ascii="Times New Roman"/>
                            <w:sz w:val="24"/>
                          </w:rPr>
                          <w:t>2006.12-2009.12</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302" w:right="0"/>
                          <w:jc w:val="left"/>
                          <w:rPr>
                            <w:rFonts w:ascii="Times New Roman" w:hAnsi="Times New Roman" w:cs="Times New Roman" w:eastAsia="Times New Roman" w:hint="default"/>
                            <w:sz w:val="24"/>
                            <w:szCs w:val="24"/>
                          </w:rPr>
                        </w:pPr>
                        <w:r>
                          <w:rPr>
                            <w:rFonts w:ascii="Times New Roman"/>
                            <w:sz w:val="24"/>
                          </w:rPr>
                          <w:t>0</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424" w:right="0"/>
                          <w:jc w:val="left"/>
                          <w:rPr>
                            <w:rFonts w:ascii="Times New Roman" w:hAnsi="Times New Roman" w:cs="Times New Roman" w:eastAsia="Times New Roman" w:hint="default"/>
                            <w:sz w:val="24"/>
                            <w:szCs w:val="24"/>
                          </w:rPr>
                        </w:pPr>
                        <w:r>
                          <w:rPr>
                            <w:rFonts w:ascii="Times New Roman"/>
                            <w:sz w:val="24"/>
                          </w:rPr>
                          <w:t>0</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33"/>
                          <w:jc w:val="right"/>
                          <w:rPr>
                            <w:rFonts w:ascii="Times New Roman" w:hAnsi="Times New Roman" w:cs="Times New Roman" w:eastAsia="Times New Roman" w:hint="default"/>
                            <w:sz w:val="24"/>
                            <w:szCs w:val="24"/>
                          </w:rPr>
                        </w:pPr>
                        <w:r>
                          <w:rPr>
                            <w:rFonts w:ascii="Times New Roman"/>
                            <w:sz w:val="24"/>
                          </w:rPr>
                          <w:t>1.5</w:t>
                        </w:r>
                      </w:p>
                    </w:tc>
                  </w:tr>
                </w:tbl>
                <w:p>
                  <w:pPr/>
                </w:p>
              </w:txbxContent>
            </v:textbox>
            <w10:wrap type="none"/>
          </v:shape>
        </w:pict>
      </w:r>
      <w:r>
        <w:rPr/>
        <w:t>女 男</w:t>
      </w:r>
    </w:p>
    <w:p>
      <w:pPr>
        <w:pStyle w:val="BodyText"/>
        <w:tabs>
          <w:tab w:pos="785" w:val="left" w:leader="none"/>
          <w:tab w:pos="1397" w:val="left" w:leader="none"/>
          <w:tab w:pos="3642" w:val="left" w:leader="none"/>
          <w:tab w:pos="4610" w:val="left" w:leader="none"/>
          <w:tab w:pos="6127" w:val="right" w:leader="none"/>
        </w:tabs>
        <w:spacing w:line="240" w:lineRule="auto" w:before="144"/>
        <w:ind w:left="105" w:right="0"/>
        <w:jc w:val="left"/>
        <w:rPr>
          <w:rFonts w:ascii="Times New Roman" w:hAnsi="Times New Roman" w:cs="Times New Roman" w:eastAsia="Times New Roman" w:hint="default"/>
        </w:rPr>
      </w:pPr>
      <w:r>
        <w:rPr>
          <w:position w:val="1"/>
        </w:rPr>
        <w:t>男</w:t>
        <w:tab/>
      </w:r>
      <w:r>
        <w:rPr>
          <w:rFonts w:ascii="Times New Roman" w:hAnsi="Times New Roman" w:cs="Times New Roman" w:eastAsia="Times New Roman" w:hint="default"/>
        </w:rPr>
        <w:t>40</w:t>
        <w:tab/>
        <w:t>2006.12-2009.12</w:t>
        <w:tab/>
        <w:t>0</w:t>
        <w:tab/>
        <w:t>0</w:t>
        <w:tab/>
        <w:t>1.5</w:t>
      </w:r>
    </w:p>
    <w:p>
      <w:pPr>
        <w:spacing w:after="0" w:line="240" w:lineRule="auto"/>
        <w:jc w:val="left"/>
        <w:rPr>
          <w:rFonts w:ascii="Times New Roman" w:hAnsi="Times New Roman" w:cs="Times New Roman" w:eastAsia="Times New Roman" w:hint="default"/>
        </w:rPr>
        <w:sectPr>
          <w:pgSz w:w="11910" w:h="16840"/>
          <w:pgMar w:header="0" w:footer="594" w:top="1420" w:bottom="800" w:left="1280" w:right="1180"/>
          <w:cols w:num="2" w:equalWidth="0">
            <w:col w:w="1945" w:space="568"/>
            <w:col w:w="6937"/>
          </w:cols>
        </w:sect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5"/>
        <w:rPr>
          <w:rFonts w:ascii="Times New Roman" w:hAnsi="Times New Roman" w:cs="Times New Roman" w:eastAsia="Times New Roman" w:hint="default"/>
          <w:sz w:val="19"/>
          <w:szCs w:val="19"/>
        </w:rPr>
      </w:pPr>
    </w:p>
    <w:p>
      <w:pPr>
        <w:pStyle w:val="BodyText"/>
        <w:tabs>
          <w:tab w:pos="1113" w:val="left" w:leader="none"/>
          <w:tab w:pos="2618" w:val="left" w:leader="none"/>
        </w:tabs>
        <w:spacing w:line="240" w:lineRule="auto" w:before="0"/>
        <w:ind w:left="140" w:right="-20"/>
        <w:jc w:val="left"/>
      </w:pPr>
      <w:r>
        <w:rPr/>
        <w:t>王晨光</w:t>
        <w:tab/>
        <w:t>副总经理</w:t>
        <w:tab/>
        <w:t>男</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338" w:lineRule="auto" w:before="123"/>
        <w:ind w:left="545" w:right="-20" w:hanging="405"/>
        <w:jc w:val="left"/>
        <w:rPr>
          <w:rFonts w:ascii="宋体" w:hAnsi="宋体" w:cs="宋体" w:eastAsia="宋体" w:hint="default"/>
          <w:sz w:val="18"/>
          <w:szCs w:val="18"/>
        </w:rPr>
      </w:pPr>
      <w:r>
        <w:rPr>
          <w:rFonts w:ascii="宋体" w:hAnsi="宋体" w:cs="宋体" w:eastAsia="宋体" w:hint="default"/>
          <w:sz w:val="18"/>
          <w:szCs w:val="18"/>
        </w:rPr>
        <w:t>已于</w:t>
      </w:r>
      <w:r>
        <w:rPr>
          <w:rFonts w:ascii="Times New Roman" w:hAnsi="Times New Roman" w:cs="Times New Roman" w:eastAsia="Times New Roman" w:hint="default"/>
          <w:sz w:val="18"/>
          <w:szCs w:val="18"/>
        </w:rPr>
        <w:t>2009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16</w:t>
      </w:r>
      <w:r>
        <w:rPr>
          <w:rFonts w:ascii="宋体" w:hAnsi="宋体" w:cs="宋体" w:eastAsia="宋体" w:hint="default"/>
          <w:sz w:val="18"/>
          <w:szCs w:val="18"/>
        </w:rPr>
        <w:t>日辞 去副总经理</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8"/>
          <w:szCs w:val="28"/>
        </w:rPr>
      </w:pPr>
    </w:p>
    <w:p>
      <w:pPr>
        <w:pStyle w:val="BodyText"/>
        <w:tabs>
          <w:tab w:pos="1109" w:val="left" w:leader="none"/>
          <w:tab w:pos="2415" w:val="left" w:leader="none"/>
        </w:tabs>
        <w:spacing w:line="240" w:lineRule="auto" w:before="0"/>
        <w:ind w:left="140" w:right="0"/>
        <w:jc w:val="left"/>
        <w:rPr>
          <w:rFonts w:ascii="Times New Roman" w:hAnsi="Times New Roman" w:cs="Times New Roman" w:eastAsia="Times New Roman" w:hint="default"/>
        </w:rPr>
      </w:pPr>
      <w:r>
        <w:rPr>
          <w:rFonts w:ascii="Times New Roman"/>
        </w:rPr>
        <w:t>0</w:t>
        <w:tab/>
        <w:t>0</w:t>
        <w:tab/>
        <w:t>0</w:t>
      </w:r>
    </w:p>
    <w:p>
      <w:pPr>
        <w:spacing w:after="0" w:line="240" w:lineRule="auto"/>
        <w:jc w:val="left"/>
        <w:rPr>
          <w:rFonts w:ascii="Times New Roman" w:hAnsi="Times New Roman" w:cs="Times New Roman" w:eastAsia="Times New Roman" w:hint="default"/>
        </w:rPr>
        <w:sectPr>
          <w:type w:val="continuous"/>
          <w:pgSz w:w="11910" w:h="16840"/>
          <w:pgMar w:top="1600" w:bottom="280" w:left="1280" w:right="1180"/>
          <w:cols w:num="3" w:equalWidth="0">
            <w:col w:w="2859" w:space="875"/>
            <w:col w:w="1851" w:space="429"/>
            <w:col w:w="3436"/>
          </w:cols>
        </w:sectPr>
      </w:pPr>
    </w:p>
    <w:p>
      <w:pPr>
        <w:pStyle w:val="BodyText"/>
        <w:spacing w:line="338" w:lineRule="auto" w:before="110"/>
        <w:ind w:left="138" w:right="214"/>
        <w:jc w:val="left"/>
      </w:pPr>
      <w:r>
        <w:rPr/>
        <w:t>注</w:t>
      </w:r>
      <w:r>
        <w:rPr>
          <w:rFonts w:ascii="Times New Roman" w:hAnsi="Times New Roman" w:cs="Times New Roman" w:eastAsia="Times New Roman" w:hint="default"/>
        </w:rPr>
        <w:t>1</w:t>
      </w:r>
      <w:r>
        <w:rPr/>
        <w:t>：除上述已披露者外，在本报告期内，本公司各董事、监事及其配偶及未满</w:t>
      </w:r>
      <w:r>
        <w:rPr>
          <w:rFonts w:ascii="Times New Roman" w:hAnsi="Times New Roman" w:cs="Times New Roman" w:eastAsia="Times New Roman" w:hint="default"/>
        </w:rPr>
        <w:t>18</w:t>
      </w:r>
      <w:r>
        <w:rPr>
          <w:rFonts w:ascii="Times New Roman" w:hAnsi="Times New Roman" w:cs="Times New Roman" w:eastAsia="Times New Roman" w:hint="default"/>
          <w:spacing w:val="12"/>
        </w:rPr>
        <w:t> </w:t>
      </w:r>
      <w:r>
        <w:rPr/>
        <w:t>岁之</w:t>
      </w:r>
      <w:r>
        <w:rPr>
          <w:spacing w:val="-2"/>
        </w:rPr>
        <w:t> </w:t>
      </w:r>
      <w:r>
        <w:rPr/>
        <w:t>子女概无持有本公司的任何股份。</w:t>
      </w:r>
    </w:p>
    <w:p>
      <w:pPr>
        <w:pStyle w:val="BodyText"/>
        <w:spacing w:line="338" w:lineRule="auto" w:before="55"/>
        <w:ind w:left="138" w:right="115"/>
        <w:jc w:val="left"/>
      </w:pPr>
      <w:r>
        <w:rPr>
          <w:spacing w:val="-4"/>
        </w:rPr>
        <w:t>注</w:t>
      </w:r>
      <w:r>
        <w:rPr>
          <w:rFonts w:ascii="Times New Roman" w:hAnsi="Times New Roman" w:cs="Times New Roman" w:eastAsia="Times New Roman" w:hint="default"/>
          <w:spacing w:val="-4"/>
        </w:rPr>
        <w:t>2</w:t>
      </w:r>
      <w:r>
        <w:rPr>
          <w:spacing w:val="-4"/>
        </w:rPr>
        <w:t>：报告期内从公司领取的报酬总额是指</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13"/>
        </w:rPr>
        <w:t> </w:t>
      </w:r>
      <w:r>
        <w:rPr>
          <w:spacing w:val="-5"/>
        </w:rPr>
        <w:t>年的基本薪酬和董事、监事的津贴费用。</w:t>
      </w:r>
      <w:r>
        <w:rPr/>
        <w:t> 注</w:t>
      </w:r>
      <w:r>
        <w:rPr>
          <w:rFonts w:ascii="Times New Roman" w:hAnsi="Times New Roman" w:cs="Times New Roman" w:eastAsia="Times New Roman" w:hint="default"/>
        </w:rPr>
        <w:t>3</w:t>
      </w:r>
      <w:r>
        <w:rPr/>
        <w:t>：公司</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28</w:t>
      </w:r>
      <w:r>
        <w:rPr/>
        <w:t>日召开的董事会任命王晨光为公司副总经理，代行董事会秘书职 责，</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28</w:t>
      </w:r>
      <w:r>
        <w:rPr/>
        <w:t>日起董事会代秘书期限到期，由董事长高海波代行董事会秘书职责。 注</w:t>
      </w:r>
      <w:r>
        <w:rPr>
          <w:rFonts w:ascii="Times New Roman" w:hAnsi="Times New Roman" w:cs="Times New Roman" w:eastAsia="Times New Roman" w:hint="default"/>
        </w:rPr>
        <w:t>4</w:t>
      </w:r>
      <w:r>
        <w:rPr/>
        <w:t>：</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16</w:t>
      </w:r>
      <w:r>
        <w:rPr/>
        <w:t>日，高海波辞去总经理职务，王晨光辞去副总经理职务。同日，许亚</w:t>
      </w:r>
      <w:r>
        <w:rPr>
          <w:spacing w:val="-1"/>
        </w:rPr>
        <w:t> </w:t>
      </w:r>
      <w:r>
        <w:rPr/>
        <w:t>楠当选新一任总经理，任期三年。</w:t>
      </w:r>
    </w:p>
    <w:p>
      <w:pPr>
        <w:pStyle w:val="BodyText"/>
        <w:spacing w:line="240" w:lineRule="auto" w:before="55"/>
        <w:ind w:left="138" w:right="214"/>
        <w:jc w:val="left"/>
      </w:pPr>
      <w:r>
        <w:rPr>
          <w:rFonts w:ascii="Times New Roman" w:hAnsi="Times New Roman" w:cs="Times New Roman" w:eastAsia="Times New Roman" w:hint="default"/>
        </w:rPr>
        <w:t>2</w:t>
      </w:r>
      <w:r>
        <w:rPr/>
        <w:t>、董事、监事、高管人员在股东单位任职的情况</w:t>
      </w:r>
    </w:p>
    <w:p>
      <w:pPr>
        <w:spacing w:after="0" w:line="240" w:lineRule="auto"/>
        <w:jc w:val="left"/>
        <w:sectPr>
          <w:type w:val="continuous"/>
          <w:pgSz w:w="11910" w:h="16840"/>
          <w:pgMar w:top="1600" w:bottom="280" w:left="1280" w:right="1180"/>
        </w:sectPr>
      </w:pPr>
    </w:p>
    <w:p>
      <w:pPr>
        <w:spacing w:line="240" w:lineRule="auto" w:before="1"/>
        <w:rPr>
          <w:rFonts w:ascii="宋体" w:hAnsi="宋体" w:cs="宋体" w:eastAsia="宋体" w:hint="default"/>
          <w:sz w:val="22"/>
          <w:szCs w:val="22"/>
        </w:rPr>
      </w:pPr>
    </w:p>
    <w:p>
      <w:pPr>
        <w:pStyle w:val="BodyText"/>
        <w:tabs>
          <w:tab w:pos="1283" w:val="left" w:leader="none"/>
          <w:tab w:pos="4148" w:val="left" w:leader="none"/>
          <w:tab w:pos="5823" w:val="left" w:leader="none"/>
        </w:tabs>
        <w:spacing w:line="240" w:lineRule="auto" w:before="0"/>
        <w:ind w:left="0" w:right="0"/>
        <w:jc w:val="right"/>
      </w:pPr>
      <w:r>
        <w:rPr/>
        <w:t>姓名</w:t>
        <w:tab/>
        <w:t>任职的股东单位名称</w:t>
        <w:tab/>
        <w:t>担任的职务</w:t>
        <w:tab/>
        <w:t>任职期间</w:t>
      </w:r>
    </w:p>
    <w:p>
      <w:pPr>
        <w:spacing w:line="240" w:lineRule="auto" w:before="8"/>
        <w:rPr>
          <w:rFonts w:ascii="宋体" w:hAnsi="宋体" w:cs="宋体" w:eastAsia="宋体" w:hint="default"/>
          <w:sz w:val="29"/>
          <w:szCs w:val="29"/>
        </w:rPr>
      </w:pPr>
    </w:p>
    <w:p>
      <w:pPr>
        <w:pStyle w:val="BodyText"/>
        <w:spacing w:line="283" w:lineRule="exact" w:before="0"/>
        <w:ind w:left="0" w:right="58"/>
        <w:jc w:val="right"/>
        <w:rPr>
          <w:rFonts w:ascii="Times New Roman" w:hAnsi="Times New Roman" w:cs="Times New Roman" w:eastAsia="Times New Roman" w:hint="default"/>
        </w:rPr>
      </w:pPr>
      <w:r>
        <w:rPr>
          <w:rFonts w:ascii="Times New Roman" w:hAnsi="Times New Roman" w:cs="Times New Roman" w:eastAsia="Times New Roman" w:hint="default"/>
        </w:rPr>
        <w:t>2006</w:t>
      </w:r>
      <w:r>
        <w:rPr/>
        <w:t>年</w:t>
      </w:r>
      <w:r>
        <w:rPr>
          <w:rFonts w:ascii="Times New Roman" w:hAnsi="Times New Roman" w:cs="Times New Roman" w:eastAsia="Times New Roman" w:hint="default"/>
        </w:rPr>
        <w:t>9</w:t>
      </w:r>
    </w:p>
    <w:p>
      <w:pPr>
        <w:pStyle w:val="BodyText"/>
        <w:tabs>
          <w:tab w:pos="1581" w:val="left" w:leader="none"/>
          <w:tab w:pos="4806" w:val="left" w:leader="none"/>
        </w:tabs>
        <w:spacing w:line="224" w:lineRule="exact" w:before="0"/>
        <w:ind w:left="417" w:right="0"/>
        <w:jc w:val="left"/>
      </w:pPr>
      <w:r>
        <w:rPr/>
        <w:t>吴灿军</w:t>
        <w:tab/>
        <w:t>北京新奥特集团有限公司</w:t>
        <w:tab/>
        <w:t>副总经理</w:t>
      </w:r>
    </w:p>
    <w:p>
      <w:pPr>
        <w:pStyle w:val="BodyText"/>
        <w:spacing w:line="274" w:lineRule="exact" w:before="0"/>
        <w:ind w:left="0" w:right="118"/>
        <w:jc w:val="right"/>
      </w:pPr>
      <w:r>
        <w:rPr/>
        <w:t>月至今</w:t>
      </w:r>
    </w:p>
    <w:p>
      <w:pPr>
        <w:pStyle w:val="BodyText"/>
        <w:spacing w:line="357" w:lineRule="auto" w:before="56"/>
        <w:ind w:left="390" w:right="491"/>
        <w:jc w:val="center"/>
      </w:pPr>
      <w:r>
        <w:rPr/>
        <w:br w:type="column"/>
      </w:r>
      <w:r>
        <w:rPr/>
        <w:t>是否领取报 酬津贴</w:t>
      </w:r>
    </w:p>
    <w:p>
      <w:pPr>
        <w:spacing w:line="240" w:lineRule="auto" w:before="6"/>
        <w:rPr>
          <w:rFonts w:ascii="宋体" w:hAnsi="宋体" w:cs="宋体" w:eastAsia="宋体" w:hint="default"/>
          <w:sz w:val="20"/>
          <w:szCs w:val="20"/>
        </w:rPr>
      </w:pPr>
    </w:p>
    <w:p>
      <w:pPr>
        <w:pStyle w:val="BodyText"/>
        <w:spacing w:line="240" w:lineRule="auto" w:before="0"/>
        <w:ind w:left="390" w:right="489"/>
        <w:jc w:val="center"/>
      </w:pPr>
      <w:r>
        <w:rPr/>
        <w:t>是</w:t>
      </w:r>
    </w:p>
    <w:p>
      <w:pPr>
        <w:spacing w:after="0" w:line="240" w:lineRule="auto"/>
        <w:jc w:val="center"/>
        <w:sectPr>
          <w:type w:val="continuous"/>
          <w:pgSz w:w="11910" w:h="16840"/>
          <w:pgMar w:top="1600" w:bottom="280" w:left="1280" w:right="1180"/>
          <w:cols w:num="2" w:equalWidth="0">
            <w:col w:w="7322" w:space="40"/>
            <w:col w:w="2088"/>
          </w:cols>
        </w:sectPr>
      </w:pPr>
    </w:p>
    <w:p>
      <w:pPr>
        <w:spacing w:line="240" w:lineRule="auto" w:before="9"/>
        <w:rPr>
          <w:rFonts w:ascii="宋体" w:hAnsi="宋体" w:cs="宋体" w:eastAsia="宋体" w:hint="default"/>
          <w:sz w:val="9"/>
          <w:szCs w:val="9"/>
        </w:rPr>
      </w:pPr>
    </w:p>
    <w:p>
      <w:pPr>
        <w:spacing w:after="0" w:line="240" w:lineRule="auto"/>
        <w:rPr>
          <w:rFonts w:ascii="宋体" w:hAnsi="宋体" w:cs="宋体" w:eastAsia="宋体" w:hint="default"/>
          <w:sz w:val="9"/>
          <w:szCs w:val="9"/>
        </w:rPr>
        <w:sectPr>
          <w:type w:val="continuous"/>
          <w:pgSz w:w="11910" w:h="16840"/>
          <w:pgMar w:top="1600" w:bottom="280" w:left="1280" w:right="1180"/>
        </w:sectPr>
      </w:pPr>
    </w:p>
    <w:p>
      <w:pPr>
        <w:pStyle w:val="BodyText"/>
        <w:spacing w:line="273" w:lineRule="exact" w:before="26"/>
        <w:ind w:left="1941" w:right="0"/>
        <w:jc w:val="center"/>
      </w:pPr>
      <w:r>
        <w:rPr/>
        <w:t>北京新奥特集团有</w:t>
      </w:r>
    </w:p>
    <w:p>
      <w:pPr>
        <w:pStyle w:val="BodyText"/>
        <w:spacing w:line="233" w:lineRule="exact" w:before="0"/>
        <w:ind w:left="537" w:right="0"/>
        <w:jc w:val="left"/>
      </w:pPr>
      <w:r>
        <w:rPr/>
        <w:t>高皓</w:t>
      </w:r>
    </w:p>
    <w:p>
      <w:pPr>
        <w:pStyle w:val="BodyText"/>
        <w:spacing w:line="274" w:lineRule="exact" w:before="0"/>
        <w:ind w:left="1941" w:right="0"/>
        <w:jc w:val="center"/>
      </w:pPr>
      <w:r>
        <w:rPr/>
        <w:t>限公司</w:t>
      </w:r>
    </w:p>
    <w:p>
      <w:pPr>
        <w:pStyle w:val="BodyText"/>
        <w:spacing w:line="273" w:lineRule="exact" w:before="152"/>
        <w:ind w:left="1941" w:right="0"/>
        <w:jc w:val="center"/>
      </w:pPr>
      <w:r>
        <w:rPr/>
        <w:t>上海文慧投资有限</w:t>
      </w:r>
    </w:p>
    <w:p>
      <w:pPr>
        <w:pStyle w:val="BodyText"/>
        <w:spacing w:line="233" w:lineRule="exact" w:before="0"/>
        <w:ind w:left="537" w:right="0"/>
        <w:jc w:val="left"/>
      </w:pPr>
      <w:r>
        <w:rPr/>
        <w:t>毛诚</w:t>
      </w:r>
    </w:p>
    <w:p>
      <w:pPr>
        <w:pStyle w:val="BodyText"/>
        <w:spacing w:line="274" w:lineRule="exact" w:before="0"/>
        <w:ind w:left="0" w:right="718"/>
        <w:jc w:val="right"/>
      </w:pPr>
      <w:r>
        <w:rPr/>
        <w:t>公司</w:t>
      </w:r>
    </w:p>
    <w:p>
      <w:pPr>
        <w:spacing w:line="240" w:lineRule="auto" w:before="10"/>
        <w:rPr>
          <w:rFonts w:ascii="宋体" w:hAnsi="宋体" w:cs="宋体" w:eastAsia="宋体" w:hint="default"/>
          <w:sz w:val="19"/>
          <w:szCs w:val="19"/>
        </w:rPr>
      </w:pPr>
      <w:r>
        <w:rPr/>
        <w:br w:type="column"/>
      </w:r>
      <w:r>
        <w:rPr>
          <w:rFonts w:ascii="宋体"/>
          <w:sz w:val="19"/>
        </w:rPr>
      </w:r>
    </w:p>
    <w:p>
      <w:pPr>
        <w:pStyle w:val="BodyText"/>
        <w:spacing w:line="712" w:lineRule="auto" w:before="0"/>
        <w:ind w:left="657" w:right="-19" w:hanging="120"/>
        <w:jc w:val="left"/>
      </w:pPr>
      <w:r>
        <w:rPr/>
        <w:t>财务部经理 副总经理</w:t>
      </w:r>
    </w:p>
    <w:p>
      <w:pPr>
        <w:pStyle w:val="BodyText"/>
        <w:tabs>
          <w:tab w:pos="2305" w:val="left" w:leader="none"/>
        </w:tabs>
        <w:spacing w:line="240" w:lineRule="auto" w:before="26"/>
        <w:ind w:left="495" w:right="0"/>
        <w:jc w:val="left"/>
      </w:pPr>
      <w:r>
        <w:rPr/>
        <w:br w:type="column"/>
      </w:r>
      <w:r>
        <w:rPr>
          <w:rFonts w:ascii="Times New Roman" w:hAnsi="Times New Roman" w:cs="Times New Roman" w:eastAsia="Times New Roman" w:hint="default"/>
        </w:rPr>
        <w:t>2005</w:t>
      </w:r>
      <w:r>
        <w:rPr/>
        <w:t>年</w:t>
      </w:r>
      <w:r>
        <w:rPr>
          <w:rFonts w:ascii="Times New Roman" w:hAnsi="Times New Roman" w:cs="Times New Roman" w:eastAsia="Times New Roman" w:hint="default"/>
        </w:rPr>
        <w:t>9</w:t>
        <w:tab/>
      </w:r>
      <w:r>
        <w:rPr>
          <w:position w:val="-2"/>
        </w:rPr>
        <w:t>是</w:t>
      </w:r>
      <w:r>
        <w:rPr/>
      </w:r>
    </w:p>
    <w:p>
      <w:pPr>
        <w:pStyle w:val="BodyText"/>
        <w:spacing w:line="240" w:lineRule="auto" w:before="122"/>
        <w:ind w:left="555" w:right="0"/>
        <w:jc w:val="left"/>
      </w:pPr>
      <w:r>
        <w:rPr/>
        <w:t>月至今</w:t>
      </w:r>
    </w:p>
    <w:p>
      <w:pPr>
        <w:pStyle w:val="BodyText"/>
        <w:spacing w:line="283" w:lineRule="exact" w:before="152"/>
        <w:ind w:left="416" w:right="2101"/>
        <w:jc w:val="center"/>
        <w:rPr>
          <w:rFonts w:ascii="Times New Roman" w:hAnsi="Times New Roman" w:cs="Times New Roman" w:eastAsia="Times New Roman" w:hint="default"/>
        </w:rPr>
      </w:pPr>
      <w:r>
        <w:rPr>
          <w:rFonts w:ascii="Times New Roman" w:hAnsi="Times New Roman" w:cs="Times New Roman" w:eastAsia="Times New Roman" w:hint="default"/>
        </w:rPr>
        <w:t>2005</w:t>
      </w:r>
      <w:r>
        <w:rPr/>
        <w:t>年</w:t>
      </w:r>
      <w:r>
        <w:rPr>
          <w:rFonts w:ascii="Times New Roman" w:hAnsi="Times New Roman" w:cs="Times New Roman" w:eastAsia="Times New Roman" w:hint="default"/>
        </w:rPr>
        <w:t>10</w:t>
      </w:r>
    </w:p>
    <w:p>
      <w:pPr>
        <w:pStyle w:val="BodyText"/>
        <w:spacing w:line="224" w:lineRule="exact" w:before="0"/>
        <w:ind w:left="2305" w:right="0"/>
        <w:jc w:val="left"/>
      </w:pPr>
      <w:r>
        <w:rPr/>
        <w:t>是</w:t>
      </w:r>
    </w:p>
    <w:p>
      <w:pPr>
        <w:pStyle w:val="BodyText"/>
        <w:spacing w:line="274" w:lineRule="exact" w:before="0"/>
        <w:ind w:left="555" w:right="0"/>
        <w:jc w:val="left"/>
      </w:pPr>
      <w:r>
        <w:rPr/>
        <w:t>月至今</w:t>
      </w:r>
    </w:p>
    <w:p>
      <w:pPr>
        <w:spacing w:after="0" w:line="274" w:lineRule="exact"/>
        <w:jc w:val="left"/>
        <w:sectPr>
          <w:type w:val="continuous"/>
          <w:pgSz w:w="11910" w:h="16840"/>
          <w:pgMar w:top="1600" w:bottom="280" w:left="1280" w:right="1180"/>
          <w:cols w:num="3" w:equalWidth="0">
            <w:col w:w="3863" w:space="286"/>
            <w:col w:w="1739" w:space="40"/>
            <w:col w:w="3522"/>
          </w:cols>
        </w:sectPr>
      </w:pPr>
    </w:p>
    <w:p>
      <w:pPr>
        <w:spacing w:line="240" w:lineRule="auto" w:before="0"/>
        <w:rPr>
          <w:rFonts w:ascii="宋体" w:hAnsi="宋体" w:cs="宋体" w:eastAsia="宋体" w:hint="default"/>
          <w:sz w:val="20"/>
          <w:szCs w:val="20"/>
        </w:rPr>
      </w:pPr>
    </w:p>
    <w:p>
      <w:pPr>
        <w:pStyle w:val="BodyText"/>
        <w:spacing w:line="240" w:lineRule="auto" w:before="199"/>
        <w:ind w:left="258" w:right="214"/>
        <w:jc w:val="left"/>
      </w:pPr>
      <w:r>
        <w:rPr/>
        <w:t>在除股东单位外的其他单位的任职或兼职情况</w:t>
      </w:r>
    </w:p>
    <w:p>
      <w:pPr>
        <w:spacing w:after="0" w:line="240" w:lineRule="auto"/>
        <w:jc w:val="left"/>
        <w:sectPr>
          <w:type w:val="continuous"/>
          <w:pgSz w:w="11910" w:h="16840"/>
          <w:pgMar w:top="1600" w:bottom="280" w:left="1280" w:right="1180"/>
        </w:sectPr>
      </w:pPr>
    </w:p>
    <w:p>
      <w:pPr>
        <w:spacing w:line="240" w:lineRule="auto" w:before="10"/>
        <w:rPr>
          <w:rFonts w:ascii="宋体" w:hAnsi="宋体" w:cs="宋体" w:eastAsia="宋体" w:hint="default"/>
          <w:sz w:val="6"/>
          <w:szCs w:val="6"/>
        </w:rPr>
      </w:pPr>
    </w:p>
    <w:tbl>
      <w:tblPr>
        <w:tblW w:w="0" w:type="auto"/>
        <w:jc w:val="left"/>
        <w:tblInd w:w="203" w:type="dxa"/>
        <w:tblLayout w:type="fixed"/>
        <w:tblCellMar>
          <w:top w:w="0" w:type="dxa"/>
          <w:left w:w="0" w:type="dxa"/>
          <w:bottom w:w="0" w:type="dxa"/>
          <w:right w:w="0" w:type="dxa"/>
        </w:tblCellMar>
        <w:tblLook w:val="01E0"/>
      </w:tblPr>
      <w:tblGrid>
        <w:gridCol w:w="1097"/>
        <w:gridCol w:w="3514"/>
        <w:gridCol w:w="1927"/>
        <w:gridCol w:w="1586"/>
        <w:gridCol w:w="1426"/>
      </w:tblGrid>
      <w:tr>
        <w:trPr>
          <w:trHeight w:val="920" w:hRule="exact"/>
        </w:trPr>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306"/>
              <w:jc w:val="center"/>
              <w:rPr>
                <w:rFonts w:ascii="宋体" w:hAnsi="宋体" w:cs="宋体" w:eastAsia="宋体" w:hint="default"/>
                <w:sz w:val="24"/>
                <w:szCs w:val="24"/>
              </w:rPr>
            </w:pPr>
            <w:r>
              <w:rPr>
                <w:rFonts w:ascii="宋体" w:hAnsi="宋体" w:cs="宋体" w:eastAsia="宋体" w:hint="default"/>
                <w:sz w:val="24"/>
                <w:szCs w:val="24"/>
              </w:rPr>
              <w:t>姓名</w:t>
            </w:r>
          </w:p>
        </w:tc>
        <w:tc>
          <w:tcPr>
            <w:tcW w:w="351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49" w:right="0"/>
              <w:jc w:val="center"/>
              <w:rPr>
                <w:rFonts w:ascii="宋体" w:hAnsi="宋体" w:cs="宋体" w:eastAsia="宋体" w:hint="default"/>
                <w:sz w:val="24"/>
                <w:szCs w:val="24"/>
              </w:rPr>
            </w:pPr>
            <w:r>
              <w:rPr>
                <w:rFonts w:ascii="宋体" w:hAnsi="宋体" w:cs="宋体" w:eastAsia="宋体" w:hint="default"/>
                <w:sz w:val="24"/>
                <w:szCs w:val="24"/>
              </w:rPr>
              <w:t>任职的股东单位名称</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97" w:right="0"/>
              <w:jc w:val="center"/>
              <w:rPr>
                <w:rFonts w:ascii="宋体" w:hAnsi="宋体" w:cs="宋体" w:eastAsia="宋体" w:hint="default"/>
                <w:sz w:val="24"/>
                <w:szCs w:val="24"/>
              </w:rPr>
            </w:pPr>
            <w:r>
              <w:rPr>
                <w:rFonts w:ascii="宋体" w:hAnsi="宋体" w:cs="宋体" w:eastAsia="宋体" w:hint="default"/>
                <w:sz w:val="24"/>
                <w:szCs w:val="24"/>
              </w:rPr>
              <w:t>担任的职务</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24"/>
                <w:szCs w:val="24"/>
              </w:rPr>
            </w:pPr>
            <w:r>
              <w:rPr>
                <w:rFonts w:ascii="宋体" w:hAnsi="宋体" w:cs="宋体" w:eastAsia="宋体" w:hint="default"/>
                <w:sz w:val="24"/>
                <w:szCs w:val="24"/>
              </w:rPr>
              <w:t>任职期间</w:t>
            </w:r>
          </w:p>
        </w:tc>
        <w:tc>
          <w:tcPr>
            <w:tcW w:w="1426" w:type="dxa"/>
            <w:tcBorders>
              <w:top w:val="nil" w:sz="6" w:space="0" w:color="auto"/>
              <w:left w:val="nil" w:sz="6" w:space="0" w:color="auto"/>
              <w:bottom w:val="nil" w:sz="6" w:space="0" w:color="auto"/>
              <w:right w:val="nil" w:sz="6" w:space="0" w:color="auto"/>
            </w:tcBorders>
          </w:tcPr>
          <w:p>
            <w:pPr>
              <w:pStyle w:val="TableParagraph"/>
              <w:spacing w:line="357" w:lineRule="auto" w:before="26"/>
              <w:ind w:left="430" w:right="33" w:hanging="240"/>
              <w:jc w:val="left"/>
              <w:rPr>
                <w:rFonts w:ascii="宋体" w:hAnsi="宋体" w:cs="宋体" w:eastAsia="宋体" w:hint="default"/>
                <w:sz w:val="24"/>
                <w:szCs w:val="24"/>
              </w:rPr>
            </w:pPr>
            <w:r>
              <w:rPr>
                <w:rFonts w:ascii="宋体" w:hAnsi="宋体" w:cs="宋体" w:eastAsia="宋体" w:hint="default"/>
                <w:sz w:val="24"/>
                <w:szCs w:val="24"/>
              </w:rPr>
              <w:t>是否领取报 酬津贴</w:t>
            </w:r>
          </w:p>
        </w:tc>
      </w:tr>
      <w:tr>
        <w:trPr>
          <w:trHeight w:val="474" w:hRule="exact"/>
        </w:trPr>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06"/>
              <w:jc w:val="center"/>
              <w:rPr>
                <w:rFonts w:ascii="宋体" w:hAnsi="宋体" w:cs="宋体" w:eastAsia="宋体" w:hint="default"/>
                <w:sz w:val="24"/>
                <w:szCs w:val="24"/>
              </w:rPr>
            </w:pPr>
            <w:r>
              <w:rPr>
                <w:rFonts w:ascii="宋体" w:hAnsi="宋体" w:cs="宋体" w:eastAsia="宋体" w:hint="default"/>
                <w:sz w:val="24"/>
                <w:szCs w:val="24"/>
              </w:rPr>
              <w:t>胡滨</w:t>
            </w:r>
          </w:p>
        </w:tc>
        <w:tc>
          <w:tcPr>
            <w:tcW w:w="35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9" w:right="0"/>
              <w:jc w:val="center"/>
              <w:rPr>
                <w:rFonts w:ascii="宋体" w:hAnsi="宋体" w:cs="宋体" w:eastAsia="宋体" w:hint="default"/>
                <w:sz w:val="24"/>
                <w:szCs w:val="24"/>
              </w:rPr>
            </w:pPr>
            <w:r>
              <w:rPr>
                <w:rFonts w:ascii="宋体" w:hAnsi="宋体" w:cs="宋体" w:eastAsia="宋体" w:hint="default"/>
                <w:sz w:val="24"/>
                <w:szCs w:val="24"/>
              </w:rPr>
              <w:t>上海捷华科技贸易公司</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7" w:right="0"/>
              <w:jc w:val="center"/>
              <w:rPr>
                <w:rFonts w:ascii="宋体" w:hAnsi="宋体" w:cs="宋体" w:eastAsia="宋体" w:hint="default"/>
                <w:sz w:val="24"/>
                <w:szCs w:val="24"/>
              </w:rPr>
            </w:pPr>
            <w:r>
              <w:rPr>
                <w:rFonts w:ascii="宋体" w:hAnsi="宋体" w:cs="宋体" w:eastAsia="宋体" w:hint="default"/>
                <w:sz w:val="24"/>
                <w:szCs w:val="24"/>
              </w:rPr>
              <w:t>副总经理</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 w:right="0"/>
              <w:jc w:val="center"/>
              <w:rPr>
                <w:rFonts w:ascii="宋体" w:hAnsi="宋体" w:cs="宋体" w:eastAsia="宋体" w:hint="default"/>
                <w:sz w:val="24"/>
                <w:szCs w:val="24"/>
              </w:rPr>
            </w:pPr>
            <w:r>
              <w:rPr>
                <w:rFonts w:ascii="Times New Roman" w:hAnsi="Times New Roman" w:cs="Times New Roman" w:eastAsia="Times New Roman" w:hint="default"/>
                <w:sz w:val="24"/>
                <w:szCs w:val="24"/>
              </w:rPr>
              <w:t>1997</w:t>
            </w:r>
            <w:r>
              <w:rPr>
                <w:rFonts w:ascii="宋体" w:hAnsi="宋体" w:cs="宋体" w:eastAsia="宋体" w:hint="default"/>
                <w:sz w:val="24"/>
                <w:szCs w:val="24"/>
              </w:rPr>
              <w:t>年至今</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13"/>
              <w:jc w:val="right"/>
              <w:rPr>
                <w:rFonts w:ascii="宋体" w:hAnsi="宋体" w:cs="宋体" w:eastAsia="宋体" w:hint="default"/>
                <w:sz w:val="24"/>
                <w:szCs w:val="24"/>
              </w:rPr>
            </w:pPr>
            <w:r>
              <w:rPr>
                <w:rFonts w:ascii="宋体" w:hAnsi="宋体" w:cs="宋体" w:eastAsia="宋体" w:hint="default"/>
                <w:sz w:val="24"/>
                <w:szCs w:val="24"/>
              </w:rPr>
              <w:t>是</w:t>
            </w:r>
          </w:p>
        </w:tc>
      </w:tr>
      <w:tr>
        <w:trPr>
          <w:trHeight w:val="344" w:hRule="exact"/>
        </w:trPr>
        <w:tc>
          <w:tcPr>
            <w:tcW w:w="1097" w:type="dxa"/>
            <w:tcBorders>
              <w:top w:val="nil" w:sz="6" w:space="0" w:color="auto"/>
              <w:left w:val="nil" w:sz="6" w:space="0" w:color="auto"/>
              <w:bottom w:val="nil" w:sz="6" w:space="0" w:color="auto"/>
              <w:right w:val="nil" w:sz="6" w:space="0" w:color="auto"/>
            </w:tcBorders>
          </w:tcPr>
          <w:p>
            <w:pPr/>
          </w:p>
        </w:tc>
        <w:tc>
          <w:tcPr>
            <w:tcW w:w="3514" w:type="dxa"/>
            <w:tcBorders>
              <w:top w:val="nil" w:sz="6" w:space="0" w:color="auto"/>
              <w:left w:val="nil" w:sz="6" w:space="0" w:color="auto"/>
              <w:bottom w:val="nil" w:sz="6" w:space="0" w:color="auto"/>
              <w:right w:val="nil" w:sz="6" w:space="0" w:color="auto"/>
            </w:tcBorders>
          </w:tcPr>
          <w:p>
            <w:pP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97" w:right="0"/>
              <w:jc w:val="center"/>
              <w:rPr>
                <w:rFonts w:ascii="宋体" w:hAnsi="宋体" w:cs="宋体" w:eastAsia="宋体" w:hint="default"/>
                <w:sz w:val="24"/>
                <w:szCs w:val="24"/>
              </w:rPr>
            </w:pPr>
            <w:r>
              <w:rPr>
                <w:rFonts w:ascii="宋体" w:hAnsi="宋体" w:cs="宋体" w:eastAsia="宋体" w:hint="default"/>
                <w:sz w:val="24"/>
                <w:szCs w:val="24"/>
              </w:rPr>
              <w:t>副总经理、董</w:t>
            </w:r>
          </w:p>
        </w:tc>
        <w:tc>
          <w:tcPr>
            <w:tcW w:w="1586"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240" w:hRule="exact"/>
        </w:trPr>
        <w:tc>
          <w:tcPr>
            <w:tcW w:w="1097" w:type="dxa"/>
            <w:tcBorders>
              <w:top w:val="nil" w:sz="6" w:space="0" w:color="auto"/>
              <w:left w:val="nil" w:sz="6" w:space="0" w:color="auto"/>
              <w:bottom w:val="nil" w:sz="6" w:space="0" w:color="auto"/>
              <w:right w:val="nil" w:sz="6" w:space="0" w:color="auto"/>
            </w:tcBorders>
          </w:tcPr>
          <w:p>
            <w:pPr>
              <w:pStyle w:val="TableParagraph"/>
              <w:spacing w:line="236" w:lineRule="exact"/>
              <w:ind w:right="306"/>
              <w:jc w:val="center"/>
              <w:rPr>
                <w:rFonts w:ascii="宋体" w:hAnsi="宋体" w:cs="宋体" w:eastAsia="宋体" w:hint="default"/>
                <w:sz w:val="24"/>
                <w:szCs w:val="24"/>
              </w:rPr>
            </w:pPr>
            <w:r>
              <w:rPr>
                <w:rFonts w:ascii="宋体" w:hAnsi="宋体" w:cs="宋体" w:eastAsia="宋体" w:hint="default"/>
                <w:sz w:val="24"/>
                <w:szCs w:val="24"/>
              </w:rPr>
              <w:t>邓朝晖</w:t>
            </w:r>
          </w:p>
        </w:tc>
        <w:tc>
          <w:tcPr>
            <w:tcW w:w="3514" w:type="dxa"/>
            <w:tcBorders>
              <w:top w:val="nil" w:sz="6" w:space="0" w:color="auto"/>
              <w:left w:val="nil" w:sz="6" w:space="0" w:color="auto"/>
              <w:bottom w:val="nil" w:sz="6" w:space="0" w:color="auto"/>
              <w:right w:val="nil" w:sz="6" w:space="0" w:color="auto"/>
            </w:tcBorders>
          </w:tcPr>
          <w:p>
            <w:pPr>
              <w:pStyle w:val="TableParagraph"/>
              <w:spacing w:line="236" w:lineRule="exact"/>
              <w:ind w:left="49" w:right="0"/>
              <w:jc w:val="center"/>
              <w:rPr>
                <w:rFonts w:ascii="宋体" w:hAnsi="宋体" w:cs="宋体" w:eastAsia="宋体" w:hint="default"/>
                <w:sz w:val="24"/>
                <w:szCs w:val="24"/>
              </w:rPr>
            </w:pPr>
            <w:r>
              <w:rPr>
                <w:rFonts w:ascii="宋体" w:hAnsi="宋体" w:cs="宋体" w:eastAsia="宋体" w:hint="default"/>
                <w:sz w:val="24"/>
                <w:szCs w:val="24"/>
              </w:rPr>
              <w:t>湖南金果实业股份有限公司</w:t>
            </w:r>
          </w:p>
        </w:tc>
        <w:tc>
          <w:tcPr>
            <w:tcW w:w="1927" w:type="dxa"/>
            <w:tcBorders>
              <w:top w:val="nil" w:sz="6" w:space="0" w:color="auto"/>
              <w:left w:val="nil" w:sz="6" w:space="0" w:color="auto"/>
              <w:bottom w:val="nil" w:sz="6" w:space="0" w:color="auto"/>
              <w:right w:val="nil" w:sz="6" w:space="0" w:color="auto"/>
            </w:tcBorders>
          </w:tcPr>
          <w:p>
            <w:pPr/>
          </w:p>
        </w:tc>
        <w:tc>
          <w:tcPr>
            <w:tcW w:w="1586" w:type="dxa"/>
            <w:tcBorders>
              <w:top w:val="nil" w:sz="6" w:space="0" w:color="auto"/>
              <w:left w:val="nil" w:sz="6" w:space="0" w:color="auto"/>
              <w:bottom w:val="nil" w:sz="6" w:space="0" w:color="auto"/>
              <w:right w:val="nil" w:sz="6" w:space="0" w:color="auto"/>
            </w:tcBorders>
          </w:tcPr>
          <w:p>
            <w:pPr>
              <w:pStyle w:val="TableParagraph"/>
              <w:spacing w:line="255" w:lineRule="exact"/>
              <w:ind w:left="4" w:right="0"/>
              <w:jc w:val="center"/>
              <w:rPr>
                <w:rFonts w:ascii="宋体" w:hAnsi="宋体" w:cs="宋体" w:eastAsia="宋体" w:hint="default"/>
                <w:sz w:val="24"/>
                <w:szCs w:val="24"/>
              </w:rPr>
            </w:pPr>
            <w:r>
              <w:rPr>
                <w:rFonts w:ascii="Times New Roman" w:hAnsi="Times New Roman" w:cs="Times New Roman" w:eastAsia="Times New Roman" w:hint="default"/>
                <w:sz w:val="24"/>
                <w:szCs w:val="24"/>
              </w:rPr>
              <w:t>1991</w:t>
            </w:r>
            <w:r>
              <w:rPr>
                <w:rFonts w:ascii="宋体" w:hAnsi="宋体" w:cs="宋体" w:eastAsia="宋体" w:hint="default"/>
                <w:sz w:val="24"/>
                <w:szCs w:val="24"/>
              </w:rPr>
              <w:t>年至今</w:t>
            </w:r>
          </w:p>
        </w:tc>
        <w:tc>
          <w:tcPr>
            <w:tcW w:w="1426" w:type="dxa"/>
            <w:tcBorders>
              <w:top w:val="nil" w:sz="6" w:space="0" w:color="auto"/>
              <w:left w:val="nil" w:sz="6" w:space="0" w:color="auto"/>
              <w:bottom w:val="nil" w:sz="6" w:space="0" w:color="auto"/>
              <w:right w:val="nil" w:sz="6" w:space="0" w:color="auto"/>
            </w:tcBorders>
          </w:tcPr>
          <w:p>
            <w:pPr>
              <w:pStyle w:val="TableParagraph"/>
              <w:spacing w:line="236" w:lineRule="exact"/>
              <w:ind w:right="513"/>
              <w:jc w:val="right"/>
              <w:rPr>
                <w:rFonts w:ascii="宋体" w:hAnsi="宋体" w:cs="宋体" w:eastAsia="宋体" w:hint="default"/>
                <w:sz w:val="24"/>
                <w:szCs w:val="24"/>
              </w:rPr>
            </w:pPr>
            <w:r>
              <w:rPr>
                <w:rFonts w:ascii="宋体" w:hAnsi="宋体" w:cs="宋体" w:eastAsia="宋体" w:hint="default"/>
                <w:sz w:val="24"/>
                <w:szCs w:val="24"/>
              </w:rPr>
              <w:t>是</w:t>
            </w:r>
          </w:p>
        </w:tc>
      </w:tr>
      <w:tr>
        <w:trPr>
          <w:trHeight w:val="344" w:hRule="exact"/>
        </w:trPr>
        <w:tc>
          <w:tcPr>
            <w:tcW w:w="1097" w:type="dxa"/>
            <w:tcBorders>
              <w:top w:val="nil" w:sz="6" w:space="0" w:color="auto"/>
              <w:left w:val="nil" w:sz="6" w:space="0" w:color="auto"/>
              <w:bottom w:val="nil" w:sz="6" w:space="0" w:color="auto"/>
              <w:right w:val="nil" w:sz="6" w:space="0" w:color="auto"/>
            </w:tcBorders>
          </w:tcPr>
          <w:p>
            <w:pPr/>
          </w:p>
        </w:tc>
        <w:tc>
          <w:tcPr>
            <w:tcW w:w="3514" w:type="dxa"/>
            <w:tcBorders>
              <w:top w:val="nil" w:sz="6" w:space="0" w:color="auto"/>
              <w:left w:val="nil" w:sz="6" w:space="0" w:color="auto"/>
              <w:bottom w:val="nil" w:sz="6" w:space="0" w:color="auto"/>
              <w:right w:val="nil" w:sz="6" w:space="0" w:color="auto"/>
            </w:tcBorders>
          </w:tcPr>
          <w:p>
            <w:pPr/>
          </w:p>
        </w:tc>
        <w:tc>
          <w:tcPr>
            <w:tcW w:w="1927" w:type="dxa"/>
            <w:tcBorders>
              <w:top w:val="nil" w:sz="6" w:space="0" w:color="auto"/>
              <w:left w:val="nil" w:sz="6" w:space="0" w:color="auto"/>
              <w:bottom w:val="nil" w:sz="6" w:space="0" w:color="auto"/>
              <w:right w:val="nil" w:sz="6" w:space="0" w:color="auto"/>
            </w:tcBorders>
          </w:tcPr>
          <w:p>
            <w:pPr>
              <w:pStyle w:val="TableParagraph"/>
              <w:spacing w:line="230" w:lineRule="exact"/>
              <w:ind w:left="97" w:right="0"/>
              <w:jc w:val="center"/>
              <w:rPr>
                <w:rFonts w:ascii="宋体" w:hAnsi="宋体" w:cs="宋体" w:eastAsia="宋体" w:hint="default"/>
                <w:sz w:val="24"/>
                <w:szCs w:val="24"/>
              </w:rPr>
            </w:pPr>
            <w:r>
              <w:rPr>
                <w:rFonts w:ascii="宋体" w:hAnsi="宋体" w:cs="宋体" w:eastAsia="宋体" w:hint="default"/>
                <w:sz w:val="24"/>
                <w:szCs w:val="24"/>
              </w:rPr>
              <w:t>事会秘书</w:t>
            </w:r>
          </w:p>
        </w:tc>
        <w:tc>
          <w:tcPr>
            <w:tcW w:w="1586"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473" w:hRule="exact"/>
        </w:trPr>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06"/>
              <w:jc w:val="center"/>
              <w:rPr>
                <w:rFonts w:ascii="宋体" w:hAnsi="宋体" w:cs="宋体" w:eastAsia="宋体" w:hint="default"/>
                <w:sz w:val="24"/>
                <w:szCs w:val="24"/>
              </w:rPr>
            </w:pPr>
            <w:r>
              <w:rPr>
                <w:rFonts w:ascii="宋体" w:hAnsi="宋体" w:cs="宋体" w:eastAsia="宋体" w:hint="default"/>
                <w:sz w:val="24"/>
                <w:szCs w:val="24"/>
              </w:rPr>
              <w:t>张永国</w:t>
            </w:r>
          </w:p>
        </w:tc>
        <w:tc>
          <w:tcPr>
            <w:tcW w:w="35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9" w:right="0"/>
              <w:jc w:val="center"/>
              <w:rPr>
                <w:rFonts w:ascii="宋体" w:hAnsi="宋体" w:cs="宋体" w:eastAsia="宋体" w:hint="default"/>
                <w:sz w:val="24"/>
                <w:szCs w:val="24"/>
              </w:rPr>
            </w:pPr>
            <w:r>
              <w:rPr>
                <w:rFonts w:ascii="宋体" w:hAnsi="宋体" w:cs="宋体" w:eastAsia="宋体" w:hint="default"/>
                <w:sz w:val="24"/>
                <w:szCs w:val="24"/>
              </w:rPr>
              <w:t>郑州航院成教学院</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7" w:right="0"/>
              <w:jc w:val="center"/>
              <w:rPr>
                <w:rFonts w:ascii="宋体" w:hAnsi="宋体" w:cs="宋体" w:eastAsia="宋体" w:hint="default"/>
                <w:sz w:val="24"/>
                <w:szCs w:val="24"/>
              </w:rPr>
            </w:pPr>
            <w:r>
              <w:rPr>
                <w:rFonts w:ascii="宋体" w:hAnsi="宋体" w:cs="宋体" w:eastAsia="宋体" w:hint="default"/>
                <w:sz w:val="24"/>
                <w:szCs w:val="24"/>
              </w:rPr>
              <w:t>院长</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 w:right="0"/>
              <w:jc w:val="center"/>
              <w:rPr>
                <w:rFonts w:ascii="宋体" w:hAnsi="宋体" w:cs="宋体" w:eastAsia="宋体" w:hint="default"/>
                <w:sz w:val="24"/>
                <w:szCs w:val="24"/>
              </w:rPr>
            </w:pPr>
            <w:r>
              <w:rPr>
                <w:rFonts w:ascii="Times New Roman" w:hAnsi="Times New Roman" w:cs="Times New Roman" w:eastAsia="Times New Roman" w:hint="default"/>
                <w:sz w:val="24"/>
                <w:szCs w:val="24"/>
              </w:rPr>
              <w:t>2001</w:t>
            </w:r>
            <w:r>
              <w:rPr>
                <w:rFonts w:ascii="宋体" w:hAnsi="宋体" w:cs="宋体" w:eastAsia="宋体" w:hint="default"/>
                <w:sz w:val="24"/>
                <w:szCs w:val="24"/>
              </w:rPr>
              <w:t>年至今</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13"/>
              <w:jc w:val="right"/>
              <w:rPr>
                <w:rFonts w:ascii="宋体" w:hAnsi="宋体" w:cs="宋体" w:eastAsia="宋体" w:hint="default"/>
                <w:sz w:val="24"/>
                <w:szCs w:val="24"/>
              </w:rPr>
            </w:pPr>
            <w:r>
              <w:rPr>
                <w:rFonts w:ascii="宋体" w:hAnsi="宋体" w:cs="宋体" w:eastAsia="宋体" w:hint="default"/>
                <w:sz w:val="24"/>
                <w:szCs w:val="24"/>
              </w:rPr>
              <w:t>是</w:t>
            </w:r>
          </w:p>
        </w:tc>
      </w:tr>
      <w:tr>
        <w:trPr>
          <w:trHeight w:val="467" w:hRule="exact"/>
        </w:trPr>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306"/>
              <w:jc w:val="center"/>
              <w:rPr>
                <w:rFonts w:ascii="宋体" w:hAnsi="宋体" w:cs="宋体" w:eastAsia="宋体" w:hint="default"/>
                <w:sz w:val="24"/>
                <w:szCs w:val="24"/>
              </w:rPr>
            </w:pPr>
            <w:r>
              <w:rPr>
                <w:rFonts w:ascii="宋体" w:hAnsi="宋体" w:cs="宋体" w:eastAsia="宋体" w:hint="default"/>
                <w:sz w:val="24"/>
                <w:szCs w:val="24"/>
              </w:rPr>
              <w:t>栾伟洁</w:t>
            </w:r>
          </w:p>
        </w:tc>
        <w:tc>
          <w:tcPr>
            <w:tcW w:w="3514" w:type="dxa"/>
            <w:tcBorders>
              <w:top w:val="nil" w:sz="6" w:space="0" w:color="auto"/>
              <w:left w:val="nil" w:sz="6" w:space="0" w:color="auto"/>
              <w:bottom w:val="nil" w:sz="6" w:space="0" w:color="auto"/>
              <w:right w:val="nil" w:sz="6" w:space="0" w:color="auto"/>
            </w:tcBorders>
          </w:tcPr>
          <w:p>
            <w:pPr>
              <w:pStyle w:val="TableParagraph"/>
              <w:spacing w:line="240" w:lineRule="auto" w:before="32"/>
              <w:ind w:left="49" w:right="0"/>
              <w:jc w:val="center"/>
              <w:rPr>
                <w:rFonts w:ascii="宋体" w:hAnsi="宋体" w:cs="宋体" w:eastAsia="宋体" w:hint="default"/>
                <w:sz w:val="24"/>
                <w:szCs w:val="24"/>
              </w:rPr>
            </w:pPr>
            <w:r>
              <w:rPr>
                <w:rFonts w:ascii="宋体" w:hAnsi="宋体" w:cs="宋体" w:eastAsia="宋体" w:hint="default"/>
                <w:sz w:val="24"/>
                <w:szCs w:val="24"/>
              </w:rPr>
              <w:t>香港德维森控股有限公司</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32"/>
              <w:ind w:left="97" w:right="0"/>
              <w:jc w:val="center"/>
              <w:rPr>
                <w:rFonts w:ascii="宋体" w:hAnsi="宋体" w:cs="宋体" w:eastAsia="宋体" w:hint="default"/>
                <w:sz w:val="24"/>
                <w:szCs w:val="24"/>
              </w:rPr>
            </w:pPr>
            <w:r>
              <w:rPr>
                <w:rFonts w:ascii="宋体" w:hAnsi="宋体" w:cs="宋体" w:eastAsia="宋体" w:hint="default"/>
                <w:sz w:val="24"/>
                <w:szCs w:val="24"/>
              </w:rPr>
              <w:t>财务负责人</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32"/>
              <w:ind w:left="4" w:right="0"/>
              <w:jc w:val="center"/>
              <w:rPr>
                <w:rFonts w:ascii="宋体" w:hAnsi="宋体" w:cs="宋体" w:eastAsia="宋体" w:hint="default"/>
                <w:sz w:val="24"/>
                <w:szCs w:val="24"/>
              </w:rPr>
            </w:pPr>
            <w:r>
              <w:rPr>
                <w:rFonts w:ascii="Times New Roman" w:hAnsi="Times New Roman" w:cs="Times New Roman" w:eastAsia="Times New Roman" w:hint="default"/>
                <w:sz w:val="24"/>
                <w:szCs w:val="24"/>
              </w:rPr>
              <w:t>2005</w:t>
            </w:r>
            <w:r>
              <w:rPr>
                <w:rFonts w:ascii="宋体" w:hAnsi="宋体" w:cs="宋体" w:eastAsia="宋体" w:hint="default"/>
                <w:sz w:val="24"/>
                <w:szCs w:val="24"/>
              </w:rPr>
              <w:t>年至今</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513"/>
              <w:jc w:val="right"/>
              <w:rPr>
                <w:rFonts w:ascii="宋体" w:hAnsi="宋体" w:cs="宋体" w:eastAsia="宋体" w:hint="default"/>
                <w:sz w:val="24"/>
                <w:szCs w:val="24"/>
              </w:rPr>
            </w:pPr>
            <w:r>
              <w:rPr>
                <w:rFonts w:ascii="宋体" w:hAnsi="宋体" w:cs="宋体" w:eastAsia="宋体" w:hint="default"/>
                <w:sz w:val="24"/>
                <w:szCs w:val="24"/>
              </w:rPr>
              <w:t>是</w:t>
            </w:r>
          </w:p>
        </w:tc>
      </w:tr>
      <w:tr>
        <w:trPr>
          <w:trHeight w:val="343" w:hRule="exact"/>
        </w:trPr>
        <w:tc>
          <w:tcPr>
            <w:tcW w:w="1097" w:type="dxa"/>
            <w:tcBorders>
              <w:top w:val="nil" w:sz="6" w:space="0" w:color="auto"/>
              <w:left w:val="nil" w:sz="6" w:space="0" w:color="auto"/>
              <w:bottom w:val="nil" w:sz="6" w:space="0" w:color="auto"/>
              <w:right w:val="nil" w:sz="6" w:space="0" w:color="auto"/>
            </w:tcBorders>
          </w:tcPr>
          <w:p>
            <w:pPr/>
          </w:p>
        </w:tc>
        <w:tc>
          <w:tcPr>
            <w:tcW w:w="3514" w:type="dxa"/>
            <w:tcBorders>
              <w:top w:val="nil" w:sz="6" w:space="0" w:color="auto"/>
              <w:left w:val="nil" w:sz="6" w:space="0" w:color="auto"/>
              <w:bottom w:val="nil" w:sz="6" w:space="0" w:color="auto"/>
              <w:right w:val="nil" w:sz="6" w:space="0" w:color="auto"/>
            </w:tcBorders>
          </w:tcPr>
          <w:p>
            <w:pP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32"/>
              <w:ind w:left="97" w:right="0"/>
              <w:jc w:val="center"/>
              <w:rPr>
                <w:rFonts w:ascii="宋体" w:hAnsi="宋体" w:cs="宋体" w:eastAsia="宋体" w:hint="default"/>
                <w:sz w:val="24"/>
                <w:szCs w:val="24"/>
              </w:rPr>
            </w:pPr>
            <w:r>
              <w:rPr>
                <w:rFonts w:ascii="宋体" w:hAnsi="宋体" w:cs="宋体" w:eastAsia="宋体" w:hint="default"/>
                <w:sz w:val="24"/>
                <w:szCs w:val="24"/>
              </w:rPr>
              <w:t>财务部经理、</w:t>
            </w:r>
          </w:p>
        </w:tc>
        <w:tc>
          <w:tcPr>
            <w:tcW w:w="1586"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240" w:hRule="exact"/>
        </w:trPr>
        <w:tc>
          <w:tcPr>
            <w:tcW w:w="1097" w:type="dxa"/>
            <w:tcBorders>
              <w:top w:val="nil" w:sz="6" w:space="0" w:color="auto"/>
              <w:left w:val="nil" w:sz="6" w:space="0" w:color="auto"/>
              <w:bottom w:val="nil" w:sz="6" w:space="0" w:color="auto"/>
              <w:right w:val="nil" w:sz="6" w:space="0" w:color="auto"/>
            </w:tcBorders>
          </w:tcPr>
          <w:p>
            <w:pPr>
              <w:pStyle w:val="TableParagraph"/>
              <w:spacing w:line="236" w:lineRule="exact"/>
              <w:ind w:right="306"/>
              <w:jc w:val="center"/>
              <w:rPr>
                <w:rFonts w:ascii="宋体" w:hAnsi="宋体" w:cs="宋体" w:eastAsia="宋体" w:hint="default"/>
                <w:sz w:val="24"/>
                <w:szCs w:val="24"/>
              </w:rPr>
            </w:pPr>
            <w:r>
              <w:rPr>
                <w:rFonts w:ascii="宋体" w:hAnsi="宋体" w:cs="宋体" w:eastAsia="宋体" w:hint="default"/>
                <w:sz w:val="24"/>
                <w:szCs w:val="24"/>
              </w:rPr>
              <w:t>张岩</w:t>
            </w:r>
          </w:p>
        </w:tc>
        <w:tc>
          <w:tcPr>
            <w:tcW w:w="3514" w:type="dxa"/>
            <w:tcBorders>
              <w:top w:val="nil" w:sz="6" w:space="0" w:color="auto"/>
              <w:left w:val="nil" w:sz="6" w:space="0" w:color="auto"/>
              <w:bottom w:val="nil" w:sz="6" w:space="0" w:color="auto"/>
              <w:right w:val="nil" w:sz="6" w:space="0" w:color="auto"/>
            </w:tcBorders>
          </w:tcPr>
          <w:p>
            <w:pPr>
              <w:pStyle w:val="TableParagraph"/>
              <w:spacing w:line="236" w:lineRule="exact"/>
              <w:ind w:left="49" w:right="0"/>
              <w:jc w:val="center"/>
              <w:rPr>
                <w:rFonts w:ascii="宋体" w:hAnsi="宋体" w:cs="宋体" w:eastAsia="宋体" w:hint="default"/>
                <w:sz w:val="24"/>
                <w:szCs w:val="24"/>
              </w:rPr>
            </w:pPr>
            <w:r>
              <w:rPr>
                <w:rFonts w:ascii="宋体" w:hAnsi="宋体" w:cs="宋体" w:eastAsia="宋体" w:hint="default"/>
                <w:sz w:val="24"/>
                <w:szCs w:val="24"/>
              </w:rPr>
              <w:t>中国航空工业供销深广公司</w:t>
            </w:r>
          </w:p>
        </w:tc>
        <w:tc>
          <w:tcPr>
            <w:tcW w:w="1927" w:type="dxa"/>
            <w:tcBorders>
              <w:top w:val="nil" w:sz="6" w:space="0" w:color="auto"/>
              <w:left w:val="nil" w:sz="6" w:space="0" w:color="auto"/>
              <w:bottom w:val="nil" w:sz="6" w:space="0" w:color="auto"/>
              <w:right w:val="nil" w:sz="6" w:space="0" w:color="auto"/>
            </w:tcBorders>
          </w:tcPr>
          <w:p>
            <w:pPr/>
          </w:p>
        </w:tc>
        <w:tc>
          <w:tcPr>
            <w:tcW w:w="1586" w:type="dxa"/>
            <w:tcBorders>
              <w:top w:val="nil" w:sz="6" w:space="0" w:color="auto"/>
              <w:left w:val="nil" w:sz="6" w:space="0" w:color="auto"/>
              <w:bottom w:val="nil" w:sz="6" w:space="0" w:color="auto"/>
              <w:right w:val="nil" w:sz="6" w:space="0" w:color="auto"/>
            </w:tcBorders>
          </w:tcPr>
          <w:p>
            <w:pPr>
              <w:pStyle w:val="TableParagraph"/>
              <w:spacing w:line="255" w:lineRule="exact"/>
              <w:ind w:left="4" w:right="0"/>
              <w:jc w:val="center"/>
              <w:rPr>
                <w:rFonts w:ascii="宋体" w:hAnsi="宋体" w:cs="宋体" w:eastAsia="宋体" w:hint="default"/>
                <w:sz w:val="24"/>
                <w:szCs w:val="24"/>
              </w:rPr>
            </w:pPr>
            <w:r>
              <w:rPr>
                <w:rFonts w:ascii="Times New Roman" w:hAnsi="Times New Roman" w:cs="Times New Roman" w:eastAsia="Times New Roman" w:hint="default"/>
                <w:sz w:val="24"/>
                <w:szCs w:val="24"/>
              </w:rPr>
              <w:t>1992</w:t>
            </w:r>
            <w:r>
              <w:rPr>
                <w:rFonts w:ascii="宋体" w:hAnsi="宋体" w:cs="宋体" w:eastAsia="宋体" w:hint="default"/>
                <w:sz w:val="24"/>
                <w:szCs w:val="24"/>
              </w:rPr>
              <w:t>年至今</w:t>
            </w:r>
          </w:p>
        </w:tc>
        <w:tc>
          <w:tcPr>
            <w:tcW w:w="1426" w:type="dxa"/>
            <w:tcBorders>
              <w:top w:val="nil" w:sz="6" w:space="0" w:color="auto"/>
              <w:left w:val="nil" w:sz="6" w:space="0" w:color="auto"/>
              <w:bottom w:val="nil" w:sz="6" w:space="0" w:color="auto"/>
              <w:right w:val="nil" w:sz="6" w:space="0" w:color="auto"/>
            </w:tcBorders>
          </w:tcPr>
          <w:p>
            <w:pPr>
              <w:pStyle w:val="TableParagraph"/>
              <w:spacing w:line="236" w:lineRule="exact"/>
              <w:ind w:right="513"/>
              <w:jc w:val="right"/>
              <w:rPr>
                <w:rFonts w:ascii="宋体" w:hAnsi="宋体" w:cs="宋体" w:eastAsia="宋体" w:hint="default"/>
                <w:sz w:val="24"/>
                <w:szCs w:val="24"/>
              </w:rPr>
            </w:pPr>
            <w:r>
              <w:rPr>
                <w:rFonts w:ascii="宋体" w:hAnsi="宋体" w:cs="宋体" w:eastAsia="宋体" w:hint="default"/>
                <w:sz w:val="24"/>
                <w:szCs w:val="24"/>
              </w:rPr>
              <w:t>是</w:t>
            </w:r>
          </w:p>
        </w:tc>
      </w:tr>
      <w:tr>
        <w:trPr>
          <w:trHeight w:val="330" w:hRule="exact"/>
        </w:trPr>
        <w:tc>
          <w:tcPr>
            <w:tcW w:w="1097" w:type="dxa"/>
            <w:tcBorders>
              <w:top w:val="nil" w:sz="6" w:space="0" w:color="auto"/>
              <w:left w:val="nil" w:sz="6" w:space="0" w:color="auto"/>
              <w:bottom w:val="nil" w:sz="6" w:space="0" w:color="auto"/>
              <w:right w:val="nil" w:sz="6" w:space="0" w:color="auto"/>
            </w:tcBorders>
          </w:tcPr>
          <w:p>
            <w:pPr/>
          </w:p>
        </w:tc>
        <w:tc>
          <w:tcPr>
            <w:tcW w:w="3514" w:type="dxa"/>
            <w:tcBorders>
              <w:top w:val="nil" w:sz="6" w:space="0" w:color="auto"/>
              <w:left w:val="nil" w:sz="6" w:space="0" w:color="auto"/>
              <w:bottom w:val="nil" w:sz="6" w:space="0" w:color="auto"/>
              <w:right w:val="nil" w:sz="6" w:space="0" w:color="auto"/>
            </w:tcBorders>
          </w:tcPr>
          <w:p>
            <w:pPr/>
          </w:p>
        </w:tc>
        <w:tc>
          <w:tcPr>
            <w:tcW w:w="1927" w:type="dxa"/>
            <w:tcBorders>
              <w:top w:val="nil" w:sz="6" w:space="0" w:color="auto"/>
              <w:left w:val="nil" w:sz="6" w:space="0" w:color="auto"/>
              <w:bottom w:val="nil" w:sz="6" w:space="0" w:color="auto"/>
              <w:right w:val="nil" w:sz="6" w:space="0" w:color="auto"/>
            </w:tcBorders>
          </w:tcPr>
          <w:p>
            <w:pPr>
              <w:pStyle w:val="TableParagraph"/>
              <w:spacing w:line="230" w:lineRule="exact"/>
              <w:ind w:left="97" w:right="0"/>
              <w:jc w:val="center"/>
              <w:rPr>
                <w:rFonts w:ascii="宋体" w:hAnsi="宋体" w:cs="宋体" w:eastAsia="宋体" w:hint="default"/>
                <w:sz w:val="24"/>
                <w:szCs w:val="24"/>
              </w:rPr>
            </w:pPr>
            <w:r>
              <w:rPr>
                <w:rFonts w:ascii="宋体" w:hAnsi="宋体" w:cs="宋体" w:eastAsia="宋体" w:hint="default"/>
                <w:sz w:val="24"/>
                <w:szCs w:val="24"/>
              </w:rPr>
              <w:t>副总经理</w:t>
            </w:r>
          </w:p>
        </w:tc>
        <w:tc>
          <w:tcPr>
            <w:tcW w:w="1586"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bl>
    <w:p>
      <w:pPr>
        <w:spacing w:line="240" w:lineRule="auto" w:before="1"/>
        <w:rPr>
          <w:rFonts w:ascii="宋体" w:hAnsi="宋体" w:cs="宋体" w:eastAsia="宋体" w:hint="default"/>
          <w:sz w:val="8"/>
          <w:szCs w:val="8"/>
        </w:rPr>
      </w:pPr>
    </w:p>
    <w:p>
      <w:pPr>
        <w:pStyle w:val="BodyText"/>
        <w:spacing w:line="240" w:lineRule="auto" w:before="26"/>
        <w:ind w:right="554"/>
        <w:jc w:val="left"/>
      </w:pPr>
      <w:r>
        <w:rPr>
          <w:rFonts w:ascii="Times New Roman" w:hAnsi="Times New Roman" w:cs="Times New Roman" w:eastAsia="Times New Roman" w:hint="default"/>
        </w:rPr>
        <w:t>3</w:t>
      </w:r>
      <w:r>
        <w:rPr/>
        <w:t>、现任公司董事、监事、高级管理人员的主要工作经历</w:t>
      </w:r>
    </w:p>
    <w:p>
      <w:pPr>
        <w:pStyle w:val="BodyText"/>
        <w:spacing w:line="350" w:lineRule="auto"/>
        <w:ind w:right="674" w:firstLine="480"/>
        <w:jc w:val="both"/>
      </w:pPr>
      <w:r>
        <w:rPr/>
        <w:t>高海波 </w:t>
      </w:r>
      <w:r>
        <w:rPr>
          <w:spacing w:val="-4"/>
        </w:rPr>
        <w:t>董事长、总经理、董事会代秘书，曾任沈阳飞机制造公司</w:t>
      </w:r>
      <w:r>
        <w:rPr>
          <w:rFonts w:ascii="Times New Roman" w:hAnsi="Times New Roman" w:cs="Times New Roman" w:eastAsia="Times New Roman" w:hint="default"/>
          <w:spacing w:val="-4"/>
        </w:rPr>
        <w:t>,</w:t>
      </w:r>
      <w:r>
        <w:rPr>
          <w:rFonts w:ascii="Times New Roman" w:hAnsi="Times New Roman" w:cs="Times New Roman" w:eastAsia="Times New Roman" w:hint="default"/>
          <w:spacing w:val="23"/>
        </w:rPr>
        <w:t> </w:t>
      </w:r>
      <w:r>
        <w:rPr>
          <w:spacing w:val="-4"/>
        </w:rPr>
        <w:t>助理会计师，辽</w:t>
      </w:r>
      <w:r>
        <w:rPr/>
        <w:t> </w:t>
      </w:r>
      <w:r>
        <w:rPr>
          <w:spacing w:val="-2"/>
        </w:rPr>
        <w:t>宁省建行国际业务部结算部部长，建行总行上海证券部副总经理兼财务部经理，建行海</w:t>
      </w:r>
      <w:r>
        <w:rPr>
          <w:spacing w:val="-96"/>
        </w:rPr>
        <w:t> </w:t>
      </w:r>
      <w:r>
        <w:rPr>
          <w:spacing w:val="-96"/>
        </w:rPr>
      </w:r>
      <w:r>
        <w:rPr>
          <w:spacing w:val="-2"/>
        </w:rPr>
        <w:t>南分行上海证券部副总经理，辽宁李世企业集团董事长助理，现任深圳大通实业股份有</w:t>
      </w:r>
      <w:r>
        <w:rPr>
          <w:spacing w:val="-96"/>
        </w:rPr>
        <w:t> </w:t>
      </w:r>
      <w:r>
        <w:rPr>
          <w:spacing w:val="-96"/>
        </w:rPr>
      </w:r>
      <w:r>
        <w:rPr/>
        <w:t>限公司总经理。</w:t>
      </w:r>
    </w:p>
    <w:p>
      <w:pPr>
        <w:pStyle w:val="BodyText"/>
        <w:spacing w:line="357" w:lineRule="auto" w:before="43"/>
        <w:ind w:right="674" w:firstLine="480"/>
        <w:jc w:val="both"/>
      </w:pPr>
      <w:r>
        <w:rPr/>
        <w:t>吴灿军 董事</w:t>
      </w:r>
      <w:r>
        <w:rPr>
          <w:spacing w:val="-50"/>
        </w:rPr>
        <w:t> </w:t>
      </w:r>
      <w:r>
        <w:rPr/>
        <w:t>副教授，曾在张家界航空学校任管理工程系主任，张家界航空职业技</w:t>
      </w:r>
      <w:r>
        <w:rPr/>
        <w:t> </w:t>
      </w:r>
      <w:r>
        <w:rPr>
          <w:spacing w:val="-2"/>
        </w:rPr>
        <w:t>术学院教务处长，张家界航空职业技术学院院长助理、财务处长，现任北京新奥特集团</w:t>
      </w:r>
      <w:r>
        <w:rPr>
          <w:spacing w:val="-95"/>
        </w:rPr>
        <w:t> </w:t>
      </w:r>
      <w:r>
        <w:rPr>
          <w:spacing w:val="-95"/>
        </w:rPr>
      </w:r>
      <w:r>
        <w:rPr/>
        <w:t>副总裁。</w:t>
      </w:r>
    </w:p>
    <w:p>
      <w:pPr>
        <w:pStyle w:val="BodyText"/>
        <w:spacing w:line="357" w:lineRule="auto" w:before="36"/>
        <w:ind w:right="674" w:firstLine="480"/>
        <w:jc w:val="both"/>
      </w:pPr>
      <w:r>
        <w:rPr/>
        <w:t>胡滨 董事</w:t>
      </w:r>
      <w:r>
        <w:rPr>
          <w:spacing w:val="69"/>
        </w:rPr>
        <w:t> </w:t>
      </w:r>
      <w:r>
        <w:rPr/>
        <w:t>曾任南京红旗无线电厂车间主任、计划科长、副厂长，深圳进出口贸</w:t>
      </w:r>
      <w:r>
        <w:rPr/>
        <w:t> </w:t>
      </w:r>
      <w:r>
        <w:rPr>
          <w:spacing w:val="-2"/>
        </w:rPr>
        <w:t>易集团公司电子仪器厂厂长，深圳特发企业公司发展部经理，南京帝豪房地产公司总经</w:t>
      </w:r>
      <w:r>
        <w:rPr>
          <w:spacing w:val="-96"/>
        </w:rPr>
        <w:t> </w:t>
      </w:r>
      <w:r>
        <w:rPr>
          <w:spacing w:val="-96"/>
        </w:rPr>
      </w:r>
      <w:r>
        <w:rPr/>
        <w:t>理助理，现任上海捷华科技贸易公司任副总经理。</w:t>
      </w:r>
    </w:p>
    <w:p>
      <w:pPr>
        <w:pStyle w:val="BodyText"/>
        <w:tabs>
          <w:tab w:pos="1318" w:val="left" w:leader="none"/>
          <w:tab w:pos="2038" w:val="left" w:leader="none"/>
        </w:tabs>
        <w:spacing w:line="357" w:lineRule="auto" w:before="36"/>
        <w:ind w:right="554" w:firstLine="480"/>
        <w:jc w:val="left"/>
      </w:pPr>
      <w:r>
        <w:rPr/>
        <w:t>毛诚</w:t>
        <w:tab/>
        <w:t>董事</w:t>
        <w:tab/>
        <w:t>曾任北京华隆新技术开发公司总经理，广东中视电视信息传播有限公 </w:t>
      </w:r>
      <w:r>
        <w:rPr>
          <w:spacing w:val="-5"/>
        </w:rPr>
        <w:t>司总经理，北京运时投资管理有限公司执行总裁，中国银泰投资有限公司投资部总经理，</w:t>
      </w:r>
      <w:r>
        <w:rPr>
          <w:spacing w:val="-97"/>
        </w:rPr>
        <w:t> </w:t>
      </w:r>
      <w:r>
        <w:rPr>
          <w:spacing w:val="-97"/>
        </w:rPr>
      </w:r>
      <w:r>
        <w:rPr/>
        <w:t>现任上海文慧投资有限公司副总经理。</w:t>
      </w:r>
    </w:p>
    <w:p>
      <w:pPr>
        <w:pStyle w:val="BodyText"/>
        <w:spacing w:line="348" w:lineRule="auto" w:before="36"/>
        <w:ind w:right="745" w:firstLine="360"/>
        <w:jc w:val="both"/>
      </w:pPr>
      <w:r>
        <w:rPr/>
        <w:t>栾伟洁 独立董事 曾任航空工业部成都发动机公司财务会计，深圳市赛格三星股份 有限公司财务部部长助理，香港科维控股有限公司</w:t>
      </w:r>
      <w:r>
        <w:rPr>
          <w:rFonts w:ascii="Times New Roman" w:hAnsi="Times New Roman" w:cs="Times New Roman" w:eastAsia="Times New Roman" w:hint="default"/>
        </w:rPr>
        <w:t>-</w:t>
      </w:r>
      <w:r>
        <w:rPr/>
        <w:t>投资部总经理、财务部副总经理， 现任香港德维森控股有限公司国内控股各公司财务负责人。</w:t>
      </w:r>
    </w:p>
    <w:p>
      <w:pPr>
        <w:pStyle w:val="BodyText"/>
        <w:spacing w:line="357" w:lineRule="auto" w:before="46"/>
        <w:ind w:right="672" w:firstLine="360"/>
        <w:jc w:val="both"/>
      </w:pPr>
      <w:r>
        <w:rPr/>
        <w:t>张永国 独立董事 曾任郑州航空工业管理学院会计学系教研室副主任、主任，系副 </w:t>
      </w:r>
      <w:r>
        <w:rPr>
          <w:spacing w:val="-3"/>
        </w:rPr>
        <w:t>主任，党总支副书记，宇航审计事务所所长，成人教育学院副院长，现任成人教育学院</w:t>
      </w:r>
      <w:r>
        <w:rPr>
          <w:spacing w:val="-88"/>
        </w:rPr>
        <w:t> </w:t>
      </w:r>
      <w:r>
        <w:rPr>
          <w:spacing w:val="-88"/>
        </w:rPr>
      </w:r>
      <w:r>
        <w:rPr/>
        <w:t>院长，深圳大通实业股份有限公司独立董事。</w:t>
      </w:r>
    </w:p>
    <w:p>
      <w:pPr>
        <w:spacing w:after="0" w:line="357" w:lineRule="auto"/>
        <w:jc w:val="both"/>
        <w:sectPr>
          <w:pgSz w:w="11910" w:h="16840"/>
          <w:pgMar w:header="0" w:footer="594" w:top="1320" w:bottom="800" w:left="1300" w:right="740"/>
        </w:sectPr>
      </w:pPr>
    </w:p>
    <w:p>
      <w:pPr>
        <w:pStyle w:val="BodyText"/>
        <w:spacing w:line="357" w:lineRule="auto" w:before="13"/>
        <w:ind w:right="154" w:firstLine="480"/>
        <w:jc w:val="both"/>
      </w:pPr>
      <w:r>
        <w:rPr/>
        <w:t>邓朝晖 独立董事</w:t>
      </w:r>
      <w:r>
        <w:rPr>
          <w:spacing w:val="-50"/>
        </w:rPr>
        <w:t> </w:t>
      </w:r>
      <w:r>
        <w:rPr/>
        <w:t>历任湖南金果实业股份有限公司证券部副经理、公关部经理、董</w:t>
      </w:r>
      <w:r>
        <w:rPr/>
        <w:t> </w:t>
      </w:r>
      <w:r>
        <w:rPr>
          <w:spacing w:val="-2"/>
        </w:rPr>
        <w:t>事会秘书、副总经理。现任该公司副总经理和董事会秘书，衡阳源通投资开发有限公司</w:t>
      </w:r>
      <w:r>
        <w:rPr>
          <w:spacing w:val="-95"/>
        </w:rPr>
        <w:t> </w:t>
      </w:r>
      <w:r>
        <w:rPr>
          <w:spacing w:val="-95"/>
        </w:rPr>
      </w:r>
      <w:r>
        <w:rPr/>
        <w:t>董事长，目前尚未取得独立董事资格证书。</w:t>
      </w:r>
    </w:p>
    <w:p>
      <w:pPr>
        <w:pStyle w:val="BodyText"/>
        <w:spacing w:line="357" w:lineRule="auto" w:before="36"/>
        <w:ind w:right="154" w:firstLine="480"/>
        <w:jc w:val="both"/>
      </w:pPr>
      <w:r>
        <w:rPr/>
        <w:t>陈璇 监事</w:t>
      </w:r>
      <w:r>
        <w:rPr>
          <w:spacing w:val="-50"/>
        </w:rPr>
        <w:t> </w:t>
      </w:r>
      <w:r>
        <w:rPr/>
        <w:t>曾在广东省梅州市电子工业总公司任会计主管，深圳中电投资超能电路</w:t>
      </w:r>
      <w:r>
        <w:rPr/>
        <w:t> </w:t>
      </w:r>
      <w:r>
        <w:rPr>
          <w:spacing w:val="-2"/>
        </w:rPr>
        <w:t>板有限公司任财务负责人，深圳市劳动保护技术服务公司任财务负责人，现任深圳大通</w:t>
      </w:r>
      <w:r>
        <w:rPr>
          <w:spacing w:val="-96"/>
        </w:rPr>
        <w:t> </w:t>
      </w:r>
      <w:r>
        <w:rPr>
          <w:spacing w:val="-96"/>
        </w:rPr>
      </w:r>
      <w:r>
        <w:rPr/>
        <w:t>实业股份有限公司财务部经理。</w:t>
      </w:r>
    </w:p>
    <w:p>
      <w:pPr>
        <w:pStyle w:val="BodyText"/>
        <w:spacing w:line="338" w:lineRule="auto" w:before="36"/>
        <w:ind w:right="146" w:firstLine="360"/>
        <w:jc w:val="left"/>
      </w:pPr>
      <w:r>
        <w:rPr/>
        <w:t>张岩 监事 曾在中国航空工业集团遵义</w:t>
      </w:r>
      <w:r>
        <w:rPr>
          <w:rFonts w:ascii="Times New Roman" w:hAnsi="Times New Roman" w:cs="Times New Roman" w:eastAsia="Times New Roman" w:hint="default"/>
        </w:rPr>
        <w:t>315 </w:t>
      </w:r>
      <w:r>
        <w:rPr/>
        <w:t>厂财务处工作</w:t>
      </w:r>
      <w:r>
        <w:rPr>
          <w:rFonts w:ascii="Times New Roman" w:hAnsi="Times New Roman" w:cs="Times New Roman" w:eastAsia="Times New Roman" w:hint="default"/>
        </w:rPr>
        <w:t>,</w:t>
      </w:r>
      <w:r>
        <w:rPr/>
        <w:t>现任中国航空工业供销深 广公司任财务部经理、副总经理。</w:t>
      </w:r>
    </w:p>
    <w:p>
      <w:pPr>
        <w:pStyle w:val="BodyText"/>
        <w:spacing w:line="240" w:lineRule="auto" w:before="55"/>
        <w:ind w:left="478" w:right="146"/>
        <w:jc w:val="left"/>
      </w:pPr>
      <w:r>
        <w:rPr/>
        <w:t>高皓 监事 现任北京新奥特集团有限公司财务部经理。</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spacing w:line="240" w:lineRule="auto" w:before="0"/>
        <w:ind w:right="146"/>
        <w:jc w:val="left"/>
      </w:pPr>
      <w:r>
        <w:rPr>
          <w:rFonts w:ascii="Times New Roman" w:hAnsi="Times New Roman" w:cs="Times New Roman" w:eastAsia="Times New Roman" w:hint="default"/>
        </w:rPr>
        <w:t>4</w:t>
      </w:r>
      <w:r>
        <w:rPr/>
        <w:t>、董事、监事和高级管理人员年度报酬情况</w:t>
      </w:r>
    </w:p>
    <w:p>
      <w:pPr>
        <w:pStyle w:val="BodyText"/>
        <w:spacing w:line="348" w:lineRule="auto"/>
        <w:ind w:right="105"/>
        <w:jc w:val="both"/>
      </w:pPr>
      <w:r>
        <w:rPr/>
        <w:t>（</w:t>
      </w:r>
      <w:r>
        <w:rPr>
          <w:rFonts w:ascii="Times New Roman" w:hAnsi="Times New Roman" w:cs="Times New Roman" w:eastAsia="Times New Roman" w:hint="default"/>
        </w:rPr>
        <w:t>1</w:t>
      </w:r>
      <w:r>
        <w:rPr/>
        <w:t>）公司按照本地区平均津贴水平为参加董事会会议、监事会会议的董事、监事发放 </w:t>
      </w:r>
      <w:r>
        <w:rPr>
          <w:spacing w:val="-2"/>
        </w:rPr>
        <w:t>津贴。《董事会津贴》已经公司</w:t>
      </w:r>
      <w:r>
        <w:rPr>
          <w:rFonts w:ascii="Times New Roman" w:hAnsi="Times New Roman" w:cs="Times New Roman" w:eastAsia="Times New Roman" w:hint="default"/>
          <w:spacing w:val="-2"/>
        </w:rPr>
        <w:t>2006</w:t>
      </w:r>
      <w:r>
        <w:rPr>
          <w:spacing w:val="-2"/>
        </w:rPr>
        <w:t>年年度股东大会审议通过。据此，本公司董事会人</w:t>
      </w:r>
      <w:r>
        <w:rPr>
          <w:spacing w:val="-102"/>
        </w:rPr>
        <w:t> </w:t>
      </w:r>
      <w:r>
        <w:rPr>
          <w:spacing w:val="-102"/>
        </w:rPr>
      </w:r>
      <w:r>
        <w:rPr>
          <w:spacing w:val="-3"/>
        </w:rPr>
        <w:t>事提名及薪酬委员会根据董事、监事、高级管理人员岗位的主要范围、职责、重要性以</w:t>
      </w:r>
      <w:r>
        <w:rPr>
          <w:spacing w:val="-88"/>
        </w:rPr>
        <w:t> </w:t>
      </w:r>
      <w:r>
        <w:rPr>
          <w:spacing w:val="-88"/>
        </w:rPr>
      </w:r>
      <w:r>
        <w:rPr/>
        <w:t>及其他相关企业相关岗位确定薪酬，为更好地实施对高级管理人员的监督与激励机制，</w:t>
      </w:r>
      <w:r>
        <w:rPr/>
        <w:t> </w:t>
      </w:r>
      <w:r>
        <w:rPr>
          <w:spacing w:val="-2"/>
        </w:rPr>
        <w:t>公司对公司高级管理人员实行年度考评制度。董事津贴按每参加一次董事会，公司向到</w:t>
      </w:r>
      <w:r>
        <w:rPr>
          <w:spacing w:val="-96"/>
        </w:rPr>
        <w:t> </w:t>
      </w:r>
      <w:r>
        <w:rPr>
          <w:spacing w:val="-96"/>
        </w:rPr>
      </w:r>
      <w:r>
        <w:rPr/>
        <w:t>会董事支付</w:t>
      </w:r>
      <w:r>
        <w:rPr>
          <w:rFonts w:ascii="Times New Roman" w:hAnsi="Times New Roman" w:cs="Times New Roman" w:eastAsia="Times New Roman" w:hint="default"/>
        </w:rPr>
        <w:t>5,000</w:t>
      </w:r>
      <w:r>
        <w:rPr/>
        <w:t>元人民币</w:t>
      </w:r>
      <w:r>
        <w:rPr>
          <w:rFonts w:ascii="Times New Roman" w:hAnsi="Times New Roman" w:cs="Times New Roman" w:eastAsia="Times New Roman" w:hint="default"/>
        </w:rPr>
        <w:t>(</w:t>
      </w:r>
      <w:r>
        <w:rPr/>
        <w:t>税后</w:t>
      </w:r>
      <w:r>
        <w:rPr>
          <w:rFonts w:ascii="Times New Roman" w:hAnsi="Times New Roman" w:cs="Times New Roman" w:eastAsia="Times New Roman" w:hint="default"/>
        </w:rPr>
        <w:t>)</w:t>
      </w:r>
      <w:r>
        <w:rPr/>
        <w:t>，出席公司董事会和股东大会的差旅费以及按公司章程 行使职权所发生的费用，可在公司据实报销。</w:t>
      </w:r>
    </w:p>
    <w:p>
      <w:pPr>
        <w:pStyle w:val="BodyText"/>
        <w:spacing w:line="338" w:lineRule="auto" w:before="46"/>
        <w:ind w:right="146"/>
        <w:jc w:val="left"/>
      </w:pPr>
      <w:r>
        <w:rPr/>
        <w:t>（</w:t>
      </w:r>
      <w:r>
        <w:rPr>
          <w:rFonts w:ascii="Times New Roman" w:hAnsi="Times New Roman" w:cs="Times New Roman" w:eastAsia="Times New Roman" w:hint="default"/>
        </w:rPr>
        <w:t>2</w:t>
      </w:r>
      <w:r>
        <w:rPr/>
        <w:t>）报告期内，公司现任董事、监事和高级管理人员的年度报酬总额</w:t>
      </w:r>
      <w:r>
        <w:rPr>
          <w:rFonts w:ascii="Times New Roman" w:hAnsi="Times New Roman" w:cs="Times New Roman" w:eastAsia="Times New Roman" w:hint="default"/>
        </w:rPr>
        <w:t>46.44</w:t>
      </w:r>
      <w:r>
        <w:rPr/>
        <w:t>万元，详见 上述基本情况表。</w:t>
      </w:r>
    </w:p>
    <w:p>
      <w:pPr>
        <w:spacing w:line="240" w:lineRule="auto" w:before="0"/>
        <w:rPr>
          <w:rFonts w:ascii="宋体" w:hAnsi="宋体" w:cs="宋体" w:eastAsia="宋体" w:hint="default"/>
          <w:sz w:val="24"/>
          <w:szCs w:val="24"/>
        </w:rPr>
      </w:pPr>
    </w:p>
    <w:p>
      <w:pPr>
        <w:pStyle w:val="BodyText"/>
        <w:spacing w:line="240" w:lineRule="auto" w:before="209"/>
        <w:ind w:right="146"/>
        <w:jc w:val="left"/>
      </w:pPr>
      <w:r>
        <w:rPr>
          <w:rFonts w:ascii="Times New Roman" w:hAnsi="Times New Roman" w:cs="Times New Roman" w:eastAsia="Times New Roman" w:hint="default"/>
        </w:rPr>
        <w:t>5</w:t>
      </w:r>
      <w:r>
        <w:rPr/>
        <w:t>、报告期内没有董事、监事和高级管理人员变动情况</w:t>
      </w:r>
    </w:p>
    <w:p>
      <w:pPr>
        <w:pStyle w:val="BodyText"/>
        <w:spacing w:line="355" w:lineRule="auto"/>
        <w:ind w:right="148"/>
        <w:jc w:val="left"/>
        <w:rPr>
          <w:sz w:val="28"/>
          <w:szCs w:val="28"/>
        </w:rPr>
      </w:pPr>
      <w:r>
        <w:rPr/>
        <w:t>（二）公司员工情况 截止报告期末，公司员工共计</w:t>
      </w:r>
      <w:r>
        <w:rPr>
          <w:rFonts w:ascii="Times New Roman" w:hAnsi="Times New Roman" w:cs="Times New Roman" w:eastAsia="Times New Roman" w:hint="default"/>
        </w:rPr>
        <w:t>6</w:t>
      </w:r>
      <w:r>
        <w:rPr/>
        <w:t>人，其中财务人员</w:t>
      </w:r>
      <w:r>
        <w:rPr>
          <w:rFonts w:ascii="Times New Roman" w:hAnsi="Times New Roman" w:cs="Times New Roman" w:eastAsia="Times New Roman" w:hint="default"/>
        </w:rPr>
        <w:t>2</w:t>
      </w:r>
      <w:r>
        <w:rPr/>
        <w:t>人，行政管理人员</w:t>
      </w:r>
      <w:r>
        <w:rPr>
          <w:rFonts w:ascii="Times New Roman" w:hAnsi="Times New Roman" w:cs="Times New Roman" w:eastAsia="Times New Roman" w:hint="default"/>
        </w:rPr>
        <w:t>4</w:t>
      </w:r>
      <w:r>
        <w:rPr/>
        <w:t>人，大专以上学 </w:t>
      </w:r>
      <w:r>
        <w:rPr>
          <w:spacing w:val="-2"/>
        </w:rPr>
        <w:t>历人员占本公司员工的</w:t>
      </w:r>
      <w:r>
        <w:rPr>
          <w:rFonts w:ascii="Times New Roman" w:hAnsi="Times New Roman" w:cs="Times New Roman" w:eastAsia="Times New Roman" w:hint="default"/>
          <w:spacing w:val="-2"/>
        </w:rPr>
        <w:t>83.33%</w:t>
      </w:r>
      <w:r>
        <w:rPr>
          <w:spacing w:val="-2"/>
        </w:rPr>
        <w:t>；公司执行了深圳市社会保险制度，无需承担离退休员工</w:t>
      </w:r>
      <w:r>
        <w:rPr>
          <w:spacing w:val="-110"/>
        </w:rPr>
        <w:t> </w:t>
      </w:r>
      <w:r>
        <w:rPr>
          <w:spacing w:val="-110"/>
        </w:rPr>
      </w:r>
      <w:r>
        <w:rPr/>
        <w:t>的费用</w:t>
      </w:r>
      <w:r>
        <w:rPr>
          <w:sz w:val="28"/>
          <w:szCs w:val="28"/>
        </w:rPr>
        <w:t>。</w:t>
      </w:r>
    </w:p>
    <w:p>
      <w:pPr>
        <w:spacing w:after="0" w:line="355" w:lineRule="auto"/>
        <w:jc w:val="left"/>
        <w:rPr>
          <w:sz w:val="28"/>
          <w:szCs w:val="28"/>
        </w:rPr>
        <w:sectPr>
          <w:pgSz w:w="11910" w:h="16840"/>
          <w:pgMar w:header="0" w:footer="594" w:top="1500" w:bottom="800" w:left="1300" w:right="1260"/>
        </w:sectPr>
      </w:pPr>
    </w:p>
    <w:p>
      <w:pPr>
        <w:pStyle w:val="Heading1"/>
        <w:tabs>
          <w:tab w:pos="4177" w:val="left" w:leader="none"/>
        </w:tabs>
        <w:spacing w:line="240" w:lineRule="auto" w:before="23"/>
        <w:ind w:left="3053" w:right="214"/>
        <w:jc w:val="left"/>
        <w:rPr>
          <w:b w:val="0"/>
          <w:bCs w:val="0"/>
        </w:rPr>
      </w:pPr>
      <w:bookmarkStart w:name="_TOC_250006" w:id="5"/>
      <w:r>
        <w:rPr>
          <w:w w:val="95"/>
        </w:rPr>
        <w:t>第五章</w:t>
        <w:tab/>
      </w:r>
      <w:r>
        <w:rPr/>
        <w:t>公司治理结构</w:t>
      </w:r>
      <w:bookmarkEnd w:id="5"/>
      <w:r>
        <w:rPr>
          <w:b w:val="0"/>
          <w:bCs w:val="0"/>
        </w:rPr>
      </w:r>
    </w:p>
    <w:p>
      <w:pPr>
        <w:spacing w:line="240" w:lineRule="auto" w:before="0"/>
        <w:rPr>
          <w:rFonts w:ascii="宋体" w:hAnsi="宋体" w:cs="宋体" w:eastAsia="宋体" w:hint="default"/>
          <w:b/>
          <w:bCs/>
          <w:sz w:val="28"/>
          <w:szCs w:val="28"/>
        </w:rPr>
      </w:pPr>
    </w:p>
    <w:p>
      <w:pPr>
        <w:pStyle w:val="BodyText"/>
        <w:spacing w:line="357" w:lineRule="auto" w:before="239"/>
        <w:ind w:left="498" w:right="231" w:hanging="360"/>
        <w:jc w:val="left"/>
      </w:pPr>
      <w:r>
        <w:rPr/>
        <w:t>（一） 公司内部治理情况 </w:t>
      </w:r>
      <w:r>
        <w:rPr>
          <w:spacing w:val="-5"/>
        </w:rPr>
        <w:t>公司自成立以来一直致力于完善公司治理结构，按照《公司法》、《证券法》、《上</w:t>
      </w:r>
    </w:p>
    <w:p>
      <w:pPr>
        <w:pStyle w:val="BodyText"/>
        <w:spacing w:line="357" w:lineRule="auto" w:before="36"/>
        <w:ind w:left="138" w:right="232"/>
        <w:jc w:val="both"/>
      </w:pPr>
      <w:r>
        <w:rPr>
          <w:spacing w:val="-3"/>
        </w:rPr>
        <w:t>市公司治理准则》等国家有关法律、法规要求，不断完善公司的法人治理结构，建立现</w:t>
      </w:r>
      <w:r>
        <w:rPr>
          <w:spacing w:val="-88"/>
        </w:rPr>
        <w:t> </w:t>
      </w:r>
      <w:r>
        <w:rPr>
          <w:spacing w:val="-88"/>
        </w:rPr>
      </w:r>
      <w:r>
        <w:rPr/>
        <w:t>代企业制度，规范公司运作，提升公司治理水平。</w:t>
      </w:r>
    </w:p>
    <w:p>
      <w:pPr>
        <w:pStyle w:val="BodyText"/>
        <w:spacing w:line="357" w:lineRule="auto" w:before="36"/>
        <w:ind w:left="138" w:right="233" w:firstLine="360"/>
        <w:jc w:val="both"/>
      </w:pPr>
      <w:r>
        <w:rPr/>
        <w:t>但由于目前公司原主营业务已经停止，人员配置也不完备，很多内部控制制度已不 </w:t>
      </w:r>
      <w:r>
        <w:rPr>
          <w:spacing w:val="-2"/>
        </w:rPr>
        <w:t>适用。目前公司正在重组，公司主营业务已经转变为房地产。为此，公司正根据主业调</w:t>
      </w:r>
      <w:r>
        <w:rPr>
          <w:spacing w:val="-94"/>
        </w:rPr>
        <w:t> </w:t>
      </w:r>
      <w:r>
        <w:rPr>
          <w:spacing w:val="-94"/>
        </w:rPr>
      </w:r>
      <w:r>
        <w:rPr/>
        <w:t>整的情况，继续完善内部控制。</w:t>
      </w:r>
    </w:p>
    <w:p>
      <w:pPr>
        <w:pStyle w:val="BodyText"/>
        <w:spacing w:line="357" w:lineRule="auto" w:before="36"/>
        <w:ind w:left="618" w:right="214" w:hanging="480"/>
        <w:jc w:val="left"/>
      </w:pPr>
      <w:r>
        <w:rPr/>
        <w:t>（二）公司独立董事履行职责情况 </w:t>
      </w:r>
      <w:r>
        <w:rPr>
          <w:spacing w:val="-2"/>
        </w:rPr>
        <w:t>根据中国证监会《关于在上市公司建立独立董事制度的指导意见》，公司建立了较</w:t>
      </w:r>
    </w:p>
    <w:p>
      <w:pPr>
        <w:pStyle w:val="BodyText"/>
        <w:spacing w:line="357" w:lineRule="auto" w:before="36"/>
        <w:ind w:left="618" w:right="115" w:hanging="480"/>
        <w:jc w:val="left"/>
      </w:pPr>
      <w:r>
        <w:rPr/>
        <w:t>为规范的独立董事制度。 </w:t>
      </w:r>
      <w:r>
        <w:rPr>
          <w:spacing w:val="-6"/>
        </w:rPr>
        <w:t>报告期内，公司独立董事栾伟洁、邓朝晖、张永国充分行使国家法规和《公司章程》</w:t>
      </w:r>
      <w:r>
        <w:rPr/>
      </w:r>
    </w:p>
    <w:p>
      <w:pPr>
        <w:pStyle w:val="BodyText"/>
        <w:spacing w:line="357" w:lineRule="auto" w:before="36"/>
        <w:ind w:left="138" w:right="233"/>
        <w:jc w:val="both"/>
      </w:pPr>
      <w:r>
        <w:rPr>
          <w:spacing w:val="-2"/>
        </w:rPr>
        <w:t>赋予的职权，发挥专业特长，严格按照有关规定对公司高级管理人员更换和关联交易等</w:t>
      </w:r>
      <w:r>
        <w:rPr>
          <w:spacing w:val="-96"/>
        </w:rPr>
        <w:t> </w:t>
      </w:r>
      <w:r>
        <w:rPr>
          <w:spacing w:val="-96"/>
        </w:rPr>
      </w:r>
      <w:r>
        <w:rPr>
          <w:spacing w:val="-2"/>
        </w:rPr>
        <w:t>事项作出独立、客观、公正的判断，提出专业意见，促进公司董事会决策及决策程序的</w:t>
      </w:r>
      <w:r>
        <w:rPr>
          <w:spacing w:val="-94"/>
        </w:rPr>
        <w:t> </w:t>
      </w:r>
      <w:r>
        <w:rPr>
          <w:spacing w:val="-94"/>
        </w:rPr>
      </w:r>
      <w:r>
        <w:rPr/>
        <w:t>科学化，切实维护公司和广大股东的利益。</w:t>
      </w:r>
    </w:p>
    <w:p>
      <w:pPr>
        <w:pStyle w:val="BodyText"/>
        <w:spacing w:line="240" w:lineRule="auto" w:before="36"/>
        <w:ind w:left="138" w:right="214"/>
        <w:jc w:val="left"/>
      </w:pPr>
      <w:r>
        <w:rPr/>
        <w:t>1、独立董事参加董事会情况</w:t>
      </w:r>
    </w:p>
    <w:p>
      <w:pPr>
        <w:spacing w:after="0" w:line="240" w:lineRule="auto"/>
        <w:jc w:val="left"/>
        <w:sectPr>
          <w:pgSz w:w="11910" w:h="16840"/>
          <w:pgMar w:header="0" w:footer="594" w:top="1600" w:bottom="800" w:left="1280" w:right="1180"/>
        </w:sectPr>
      </w:pPr>
    </w:p>
    <w:p>
      <w:pPr>
        <w:pStyle w:val="BodyText"/>
        <w:spacing w:line="273" w:lineRule="exact" w:before="74"/>
        <w:ind w:left="1614" w:right="0"/>
        <w:jc w:val="left"/>
      </w:pPr>
      <w:r>
        <w:rPr>
          <w:spacing w:val="35"/>
        </w:rPr>
        <w:t>本年应参加董</w:t>
      </w:r>
      <w:r>
        <w:rPr>
          <w:spacing w:val="-77"/>
        </w:rPr>
        <w:t> </w:t>
      </w:r>
      <w:r>
        <w:rPr/>
      </w:r>
    </w:p>
    <w:p>
      <w:pPr>
        <w:pStyle w:val="BodyText"/>
        <w:spacing w:line="233" w:lineRule="exact" w:before="0"/>
        <w:ind w:left="138" w:right="0"/>
        <w:jc w:val="left"/>
      </w:pPr>
      <w:r>
        <w:rPr/>
        <w:t>姓名</w:t>
      </w:r>
    </w:p>
    <w:p>
      <w:pPr>
        <w:pStyle w:val="BodyText"/>
        <w:spacing w:line="274" w:lineRule="exact" w:before="0"/>
        <w:ind w:left="1614" w:right="0"/>
        <w:jc w:val="left"/>
      </w:pPr>
      <w:r>
        <w:rPr/>
        <w:t>事会次数</w:t>
      </w:r>
    </w:p>
    <w:p>
      <w:pPr>
        <w:pStyle w:val="BodyText"/>
        <w:spacing w:line="240" w:lineRule="auto" w:before="74"/>
        <w:ind w:left="132" w:right="-20"/>
        <w:jc w:val="left"/>
      </w:pPr>
      <w:r>
        <w:rPr/>
        <w:br w:type="column"/>
      </w:r>
      <w:r>
        <w:rPr/>
        <w:t>亲 自 出</w:t>
      </w:r>
      <w:r>
        <w:rPr>
          <w:spacing w:val="-60"/>
        </w:rPr>
        <w:t> </w:t>
      </w:r>
      <w:r>
        <w:rPr/>
        <w:t>席</w:t>
      </w:r>
    </w:p>
    <w:p>
      <w:pPr>
        <w:pStyle w:val="BodyText"/>
        <w:spacing w:line="240" w:lineRule="auto" w:before="152"/>
        <w:ind w:left="132" w:right="-20"/>
        <w:jc w:val="left"/>
      </w:pPr>
      <w:r>
        <w:rPr/>
        <w:t>（次）</w:t>
      </w:r>
    </w:p>
    <w:p>
      <w:pPr>
        <w:pStyle w:val="BodyText"/>
        <w:spacing w:line="240" w:lineRule="auto" w:before="74"/>
        <w:ind w:left="138" w:right="-20"/>
        <w:jc w:val="left"/>
      </w:pPr>
      <w:r>
        <w:rPr/>
        <w:br w:type="column"/>
      </w:r>
      <w:r>
        <w:rPr/>
        <w:t>委 托 出</w:t>
      </w:r>
      <w:r>
        <w:rPr>
          <w:spacing w:val="-60"/>
        </w:rPr>
        <w:t> </w:t>
      </w:r>
      <w:r>
        <w:rPr/>
        <w:t>席</w:t>
      </w:r>
    </w:p>
    <w:p>
      <w:pPr>
        <w:pStyle w:val="BodyText"/>
        <w:spacing w:line="240" w:lineRule="auto" w:before="152"/>
        <w:ind w:left="138" w:right="-20"/>
        <w:jc w:val="left"/>
      </w:pPr>
      <w:r>
        <w:rPr/>
        <w:t>（次）</w:t>
      </w:r>
    </w:p>
    <w:p>
      <w:pPr>
        <w:spacing w:line="240" w:lineRule="auto" w:before="7"/>
        <w:rPr>
          <w:rFonts w:ascii="宋体" w:hAnsi="宋体" w:cs="宋体" w:eastAsia="宋体" w:hint="default"/>
          <w:sz w:val="23"/>
          <w:szCs w:val="23"/>
        </w:rPr>
      </w:pPr>
      <w:r>
        <w:rPr/>
        <w:br w:type="column"/>
      </w:r>
      <w:r>
        <w:rPr>
          <w:rFonts w:ascii="宋体"/>
          <w:sz w:val="23"/>
        </w:rPr>
      </w:r>
    </w:p>
    <w:p>
      <w:pPr>
        <w:pStyle w:val="BodyText"/>
        <w:tabs>
          <w:tab w:pos="2094" w:val="left" w:leader="none"/>
        </w:tabs>
        <w:spacing w:line="240" w:lineRule="auto" w:before="0"/>
        <w:ind w:left="138" w:right="0"/>
        <w:jc w:val="left"/>
      </w:pPr>
      <w:r>
        <w:rPr/>
        <w:t>缺席（次）</w:t>
        <w:tab/>
        <w:t>备注</w:t>
      </w:r>
    </w:p>
    <w:p>
      <w:pPr>
        <w:spacing w:after="0" w:line="240" w:lineRule="auto"/>
        <w:jc w:val="left"/>
        <w:sectPr>
          <w:type w:val="continuous"/>
          <w:pgSz w:w="11910" w:h="16840"/>
          <w:pgMar w:top="1600" w:bottom="280" w:left="1280" w:right="1180"/>
          <w:cols w:num="4" w:equalWidth="0">
            <w:col w:w="3314" w:space="40"/>
            <w:col w:w="1393" w:space="77"/>
            <w:col w:w="1399" w:space="77"/>
            <w:col w:w="3150"/>
          </w:cols>
        </w:sectPr>
      </w:pPr>
    </w:p>
    <w:p>
      <w:pPr>
        <w:spacing w:line="240" w:lineRule="auto" w:before="10"/>
        <w:rPr>
          <w:rFonts w:ascii="宋体" w:hAnsi="宋体" w:cs="宋体" w:eastAsia="宋体" w:hint="default"/>
          <w:sz w:val="9"/>
          <w:szCs w:val="9"/>
        </w:rPr>
      </w:pPr>
    </w:p>
    <w:tbl>
      <w:tblPr>
        <w:tblW w:w="0" w:type="auto"/>
        <w:jc w:val="left"/>
        <w:tblInd w:w="103" w:type="dxa"/>
        <w:tblLayout w:type="fixed"/>
        <w:tblCellMar>
          <w:top w:w="0" w:type="dxa"/>
          <w:left w:w="0" w:type="dxa"/>
          <w:bottom w:w="0" w:type="dxa"/>
          <w:right w:w="0" w:type="dxa"/>
        </w:tblCellMar>
        <w:tblLook w:val="01E0"/>
      </w:tblPr>
      <w:tblGrid>
        <w:gridCol w:w="1373"/>
        <w:gridCol w:w="1674"/>
        <w:gridCol w:w="1674"/>
        <w:gridCol w:w="1416"/>
        <w:gridCol w:w="833"/>
      </w:tblGrid>
      <w:tr>
        <w:trPr>
          <w:trHeight w:val="453" w:hRule="exact"/>
        </w:trPr>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24"/>
                <w:szCs w:val="24"/>
              </w:rPr>
            </w:pPr>
            <w:r>
              <w:rPr>
                <w:rFonts w:ascii="宋体" w:hAnsi="宋体" w:cs="宋体" w:eastAsia="宋体" w:hint="default"/>
                <w:sz w:val="24"/>
                <w:szCs w:val="24"/>
              </w:rPr>
              <w:t>栾伟洁</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618" w:right="0"/>
              <w:jc w:val="left"/>
              <w:rPr>
                <w:rFonts w:ascii="宋体" w:hAnsi="宋体" w:cs="宋体" w:eastAsia="宋体" w:hint="default"/>
                <w:sz w:val="24"/>
                <w:szCs w:val="24"/>
              </w:rPr>
            </w:pPr>
            <w:r>
              <w:rPr>
                <w:rFonts w:ascii="宋体"/>
                <w:sz w:val="24"/>
              </w:rPr>
              <w:t>12</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816" w:right="0"/>
              <w:jc w:val="left"/>
              <w:rPr>
                <w:rFonts w:ascii="宋体" w:hAnsi="宋体" w:cs="宋体" w:eastAsia="宋体" w:hint="default"/>
                <w:sz w:val="24"/>
                <w:szCs w:val="24"/>
              </w:rPr>
            </w:pPr>
            <w:r>
              <w:rPr>
                <w:rFonts w:ascii="宋体"/>
                <w:sz w:val="24"/>
              </w:rPr>
              <w:t>11</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59"/>
              <w:jc w:val="center"/>
              <w:rPr>
                <w:rFonts w:ascii="宋体" w:hAnsi="宋体" w:cs="宋体" w:eastAsia="宋体" w:hint="default"/>
                <w:sz w:val="24"/>
                <w:szCs w:val="24"/>
              </w:rPr>
            </w:pPr>
            <w:r>
              <w:rPr>
                <w:rFonts w:ascii="宋体"/>
                <w:sz w:val="24"/>
              </w:rPr>
              <w:t>0</w:t>
            </w:r>
          </w:p>
        </w:tc>
        <w:tc>
          <w:tcPr>
            <w:tcW w:w="83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3"/>
              <w:jc w:val="right"/>
              <w:rPr>
                <w:rFonts w:ascii="宋体" w:hAnsi="宋体" w:cs="宋体" w:eastAsia="宋体" w:hint="default"/>
                <w:sz w:val="24"/>
                <w:szCs w:val="24"/>
              </w:rPr>
            </w:pPr>
            <w:r>
              <w:rPr>
                <w:rFonts w:ascii="宋体"/>
                <w:sz w:val="24"/>
              </w:rPr>
              <w:t>1</w:t>
            </w:r>
          </w:p>
        </w:tc>
      </w:tr>
      <w:tr>
        <w:trPr>
          <w:trHeight w:val="467" w:hRule="exact"/>
        </w:trPr>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4"/>
                <w:szCs w:val="24"/>
              </w:rPr>
            </w:pPr>
            <w:r>
              <w:rPr>
                <w:rFonts w:ascii="宋体" w:hAnsi="宋体" w:cs="宋体" w:eastAsia="宋体" w:hint="default"/>
                <w:sz w:val="24"/>
                <w:szCs w:val="24"/>
              </w:rPr>
              <w:t>邓朝晖</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18" w:right="0"/>
              <w:jc w:val="left"/>
              <w:rPr>
                <w:rFonts w:ascii="宋体" w:hAnsi="宋体" w:cs="宋体" w:eastAsia="宋体" w:hint="default"/>
                <w:sz w:val="24"/>
                <w:szCs w:val="24"/>
              </w:rPr>
            </w:pPr>
            <w:r>
              <w:rPr>
                <w:rFonts w:ascii="宋体"/>
                <w:sz w:val="24"/>
              </w:rPr>
              <w:t>12</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816" w:right="0"/>
              <w:jc w:val="left"/>
              <w:rPr>
                <w:rFonts w:ascii="宋体" w:hAnsi="宋体" w:cs="宋体" w:eastAsia="宋体" w:hint="default"/>
                <w:sz w:val="24"/>
                <w:szCs w:val="24"/>
              </w:rPr>
            </w:pPr>
            <w:r>
              <w:rPr>
                <w:rFonts w:ascii="宋体"/>
                <w:sz w:val="24"/>
              </w:rPr>
              <w:t>6</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8"/>
              <w:jc w:val="center"/>
              <w:rPr>
                <w:rFonts w:ascii="宋体" w:hAnsi="宋体" w:cs="宋体" w:eastAsia="宋体" w:hint="default"/>
                <w:sz w:val="24"/>
                <w:szCs w:val="24"/>
              </w:rPr>
            </w:pPr>
            <w:r>
              <w:rPr>
                <w:rFonts w:ascii="宋体"/>
                <w:sz w:val="24"/>
              </w:rPr>
              <w:t>2</w:t>
            </w:r>
          </w:p>
        </w:tc>
        <w:tc>
          <w:tcPr>
            <w:tcW w:w="83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24"/>
                <w:szCs w:val="24"/>
              </w:rPr>
            </w:pPr>
            <w:r>
              <w:rPr>
                <w:rFonts w:ascii="宋体"/>
                <w:sz w:val="24"/>
              </w:rPr>
              <w:t>4</w:t>
            </w:r>
          </w:p>
        </w:tc>
      </w:tr>
      <w:tr>
        <w:trPr>
          <w:trHeight w:val="453" w:hRule="exact"/>
        </w:trPr>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4"/>
                <w:szCs w:val="24"/>
              </w:rPr>
            </w:pPr>
            <w:r>
              <w:rPr>
                <w:rFonts w:ascii="宋体" w:hAnsi="宋体" w:cs="宋体" w:eastAsia="宋体" w:hint="default"/>
                <w:sz w:val="24"/>
                <w:szCs w:val="24"/>
              </w:rPr>
              <w:t>张永国</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18" w:right="0"/>
              <w:jc w:val="left"/>
              <w:rPr>
                <w:rFonts w:ascii="宋体" w:hAnsi="宋体" w:cs="宋体" w:eastAsia="宋体" w:hint="default"/>
                <w:sz w:val="24"/>
                <w:szCs w:val="24"/>
              </w:rPr>
            </w:pPr>
            <w:r>
              <w:rPr>
                <w:rFonts w:ascii="宋体"/>
                <w:sz w:val="24"/>
              </w:rPr>
              <w:t>12</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816" w:right="0"/>
              <w:jc w:val="left"/>
              <w:rPr>
                <w:rFonts w:ascii="宋体" w:hAnsi="宋体" w:cs="宋体" w:eastAsia="宋体" w:hint="default"/>
                <w:sz w:val="24"/>
                <w:szCs w:val="24"/>
              </w:rPr>
            </w:pPr>
            <w:r>
              <w:rPr>
                <w:rFonts w:ascii="宋体"/>
                <w:sz w:val="24"/>
              </w:rPr>
              <w:t>12</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9"/>
              <w:jc w:val="center"/>
              <w:rPr>
                <w:rFonts w:ascii="宋体" w:hAnsi="宋体" w:cs="宋体" w:eastAsia="宋体" w:hint="default"/>
                <w:sz w:val="24"/>
                <w:szCs w:val="24"/>
              </w:rPr>
            </w:pPr>
            <w:r>
              <w:rPr>
                <w:rFonts w:ascii="宋体"/>
                <w:sz w:val="24"/>
              </w:rPr>
              <w:t>0</w:t>
            </w:r>
          </w:p>
        </w:tc>
        <w:tc>
          <w:tcPr>
            <w:tcW w:w="83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24"/>
                <w:szCs w:val="24"/>
              </w:rPr>
            </w:pPr>
            <w:r>
              <w:rPr>
                <w:rFonts w:ascii="宋体"/>
                <w:sz w:val="24"/>
              </w:rPr>
              <w:t>0</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pStyle w:val="BodyText"/>
        <w:spacing w:line="357" w:lineRule="auto" w:before="26"/>
        <w:ind w:left="618" w:right="886" w:hanging="480"/>
        <w:jc w:val="left"/>
      </w:pPr>
      <w:r>
        <w:rPr/>
        <w:t>2、独立董事对公司有关事项提出异议的情况 本报告期内，公司三位独立董事对公司本年度董事会各项议案的异议情况：</w:t>
      </w:r>
    </w:p>
    <w:p>
      <w:pPr>
        <w:pStyle w:val="BodyText"/>
        <w:tabs>
          <w:tab w:pos="558" w:val="left" w:leader="none"/>
        </w:tabs>
        <w:spacing w:line="338" w:lineRule="auto" w:before="36"/>
        <w:ind w:left="558" w:right="115" w:hanging="420"/>
        <w:jc w:val="left"/>
      </w:pPr>
      <w:r>
        <w:rPr>
          <w:rFonts w:ascii="Wingdings" w:hAnsi="Wingdings" w:cs="Wingdings" w:eastAsia="Wingdings" w:hint="default"/>
        </w:rPr>
        <w:t></w:t>
      </w:r>
      <w:r>
        <w:rPr>
          <w:rFonts w:ascii="Times New Roman" w:hAnsi="Times New Roman" w:cs="Times New Roman" w:eastAsia="Times New Roman" w:hint="default"/>
        </w:rPr>
        <w:tab/>
      </w:r>
      <w:r>
        <w:rPr/>
        <w:t>第六届第十七次董事会会议：公司2008</w:t>
      </w:r>
      <w:r>
        <w:rPr>
          <w:spacing w:val="-38"/>
        </w:rPr>
        <w:t> </w:t>
      </w:r>
      <w:r>
        <w:rPr>
          <w:spacing w:val="-4"/>
        </w:rPr>
        <w:t>年第三季度报告、财务报告的议案；独立董</w:t>
      </w:r>
      <w:r>
        <w:rPr/>
        <w:t> </w:t>
      </w:r>
      <w:r>
        <w:rPr>
          <w:spacing w:val="-4"/>
        </w:rPr>
        <w:t>事栾伟洁弃权，弃权的理由是：对本次董事会审议的内容无法判断，因此予以弃权。</w:t>
      </w:r>
    </w:p>
    <w:p>
      <w:pPr>
        <w:pStyle w:val="BodyText"/>
        <w:tabs>
          <w:tab w:pos="558" w:val="left" w:leader="none"/>
        </w:tabs>
        <w:spacing w:line="338" w:lineRule="auto" w:before="55"/>
        <w:ind w:left="558" w:right="245" w:hanging="420"/>
        <w:jc w:val="left"/>
      </w:pPr>
      <w:r>
        <w:rPr>
          <w:rFonts w:ascii="Wingdings" w:hAnsi="Wingdings" w:cs="Wingdings" w:eastAsia="Wingdings" w:hint="default"/>
        </w:rPr>
        <w:t></w:t>
      </w:r>
      <w:r>
        <w:rPr>
          <w:rFonts w:ascii="Times New Roman" w:hAnsi="Times New Roman" w:cs="Times New Roman" w:eastAsia="Times New Roman" w:hint="default"/>
        </w:rPr>
        <w:tab/>
      </w:r>
      <w:r>
        <w:rPr/>
        <w:t>第六届第十七次董事会会议：聘任于洪发先生为证券事务代表的议案；独立董事栾 伟洁弃权，弃权的理由是：对本次董事会审议的内容无法判断，因此予以弃权。</w:t>
      </w:r>
    </w:p>
    <w:p>
      <w:pPr>
        <w:spacing w:after="0" w:line="338" w:lineRule="auto"/>
        <w:jc w:val="left"/>
        <w:sectPr>
          <w:type w:val="continuous"/>
          <w:pgSz w:w="11910" w:h="16840"/>
          <w:pgMar w:top="1600" w:bottom="280" w:left="1280" w:right="1180"/>
        </w:sectPr>
      </w:pPr>
    </w:p>
    <w:p>
      <w:pPr>
        <w:pStyle w:val="BodyText"/>
        <w:spacing w:line="240" w:lineRule="auto" w:before="13"/>
        <w:ind w:left="598" w:right="0"/>
        <w:jc w:val="left"/>
      </w:pPr>
      <w:r>
        <w:rPr/>
        <w:t>除此之外，没有独立董事对公司本年度董事会各项议案和非董事会议案提出异议。</w:t>
      </w:r>
    </w:p>
    <w:p>
      <w:pPr>
        <w:pStyle w:val="BodyText"/>
        <w:spacing w:line="338" w:lineRule="auto" w:before="154"/>
        <w:ind w:left="598" w:right="113" w:hanging="480"/>
        <w:jc w:val="left"/>
      </w:pPr>
      <w:r>
        <w:rPr/>
        <w:t>（三）公司与控股股东在业务、人员、资产、机构、财务上的</w:t>
      </w:r>
      <w:r>
        <w:rPr>
          <w:rFonts w:ascii="Times New Roman" w:hAnsi="Times New Roman" w:cs="Times New Roman" w:eastAsia="Times New Roman" w:hint="default"/>
        </w:rPr>
        <w:t>“</w:t>
      </w:r>
      <w:r>
        <w:rPr/>
        <w:t>五分开</w:t>
      </w:r>
      <w:r>
        <w:rPr>
          <w:rFonts w:ascii="Times New Roman" w:hAnsi="Times New Roman" w:cs="Times New Roman" w:eastAsia="Times New Roman" w:hint="default"/>
        </w:rPr>
        <w:t>”</w:t>
      </w:r>
      <w:r>
        <w:rPr/>
        <w:t>情况。 本公司与控股股东在业务、人员、资产、机构、财务等方面严格做到了</w:t>
      </w:r>
      <w:r>
        <w:rPr>
          <w:rFonts w:ascii="Times New Roman" w:hAnsi="Times New Roman" w:cs="Times New Roman" w:eastAsia="Times New Roman" w:hint="default"/>
        </w:rPr>
        <w:t>“</w:t>
      </w:r>
      <w:r>
        <w:rPr/>
        <w:t>五分开</w:t>
      </w:r>
      <w:r>
        <w:rPr>
          <w:rFonts w:ascii="Times New Roman" w:hAnsi="Times New Roman" w:cs="Times New Roman" w:eastAsia="Times New Roman" w:hint="default"/>
        </w:rPr>
        <w:t>”</w:t>
      </w:r>
      <w:r>
        <w:rPr/>
        <w:t>，</w:t>
      </w:r>
    </w:p>
    <w:p>
      <w:pPr>
        <w:pStyle w:val="BodyText"/>
        <w:spacing w:line="357" w:lineRule="auto" w:before="27"/>
        <w:ind w:left="598" w:right="206" w:hanging="480"/>
        <w:jc w:val="left"/>
      </w:pPr>
      <w:r>
        <w:rPr/>
        <w:t>公司具有独立完整的业务和自主经营能力。 1、人员方面：公司在劳动、人事及工资管理方面独立，总经理、财务经理、董事</w:t>
      </w:r>
    </w:p>
    <w:p>
      <w:pPr>
        <w:pStyle w:val="BodyText"/>
        <w:spacing w:line="357" w:lineRule="auto" w:before="36"/>
        <w:ind w:left="598" w:right="206" w:hanging="480"/>
        <w:jc w:val="left"/>
      </w:pPr>
      <w:r>
        <w:rPr/>
        <w:t>会秘书等高级管理人员均在公司领取薪酬，不在股东单位担任要职； 2、资产方面：公司与控股股东产权关系明确，资产独立完整，拥有独立的运营系</w:t>
      </w:r>
    </w:p>
    <w:p>
      <w:pPr>
        <w:pStyle w:val="BodyText"/>
        <w:spacing w:line="357" w:lineRule="auto" w:before="36"/>
        <w:ind w:left="598" w:right="206" w:hanging="480"/>
        <w:jc w:val="left"/>
      </w:pPr>
      <w:r>
        <w:rPr/>
        <w:t>统和相应的配套设施； 3、财务方面：公司拥有独立的财务机构，并建立了独立的会计核算体系和财务管</w:t>
      </w:r>
    </w:p>
    <w:p>
      <w:pPr>
        <w:pStyle w:val="BodyText"/>
        <w:spacing w:line="357" w:lineRule="auto" w:before="36"/>
        <w:ind w:left="598" w:right="206" w:hanging="480"/>
        <w:jc w:val="left"/>
      </w:pPr>
      <w:r>
        <w:rPr/>
        <w:t>理制度，在银行独立开设账户，独立进行纳税申报和缴纳； 4、机构方面：公司设立了完全独立于控股股东的组织机构，不存在与控股股东合</w:t>
      </w:r>
    </w:p>
    <w:p>
      <w:pPr>
        <w:pStyle w:val="BodyText"/>
        <w:spacing w:line="357" w:lineRule="auto" w:before="36"/>
        <w:ind w:left="598" w:right="206" w:hanging="480"/>
        <w:jc w:val="left"/>
      </w:pPr>
      <w:r>
        <w:rPr/>
        <w:t>署办公的情况； 5、业务独立方面：公司具有独立完整的业务和决策体系及自主经营能力，完全独</w:t>
      </w:r>
    </w:p>
    <w:p>
      <w:pPr>
        <w:pStyle w:val="BodyText"/>
        <w:spacing w:line="240" w:lineRule="auto" w:before="36"/>
        <w:ind w:right="146"/>
        <w:jc w:val="left"/>
      </w:pPr>
      <w:r>
        <w:rPr/>
        <w:t>立于控股股东。</w:t>
      </w:r>
    </w:p>
    <w:p>
      <w:pPr>
        <w:pStyle w:val="BodyText"/>
        <w:spacing w:line="348" w:lineRule="auto" w:before="154"/>
        <w:ind w:right="146"/>
        <w:jc w:val="left"/>
      </w:pPr>
      <w:r>
        <w:rPr/>
        <w:t>（四）公司内部控制自我评价 </w:t>
      </w:r>
      <w:r>
        <w:rPr>
          <w:rFonts w:ascii="Times New Roman" w:hAnsi="Times New Roman" w:cs="Times New Roman" w:eastAsia="Times New Roman" w:hint="default"/>
        </w:rPr>
        <w:t>1</w:t>
      </w:r>
      <w:r>
        <w:rPr/>
        <w:t>、公司内部控制制度比较合理、完善，符合现代企业要求的法人治理结构。对照深圳 </w:t>
      </w:r>
      <w:r>
        <w:rPr>
          <w:spacing w:val="-3"/>
        </w:rPr>
        <w:t>交易所《上市公司内部控制指引》，公司内部控制总体上符合中国证监会、深圳证券交</w:t>
      </w:r>
      <w:r>
        <w:rPr>
          <w:spacing w:val="-88"/>
        </w:rPr>
        <w:t> </w:t>
      </w:r>
      <w:r>
        <w:rPr>
          <w:spacing w:val="-88"/>
        </w:rPr>
      </w:r>
      <w:r>
        <w:rPr/>
        <w:t>易所的相关要求。详见内部控制制度自我评价报告。（</w:t>
      </w:r>
      <w:hyperlink r:id="rId9">
        <w:r>
          <w:rPr>
            <w:rFonts w:ascii="Times New Roman" w:hAnsi="Times New Roman" w:cs="Times New Roman" w:eastAsia="Times New Roman" w:hint="default"/>
          </w:rPr>
          <w:t>www.cninfo.com.cn</w:t>
        </w:r>
      </w:hyperlink>
      <w:r>
        <w:rPr/>
        <w:t>） </w:t>
      </w:r>
      <w:r>
        <w:rPr>
          <w:rFonts w:ascii="Times New Roman" w:hAnsi="Times New Roman" w:cs="Times New Roman" w:eastAsia="Times New Roman" w:hint="default"/>
        </w:rPr>
        <w:t>2</w:t>
      </w:r>
      <w:r>
        <w:rPr/>
        <w:t>、公司监事会对公司内部控制自我评价的意见</w:t>
      </w:r>
    </w:p>
    <w:p>
      <w:pPr>
        <w:pStyle w:val="BodyText"/>
        <w:spacing w:line="357" w:lineRule="auto" w:before="16"/>
        <w:ind w:right="146" w:firstLine="360"/>
        <w:jc w:val="left"/>
      </w:pPr>
      <w:r>
        <w:rPr/>
        <w:t>公司根据中国证监会、深圳证券交易所有关规定，遵循内部控制的基本原则，按照</w:t>
      </w:r>
      <w:r>
        <w:rPr>
          <w:spacing w:val="1"/>
        </w:rPr>
        <w:t> </w:t>
      </w:r>
      <w:r>
        <w:rPr>
          <w:spacing w:val="-2"/>
        </w:rPr>
        <w:t>自身的实际情况，建立健全了内部控制制度，保证了各项业务活动的正常进行。公司内</w:t>
      </w:r>
      <w:r>
        <w:rPr>
          <w:spacing w:val="-95"/>
        </w:rPr>
        <w:t> </w:t>
      </w:r>
      <w:r>
        <w:rPr>
          <w:spacing w:val="-95"/>
        </w:rPr>
      </w:r>
      <w:r>
        <w:rPr/>
        <w:t>部控制自我评价真实、准确地反映了公司内部控制的实际情况。 </w:t>
      </w:r>
      <w:r>
        <w:rPr>
          <w:rFonts w:ascii="Times New Roman" w:hAnsi="Times New Roman" w:cs="Times New Roman" w:eastAsia="Times New Roman" w:hint="default"/>
        </w:rPr>
        <w:t>3</w:t>
      </w:r>
      <w:r>
        <w:rPr/>
        <w:t>、公司独立董事对公司内部控制自我评价的意见</w:t>
      </w:r>
    </w:p>
    <w:p>
      <w:pPr>
        <w:pStyle w:val="BodyText"/>
        <w:spacing w:line="357" w:lineRule="auto" w:before="5"/>
        <w:ind w:right="153" w:firstLine="480"/>
        <w:jc w:val="both"/>
      </w:pPr>
      <w:r>
        <w:rPr>
          <w:spacing w:val="-2"/>
        </w:rPr>
        <w:t>报告期内，公司董事会制定、完善了一系列内部控制制度，形成了较为完善的公司</w:t>
      </w:r>
      <w:r>
        <w:rPr/>
        <w:t> </w:t>
      </w:r>
      <w:r>
        <w:rPr>
          <w:spacing w:val="-2"/>
        </w:rPr>
        <w:t>内部控制系统。公司内部控制重点活动按公司内部控制各项制度的规定进行，公司关联</w:t>
      </w:r>
      <w:r>
        <w:rPr>
          <w:spacing w:val="-96"/>
        </w:rPr>
        <w:t> </w:t>
      </w:r>
      <w:r>
        <w:rPr>
          <w:spacing w:val="-96"/>
        </w:rPr>
      </w:r>
      <w:r>
        <w:rPr>
          <w:spacing w:val="-2"/>
        </w:rPr>
        <w:t>交易、募集资金使用、信息披露的内部控制严格、充分、有效，保证了公司经营管理的</w:t>
      </w:r>
      <w:r>
        <w:rPr>
          <w:spacing w:val="-95"/>
        </w:rPr>
        <w:t> </w:t>
      </w:r>
      <w:r>
        <w:rPr>
          <w:spacing w:val="-95"/>
        </w:rPr>
      </w:r>
      <w:r>
        <w:rPr/>
        <w:t>正常进行。公司内部控制自我评价符合公司内部控制的实际情况。</w:t>
      </w:r>
    </w:p>
    <w:p>
      <w:pPr>
        <w:spacing w:line="240" w:lineRule="auto" w:before="0"/>
        <w:rPr>
          <w:rFonts w:ascii="宋体" w:hAnsi="宋体" w:cs="宋体" w:eastAsia="宋体" w:hint="default"/>
          <w:sz w:val="24"/>
          <w:szCs w:val="24"/>
        </w:rPr>
      </w:pPr>
    </w:p>
    <w:p>
      <w:pPr>
        <w:pStyle w:val="BodyText"/>
        <w:spacing w:line="240" w:lineRule="auto" w:before="190"/>
        <w:ind w:right="146"/>
        <w:jc w:val="left"/>
      </w:pPr>
      <w:r>
        <w:rPr/>
        <w:t>（五）公司考评和激励机制情况</w:t>
      </w:r>
    </w:p>
    <w:p>
      <w:pPr>
        <w:spacing w:after="0" w:line="240" w:lineRule="auto"/>
        <w:jc w:val="left"/>
        <w:sectPr>
          <w:pgSz w:w="11910" w:h="16840"/>
          <w:pgMar w:header="0" w:footer="594" w:top="1500" w:bottom="800" w:left="1300" w:right="1260"/>
        </w:sectPr>
      </w:pPr>
    </w:p>
    <w:p>
      <w:pPr>
        <w:pStyle w:val="BodyText"/>
        <w:spacing w:line="357" w:lineRule="auto" w:before="13"/>
        <w:ind w:right="114" w:firstLine="480"/>
        <w:jc w:val="both"/>
      </w:pPr>
      <w:r>
        <w:rPr>
          <w:spacing w:val="-2"/>
        </w:rPr>
        <w:t>公司对高级管理人员实行目标考评、奖惩制度。报告期内，公司董事会按年度对公</w:t>
      </w:r>
      <w:r>
        <w:rPr/>
        <w:t> </w:t>
      </w:r>
      <w:r>
        <w:rPr>
          <w:spacing w:val="-2"/>
        </w:rPr>
        <w:t>司高级管理人员的业绩和履职情况进行考评，根据考评结果实施奖励或惩罚，并将考评</w:t>
      </w:r>
      <w:r>
        <w:rPr>
          <w:spacing w:val="-96"/>
        </w:rPr>
        <w:t> </w:t>
      </w:r>
      <w:r>
        <w:rPr>
          <w:spacing w:val="-96"/>
        </w:rPr>
      </w:r>
      <w:r>
        <w:rPr/>
        <w:t>结果作为下一年度年薪定级、岗位安排的依据。公司尚未建立股权激励机制。</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5"/>
          <w:szCs w:val="35"/>
        </w:rPr>
      </w:pPr>
    </w:p>
    <w:p>
      <w:pPr>
        <w:spacing w:before="0"/>
        <w:ind w:left="2902" w:right="94" w:firstLine="0"/>
        <w:jc w:val="left"/>
        <w:rPr>
          <w:rFonts w:ascii="宋体" w:hAnsi="宋体" w:cs="宋体" w:eastAsia="宋体" w:hint="default"/>
          <w:sz w:val="30"/>
          <w:szCs w:val="30"/>
        </w:rPr>
      </w:pPr>
      <w:bookmarkStart w:name="_TOC_250005" w:id="6"/>
      <w:r>
        <w:rPr>
          <w:rFonts w:ascii="宋体" w:hAnsi="宋体" w:cs="宋体" w:eastAsia="宋体" w:hint="default"/>
          <w:b/>
          <w:bCs/>
          <w:sz w:val="30"/>
          <w:szCs w:val="30"/>
        </w:rPr>
        <w:t>第六章</w:t>
      </w:r>
      <w:r>
        <w:rPr>
          <w:rFonts w:ascii="宋体" w:hAnsi="宋体" w:cs="宋体" w:eastAsia="宋体" w:hint="default"/>
          <w:b/>
          <w:bCs/>
          <w:spacing w:val="-3"/>
          <w:sz w:val="30"/>
          <w:szCs w:val="30"/>
        </w:rPr>
        <w:t> </w:t>
      </w:r>
      <w:r>
        <w:rPr>
          <w:rFonts w:ascii="宋体" w:hAnsi="宋体" w:cs="宋体" w:eastAsia="宋体" w:hint="default"/>
          <w:b/>
          <w:bCs/>
          <w:sz w:val="30"/>
          <w:szCs w:val="30"/>
        </w:rPr>
        <w:t>股东大会情况简介</w:t>
      </w:r>
      <w:bookmarkEnd w:id="6"/>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pStyle w:val="BodyText"/>
        <w:spacing w:line="240" w:lineRule="auto" w:before="204"/>
        <w:ind w:right="0"/>
        <w:jc w:val="both"/>
      </w:pPr>
      <w:r>
        <w:rPr/>
        <w:t>报告期内，公司召开了五次股东大会，具体情况如下：</w:t>
      </w:r>
    </w:p>
    <w:p>
      <w:pPr>
        <w:pStyle w:val="BodyText"/>
        <w:spacing w:line="338" w:lineRule="auto" w:before="154"/>
        <w:ind w:left="598" w:right="94" w:hanging="480"/>
        <w:jc w:val="left"/>
      </w:pPr>
      <w:r>
        <w:rPr/>
        <w:t>（一）</w:t>
      </w:r>
      <w:r>
        <w:rPr>
          <w:rFonts w:ascii="Times New Roman" w:hAnsi="Times New Roman" w:cs="Times New Roman" w:eastAsia="Times New Roman" w:hint="default"/>
        </w:rPr>
        <w:t>2007</w:t>
      </w:r>
      <w:r>
        <w:rPr/>
        <w:t>年度股东大会简介 </w:t>
      </w:r>
      <w:r>
        <w:rPr>
          <w:spacing w:val="-2"/>
        </w:rPr>
        <w:t>根据公司第六届董事会第十一次会议决议，</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6</w:t>
      </w:r>
      <w:r>
        <w:rPr>
          <w:spacing w:val="-2"/>
        </w:rPr>
        <w:t>日，公司董事会发出关于召</w:t>
      </w:r>
    </w:p>
    <w:p>
      <w:pPr>
        <w:pStyle w:val="BodyText"/>
        <w:spacing w:line="340" w:lineRule="auto" w:before="27"/>
        <w:ind w:right="114"/>
        <w:jc w:val="both"/>
      </w:pPr>
      <w:r>
        <w:rPr/>
        <w:t>开</w:t>
      </w:r>
      <w:r>
        <w:rPr>
          <w:rFonts w:ascii="Times New Roman" w:hAnsi="Times New Roman" w:cs="Times New Roman" w:eastAsia="Times New Roman" w:hint="default"/>
        </w:rPr>
        <w:t>2007</w:t>
      </w:r>
      <w:r>
        <w:rPr/>
        <w:t>年度股东大会的书面通知，并于</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10</w:t>
      </w:r>
      <w:r>
        <w:rPr/>
        <w:t>日在证监会指定网站巨潮资讯网和 指定报刊中国证券报上公告。公司</w:t>
      </w:r>
      <w:r>
        <w:rPr>
          <w:rFonts w:ascii="Times New Roman" w:hAnsi="Times New Roman" w:cs="Times New Roman" w:eastAsia="Times New Roman" w:hint="default"/>
        </w:rPr>
        <w:t>2007</w:t>
      </w:r>
      <w:r>
        <w:rPr/>
        <w:t>年年度股东大会于</w:t>
      </w: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29</w:t>
      </w:r>
      <w:r>
        <w:rPr/>
        <w:t>日在深圳都市阳 光名苑</w:t>
      </w:r>
      <w:r>
        <w:rPr>
          <w:rFonts w:ascii="Times New Roman" w:hAnsi="Times New Roman" w:cs="Times New Roman" w:eastAsia="Times New Roman" w:hint="default"/>
        </w:rPr>
        <w:t>CEO</w:t>
      </w:r>
      <w:r>
        <w:rPr/>
        <w:t>商务中心会议室召开。参加大会的股东及代理人</w:t>
      </w:r>
      <w:r>
        <w:rPr>
          <w:rFonts w:ascii="Times New Roman" w:hAnsi="Times New Roman" w:cs="Times New Roman" w:eastAsia="Times New Roman" w:hint="default"/>
        </w:rPr>
        <w:t>1</w:t>
      </w:r>
      <w:r>
        <w:rPr>
          <w:rFonts w:ascii="Times New Roman" w:hAnsi="Times New Roman" w:cs="Times New Roman" w:eastAsia="Times New Roman" w:hint="default"/>
          <w:spacing w:val="58"/>
        </w:rPr>
        <w:t> </w:t>
      </w:r>
      <w:r>
        <w:rPr/>
        <w:t>名，代表股份</w:t>
      </w:r>
      <w:r>
        <w:rPr>
          <w:rFonts w:ascii="Times New Roman" w:hAnsi="Times New Roman" w:cs="Times New Roman" w:eastAsia="Times New Roman" w:hint="default"/>
        </w:rPr>
        <w:t>27,000,000 </w:t>
      </w:r>
      <w:r>
        <w:rPr>
          <w:spacing w:val="-3"/>
        </w:rPr>
        <w:t>股，占公司有表决权总股份的</w:t>
      </w:r>
      <w:r>
        <w:rPr>
          <w:rFonts w:ascii="Times New Roman" w:hAnsi="Times New Roman" w:cs="Times New Roman" w:eastAsia="Times New Roman" w:hint="default"/>
          <w:spacing w:val="-3"/>
        </w:rPr>
        <w:t>29.84%</w:t>
      </w:r>
      <w:r>
        <w:rPr>
          <w:spacing w:val="-3"/>
        </w:rPr>
        <w:t>。符合《公司法》、《公司章程》的有关规定。公</w:t>
      </w:r>
      <w:r>
        <w:rPr>
          <w:spacing w:val="-84"/>
        </w:rPr>
        <w:t> </w:t>
      </w:r>
      <w:r>
        <w:rPr>
          <w:spacing w:val="-84"/>
        </w:rPr>
      </w:r>
      <w:r>
        <w:rPr>
          <w:spacing w:val="-2"/>
        </w:rPr>
        <w:t>司董事、监事和高级管理人员列席了本次会议。北京市高朋律师事务所谢霞、李小军律</w:t>
      </w:r>
      <w:r>
        <w:rPr>
          <w:spacing w:val="-95"/>
        </w:rPr>
        <w:t> </w:t>
      </w:r>
      <w:r>
        <w:rPr>
          <w:spacing w:val="-95"/>
        </w:rPr>
      </w:r>
      <w:r>
        <w:rPr/>
        <w:t>师列席了本次会议并对大会的合法性进行了验证。会议由董事长高海波先生主持。</w:t>
      </w:r>
    </w:p>
    <w:p>
      <w:pPr>
        <w:pStyle w:val="BodyText"/>
        <w:spacing w:line="240" w:lineRule="auto" w:before="53"/>
        <w:ind w:left="598" w:right="94"/>
        <w:jc w:val="left"/>
      </w:pPr>
      <w:r>
        <w:rPr/>
        <w:t>经股东大会审议并以记名方式表决，对本次会议提案做出如下决议：</w:t>
      </w:r>
    </w:p>
    <w:p>
      <w:pPr>
        <w:pStyle w:val="BodyText"/>
        <w:spacing w:line="240" w:lineRule="auto" w:before="154"/>
        <w:ind w:left="598" w:right="94"/>
        <w:jc w:val="left"/>
      </w:pPr>
      <w:r>
        <w:rPr>
          <w:rFonts w:ascii="Times New Roman" w:hAnsi="Times New Roman" w:cs="Times New Roman" w:eastAsia="Times New Roman" w:hint="default"/>
        </w:rPr>
        <w:t>1</w:t>
      </w:r>
      <w:r>
        <w:rPr/>
        <w:t>、审议通过《公司</w:t>
      </w:r>
      <w:r>
        <w:rPr>
          <w:rFonts w:ascii="Times New Roman" w:hAnsi="Times New Roman" w:cs="Times New Roman" w:eastAsia="Times New Roman" w:hint="default"/>
        </w:rPr>
        <w:t>2007</w:t>
      </w:r>
      <w:r>
        <w:rPr/>
        <w:t>年董事会工作报告》；</w:t>
      </w:r>
    </w:p>
    <w:p>
      <w:pPr>
        <w:pStyle w:val="BodyText"/>
        <w:spacing w:line="240" w:lineRule="auto"/>
        <w:ind w:left="598" w:right="94"/>
        <w:jc w:val="left"/>
      </w:pPr>
      <w:r>
        <w:rPr>
          <w:rFonts w:ascii="Times New Roman" w:hAnsi="Times New Roman" w:cs="Times New Roman" w:eastAsia="Times New Roman" w:hint="default"/>
        </w:rPr>
        <w:t>2</w:t>
      </w:r>
      <w:r>
        <w:rPr/>
        <w:t>、审议通过《公司</w:t>
      </w:r>
      <w:r>
        <w:rPr>
          <w:rFonts w:ascii="Times New Roman" w:hAnsi="Times New Roman" w:cs="Times New Roman" w:eastAsia="Times New Roman" w:hint="default"/>
        </w:rPr>
        <w:t>2007</w:t>
      </w:r>
      <w:r>
        <w:rPr/>
        <w:t>年监事会工作报告》；</w:t>
      </w:r>
    </w:p>
    <w:p>
      <w:pPr>
        <w:pStyle w:val="BodyText"/>
        <w:spacing w:line="240" w:lineRule="auto"/>
        <w:ind w:left="598" w:right="94"/>
        <w:jc w:val="left"/>
      </w:pPr>
      <w:r>
        <w:rPr>
          <w:rFonts w:ascii="Times New Roman" w:hAnsi="Times New Roman" w:cs="Times New Roman" w:eastAsia="Times New Roman" w:hint="default"/>
        </w:rPr>
        <w:t>3</w:t>
      </w:r>
      <w:r>
        <w:rPr/>
        <w:t>、审议通过《</w:t>
      </w:r>
      <w:r>
        <w:rPr>
          <w:rFonts w:ascii="Times New Roman" w:hAnsi="Times New Roman" w:cs="Times New Roman" w:eastAsia="Times New Roman" w:hint="default"/>
        </w:rPr>
        <w:t>2007</w:t>
      </w:r>
      <w:r>
        <w:rPr/>
        <w:t>年度独立董事述职报告》；</w:t>
      </w:r>
    </w:p>
    <w:p>
      <w:pPr>
        <w:pStyle w:val="BodyText"/>
        <w:spacing w:line="240" w:lineRule="auto"/>
        <w:ind w:left="598" w:right="94"/>
        <w:jc w:val="left"/>
      </w:pPr>
      <w:r>
        <w:rPr>
          <w:rFonts w:ascii="Times New Roman" w:hAnsi="Times New Roman" w:cs="Times New Roman" w:eastAsia="Times New Roman" w:hint="default"/>
        </w:rPr>
        <w:t>4</w:t>
      </w:r>
      <w:r>
        <w:rPr/>
        <w:t>、审议通过《</w:t>
      </w:r>
      <w:r>
        <w:rPr>
          <w:rFonts w:ascii="Times New Roman" w:hAnsi="Times New Roman" w:cs="Times New Roman" w:eastAsia="Times New Roman" w:hint="default"/>
        </w:rPr>
        <w:t>2007</w:t>
      </w:r>
      <w:r>
        <w:rPr/>
        <w:t>年度财务决算方案》；</w:t>
      </w:r>
    </w:p>
    <w:p>
      <w:pPr>
        <w:pStyle w:val="BodyText"/>
        <w:spacing w:line="240" w:lineRule="auto"/>
        <w:ind w:left="598" w:right="94"/>
        <w:jc w:val="left"/>
      </w:pPr>
      <w:r>
        <w:rPr>
          <w:rFonts w:ascii="Times New Roman" w:hAnsi="Times New Roman" w:cs="Times New Roman" w:eastAsia="Times New Roman" w:hint="default"/>
        </w:rPr>
        <w:t>5</w:t>
      </w:r>
      <w:r>
        <w:rPr/>
        <w:t>、审议通过《</w:t>
      </w:r>
      <w:r>
        <w:rPr>
          <w:rFonts w:ascii="Times New Roman" w:hAnsi="Times New Roman" w:cs="Times New Roman" w:eastAsia="Times New Roman" w:hint="default"/>
        </w:rPr>
        <w:t>2007</w:t>
      </w:r>
      <w:r>
        <w:rPr/>
        <w:t>年度利润分配预案》；</w:t>
      </w:r>
    </w:p>
    <w:p>
      <w:pPr>
        <w:pStyle w:val="BodyText"/>
        <w:spacing w:line="240" w:lineRule="auto"/>
        <w:ind w:left="598" w:right="94"/>
        <w:jc w:val="left"/>
      </w:pPr>
      <w:r>
        <w:rPr>
          <w:rFonts w:ascii="Times New Roman" w:hAnsi="Times New Roman" w:cs="Times New Roman" w:eastAsia="Times New Roman" w:hint="default"/>
        </w:rPr>
        <w:t>6</w:t>
      </w:r>
      <w:r>
        <w:rPr/>
        <w:t>、审议通过《</w:t>
      </w:r>
      <w:r>
        <w:rPr>
          <w:rFonts w:ascii="Times New Roman" w:hAnsi="Times New Roman" w:cs="Times New Roman" w:eastAsia="Times New Roman" w:hint="default"/>
        </w:rPr>
        <w:t>2007</w:t>
      </w:r>
      <w:r>
        <w:rPr/>
        <w:t>年度报告及摘要》；</w:t>
      </w:r>
    </w:p>
    <w:p>
      <w:pPr>
        <w:pStyle w:val="BodyText"/>
        <w:spacing w:line="338" w:lineRule="auto"/>
        <w:ind w:left="598" w:right="166"/>
        <w:jc w:val="left"/>
        <w:rPr>
          <w:rFonts w:ascii="Times New Roman" w:hAnsi="Times New Roman" w:cs="Times New Roman" w:eastAsia="Times New Roman" w:hint="default"/>
        </w:rPr>
      </w:pPr>
      <w:r>
        <w:rPr>
          <w:rFonts w:ascii="Times New Roman" w:hAnsi="Times New Roman" w:cs="Times New Roman" w:eastAsia="Times New Roman" w:hint="default"/>
        </w:rPr>
        <w:t>7</w:t>
      </w:r>
      <w:r>
        <w:rPr/>
        <w:t>、审议通过《关于续聘会计师事务所的议案》； 会议决议于</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w:t>
      </w:r>
      <w:r>
        <w:rPr/>
        <w:t>日在中国证监会指定网站巨潮资讯网上公布，并于</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7</w:t>
      </w:r>
    </w:p>
    <w:p>
      <w:pPr>
        <w:pStyle w:val="BodyText"/>
        <w:spacing w:line="240" w:lineRule="auto" w:before="27"/>
        <w:ind w:right="0"/>
        <w:jc w:val="both"/>
      </w:pPr>
      <w:r>
        <w:rPr/>
        <w:t>月</w:t>
      </w:r>
      <w:r>
        <w:rPr>
          <w:rFonts w:ascii="Times New Roman" w:hAnsi="Times New Roman" w:cs="Times New Roman" w:eastAsia="Times New Roman" w:hint="default"/>
        </w:rPr>
        <w:t>1</w:t>
      </w:r>
      <w:r>
        <w:rPr/>
        <w:t>日在中国证券报和证券时报上刊登公告。</w:t>
      </w:r>
    </w:p>
    <w:p>
      <w:pPr>
        <w:pStyle w:val="BodyText"/>
        <w:spacing w:line="240" w:lineRule="auto"/>
        <w:ind w:right="0"/>
        <w:jc w:val="both"/>
      </w:pPr>
      <w:r>
        <w:rPr/>
        <w:t>（二）公司</w:t>
      </w:r>
      <w:r>
        <w:rPr>
          <w:rFonts w:ascii="Times New Roman" w:hAnsi="Times New Roman" w:cs="Times New Roman" w:eastAsia="Times New Roman" w:hint="default"/>
        </w:rPr>
        <w:t>2008</w:t>
      </w:r>
      <w:r>
        <w:rPr/>
        <w:t>年度临时股东大会情况简介</w:t>
      </w:r>
    </w:p>
    <w:p>
      <w:pPr>
        <w:pStyle w:val="BodyText"/>
        <w:spacing w:line="240" w:lineRule="auto"/>
        <w:ind w:right="0"/>
        <w:jc w:val="both"/>
      </w:pPr>
      <w:r>
        <w:rPr>
          <w:rFonts w:ascii="Times New Roman" w:hAnsi="Times New Roman" w:cs="Times New Roman" w:eastAsia="Times New Roman" w:hint="default"/>
        </w:rPr>
        <w:t>1</w:t>
      </w:r>
      <w:r>
        <w:rPr/>
        <w:t>、</w:t>
      </w:r>
      <w:r>
        <w:rPr>
          <w:rFonts w:ascii="Times New Roman" w:hAnsi="Times New Roman" w:cs="Times New Roman" w:eastAsia="Times New Roman" w:hint="default"/>
        </w:rPr>
        <w:t>2008</w:t>
      </w:r>
      <w:r>
        <w:rPr/>
        <w:t>年度第一次临时股东大会</w:t>
      </w:r>
    </w:p>
    <w:p>
      <w:pPr>
        <w:pStyle w:val="BodyText"/>
        <w:spacing w:line="240" w:lineRule="auto"/>
        <w:ind w:left="598" w:right="94"/>
        <w:jc w:val="left"/>
      </w:pPr>
      <w:r>
        <w:rPr/>
        <w:t>根据公司第六届董事会第九次会议决议暨召开 </w:t>
      </w:r>
      <w:r>
        <w:rPr>
          <w:rFonts w:ascii="Times New Roman" w:hAnsi="Times New Roman" w:cs="Times New Roman" w:eastAsia="Times New Roman" w:hint="default"/>
        </w:rPr>
        <w:t>2008</w:t>
      </w:r>
      <w:r>
        <w:rPr>
          <w:rFonts w:ascii="Times New Roman" w:hAnsi="Times New Roman" w:cs="Times New Roman" w:eastAsia="Times New Roman" w:hint="default"/>
          <w:spacing w:val="-30"/>
        </w:rPr>
        <w:t> </w:t>
      </w:r>
      <w:r>
        <w:rPr/>
        <w:t>年第一次临时股东大会暨相关</w:t>
      </w:r>
    </w:p>
    <w:p>
      <w:pPr>
        <w:spacing w:after="0" w:line="240" w:lineRule="auto"/>
        <w:jc w:val="left"/>
        <w:sectPr>
          <w:pgSz w:w="11910" w:h="16840"/>
          <w:pgMar w:header="0" w:footer="594" w:top="1500" w:bottom="800" w:left="1300" w:right="1300"/>
        </w:sectPr>
      </w:pPr>
    </w:p>
    <w:p>
      <w:pPr>
        <w:pStyle w:val="BodyText"/>
        <w:spacing w:line="240" w:lineRule="auto" w:before="13"/>
        <w:ind w:right="0"/>
        <w:jc w:val="both"/>
      </w:pPr>
      <w:r>
        <w:rPr/>
        <w:t>股东会议通知的公告，</w:t>
      </w:r>
      <w:r>
        <w:rPr>
          <w:rFonts w:ascii="Times New Roman" w:hAnsi="Times New Roman" w:cs="Times New Roman" w:eastAsia="Times New Roman" w:hint="default"/>
        </w:rPr>
        <w:t>2008</w:t>
      </w:r>
      <w:r>
        <w:rPr>
          <w:rFonts w:ascii="Times New Roman" w:hAnsi="Times New Roman" w:cs="Times New Roman" w:eastAsia="Times New Roman" w:hint="default"/>
          <w:spacing w:val="13"/>
        </w:rPr>
        <w:t> </w:t>
      </w:r>
      <w:r>
        <w:rPr/>
        <w:t>年</w:t>
      </w:r>
      <w:r>
        <w:rPr>
          <w:spacing w:val="-47"/>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月</w:t>
      </w:r>
      <w:r>
        <w:rPr>
          <w:spacing w:val="-47"/>
        </w:rPr>
        <w:t> </w:t>
      </w:r>
      <w:r>
        <w:rPr>
          <w:rFonts w:ascii="Times New Roman" w:hAnsi="Times New Roman" w:cs="Times New Roman" w:eastAsia="Times New Roman" w:hint="default"/>
        </w:rPr>
        <w:t>28</w:t>
      </w:r>
      <w:r>
        <w:rPr>
          <w:rFonts w:ascii="Times New Roman" w:hAnsi="Times New Roman" w:cs="Times New Roman" w:eastAsia="Times New Roman" w:hint="default"/>
          <w:spacing w:val="13"/>
        </w:rPr>
        <w:t> </w:t>
      </w:r>
      <w:r>
        <w:rPr/>
        <w:t>日，公司董事会发出关于召开</w:t>
      </w:r>
      <w:r>
        <w:rPr>
          <w:spacing w:val="-47"/>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3"/>
        </w:rPr>
        <w:t> </w:t>
      </w:r>
      <w:r>
        <w:rPr/>
        <w:t>年度股东大</w:t>
      </w:r>
    </w:p>
    <w:p>
      <w:pPr>
        <w:pStyle w:val="BodyText"/>
        <w:spacing w:line="240" w:lineRule="auto"/>
        <w:ind w:right="0"/>
        <w:jc w:val="both"/>
      </w:pPr>
      <w:r>
        <w:rPr/>
        <w:t>会的书面通知，并于</w:t>
      </w:r>
      <w:r>
        <w:rPr>
          <w:spacing w:val="-62"/>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w:t>
      </w:r>
      <w:r>
        <w:rPr>
          <w:spacing w:val="-62"/>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62"/>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spacing w:val="-3"/>
        </w:rPr>
        <w:t>日、</w:t>
      </w:r>
      <w:r>
        <w:rPr>
          <w:rFonts w:ascii="Times New Roman" w:hAnsi="Times New Roman" w:cs="Times New Roman" w:eastAsia="Times New Roman" w:hint="default"/>
          <w:spacing w:val="-3"/>
        </w:rPr>
        <w:t>2008</w:t>
      </w:r>
      <w:r>
        <w:rPr>
          <w:rFonts w:ascii="Times New Roman" w:hAnsi="Times New Roman" w:cs="Times New Roman" w:eastAsia="Times New Roman" w:hint="default"/>
          <w:spacing w:val="-2"/>
        </w:rPr>
        <w:t> </w:t>
      </w:r>
      <w:r>
        <w:rPr/>
        <w:t>年</w:t>
      </w:r>
      <w:r>
        <w:rPr>
          <w:spacing w:val="-62"/>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62"/>
        </w:rPr>
        <w:t> </w:t>
      </w:r>
      <w:r>
        <w:rPr>
          <w:rFonts w:ascii="Times New Roman" w:hAnsi="Times New Roman" w:cs="Times New Roman" w:eastAsia="Times New Roman" w:hint="default"/>
        </w:rPr>
        <w:t>18</w:t>
      </w:r>
      <w:r>
        <w:rPr>
          <w:rFonts w:ascii="Times New Roman" w:hAnsi="Times New Roman" w:cs="Times New Roman" w:eastAsia="Times New Roman" w:hint="default"/>
          <w:spacing w:val="-2"/>
        </w:rPr>
        <w:t> </w:t>
      </w:r>
      <w:r>
        <w:rPr/>
        <w:t>日发布召开股东会议的提示公</w:t>
      </w:r>
    </w:p>
    <w:p>
      <w:pPr>
        <w:pStyle w:val="BodyText"/>
        <w:spacing w:line="240" w:lineRule="auto"/>
        <w:ind w:right="0"/>
        <w:jc w:val="both"/>
      </w:pPr>
      <w:r>
        <w:rPr>
          <w:spacing w:val="-8"/>
        </w:rPr>
        <w:t>告。并于</w:t>
      </w:r>
      <w:r>
        <w:rPr>
          <w:spacing w:val="-60"/>
        </w:rPr>
        <w:t>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2 </w:t>
      </w:r>
      <w:r>
        <w:rPr>
          <w:spacing w:val="-5"/>
        </w:rPr>
        <w:t>日、</w:t>
      </w:r>
      <w:r>
        <w:rPr>
          <w:rFonts w:ascii="Times New Roman" w:hAnsi="Times New Roman" w:cs="Times New Roman" w:eastAsia="Times New Roman" w:hint="default"/>
          <w:spacing w:val="-5"/>
        </w:rPr>
        <w:t>2008</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10 </w:t>
      </w:r>
      <w:r>
        <w:rPr>
          <w:spacing w:val="-5"/>
        </w:rPr>
        <w:t>日、</w:t>
      </w:r>
      <w:r>
        <w:rPr>
          <w:rFonts w:ascii="Times New Roman" w:hAnsi="Times New Roman" w:cs="Times New Roman" w:eastAsia="Times New Roman" w:hint="default"/>
          <w:spacing w:val="-5"/>
        </w:rPr>
        <w:t>2008</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18 </w:t>
      </w:r>
      <w:r>
        <w:rPr/>
        <w:t>日在证监会指定网站巨</w:t>
      </w:r>
    </w:p>
    <w:p>
      <w:pPr>
        <w:pStyle w:val="BodyText"/>
        <w:spacing w:line="240" w:lineRule="auto"/>
        <w:ind w:right="0"/>
        <w:jc w:val="both"/>
      </w:pPr>
      <w:r>
        <w:rPr/>
        <w:t>潮资讯网和指定报刊中国证券报上公告</w:t>
      </w:r>
      <w:r>
        <w:rPr>
          <w:spacing w:val="-120"/>
        </w:rPr>
        <w:t>。</w:t>
      </w:r>
      <w:r>
        <w:rPr/>
        <w:t>公司</w:t>
      </w:r>
      <w:r>
        <w:rPr>
          <w:spacing w:val="-70"/>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0"/>
        </w:rPr>
        <w:t> </w:t>
      </w:r>
      <w:r>
        <w:rPr/>
        <w:t>年度第一次临时股东大会于</w:t>
      </w:r>
      <w:r>
        <w:rPr>
          <w:spacing w:val="-70"/>
        </w:rPr>
        <w:t> </w:t>
      </w:r>
      <w:r>
        <w:rPr>
          <w:rFonts w:ascii="Times New Roman" w:hAnsi="Times New Roman" w:cs="Times New Roman" w:eastAsia="Times New Roman" w:hint="default"/>
        </w:rPr>
        <w:t>2008  </w:t>
      </w:r>
      <w:r>
        <w:rPr/>
        <w:t>年</w:t>
      </w:r>
    </w:p>
    <w:p>
      <w:pPr>
        <w:pStyle w:val="BodyText"/>
        <w:spacing w:line="240" w:lineRule="auto"/>
        <w:ind w:right="0"/>
        <w:jc w:val="both"/>
      </w:pP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22 </w:t>
      </w:r>
      <w:r>
        <w:rPr/>
        <w:t>日在深圳市龙岗区葵涌镇溪涌湾金海滩度假村召开。</w:t>
      </w:r>
    </w:p>
    <w:p>
      <w:pPr>
        <w:pStyle w:val="BodyText"/>
        <w:spacing w:line="338" w:lineRule="auto"/>
        <w:ind w:right="126" w:firstLine="480"/>
        <w:jc w:val="left"/>
      </w:pPr>
      <w:r>
        <w:rPr/>
        <w:t>参加大会的股东或代理人共计</w:t>
      </w:r>
      <w:r>
        <w:rPr>
          <w:spacing w:val="-30"/>
        </w:rPr>
        <w:t> </w:t>
      </w:r>
      <w:r>
        <w:rPr>
          <w:rFonts w:ascii="Times New Roman" w:hAnsi="Times New Roman" w:cs="Times New Roman" w:eastAsia="Times New Roman" w:hint="default"/>
        </w:rPr>
        <w:t>544 </w:t>
      </w:r>
      <w:r>
        <w:rPr/>
        <w:t>名，代表股份</w:t>
      </w:r>
      <w:r>
        <w:rPr>
          <w:spacing w:val="-30"/>
        </w:rPr>
        <w:t> </w:t>
      </w:r>
      <w:r>
        <w:rPr>
          <w:rFonts w:ascii="Times New Roman" w:hAnsi="Times New Roman" w:cs="Times New Roman" w:eastAsia="Times New Roman" w:hint="default"/>
        </w:rPr>
        <w:t>81,529,874</w:t>
      </w:r>
      <w:r>
        <w:rPr>
          <w:rFonts w:ascii="Times New Roman" w:hAnsi="Times New Roman" w:cs="Times New Roman" w:eastAsia="Times New Roman" w:hint="default"/>
          <w:spacing w:val="30"/>
        </w:rPr>
        <w:t> </w:t>
      </w:r>
      <w:r>
        <w:rPr/>
        <w:t>股，占公司股份总数 的</w:t>
      </w:r>
      <w:r>
        <w:rPr>
          <w:spacing w:val="-60"/>
        </w:rPr>
        <w:t> </w:t>
      </w:r>
      <w:r>
        <w:rPr>
          <w:rFonts w:ascii="Times New Roman" w:hAnsi="Times New Roman" w:cs="Times New Roman" w:eastAsia="Times New Roman" w:hint="default"/>
        </w:rPr>
        <w:t>90.1%</w:t>
      </w:r>
      <w:r>
        <w:rPr/>
        <w:t>。其中参加会议并表决的：</w:t>
      </w:r>
    </w:p>
    <w:p>
      <w:pPr>
        <w:pStyle w:val="BodyText"/>
        <w:spacing w:line="240" w:lineRule="auto" w:before="27"/>
        <w:ind w:left="598" w:right="126"/>
        <w:jc w:val="left"/>
      </w:pPr>
      <w:r>
        <w:rPr>
          <w:rFonts w:ascii="Times New Roman" w:hAnsi="Times New Roman" w:cs="Times New Roman" w:eastAsia="Times New Roman" w:hint="default"/>
        </w:rPr>
        <w:t>1</w:t>
      </w:r>
      <w:r>
        <w:rPr/>
        <w:t>、非流通股股东或代理人共计</w:t>
      </w:r>
      <w:r>
        <w:rPr>
          <w:spacing w:val="-53"/>
        </w:rPr>
        <w:t> </w:t>
      </w:r>
      <w:r>
        <w:rPr>
          <w:rFonts w:ascii="Times New Roman" w:hAnsi="Times New Roman" w:cs="Times New Roman" w:eastAsia="Times New Roman" w:hint="default"/>
        </w:rPr>
        <w:t>6</w:t>
      </w:r>
      <w:r>
        <w:rPr>
          <w:rFonts w:ascii="Times New Roman" w:hAnsi="Times New Roman" w:cs="Times New Roman" w:eastAsia="Times New Roman" w:hint="default"/>
          <w:spacing w:val="8"/>
        </w:rPr>
        <w:t> </w:t>
      </w:r>
      <w:r>
        <w:rPr/>
        <w:t>人，代表股份</w:t>
      </w:r>
      <w:r>
        <w:rPr>
          <w:spacing w:val="-53"/>
        </w:rPr>
        <w:t> </w:t>
      </w:r>
      <w:r>
        <w:rPr>
          <w:rFonts w:ascii="Times New Roman" w:hAnsi="Times New Roman" w:cs="Times New Roman" w:eastAsia="Times New Roman" w:hint="default"/>
        </w:rPr>
        <w:t>70,847,290</w:t>
      </w:r>
      <w:r>
        <w:rPr>
          <w:rFonts w:ascii="Times New Roman" w:hAnsi="Times New Roman" w:cs="Times New Roman" w:eastAsia="Times New Roman" w:hint="default"/>
          <w:spacing w:val="7"/>
        </w:rPr>
        <w:t> </w:t>
      </w:r>
      <w:r>
        <w:rPr/>
        <w:t>股，占公司股份总数的</w:t>
      </w:r>
    </w:p>
    <w:p>
      <w:pPr>
        <w:pStyle w:val="BodyText"/>
        <w:spacing w:line="240" w:lineRule="auto" w:before="191"/>
        <w:ind w:right="0"/>
        <w:jc w:val="both"/>
        <w:rPr>
          <w:rFonts w:ascii="Times New Roman" w:hAnsi="Times New Roman" w:cs="Times New Roman" w:eastAsia="Times New Roman" w:hint="default"/>
        </w:rPr>
      </w:pPr>
      <w:r>
        <w:rPr>
          <w:rFonts w:ascii="Times New Roman"/>
        </w:rPr>
        <w:t>78.3;</w:t>
      </w:r>
    </w:p>
    <w:p>
      <w:pPr>
        <w:pStyle w:val="BodyText"/>
        <w:spacing w:line="240" w:lineRule="auto" w:before="137"/>
        <w:ind w:left="598" w:right="126"/>
        <w:jc w:val="left"/>
      </w:pPr>
      <w:r>
        <w:rPr>
          <w:spacing w:val="-3"/>
        </w:rPr>
        <w:t>2、流通股股东或代理人共</w:t>
      </w:r>
      <w:r>
        <w:rPr>
          <w:spacing w:val="-58"/>
        </w:rPr>
        <w:t> </w:t>
      </w:r>
      <w:r>
        <w:rPr/>
        <w:t>538</w:t>
      </w:r>
      <w:r>
        <w:rPr>
          <w:spacing w:val="-58"/>
        </w:rPr>
        <w:t> </w:t>
      </w:r>
      <w:r>
        <w:rPr>
          <w:spacing w:val="-5"/>
        </w:rPr>
        <w:t>人，代表股份</w:t>
      </w:r>
      <w:r>
        <w:rPr>
          <w:spacing w:val="-58"/>
        </w:rPr>
        <w:t> </w:t>
      </w:r>
      <w:r>
        <w:rPr/>
        <w:t>10,682,584</w:t>
      </w:r>
      <w:r>
        <w:rPr>
          <w:spacing w:val="-58"/>
        </w:rPr>
        <w:t> </w:t>
      </w:r>
      <w:r>
        <w:rPr>
          <w:spacing w:val="-3"/>
        </w:rPr>
        <w:t>股，占公司流通股股份总</w:t>
      </w:r>
    </w:p>
    <w:p>
      <w:pPr>
        <w:pStyle w:val="BodyText"/>
        <w:spacing w:line="357" w:lineRule="auto" w:before="154"/>
        <w:ind w:right="232"/>
        <w:jc w:val="both"/>
      </w:pPr>
      <w:r>
        <w:rPr/>
        <w:t>数的</w:t>
      </w:r>
      <w:r>
        <w:rPr>
          <w:spacing w:val="-42"/>
        </w:rPr>
        <w:t> </w:t>
      </w:r>
      <w:r>
        <w:rPr/>
        <w:t>55.81%；其中：参加现场投票的共计</w:t>
      </w:r>
      <w:r>
        <w:rPr>
          <w:spacing w:val="-42"/>
        </w:rPr>
        <w:t> </w:t>
      </w:r>
      <w:r>
        <w:rPr/>
        <w:t>1</w:t>
      </w:r>
      <w:r>
        <w:rPr>
          <w:spacing w:val="-42"/>
        </w:rPr>
        <w:t> </w:t>
      </w:r>
      <w:r>
        <w:rPr/>
        <w:t>人，代表具有表决权股份数为</w:t>
      </w:r>
      <w:r>
        <w:rPr>
          <w:spacing w:val="-42"/>
        </w:rPr>
        <w:t> </w:t>
      </w:r>
      <w:r>
        <w:rPr/>
        <w:t>40300</w:t>
      </w:r>
      <w:r>
        <w:rPr>
          <w:spacing w:val="-42"/>
        </w:rPr>
        <w:t> </w:t>
      </w:r>
      <w:r>
        <w:rPr/>
        <w:t>股，</w:t>
      </w:r>
      <w:r>
        <w:rPr/>
        <w:t> 占公司流通股股份总数的</w:t>
      </w:r>
      <w:r>
        <w:rPr>
          <w:spacing w:val="-70"/>
        </w:rPr>
        <w:t> </w:t>
      </w:r>
      <w:r>
        <w:rPr/>
        <w:t>0.21%，参加网络投票的共计</w:t>
      </w:r>
      <w:r>
        <w:rPr>
          <w:spacing w:val="-70"/>
        </w:rPr>
        <w:t> </w:t>
      </w:r>
      <w:r>
        <w:rPr/>
        <w:t>537</w:t>
      </w:r>
      <w:r>
        <w:rPr>
          <w:spacing w:val="-70"/>
        </w:rPr>
        <w:t> </w:t>
      </w:r>
      <w:r>
        <w:rPr/>
        <w:t>人，代表具有表决权股份数</w:t>
      </w:r>
      <w:r>
        <w:rPr/>
        <w:t> 为</w:t>
      </w:r>
      <w:r>
        <w:rPr>
          <w:spacing w:val="-60"/>
        </w:rPr>
        <w:t> </w:t>
      </w:r>
      <w:r>
        <w:rPr/>
        <w:t>10642284</w:t>
      </w:r>
      <w:r>
        <w:rPr>
          <w:spacing w:val="-60"/>
        </w:rPr>
        <w:t> </w:t>
      </w:r>
      <w:r>
        <w:rPr/>
        <w:t>股，占公司流通股股份总数的</w:t>
      </w:r>
      <w:r>
        <w:rPr>
          <w:spacing w:val="-60"/>
        </w:rPr>
        <w:t> </w:t>
      </w:r>
      <w:r>
        <w:rPr/>
        <w:t>55.6%。</w:t>
      </w:r>
    </w:p>
    <w:p>
      <w:pPr>
        <w:pStyle w:val="BodyText"/>
        <w:spacing w:line="240" w:lineRule="auto" w:before="36"/>
        <w:ind w:left="598" w:right="126"/>
        <w:jc w:val="left"/>
      </w:pPr>
      <w:r>
        <w:rPr>
          <w:spacing w:val="3"/>
        </w:rPr>
        <w:t>3、参加会议并表决的非关联股东或代理人共 </w:t>
      </w:r>
      <w:r>
        <w:rPr/>
        <w:t>543</w:t>
      </w:r>
      <w:r>
        <w:rPr>
          <w:spacing w:val="21"/>
        </w:rPr>
        <w:t> </w:t>
      </w:r>
      <w:r>
        <w:rPr>
          <w:spacing w:val="4"/>
        </w:rPr>
        <w:t>人，代表具有表决权股份数为</w:t>
      </w:r>
      <w:r>
        <w:rPr/>
      </w:r>
    </w:p>
    <w:p>
      <w:pPr>
        <w:pStyle w:val="BodyText"/>
        <w:spacing w:line="357" w:lineRule="auto" w:before="154"/>
        <w:ind w:left="598" w:right="108" w:hanging="481"/>
        <w:jc w:val="left"/>
      </w:pPr>
      <w:r>
        <w:rPr/>
        <w:t>54,529,874</w:t>
      </w:r>
      <w:r>
        <w:rPr>
          <w:spacing w:val="-60"/>
        </w:rPr>
        <w:t> </w:t>
      </w:r>
      <w:r>
        <w:rPr/>
        <w:t>股，占公司非关联股东代表股份总数</w:t>
      </w:r>
      <w:r>
        <w:rPr>
          <w:spacing w:val="-60"/>
        </w:rPr>
        <w:t> </w:t>
      </w:r>
      <w:r>
        <w:rPr/>
        <w:t>85.89%。</w:t>
      </w:r>
      <w:r>
        <w:rPr/>
        <w:t> </w:t>
      </w:r>
      <w:r>
        <w:rPr>
          <w:spacing w:val="-6"/>
        </w:rPr>
        <w:t>符合《公司法》、《公司章程》的有关规定。公司部分董事、监事、高级管理人员、</w:t>
      </w:r>
    </w:p>
    <w:p>
      <w:pPr>
        <w:pStyle w:val="BodyText"/>
        <w:spacing w:line="357" w:lineRule="auto" w:before="36"/>
        <w:ind w:right="232"/>
        <w:jc w:val="both"/>
      </w:pPr>
      <w:r>
        <w:rPr>
          <w:spacing w:val="-3"/>
        </w:rPr>
        <w:t>保荐机构相关人员列席了本次会议。北京市高朋律师事务所谢霞、李小军律师列席会议</w:t>
      </w:r>
      <w:r>
        <w:rPr>
          <w:spacing w:val="-96"/>
        </w:rPr>
        <w:t> </w:t>
      </w:r>
      <w:r>
        <w:rPr>
          <w:spacing w:val="-96"/>
        </w:rPr>
      </w:r>
      <w:r>
        <w:rPr>
          <w:spacing w:val="-3"/>
        </w:rPr>
        <w:t>并对大会的合法性进行了验证。会议由董事长高海波先生主持。经股东大会审议并以记</w:t>
      </w:r>
      <w:r>
        <w:rPr>
          <w:spacing w:val="-96"/>
        </w:rPr>
        <w:t> </w:t>
      </w:r>
      <w:r>
        <w:rPr>
          <w:spacing w:val="-96"/>
        </w:rPr>
      </w:r>
      <w:r>
        <w:rPr/>
        <w:t>名方式表决，对本次会议提案做出如下决议：</w:t>
      </w:r>
    </w:p>
    <w:p>
      <w:pPr>
        <w:pStyle w:val="BodyText"/>
        <w:spacing w:line="240" w:lineRule="auto" w:before="36"/>
        <w:ind w:left="598" w:right="0"/>
        <w:jc w:val="left"/>
      </w:pPr>
      <w:r>
        <w:rPr/>
        <w:t>审议通过了《资产赠与、资本公积金定向转增股本暨股权分置改革方案的议案》。</w:t>
      </w:r>
    </w:p>
    <w:p>
      <w:pPr>
        <w:pStyle w:val="BodyText"/>
        <w:spacing w:line="338" w:lineRule="auto" w:before="154"/>
        <w:ind w:left="718" w:right="126" w:hanging="600"/>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2008</w:t>
      </w:r>
      <w:r>
        <w:rPr/>
        <w:t>年度第二次临时股东大会 </w:t>
      </w:r>
      <w:r>
        <w:rPr>
          <w:spacing w:val="-2"/>
        </w:rPr>
        <w:t>根据公司第六届董事会第八次会议决议，</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28</w:t>
      </w:r>
      <w:r>
        <w:rPr>
          <w:spacing w:val="-2"/>
        </w:rPr>
        <w:t>日，公司董事会发出关于召</w:t>
      </w:r>
    </w:p>
    <w:p>
      <w:pPr>
        <w:pStyle w:val="BodyText"/>
        <w:spacing w:line="338" w:lineRule="auto" w:before="27"/>
        <w:ind w:right="145"/>
        <w:jc w:val="both"/>
      </w:pPr>
      <w:r>
        <w:rPr>
          <w:spacing w:val="-2"/>
        </w:rPr>
        <w:t>开</w:t>
      </w:r>
      <w:r>
        <w:rPr>
          <w:rFonts w:ascii="Times New Roman" w:hAnsi="Times New Roman" w:cs="Times New Roman" w:eastAsia="Times New Roman" w:hint="default"/>
          <w:spacing w:val="-2"/>
        </w:rPr>
        <w:t>2008</w:t>
      </w:r>
      <w:r>
        <w:rPr>
          <w:spacing w:val="-2"/>
        </w:rPr>
        <w:t>年度第二次临时股东大会的书面通知，并于</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2</w:t>
      </w:r>
      <w:r>
        <w:rPr>
          <w:spacing w:val="-2"/>
        </w:rPr>
        <w:t>日在证监会指定网站巨潮</w:t>
      </w:r>
      <w:r>
        <w:rPr>
          <w:spacing w:val="-85"/>
        </w:rPr>
        <w:t> </w:t>
      </w:r>
      <w:r>
        <w:rPr/>
        <w:t>网和指定报刊中国证券报上公告。公司</w:t>
      </w:r>
      <w:r>
        <w:rPr>
          <w:rFonts w:ascii="Times New Roman" w:hAnsi="Times New Roman" w:cs="Times New Roman" w:eastAsia="Times New Roman" w:hint="default"/>
        </w:rPr>
        <w:t>2008</w:t>
      </w:r>
      <w:r>
        <w:rPr/>
        <w:t>年第二次临时股东大会于</w:t>
      </w:r>
      <w:r>
        <w:rPr>
          <w:rFonts w:ascii="Times New Roman" w:hAnsi="Times New Roman" w:cs="Times New Roman" w:eastAsia="Times New Roman" w:hint="default"/>
        </w:rPr>
        <w:t>2008</w:t>
      </w:r>
      <w:r>
        <w:rPr>
          <w:rFonts w:ascii="Times New Roman" w:hAnsi="Times New Roman" w:cs="Times New Roman" w:eastAsia="Times New Roman" w:hint="default"/>
          <w:spacing w:val="25"/>
        </w:rPr>
        <w:t> </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23</w:t>
      </w:r>
      <w:r>
        <w:rPr/>
        <w:t>日在 深圳都市阳光名苑</w:t>
      </w:r>
      <w:r>
        <w:rPr>
          <w:rFonts w:ascii="Times New Roman" w:hAnsi="Times New Roman" w:cs="Times New Roman" w:eastAsia="Times New Roman" w:hint="default"/>
        </w:rPr>
        <w:t>CEO</w:t>
      </w:r>
      <w:r>
        <w:rPr/>
        <w:t>商务中心会议室召开。参加大会的股东或代理人共计</w:t>
      </w:r>
      <w:r>
        <w:rPr>
          <w:rFonts w:ascii="Times New Roman" w:hAnsi="Times New Roman" w:cs="Times New Roman" w:eastAsia="Times New Roman" w:hint="default"/>
        </w:rPr>
        <w:t>3</w:t>
      </w:r>
      <w:r>
        <w:rPr/>
        <w:t>人，代表 股份</w:t>
      </w:r>
      <w:r>
        <w:rPr>
          <w:rFonts w:ascii="Times New Roman" w:hAnsi="Times New Roman" w:cs="Times New Roman" w:eastAsia="Times New Roman" w:hint="default"/>
        </w:rPr>
        <w:t>54,712,690</w:t>
      </w:r>
      <w:r>
        <w:rPr/>
        <w:t>股，因本次会议审议议案属于关联交易，关联股东方正延中传媒有限公 司回避表决。参加本次会议并表决的非关联股东或代理人共计</w:t>
      </w:r>
      <w:r>
        <w:rPr>
          <w:rFonts w:ascii="Times New Roman" w:hAnsi="Times New Roman" w:cs="Times New Roman" w:eastAsia="Times New Roman" w:hint="default"/>
        </w:rPr>
        <w:t>2</w:t>
      </w:r>
      <w:r>
        <w:rPr/>
        <w:t>人，代表有效表决权股 份数为</w:t>
      </w:r>
      <w:r>
        <w:rPr>
          <w:rFonts w:ascii="Times New Roman" w:hAnsi="Times New Roman" w:cs="Times New Roman" w:eastAsia="Times New Roman" w:hint="default"/>
        </w:rPr>
        <w:t>27,712,690</w:t>
      </w:r>
      <w:r>
        <w:rPr/>
        <w:t>股。符合《公司法》、《公司章程》的有关规定。公司部分董事、监 事、高级管理人员、保荐机构相关人员列席了本次会议。北京市高朋律师事务所谢霞、</w:t>
      </w:r>
    </w:p>
    <w:p>
      <w:pPr>
        <w:spacing w:after="0" w:line="338" w:lineRule="auto"/>
        <w:jc w:val="both"/>
        <w:sectPr>
          <w:pgSz w:w="11910" w:h="16840"/>
          <w:pgMar w:header="0" w:footer="594" w:top="1500" w:bottom="800" w:left="1300" w:right="1220"/>
        </w:sectPr>
      </w:pPr>
    </w:p>
    <w:p>
      <w:pPr>
        <w:pStyle w:val="BodyText"/>
        <w:spacing w:line="357" w:lineRule="auto" w:before="13"/>
        <w:ind w:left="598" w:right="286" w:hanging="480"/>
        <w:jc w:val="left"/>
      </w:pPr>
      <w:r>
        <w:rPr/>
        <w:t>李小军律师列席会议并对大会的合法性进行了验证。会议由董事长高海波先生主持。 经股东大会审议并以记名方式表决，对本次会议提案做出如下决议：</w:t>
      </w:r>
    </w:p>
    <w:p>
      <w:pPr>
        <w:pStyle w:val="BodyText"/>
        <w:spacing w:line="240" w:lineRule="auto" w:before="36"/>
        <w:ind w:right="94"/>
        <w:jc w:val="left"/>
      </w:pPr>
      <w:r>
        <w:rPr>
          <w:rFonts w:ascii="Times New Roman" w:hAnsi="Times New Roman" w:cs="Times New Roman" w:eastAsia="Times New Roman" w:hint="default"/>
        </w:rPr>
        <w:t>1</w:t>
      </w:r>
      <w:r>
        <w:rPr/>
        <w:t>）审议通过了关于《青岛亚星实业有限公司承担公司或有负债清偿责任议案》；</w:t>
      </w:r>
    </w:p>
    <w:p>
      <w:pPr>
        <w:pStyle w:val="BodyText"/>
        <w:spacing w:line="338" w:lineRule="auto"/>
        <w:ind w:left="478" w:right="406" w:hanging="360"/>
        <w:jc w:val="left"/>
      </w:pPr>
      <w:r>
        <w:rPr>
          <w:rFonts w:ascii="Times New Roman" w:hAnsi="Times New Roman" w:cs="Times New Roman" w:eastAsia="Times New Roman" w:hint="default"/>
        </w:rPr>
        <w:t>2</w:t>
      </w:r>
      <w:r>
        <w:rPr/>
        <w:t>）审议通过了关于《青岛亚星实业有限公司提出的挽救公司严重财务困难方案的议 案》。</w:t>
      </w:r>
    </w:p>
    <w:p>
      <w:pPr>
        <w:pStyle w:val="BodyText"/>
        <w:spacing w:line="338" w:lineRule="auto" w:before="55"/>
        <w:ind w:left="598" w:right="166" w:hanging="480"/>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2008</w:t>
      </w:r>
      <w:r>
        <w:rPr/>
        <w:t>年度第三次临时股东大会 根据公司第六届董事会第十次会议决议，</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16</w:t>
      </w:r>
      <w:r>
        <w:rPr/>
        <w:t>日，公司董事会发出关于召</w:t>
      </w:r>
    </w:p>
    <w:p>
      <w:pPr>
        <w:pStyle w:val="BodyText"/>
        <w:spacing w:line="345" w:lineRule="auto" w:before="27"/>
        <w:ind w:right="112"/>
        <w:jc w:val="both"/>
      </w:pPr>
      <w:r>
        <w:rPr/>
        <w:t>开</w:t>
      </w:r>
      <w:r>
        <w:rPr>
          <w:rFonts w:ascii="Times New Roman" w:hAnsi="Times New Roman" w:cs="Times New Roman" w:eastAsia="Times New Roman" w:hint="default"/>
        </w:rPr>
        <w:t>2008</w:t>
      </w:r>
      <w:r>
        <w:rPr/>
        <w:t>年度第三次临时股东大会的书面通知，并于</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17</w:t>
      </w:r>
      <w:r>
        <w:rPr/>
        <w:t>日在证监会指定网站巨 潮资讯网和指定报刊中国证券报上公告。公司</w:t>
      </w:r>
      <w:r>
        <w:rPr>
          <w:rFonts w:ascii="Times New Roman" w:hAnsi="Times New Roman" w:cs="Times New Roman" w:eastAsia="Times New Roman" w:hint="default"/>
        </w:rPr>
        <w:t>2008</w:t>
      </w:r>
      <w:r>
        <w:rPr/>
        <w:t>年度第三次临时股东大会于</w:t>
      </w:r>
      <w:r>
        <w:rPr>
          <w:rFonts w:ascii="Times New Roman" w:hAnsi="Times New Roman" w:cs="Times New Roman" w:eastAsia="Times New Roman" w:hint="default"/>
        </w:rPr>
        <w:t>2008</w:t>
      </w:r>
      <w:r>
        <w:rPr>
          <w:rFonts w:ascii="Times New Roman" w:hAnsi="Times New Roman" w:cs="Times New Roman" w:eastAsia="Times New Roman" w:hint="default"/>
          <w:spacing w:val="13"/>
        </w:rPr>
        <w:t> </w:t>
      </w:r>
      <w:r>
        <w:rPr/>
        <w:t>年</w:t>
      </w:r>
      <w:r>
        <w:rPr>
          <w:rFonts w:ascii="Times New Roman" w:hAnsi="Times New Roman" w:cs="Times New Roman" w:eastAsia="Times New Roman" w:hint="default"/>
        </w:rPr>
        <w:t>5 </w:t>
      </w:r>
      <w:r>
        <w:rPr/>
        <w:t>月</w:t>
      </w:r>
      <w:r>
        <w:rPr>
          <w:rFonts w:ascii="Times New Roman" w:hAnsi="Times New Roman" w:cs="Times New Roman" w:eastAsia="Times New Roman" w:hint="default"/>
        </w:rPr>
        <w:t>5</w:t>
      </w:r>
      <w:r>
        <w:rPr/>
        <w:t>日在深圳都市阳光名苑</w:t>
      </w:r>
      <w:r>
        <w:rPr>
          <w:rFonts w:ascii="Times New Roman" w:hAnsi="Times New Roman" w:cs="Times New Roman" w:eastAsia="Times New Roman" w:hint="default"/>
        </w:rPr>
        <w:t>CEO</w:t>
      </w:r>
      <w:r>
        <w:rPr/>
        <w:t>商务中心会议室召开。参加大会的股东及代理人</w:t>
      </w:r>
      <w:r>
        <w:rPr>
          <w:rFonts w:ascii="Times New Roman" w:hAnsi="Times New Roman" w:cs="Times New Roman" w:eastAsia="Times New Roman" w:hint="default"/>
        </w:rPr>
        <w:t>1</w:t>
      </w:r>
      <w:r>
        <w:rPr>
          <w:rFonts w:ascii="Times New Roman" w:hAnsi="Times New Roman" w:cs="Times New Roman" w:eastAsia="Times New Roman" w:hint="default"/>
          <w:spacing w:val="58"/>
        </w:rPr>
        <w:t> </w:t>
      </w:r>
      <w:r>
        <w:rPr/>
        <w:t>名， </w:t>
      </w:r>
      <w:r>
        <w:rPr>
          <w:spacing w:val="-2"/>
        </w:rPr>
        <w:t>代表股份</w:t>
      </w:r>
      <w:r>
        <w:rPr>
          <w:rFonts w:ascii="Times New Roman" w:hAnsi="Times New Roman" w:cs="Times New Roman" w:eastAsia="Times New Roman" w:hint="default"/>
          <w:spacing w:val="-2"/>
        </w:rPr>
        <w:t>27</w:t>
      </w:r>
      <w:r>
        <w:rPr>
          <w:spacing w:val="-2"/>
        </w:rPr>
        <w:t>，</w:t>
      </w:r>
      <w:r>
        <w:rPr>
          <w:rFonts w:ascii="Times New Roman" w:hAnsi="Times New Roman" w:cs="Times New Roman" w:eastAsia="Times New Roman" w:hint="default"/>
          <w:spacing w:val="-2"/>
        </w:rPr>
        <w:t>000</w:t>
      </w:r>
      <w:r>
        <w:rPr>
          <w:spacing w:val="-2"/>
        </w:rPr>
        <w:t>，</w:t>
      </w:r>
      <w:r>
        <w:rPr>
          <w:rFonts w:ascii="Times New Roman" w:hAnsi="Times New Roman" w:cs="Times New Roman" w:eastAsia="Times New Roman" w:hint="default"/>
          <w:spacing w:val="-2"/>
        </w:rPr>
        <w:t>000</w:t>
      </w:r>
      <w:r>
        <w:rPr>
          <w:spacing w:val="-2"/>
        </w:rPr>
        <w:t>股，占公司有表决权总股份的</w:t>
      </w:r>
      <w:r>
        <w:rPr>
          <w:rFonts w:ascii="Times New Roman" w:hAnsi="Times New Roman" w:cs="Times New Roman" w:eastAsia="Times New Roman" w:hint="default"/>
          <w:spacing w:val="-2"/>
        </w:rPr>
        <w:t>29.84%</w:t>
      </w:r>
      <w:r>
        <w:rPr>
          <w:spacing w:val="-2"/>
        </w:rPr>
        <w:t>。符合《公司法》、《公司</w:t>
      </w:r>
      <w:r>
        <w:rPr>
          <w:spacing w:val="-105"/>
        </w:rPr>
        <w:t> </w:t>
      </w:r>
      <w:r>
        <w:rPr>
          <w:spacing w:val="-105"/>
        </w:rPr>
      </w:r>
      <w:r>
        <w:rPr>
          <w:spacing w:val="-3"/>
        </w:rPr>
        <w:t>章程》的有关规定。公司部分董事、监事和高级管理人员列席了本次会议。北京市高朋</w:t>
      </w:r>
      <w:r>
        <w:rPr>
          <w:spacing w:val="-88"/>
        </w:rPr>
        <w:t> </w:t>
      </w:r>
      <w:r>
        <w:rPr>
          <w:spacing w:val="-88"/>
        </w:rPr>
      </w:r>
      <w:r>
        <w:rPr>
          <w:spacing w:val="-2"/>
        </w:rPr>
        <w:t>律师事务所谢霞、李小军律师列席了本次会议并对大会的合法性进行了验证。会议由董</w:t>
      </w:r>
      <w:r>
        <w:rPr>
          <w:spacing w:val="-96"/>
        </w:rPr>
        <w:t> </w:t>
      </w:r>
      <w:r>
        <w:rPr>
          <w:spacing w:val="-96"/>
        </w:rPr>
      </w:r>
      <w:r>
        <w:rPr/>
        <w:t>事长高海波先生主持。</w:t>
      </w:r>
    </w:p>
    <w:p>
      <w:pPr>
        <w:pStyle w:val="BodyText"/>
        <w:spacing w:line="357" w:lineRule="auto" w:before="48"/>
        <w:ind w:left="478" w:right="94"/>
        <w:jc w:val="left"/>
      </w:pPr>
      <w:r>
        <w:rPr/>
        <w:t>经股东大会审议并以记名方式表决，对本次会议提案做出如下决议： 审议通过了《关于公司股票暂停上市后的有关事项的议案》。 </w:t>
      </w:r>
      <w:r>
        <w:rPr>
          <w:spacing w:val="-2"/>
        </w:rPr>
        <w:t>会议决议于</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6</w:t>
      </w:r>
      <w:r>
        <w:rPr>
          <w:spacing w:val="-2"/>
        </w:rPr>
        <w:t>日在中国证监会指定网站巨潮资讯网上公布，并于</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5</w:t>
      </w:r>
      <w:r>
        <w:rPr>
          <w:spacing w:val="-2"/>
        </w:rPr>
        <w:t>月</w:t>
      </w:r>
    </w:p>
    <w:p>
      <w:pPr>
        <w:pStyle w:val="BodyText"/>
        <w:spacing w:line="240" w:lineRule="auto" w:before="5"/>
        <w:ind w:right="94"/>
        <w:jc w:val="left"/>
      </w:pPr>
      <w:r>
        <w:rPr>
          <w:rFonts w:ascii="Times New Roman" w:hAnsi="Times New Roman" w:cs="Times New Roman" w:eastAsia="Times New Roman" w:hint="default"/>
        </w:rPr>
        <w:t>6</w:t>
      </w:r>
      <w:r>
        <w:rPr/>
        <w:t>日在中国证券报和证券时报上刊登公告。</w:t>
      </w:r>
    </w:p>
    <w:p>
      <w:pPr>
        <w:pStyle w:val="BodyText"/>
        <w:spacing w:line="338" w:lineRule="auto"/>
        <w:ind w:left="598" w:right="94" w:hanging="480"/>
        <w:jc w:val="left"/>
      </w:pPr>
      <w:r>
        <w:rPr>
          <w:rFonts w:ascii="Times New Roman" w:hAnsi="Times New Roman" w:cs="Times New Roman" w:eastAsia="Times New Roman" w:hint="default"/>
        </w:rPr>
        <w:t>4</w:t>
      </w:r>
      <w:r>
        <w:rPr/>
        <w:t>、</w:t>
      </w:r>
      <w:r>
        <w:rPr>
          <w:rFonts w:ascii="Times New Roman" w:hAnsi="Times New Roman" w:cs="Times New Roman" w:eastAsia="Times New Roman" w:hint="default"/>
        </w:rPr>
        <w:t>2008</w:t>
      </w:r>
      <w:r>
        <w:rPr/>
        <w:t>年度第四次临时股东大会 </w:t>
      </w:r>
      <w:r>
        <w:rPr>
          <w:spacing w:val="-2"/>
        </w:rPr>
        <w:t>根据公司第六届董事会第十四次会议决议，</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9</w:t>
      </w:r>
      <w:r>
        <w:rPr>
          <w:spacing w:val="-2"/>
        </w:rPr>
        <w:t>月</w:t>
      </w:r>
      <w:r>
        <w:rPr>
          <w:rFonts w:ascii="Times New Roman" w:hAnsi="Times New Roman" w:cs="Times New Roman" w:eastAsia="Times New Roman" w:hint="default"/>
          <w:spacing w:val="-2"/>
        </w:rPr>
        <w:t>3</w:t>
      </w:r>
      <w:r>
        <w:rPr>
          <w:spacing w:val="-2"/>
        </w:rPr>
        <w:t>日，公司董事会发出关于召</w:t>
      </w:r>
    </w:p>
    <w:p>
      <w:pPr>
        <w:pStyle w:val="BodyText"/>
        <w:spacing w:line="345" w:lineRule="auto" w:before="27"/>
        <w:ind w:right="94"/>
        <w:jc w:val="left"/>
      </w:pPr>
      <w:r>
        <w:rPr>
          <w:spacing w:val="-2"/>
        </w:rPr>
        <w:t>开</w:t>
      </w:r>
      <w:r>
        <w:rPr>
          <w:rFonts w:ascii="Times New Roman" w:hAnsi="Times New Roman" w:cs="Times New Roman" w:eastAsia="Times New Roman" w:hint="default"/>
          <w:spacing w:val="-2"/>
        </w:rPr>
        <w:t>2008</w:t>
      </w:r>
      <w:r>
        <w:rPr>
          <w:spacing w:val="-2"/>
        </w:rPr>
        <w:t>年第四次临时股东大会的书面通知，并于</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9</w:t>
      </w:r>
      <w:r>
        <w:rPr>
          <w:spacing w:val="-2"/>
        </w:rPr>
        <w:t>月</w:t>
      </w:r>
      <w:r>
        <w:rPr>
          <w:rFonts w:ascii="Times New Roman" w:hAnsi="Times New Roman" w:cs="Times New Roman" w:eastAsia="Times New Roman" w:hint="default"/>
          <w:spacing w:val="-2"/>
        </w:rPr>
        <w:t>4</w:t>
      </w:r>
      <w:r>
        <w:rPr>
          <w:spacing w:val="-2"/>
        </w:rPr>
        <w:t>日在证监会指定网站巨潮资</w:t>
      </w:r>
      <w:r>
        <w:rPr>
          <w:spacing w:val="-85"/>
        </w:rPr>
        <w:t> </w:t>
      </w:r>
      <w:r>
        <w:rPr/>
        <w:t>讯网和指定报刊中国证券报上公告。公司</w:t>
      </w:r>
      <w:r>
        <w:rPr>
          <w:rFonts w:ascii="Times New Roman" w:hAnsi="Times New Roman" w:cs="Times New Roman" w:eastAsia="Times New Roman" w:hint="default"/>
        </w:rPr>
        <w:t>2008</w:t>
      </w:r>
      <w:r>
        <w:rPr/>
        <w:t>年第四次临时股东大会于</w:t>
      </w: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19</w:t>
      </w:r>
      <w:r>
        <w:rPr/>
        <w:t>日 在深圳都市阳光名苑</w:t>
      </w:r>
      <w:r>
        <w:rPr>
          <w:rFonts w:ascii="Times New Roman" w:hAnsi="Times New Roman" w:cs="Times New Roman" w:eastAsia="Times New Roman" w:hint="default"/>
        </w:rPr>
        <w:t>6B</w:t>
      </w:r>
      <w:r>
        <w:rPr/>
        <w:t>公司会议室召开。参加大会的股东及代理人共</w:t>
      </w:r>
      <w:r>
        <w:rPr>
          <w:rFonts w:ascii="Times New Roman" w:hAnsi="Times New Roman" w:cs="Times New Roman" w:eastAsia="Times New Roman" w:hint="default"/>
        </w:rPr>
        <w:t>1</w:t>
      </w:r>
      <w:r>
        <w:rPr/>
        <w:t>名，代表股份 </w:t>
      </w:r>
      <w:r>
        <w:rPr>
          <w:rFonts w:ascii="Times New Roman" w:hAnsi="Times New Roman" w:cs="Times New Roman" w:eastAsia="Times New Roman" w:hint="default"/>
        </w:rPr>
        <w:t>27,000,000</w:t>
      </w:r>
      <w:r>
        <w:rPr/>
        <w:t>股，占公司有表决权总股份的</w:t>
      </w:r>
      <w:r>
        <w:rPr>
          <w:rFonts w:ascii="Times New Roman" w:hAnsi="Times New Roman" w:cs="Times New Roman" w:eastAsia="Times New Roman" w:hint="default"/>
        </w:rPr>
        <w:t>29.84%</w:t>
      </w:r>
      <w:r>
        <w:rPr/>
        <w:t>。符合《公司法》、《公司章程》的有 </w:t>
      </w:r>
      <w:r>
        <w:rPr>
          <w:spacing w:val="-2"/>
        </w:rPr>
        <w:t>关规定。公司部分董事、监事和高级管理人员列席了本次会议。北京市高朋律师事务所</w:t>
      </w:r>
      <w:r>
        <w:rPr>
          <w:spacing w:val="-95"/>
        </w:rPr>
        <w:t> </w:t>
      </w:r>
      <w:r>
        <w:rPr>
          <w:spacing w:val="-95"/>
        </w:rPr>
      </w:r>
      <w:r>
        <w:rPr>
          <w:spacing w:val="-2"/>
        </w:rPr>
        <w:t>谢霞、邓元嫄律师列席会议并对大会的合法性进行了验证。会议由董事长高海波先生主</w:t>
      </w:r>
      <w:r>
        <w:rPr>
          <w:spacing w:val="-96"/>
        </w:rPr>
        <w:t> </w:t>
      </w:r>
      <w:r>
        <w:rPr>
          <w:spacing w:val="-96"/>
        </w:rPr>
      </w:r>
      <w:r>
        <w:rPr/>
        <w:t>持。</w:t>
      </w:r>
    </w:p>
    <w:p>
      <w:pPr>
        <w:pStyle w:val="BodyText"/>
        <w:spacing w:line="357" w:lineRule="auto" w:before="48"/>
        <w:ind w:left="478" w:right="406"/>
        <w:jc w:val="left"/>
      </w:pPr>
      <w:r>
        <w:rPr/>
        <w:t>经股东大会审议并以记名方式表决，对本次会议提案做出如下决议： 审议通过了《关于同意公司与中国农业银行深圳分行罗湖支行贷款重组事宜的议</w:t>
      </w:r>
    </w:p>
    <w:p>
      <w:pPr>
        <w:spacing w:after="0" w:line="357" w:lineRule="auto"/>
        <w:jc w:val="left"/>
        <w:sectPr>
          <w:pgSz w:w="11910" w:h="16840"/>
          <w:pgMar w:header="0" w:footer="594" w:top="1500" w:bottom="800" w:left="1300" w:right="1300"/>
        </w:sectPr>
      </w:pPr>
    </w:p>
    <w:p>
      <w:pPr>
        <w:pStyle w:val="BodyText"/>
        <w:spacing w:line="240" w:lineRule="auto" w:before="13"/>
        <w:ind w:right="94"/>
        <w:jc w:val="left"/>
      </w:pPr>
      <w:r>
        <w:rPr/>
        <w:t>案》。</w:t>
      </w:r>
    </w:p>
    <w:p>
      <w:pPr>
        <w:pStyle w:val="BodyText"/>
        <w:spacing w:line="338" w:lineRule="auto" w:before="154"/>
        <w:ind w:right="166" w:firstLine="360"/>
        <w:jc w:val="left"/>
      </w:pPr>
      <w:r>
        <w:rPr/>
        <w:t>会议决议于</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22</w:t>
      </w:r>
      <w:r>
        <w:rPr/>
        <w:t>日在中国证监会指定网站巨潮资讯网上公布，并于</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9 </w:t>
      </w:r>
      <w:r>
        <w:rPr/>
        <w:t>月</w:t>
      </w:r>
      <w:r>
        <w:rPr>
          <w:rFonts w:ascii="Times New Roman" w:hAnsi="Times New Roman" w:cs="Times New Roman" w:eastAsia="Times New Roman" w:hint="default"/>
        </w:rPr>
        <w:t>22</w:t>
      </w:r>
      <w:r>
        <w:rPr/>
        <w:t>日在中国证券报和证券时报上刊登公告。</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22"/>
          <w:szCs w:val="22"/>
        </w:rPr>
      </w:pPr>
    </w:p>
    <w:p>
      <w:pPr>
        <w:spacing w:before="0"/>
        <w:ind w:left="3335" w:right="3370" w:firstLine="0"/>
        <w:jc w:val="center"/>
        <w:rPr>
          <w:rFonts w:ascii="宋体" w:hAnsi="宋体" w:cs="宋体" w:eastAsia="宋体" w:hint="default"/>
          <w:sz w:val="30"/>
          <w:szCs w:val="30"/>
        </w:rPr>
      </w:pPr>
      <w:bookmarkStart w:name="_TOC_250004" w:id="7"/>
      <w:r>
        <w:rPr>
          <w:rFonts w:ascii="宋体" w:hAnsi="宋体" w:cs="宋体" w:eastAsia="宋体" w:hint="default"/>
          <w:b/>
          <w:bCs/>
          <w:sz w:val="30"/>
          <w:szCs w:val="30"/>
        </w:rPr>
        <w:t>第七章</w:t>
      </w:r>
      <w:r>
        <w:rPr>
          <w:rFonts w:ascii="宋体" w:hAnsi="宋体" w:cs="宋体" w:eastAsia="宋体" w:hint="default"/>
          <w:b/>
          <w:bCs/>
          <w:spacing w:val="-3"/>
          <w:sz w:val="30"/>
          <w:szCs w:val="30"/>
        </w:rPr>
        <w:t> </w:t>
      </w:r>
      <w:r>
        <w:rPr>
          <w:rFonts w:ascii="宋体" w:hAnsi="宋体" w:cs="宋体" w:eastAsia="宋体" w:hint="default"/>
          <w:b/>
          <w:bCs/>
          <w:sz w:val="30"/>
          <w:szCs w:val="30"/>
        </w:rPr>
        <w:t>董事会报告</w:t>
      </w:r>
      <w:bookmarkEnd w:id="7"/>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pStyle w:val="BodyText"/>
        <w:spacing w:line="240" w:lineRule="auto" w:before="204"/>
        <w:ind w:right="94"/>
        <w:jc w:val="left"/>
      </w:pPr>
      <w:r>
        <w:rPr/>
        <w:t>（一）报告期内公司经营情况的回顾</w:t>
      </w:r>
    </w:p>
    <w:p>
      <w:pPr>
        <w:pStyle w:val="BodyText"/>
        <w:spacing w:line="338" w:lineRule="auto" w:before="154"/>
        <w:ind w:left="598" w:right="94" w:hanging="480"/>
        <w:jc w:val="left"/>
      </w:pPr>
      <w:r>
        <w:rPr>
          <w:rFonts w:ascii="Times New Roman" w:hAnsi="Times New Roman" w:cs="Times New Roman" w:eastAsia="Times New Roman" w:hint="default"/>
        </w:rPr>
        <w:t>1</w:t>
      </w:r>
      <w:r>
        <w:rPr/>
        <w:t>、报告期内总体经营情况 </w:t>
      </w:r>
      <w:r>
        <w:rPr>
          <w:spacing w:val="-2"/>
        </w:rPr>
        <w:t>本报告期内，公司所属行业及经营范围未发生变化，但公司受到债务危机、经营危</w:t>
      </w:r>
    </w:p>
    <w:p>
      <w:pPr>
        <w:pStyle w:val="BodyText"/>
        <w:spacing w:line="357" w:lineRule="auto" w:before="55"/>
        <w:ind w:left="598" w:right="166" w:hanging="480"/>
        <w:jc w:val="left"/>
      </w:pPr>
      <w:r>
        <w:rPr/>
        <w:t>机的影响，未能有效开展业务。 报告期内，公司积极推进重组进程。</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28</w:t>
      </w:r>
      <w:r>
        <w:rPr/>
        <w:t>日，公司发布初步的股权分置改</w:t>
      </w:r>
    </w:p>
    <w:p>
      <w:pPr>
        <w:pStyle w:val="BodyText"/>
        <w:spacing w:line="357" w:lineRule="auto" w:before="5"/>
        <w:ind w:right="114"/>
        <w:jc w:val="both"/>
      </w:pPr>
      <w:r>
        <w:rPr>
          <w:spacing w:val="-2"/>
        </w:rPr>
        <w:t>革方案。在经过与公司股东充分沟通后，2008年4月2日，公司发布了股权分置改革方案</w:t>
      </w:r>
      <w:r>
        <w:rPr>
          <w:spacing w:val="-89"/>
        </w:rPr>
        <w:t> </w:t>
      </w:r>
      <w:r>
        <w:rPr>
          <w:spacing w:val="-89"/>
        </w:rPr>
      </w:r>
      <w:r>
        <w:rPr/>
        <w:t>的修订稿。2008年4月22日，公司2008年度第一次临时股东大会暨股权分置改革相关股 东会议通过了股权分置改革方案。2008年4月23日，公司第二次临时股东大会通过了亚 </w:t>
      </w:r>
      <w:r>
        <w:rPr>
          <w:spacing w:val="-2"/>
        </w:rPr>
        <w:t>星实业提出的关于挽救公司严重财务困难的方案。2008年5月9日，公司向深圳交易所提</w:t>
      </w:r>
      <w:r>
        <w:rPr>
          <w:spacing w:val="-90"/>
        </w:rPr>
        <w:t> </w:t>
      </w:r>
      <w:r>
        <w:rPr>
          <w:spacing w:val="-90"/>
        </w:rPr>
      </w:r>
      <w:r>
        <w:rPr/>
        <w:t>出了恢复上市的申请。2008年5月15日，深圳交易所受理了公司的恢复上市申请，并提 出了反馈意见。随后，亚星实业分别于2008年9月27日和2008年9月28日将青岛广顺83% 的股权及兖州海情90%的股权过户至本公司名下。由于青岛广顺房地产开发有限公司和 兖州海情置业有限公司的主营业务均为房地产开发、经营。</w:t>
      </w:r>
    </w:p>
    <w:p>
      <w:pPr>
        <w:pStyle w:val="BodyText"/>
        <w:spacing w:line="338" w:lineRule="auto" w:before="36"/>
        <w:ind w:right="166" w:firstLine="480"/>
        <w:jc w:val="left"/>
      </w:pPr>
      <w:r>
        <w:rPr/>
        <w:t>报告期内，兖州海情计划开工的建筑面积</w:t>
      </w:r>
      <w:r>
        <w:rPr>
          <w:rFonts w:ascii="Times New Roman" w:hAnsi="Times New Roman" w:cs="Times New Roman" w:eastAsia="Times New Roman" w:hint="default"/>
        </w:rPr>
        <w:t>6</w:t>
      </w:r>
      <w:r>
        <w:rPr/>
        <w:t>万平米规划方案已经批准，已完成进行 地质勘探和施工设计，截至到年报披露日，项目一期已经开工建设。</w:t>
      </w:r>
    </w:p>
    <w:p>
      <w:pPr>
        <w:pStyle w:val="BodyText"/>
        <w:spacing w:line="357" w:lineRule="auto" w:before="55"/>
        <w:ind w:right="94" w:firstLine="480"/>
        <w:jc w:val="left"/>
      </w:pPr>
      <w:r>
        <w:rPr>
          <w:spacing w:val="-2"/>
        </w:rPr>
        <w:t>报告期内，青岛广顺项目一期已经开工建设，共两栋小高层住宅。截至到年报披露</w:t>
      </w:r>
      <w:r>
        <w:rPr/>
        <w:t> 日，项目已达到预售条件，正在处于客户积累期。</w:t>
      </w:r>
    </w:p>
    <w:p>
      <w:pPr>
        <w:spacing w:line="240" w:lineRule="auto" w:before="0"/>
        <w:rPr>
          <w:rFonts w:ascii="宋体" w:hAnsi="宋体" w:cs="宋体" w:eastAsia="宋体" w:hint="default"/>
          <w:sz w:val="24"/>
          <w:szCs w:val="24"/>
        </w:rPr>
      </w:pPr>
    </w:p>
    <w:p>
      <w:pPr>
        <w:pStyle w:val="BodyText"/>
        <w:spacing w:line="240" w:lineRule="auto" w:before="190"/>
        <w:ind w:right="94"/>
        <w:jc w:val="left"/>
      </w:pPr>
      <w:r>
        <w:rPr/>
        <w:t>2、公司主营业务及其经营状况</w:t>
      </w:r>
    </w:p>
    <w:p>
      <w:pPr>
        <w:pStyle w:val="BodyText"/>
        <w:spacing w:line="240" w:lineRule="auto" w:before="154"/>
        <w:ind w:right="94"/>
        <w:jc w:val="left"/>
      </w:pPr>
      <w:r>
        <w:rPr/>
        <w:t>（1）公司目前的实际主营业务为：房地产开发和经营。</w:t>
      </w:r>
    </w:p>
    <w:p>
      <w:pPr>
        <w:pStyle w:val="BodyText"/>
        <w:spacing w:line="357" w:lineRule="auto" w:before="154"/>
        <w:ind w:left="598" w:right="94" w:hanging="480"/>
        <w:jc w:val="left"/>
      </w:pPr>
      <w:r>
        <w:rPr/>
        <w:t>（2）生产经营的主要产品和市场情况 </w:t>
      </w:r>
      <w:r>
        <w:rPr>
          <w:spacing w:val="-3"/>
        </w:rPr>
        <w:t>青岛广顺所开发的石雀滩项目所在地属青岛国家级经济技术开发区管辖，地处青岛</w:t>
      </w:r>
    </w:p>
    <w:p>
      <w:pPr>
        <w:spacing w:after="0" w:line="357" w:lineRule="auto"/>
        <w:jc w:val="left"/>
        <w:sectPr>
          <w:pgSz w:w="11910" w:h="16840"/>
          <w:pgMar w:header="0" w:footer="594" w:top="1500" w:bottom="800" w:left="1300" w:right="1300"/>
        </w:sectPr>
      </w:pPr>
    </w:p>
    <w:p>
      <w:pPr>
        <w:pStyle w:val="BodyText"/>
        <w:spacing w:line="357" w:lineRule="auto" w:before="13"/>
        <w:ind w:right="152"/>
        <w:jc w:val="both"/>
      </w:pPr>
      <w:r>
        <w:rPr/>
        <w:t>市黄岛区。随着</w:t>
      </w:r>
      <w:r>
        <w:rPr>
          <w:spacing w:val="-60"/>
        </w:rPr>
        <w:t> </w:t>
      </w:r>
      <w:r>
        <w:rPr/>
        <w:t>2001</w:t>
      </w:r>
      <w:r>
        <w:rPr>
          <w:spacing w:val="-60"/>
        </w:rPr>
        <w:t> </w:t>
      </w:r>
      <w:r>
        <w:rPr/>
        <w:t>年，青岛市委、市政府作出了“挺进西海岸、构建青岛经济发展</w:t>
      </w:r>
      <w:r>
        <w:rPr/>
        <w:t> </w:t>
      </w:r>
      <w:r>
        <w:rPr>
          <w:spacing w:val="-3"/>
        </w:rPr>
        <w:t>重心”的重大战略决策，使得青岛开发区迎来了由建区到兴区的重大转折。近年，大型</w:t>
      </w:r>
      <w:r>
        <w:rPr>
          <w:spacing w:val="-98"/>
        </w:rPr>
        <w:t> </w:t>
      </w:r>
      <w:r>
        <w:rPr>
          <w:spacing w:val="-98"/>
        </w:rPr>
      </w:r>
      <w:r>
        <w:rPr>
          <w:spacing w:val="-3"/>
        </w:rPr>
        <w:t>工业企业的纷纷入驻及区域功能划分的日益明确化为黄岛房市的攀升奠定了基础。随着</w:t>
      </w:r>
      <w:r>
        <w:rPr>
          <w:spacing w:val="-95"/>
        </w:rPr>
        <w:t> </w:t>
      </w:r>
      <w:r>
        <w:rPr>
          <w:spacing w:val="-95"/>
        </w:rPr>
      </w:r>
      <w:r>
        <w:rPr>
          <w:spacing w:val="-10"/>
        </w:rPr>
        <w:t>黄岛新规划的实施提上日程，大量的旅游资源得到开发，“六大项目”、“十大工程”纷</w:t>
      </w:r>
      <w:r>
        <w:rPr>
          <w:spacing w:val="-90"/>
        </w:rPr>
        <w:t> </w:t>
      </w:r>
      <w:r>
        <w:rPr>
          <w:spacing w:val="-90"/>
        </w:rPr>
      </w:r>
      <w:r>
        <w:rPr>
          <w:spacing w:val="-3"/>
        </w:rPr>
        <w:t>纷投入，促使房地产的后续开发蕴藏巨大潜力。连通市区的海底隧道和跨海大桥的相继</w:t>
      </w:r>
      <w:r>
        <w:rPr>
          <w:spacing w:val="-96"/>
        </w:rPr>
        <w:t> </w:t>
      </w:r>
      <w:r>
        <w:rPr>
          <w:spacing w:val="-96"/>
        </w:rPr>
      </w:r>
      <w:r>
        <w:rPr/>
        <w:t>开工，更使得黄岛区域的房地产市场得以蓬勃发展。</w:t>
      </w:r>
    </w:p>
    <w:p>
      <w:pPr>
        <w:pStyle w:val="BodyText"/>
        <w:spacing w:line="357" w:lineRule="auto" w:before="36"/>
        <w:ind w:right="114" w:firstLine="600"/>
        <w:jc w:val="both"/>
      </w:pPr>
      <w:r>
        <w:rPr/>
        <w:t>兖州海情所开发的海情丽都花园项目建设用地所在地区属于兖州市重点发展的新 </w:t>
      </w:r>
      <w:r>
        <w:rPr>
          <w:spacing w:val="-2"/>
        </w:rPr>
        <w:t>城区，是该市西城区重点地带，是反映城市景观和风貌的重要规划控制区。海情丽都花</w:t>
      </w:r>
      <w:r>
        <w:rPr>
          <w:spacing w:val="-95"/>
        </w:rPr>
        <w:t> </w:t>
      </w:r>
      <w:r>
        <w:rPr>
          <w:spacing w:val="-95"/>
        </w:rPr>
      </w:r>
      <w:r>
        <w:rPr/>
        <w:t>园项目建设用地距市政府约200米远，周围的建设西路等道路正在进行拓宽，周边已经 </w:t>
      </w:r>
      <w:r>
        <w:rPr>
          <w:spacing w:val="-2"/>
        </w:rPr>
        <w:t>有部分小区建成，学校等其他配套设施也在建设，周边环境已经有了很大的改善。海情</w:t>
      </w:r>
      <w:r>
        <w:rPr>
          <w:spacing w:val="-95"/>
        </w:rPr>
        <w:t> </w:t>
      </w:r>
      <w:r>
        <w:rPr>
          <w:spacing w:val="-95"/>
        </w:rPr>
      </w:r>
      <w:r>
        <w:rPr>
          <w:spacing w:val="-5"/>
        </w:rPr>
        <w:t>丽都项目并已于2008年12月被评为“国家康居示范工程”。</w:t>
      </w:r>
    </w:p>
    <w:p>
      <w:pPr>
        <w:pStyle w:val="BodyText"/>
        <w:spacing w:line="357" w:lineRule="auto" w:before="36"/>
        <w:ind w:left="598" w:right="166" w:hanging="480"/>
        <w:jc w:val="left"/>
      </w:pPr>
      <w:r>
        <w:rPr/>
        <w:t>（3）报告期内，主营业务的变化 亚星实业已分别于2008年9月27日和2008年9月28日将青岛广顺83%的股权及兖州海</w:t>
      </w:r>
    </w:p>
    <w:p>
      <w:pPr>
        <w:pStyle w:val="BodyText"/>
        <w:spacing w:line="357" w:lineRule="auto" w:before="36"/>
        <w:ind w:right="114"/>
        <w:jc w:val="both"/>
      </w:pPr>
      <w:r>
        <w:rPr/>
        <w:t>情90%的股权过户至本公司名下。由于青岛广顺房地产开发有限公司和兖州海情置业有 </w:t>
      </w:r>
      <w:r>
        <w:rPr>
          <w:spacing w:val="-2"/>
        </w:rPr>
        <w:t>限公司的主营业务均为房地产开发、经营。因此本报告期内，公司实际所属行业于已经</w:t>
      </w:r>
      <w:r>
        <w:rPr>
          <w:spacing w:val="-95"/>
        </w:rPr>
        <w:t> </w:t>
      </w:r>
      <w:r>
        <w:rPr>
          <w:spacing w:val="-95"/>
        </w:rPr>
      </w:r>
      <w:r>
        <w:rPr/>
        <w:t>由国内贸易转变为房地产行业。</w:t>
      </w:r>
    </w:p>
    <w:p>
      <w:pPr>
        <w:spacing w:line="240" w:lineRule="auto" w:before="8"/>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0" w:footer="594" w:top="1500" w:bottom="800" w:left="1300" w:right="1300"/>
        </w:sectPr>
      </w:pPr>
    </w:p>
    <w:p>
      <w:pPr>
        <w:pStyle w:val="BodyText"/>
        <w:spacing w:line="240" w:lineRule="auto" w:before="26"/>
        <w:ind w:right="-20"/>
        <w:jc w:val="left"/>
      </w:pPr>
      <w:r>
        <w:rPr>
          <w:rFonts w:ascii="Times New Roman" w:hAnsi="Times New Roman" w:cs="Times New Roman" w:eastAsia="Times New Roman" w:hint="default"/>
        </w:rPr>
        <w:t>3</w:t>
      </w:r>
      <w:r>
        <w:rPr/>
        <w:t>、报告期内公司资产及费用构成情况</w:t>
      </w:r>
    </w:p>
    <w:p>
      <w:pPr>
        <w:pStyle w:val="BodyText"/>
        <w:spacing w:line="240" w:lineRule="auto" w:before="56"/>
        <w:ind w:right="-20"/>
        <w:jc w:val="left"/>
      </w:pPr>
      <w:r>
        <w:rPr/>
        <w:t>（</w:t>
      </w:r>
      <w:r>
        <w:rPr>
          <w:rFonts w:ascii="Times New Roman" w:hAnsi="Times New Roman" w:cs="Times New Roman" w:eastAsia="Times New Roman" w:hint="default"/>
        </w:rPr>
        <w:t>1</w:t>
      </w:r>
      <w:r>
        <w:rPr/>
        <w:t>）上市公司（母公司）资产情况</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7"/>
        <w:rPr>
          <w:rFonts w:ascii="宋体" w:hAnsi="宋体" w:cs="宋体" w:eastAsia="宋体" w:hint="default"/>
          <w:sz w:val="31"/>
          <w:szCs w:val="31"/>
        </w:rPr>
      </w:pPr>
    </w:p>
    <w:p>
      <w:pPr>
        <w:pStyle w:val="BodyText"/>
        <w:spacing w:line="240" w:lineRule="auto" w:before="0"/>
        <w:ind w:right="0"/>
        <w:jc w:val="left"/>
      </w:pPr>
      <w:r>
        <w:rPr/>
        <w:t>单位：人民币元</w:t>
      </w:r>
    </w:p>
    <w:p>
      <w:pPr>
        <w:spacing w:after="0" w:line="240" w:lineRule="auto"/>
        <w:jc w:val="left"/>
        <w:sectPr>
          <w:type w:val="continuous"/>
          <w:pgSz w:w="11910" w:h="16840"/>
          <w:pgMar w:top="1600" w:bottom="280" w:left="1300" w:right="1300"/>
          <w:cols w:num="2" w:equalWidth="0">
            <w:col w:w="4079" w:space="2281"/>
            <w:col w:w="2950"/>
          </w:cols>
        </w:sectPr>
      </w:pPr>
    </w:p>
    <w:p>
      <w:pPr>
        <w:spacing w:line="240" w:lineRule="auto" w:before="11"/>
        <w:rPr>
          <w:rFonts w:ascii="宋体" w:hAnsi="宋体" w:cs="宋体" w:eastAsia="宋体" w:hint="default"/>
          <w:sz w:val="2"/>
          <w:szCs w:val="2"/>
        </w:rPr>
      </w:pPr>
    </w:p>
    <w:tbl>
      <w:tblPr>
        <w:tblW w:w="0" w:type="auto"/>
        <w:jc w:val="left"/>
        <w:tblInd w:w="501" w:type="dxa"/>
        <w:tblLayout w:type="fixed"/>
        <w:tblCellMar>
          <w:top w:w="0" w:type="dxa"/>
          <w:left w:w="0" w:type="dxa"/>
          <w:bottom w:w="0" w:type="dxa"/>
          <w:right w:w="0" w:type="dxa"/>
        </w:tblCellMar>
        <w:tblLook w:val="01E0"/>
      </w:tblPr>
      <w:tblGrid>
        <w:gridCol w:w="2460"/>
        <w:gridCol w:w="2954"/>
        <w:gridCol w:w="2880"/>
      </w:tblGrid>
      <w:tr>
        <w:trPr>
          <w:trHeight w:val="878" w:hRule="exact"/>
        </w:trPr>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tabs>
                <w:tab w:pos="1079" w:val="left" w:leader="none"/>
              </w:tabs>
              <w:spacing w:line="240" w:lineRule="auto"/>
              <w:ind w:right="563"/>
              <w:jc w:val="right"/>
              <w:rPr>
                <w:rFonts w:ascii="宋体" w:hAnsi="宋体" w:cs="宋体" w:eastAsia="宋体" w:hint="default"/>
                <w:sz w:val="24"/>
                <w:szCs w:val="24"/>
              </w:rPr>
            </w:pPr>
            <w:r>
              <w:rPr>
                <w:rFonts w:ascii="宋体" w:hAnsi="宋体" w:cs="宋体" w:eastAsia="宋体" w:hint="default"/>
                <w:sz w:val="24"/>
                <w:szCs w:val="24"/>
              </w:rPr>
              <w:t>资</w:t>
              <w:tab/>
              <w:t>产</w:t>
            </w:r>
          </w:p>
        </w:tc>
        <w:tc>
          <w:tcPr>
            <w:tcW w:w="2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24"/>
                <w:szCs w:val="24"/>
              </w:rPr>
            </w:pPr>
            <w:r>
              <w:rPr>
                <w:rFonts w:ascii="Times New Roman"/>
                <w:sz w:val="24"/>
              </w:rPr>
              <w:t>2008-12-31</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24"/>
                <w:szCs w:val="24"/>
              </w:rPr>
            </w:pPr>
            <w:r>
              <w:rPr>
                <w:rFonts w:ascii="Times New Roman"/>
                <w:sz w:val="24"/>
              </w:rPr>
              <w:t>2007-12-31</w:t>
            </w:r>
          </w:p>
        </w:tc>
      </w:tr>
      <w:tr>
        <w:trPr>
          <w:trHeight w:val="505" w:hRule="exact"/>
        </w:trPr>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745" w:right="0"/>
              <w:jc w:val="left"/>
              <w:rPr>
                <w:rFonts w:ascii="宋体" w:hAnsi="宋体" w:cs="宋体" w:eastAsia="宋体" w:hint="default"/>
                <w:sz w:val="24"/>
                <w:szCs w:val="24"/>
              </w:rPr>
            </w:pPr>
            <w:r>
              <w:rPr>
                <w:rFonts w:ascii="宋体" w:hAnsi="宋体" w:cs="宋体" w:eastAsia="宋体" w:hint="default"/>
                <w:sz w:val="24"/>
                <w:szCs w:val="24"/>
              </w:rPr>
              <w:t>货币资金</w:t>
            </w:r>
          </w:p>
        </w:tc>
        <w:tc>
          <w:tcPr>
            <w:tcW w:w="2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24"/>
                <w:szCs w:val="24"/>
              </w:rPr>
            </w:pPr>
            <w:r>
              <w:rPr>
                <w:rFonts w:ascii="Times New Roman"/>
                <w:sz w:val="24"/>
              </w:rPr>
              <w:t>56,213.56</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24"/>
                <w:szCs w:val="24"/>
              </w:rPr>
            </w:pPr>
            <w:r>
              <w:rPr>
                <w:rFonts w:ascii="Times New Roman"/>
                <w:sz w:val="24"/>
              </w:rPr>
              <w:t>202,246.44</w:t>
            </w:r>
          </w:p>
        </w:tc>
      </w:tr>
      <w:tr>
        <w:trPr>
          <w:trHeight w:val="505" w:hRule="exact"/>
        </w:trPr>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625" w:right="0"/>
              <w:jc w:val="left"/>
              <w:rPr>
                <w:rFonts w:ascii="宋体" w:hAnsi="宋体" w:cs="宋体" w:eastAsia="宋体" w:hint="default"/>
                <w:sz w:val="24"/>
                <w:szCs w:val="24"/>
              </w:rPr>
            </w:pPr>
            <w:r>
              <w:rPr>
                <w:rFonts w:ascii="宋体" w:hAnsi="宋体" w:cs="宋体" w:eastAsia="宋体" w:hint="default"/>
                <w:sz w:val="24"/>
                <w:szCs w:val="24"/>
              </w:rPr>
              <w:t>其他应收款</w:t>
            </w:r>
          </w:p>
        </w:tc>
        <w:tc>
          <w:tcPr>
            <w:tcW w:w="2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
              <w:jc w:val="center"/>
              <w:rPr>
                <w:rFonts w:ascii="Times New Roman" w:hAnsi="Times New Roman" w:cs="Times New Roman" w:eastAsia="Times New Roman" w:hint="default"/>
                <w:sz w:val="21"/>
                <w:szCs w:val="21"/>
              </w:rPr>
            </w:pPr>
            <w:r>
              <w:rPr>
                <w:rFonts w:ascii="Times New Roman"/>
                <w:sz w:val="21"/>
              </w:rPr>
              <w:t>87,404.24</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24"/>
                <w:szCs w:val="24"/>
              </w:rPr>
            </w:pPr>
            <w:r>
              <w:rPr>
                <w:rFonts w:ascii="Times New Roman"/>
                <w:sz w:val="24"/>
              </w:rPr>
              <w:t>1,076,299.14</w:t>
            </w:r>
          </w:p>
        </w:tc>
      </w:tr>
      <w:tr>
        <w:trPr>
          <w:trHeight w:val="504" w:hRule="exact"/>
        </w:trPr>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4"/>
                <w:szCs w:val="24"/>
              </w:rPr>
            </w:pPr>
            <w:r>
              <w:rPr>
                <w:rFonts w:ascii="宋体" w:hAnsi="宋体" w:cs="宋体" w:eastAsia="宋体" w:hint="default"/>
                <w:sz w:val="24"/>
                <w:szCs w:val="24"/>
              </w:rPr>
              <w:t>存货</w:t>
            </w:r>
          </w:p>
        </w:tc>
        <w:tc>
          <w:tcPr>
            <w:tcW w:w="2954" w:type="dxa"/>
            <w:tcBorders>
              <w:top w:val="single" w:sz="4" w:space="0" w:color="000000"/>
              <w:left w:val="single" w:sz="4" w:space="0" w:color="000000"/>
              <w:bottom w:val="single" w:sz="4" w:space="0" w:color="000000"/>
              <w:right w:val="single" w:sz="4" w:space="0" w:color="000000"/>
            </w:tcBorders>
          </w:tcPr>
          <w:p>
            <w:pP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r>
      <w:tr>
        <w:trPr>
          <w:trHeight w:val="505" w:hRule="exact"/>
        </w:trPr>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03"/>
              <w:jc w:val="right"/>
              <w:rPr>
                <w:rFonts w:ascii="宋体" w:hAnsi="宋体" w:cs="宋体" w:eastAsia="宋体" w:hint="default"/>
                <w:sz w:val="24"/>
                <w:szCs w:val="24"/>
              </w:rPr>
            </w:pPr>
            <w:r>
              <w:rPr>
                <w:rFonts w:ascii="宋体" w:hAnsi="宋体" w:cs="宋体" w:eastAsia="宋体" w:hint="default"/>
                <w:sz w:val="24"/>
                <w:szCs w:val="24"/>
              </w:rPr>
              <w:t>其他流动资产</w:t>
            </w:r>
          </w:p>
        </w:tc>
        <w:tc>
          <w:tcPr>
            <w:tcW w:w="2954" w:type="dxa"/>
            <w:tcBorders>
              <w:top w:val="single" w:sz="4" w:space="0" w:color="000000"/>
              <w:left w:val="single" w:sz="4" w:space="0" w:color="000000"/>
              <w:bottom w:val="single" w:sz="4" w:space="0" w:color="000000"/>
              <w:right w:val="single" w:sz="4" w:space="0" w:color="000000"/>
            </w:tcBorders>
          </w:tcPr>
          <w:p>
            <w:pP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r>
      <w:tr>
        <w:trPr>
          <w:trHeight w:val="505" w:hRule="exact"/>
        </w:trPr>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03"/>
              <w:jc w:val="right"/>
              <w:rPr>
                <w:rFonts w:ascii="宋体" w:hAnsi="宋体" w:cs="宋体" w:eastAsia="宋体" w:hint="default"/>
                <w:sz w:val="24"/>
                <w:szCs w:val="24"/>
              </w:rPr>
            </w:pPr>
            <w:r>
              <w:rPr>
                <w:rFonts w:ascii="宋体" w:hAnsi="宋体" w:cs="宋体" w:eastAsia="宋体" w:hint="default"/>
                <w:sz w:val="24"/>
                <w:szCs w:val="24"/>
              </w:rPr>
              <w:t>流动资产合计</w:t>
            </w:r>
          </w:p>
        </w:tc>
        <w:tc>
          <w:tcPr>
            <w:tcW w:w="2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
              <w:jc w:val="center"/>
              <w:rPr>
                <w:rFonts w:ascii="Times New Roman" w:hAnsi="Times New Roman" w:cs="Times New Roman" w:eastAsia="Times New Roman" w:hint="default"/>
                <w:sz w:val="21"/>
                <w:szCs w:val="21"/>
              </w:rPr>
            </w:pPr>
            <w:r>
              <w:rPr>
                <w:rFonts w:ascii="Times New Roman"/>
                <w:sz w:val="21"/>
              </w:rPr>
              <w:t>143,617.80</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24"/>
                <w:szCs w:val="24"/>
              </w:rPr>
            </w:pPr>
            <w:r>
              <w:rPr>
                <w:rFonts w:ascii="Times New Roman"/>
                <w:sz w:val="24"/>
              </w:rPr>
              <w:t>1,278,545.58</w:t>
            </w:r>
          </w:p>
        </w:tc>
      </w:tr>
      <w:tr>
        <w:trPr>
          <w:trHeight w:val="505" w:hRule="exact"/>
        </w:trPr>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03"/>
              <w:jc w:val="right"/>
              <w:rPr>
                <w:rFonts w:ascii="宋体" w:hAnsi="宋体" w:cs="宋体" w:eastAsia="宋体" w:hint="default"/>
                <w:sz w:val="24"/>
                <w:szCs w:val="24"/>
              </w:rPr>
            </w:pPr>
            <w:r>
              <w:rPr>
                <w:rFonts w:ascii="宋体" w:hAnsi="宋体" w:cs="宋体" w:eastAsia="宋体" w:hint="default"/>
                <w:sz w:val="24"/>
                <w:szCs w:val="24"/>
              </w:rPr>
              <w:t>长期股权投资</w:t>
            </w:r>
          </w:p>
        </w:tc>
        <w:tc>
          <w:tcPr>
            <w:tcW w:w="2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Times New Roman" w:hAnsi="Times New Roman" w:cs="Times New Roman" w:eastAsia="Times New Roman" w:hint="default"/>
                <w:sz w:val="21"/>
                <w:szCs w:val="21"/>
              </w:rPr>
            </w:pPr>
            <w:r>
              <w:rPr>
                <w:rFonts w:ascii="Times New Roman"/>
                <w:sz w:val="21"/>
              </w:rPr>
              <w:t>208,562,237.00</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24"/>
                <w:szCs w:val="24"/>
              </w:rPr>
            </w:pPr>
            <w:r>
              <w:rPr>
                <w:rFonts w:ascii="Times New Roman"/>
                <w:sz w:val="24"/>
              </w:rPr>
              <w:t>234,285.71</w:t>
            </w:r>
          </w:p>
        </w:tc>
      </w:tr>
      <w:tr>
        <w:trPr>
          <w:trHeight w:val="505" w:hRule="exact"/>
        </w:trPr>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745" w:right="0"/>
              <w:jc w:val="left"/>
              <w:rPr>
                <w:rFonts w:ascii="宋体" w:hAnsi="宋体" w:cs="宋体" w:eastAsia="宋体" w:hint="default"/>
                <w:sz w:val="24"/>
                <w:szCs w:val="24"/>
              </w:rPr>
            </w:pPr>
            <w:r>
              <w:rPr>
                <w:rFonts w:ascii="宋体" w:hAnsi="宋体" w:cs="宋体" w:eastAsia="宋体" w:hint="default"/>
                <w:sz w:val="24"/>
                <w:szCs w:val="24"/>
              </w:rPr>
              <w:t>固定资产</w:t>
            </w:r>
          </w:p>
        </w:tc>
        <w:tc>
          <w:tcPr>
            <w:tcW w:w="2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
              <w:jc w:val="center"/>
              <w:rPr>
                <w:rFonts w:ascii="Times New Roman" w:hAnsi="Times New Roman" w:cs="Times New Roman" w:eastAsia="Times New Roman" w:hint="default"/>
                <w:sz w:val="21"/>
                <w:szCs w:val="21"/>
              </w:rPr>
            </w:pPr>
            <w:r>
              <w:rPr>
                <w:rFonts w:ascii="Times New Roman"/>
                <w:sz w:val="21"/>
              </w:rPr>
              <w:t>308,134.78</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24"/>
                <w:szCs w:val="24"/>
              </w:rPr>
            </w:pPr>
            <w:r>
              <w:rPr>
                <w:rFonts w:ascii="Times New Roman"/>
                <w:sz w:val="24"/>
              </w:rPr>
              <w:t>7,450,924.23</w:t>
            </w:r>
          </w:p>
        </w:tc>
      </w:tr>
      <w:tr>
        <w:trPr>
          <w:trHeight w:val="505" w:hRule="exact"/>
        </w:trPr>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745" w:right="0"/>
              <w:jc w:val="left"/>
              <w:rPr>
                <w:rFonts w:ascii="宋体" w:hAnsi="宋体" w:cs="宋体" w:eastAsia="宋体" w:hint="default"/>
                <w:sz w:val="24"/>
                <w:szCs w:val="24"/>
              </w:rPr>
            </w:pPr>
            <w:r>
              <w:rPr>
                <w:rFonts w:ascii="宋体" w:hAnsi="宋体" w:cs="宋体" w:eastAsia="宋体" w:hint="default"/>
                <w:sz w:val="24"/>
                <w:szCs w:val="24"/>
              </w:rPr>
              <w:t>在建工程</w:t>
            </w:r>
          </w:p>
        </w:tc>
        <w:tc>
          <w:tcPr>
            <w:tcW w:w="2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r>
    </w:tbl>
    <w:p>
      <w:pPr>
        <w:spacing w:after="0" w:line="240" w:lineRule="auto"/>
        <w:jc w:val="center"/>
        <w:rPr>
          <w:rFonts w:ascii="Times New Roman" w:hAnsi="Times New Roman" w:cs="Times New Roman" w:eastAsia="Times New Roman" w:hint="default"/>
          <w:sz w:val="24"/>
          <w:szCs w:val="24"/>
        </w:rPr>
        <w:sectPr>
          <w:type w:val="continuous"/>
          <w:pgSz w:w="11910" w:h="16840"/>
          <w:pgMar w:top="1600" w:bottom="280" w:left="1300" w:right="1300"/>
        </w:sectPr>
      </w:pPr>
    </w:p>
    <w:p>
      <w:pPr>
        <w:spacing w:line="240" w:lineRule="auto" w:before="8"/>
        <w:rPr>
          <w:rFonts w:ascii="宋体" w:hAnsi="宋体" w:cs="宋体" w:eastAsia="宋体" w:hint="default"/>
          <w:sz w:val="5"/>
          <w:szCs w:val="5"/>
        </w:rPr>
      </w:pPr>
    </w:p>
    <w:tbl>
      <w:tblPr>
        <w:tblW w:w="0" w:type="auto"/>
        <w:jc w:val="left"/>
        <w:tblInd w:w="521" w:type="dxa"/>
        <w:tblLayout w:type="fixed"/>
        <w:tblCellMar>
          <w:top w:w="0" w:type="dxa"/>
          <w:left w:w="0" w:type="dxa"/>
          <w:bottom w:w="0" w:type="dxa"/>
          <w:right w:w="0" w:type="dxa"/>
        </w:tblCellMar>
        <w:tblLook w:val="01E0"/>
      </w:tblPr>
      <w:tblGrid>
        <w:gridCol w:w="2460"/>
        <w:gridCol w:w="2954"/>
        <w:gridCol w:w="2880"/>
      </w:tblGrid>
      <w:tr>
        <w:trPr>
          <w:trHeight w:val="505" w:hRule="exact"/>
        </w:trPr>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4"/>
                <w:szCs w:val="24"/>
              </w:rPr>
            </w:pPr>
            <w:r>
              <w:rPr>
                <w:rFonts w:ascii="宋体" w:hAnsi="宋体" w:cs="宋体" w:eastAsia="宋体" w:hint="default"/>
                <w:sz w:val="24"/>
                <w:szCs w:val="24"/>
              </w:rPr>
              <w:t>长期待摊费用</w:t>
            </w:r>
          </w:p>
        </w:tc>
        <w:tc>
          <w:tcPr>
            <w:tcW w:w="2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r>
      <w:tr>
        <w:trPr>
          <w:trHeight w:val="505" w:hRule="exact"/>
        </w:trPr>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24"/>
                <w:szCs w:val="24"/>
              </w:rPr>
            </w:pPr>
            <w:r>
              <w:rPr>
                <w:rFonts w:ascii="宋体" w:hAnsi="宋体" w:cs="宋体" w:eastAsia="宋体" w:hint="default"/>
                <w:sz w:val="24"/>
                <w:szCs w:val="24"/>
              </w:rPr>
              <w:t>资产总计</w:t>
            </w:r>
          </w:p>
        </w:tc>
        <w:tc>
          <w:tcPr>
            <w:tcW w:w="2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Times New Roman" w:hAnsi="Times New Roman" w:cs="Times New Roman" w:eastAsia="Times New Roman" w:hint="default"/>
                <w:sz w:val="21"/>
                <w:szCs w:val="21"/>
              </w:rPr>
            </w:pPr>
            <w:r>
              <w:rPr>
                <w:rFonts w:ascii="Times New Roman"/>
                <w:sz w:val="21"/>
              </w:rPr>
              <w:t>209,013,989.58</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24"/>
                <w:szCs w:val="24"/>
              </w:rPr>
            </w:pPr>
            <w:r>
              <w:rPr>
                <w:rFonts w:ascii="Times New Roman"/>
                <w:sz w:val="24"/>
              </w:rPr>
              <w:t>8,963,755.52</w:t>
            </w:r>
          </w:p>
        </w:tc>
      </w:tr>
    </w:tbl>
    <w:p>
      <w:pPr>
        <w:spacing w:line="240" w:lineRule="auto" w:before="6"/>
        <w:rPr>
          <w:rFonts w:ascii="宋体" w:hAnsi="宋体" w:cs="宋体" w:eastAsia="宋体" w:hint="default"/>
          <w:sz w:val="9"/>
          <w:szCs w:val="9"/>
        </w:rPr>
      </w:pPr>
    </w:p>
    <w:p>
      <w:pPr>
        <w:pStyle w:val="BodyText"/>
        <w:spacing w:line="240" w:lineRule="auto" w:before="26"/>
        <w:ind w:left="558" w:right="873"/>
        <w:jc w:val="left"/>
      </w:pPr>
      <w:r>
        <w:rPr/>
        <w:t>（</w:t>
      </w:r>
      <w:r>
        <w:rPr>
          <w:rFonts w:ascii="Times New Roman" w:hAnsi="Times New Roman" w:cs="Times New Roman" w:eastAsia="Times New Roman" w:hint="default"/>
        </w:rPr>
        <w:t>2</w:t>
      </w:r>
      <w:r>
        <w:rPr/>
        <w:t>）上市公司（母公司）费用构成情况（单位：人民币元）</w:t>
      </w:r>
    </w:p>
    <w:p>
      <w:pPr>
        <w:spacing w:line="240" w:lineRule="auto" w:before="10"/>
        <w:rPr>
          <w:rFonts w:ascii="宋体" w:hAnsi="宋体" w:cs="宋体" w:eastAsia="宋体" w:hint="default"/>
          <w:sz w:val="24"/>
          <w:szCs w:val="24"/>
        </w:rPr>
      </w:pPr>
    </w:p>
    <w:p>
      <w:pPr>
        <w:pStyle w:val="BodyText"/>
        <w:tabs>
          <w:tab w:pos="2316" w:val="left" w:leader="none"/>
          <w:tab w:pos="3077" w:val="left" w:leader="none"/>
          <w:tab w:pos="4698" w:val="left" w:leader="none"/>
          <w:tab w:pos="5369" w:val="left" w:leader="none"/>
          <w:tab w:pos="7349" w:val="left" w:leader="none"/>
        </w:tabs>
        <w:spacing w:line="310" w:lineRule="exact" w:before="0"/>
        <w:ind w:left="641" w:right="873" w:firstLine="240"/>
        <w:jc w:val="left"/>
      </w:pPr>
      <w:r>
        <w:rPr/>
        <w:t>项目</w:t>
        <w:tab/>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1-12 </w:t>
      </w:r>
      <w:r>
        <w:rPr/>
        <w:t>月</w:t>
        <w:tab/>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1-12 </w:t>
      </w:r>
      <w:r>
        <w:rPr/>
        <w:t>月</w:t>
        <w:tab/>
        <w:t>同比增减 销售费用</w:t>
        <w:tab/>
        <w:tab/>
      </w:r>
      <w:r>
        <w:rPr>
          <w:rFonts w:ascii="Times New Roman" w:hAnsi="Times New Roman" w:cs="Times New Roman" w:eastAsia="Times New Roman" w:hint="default"/>
          <w:position w:val="8"/>
          <w:sz w:val="18"/>
          <w:szCs w:val="18"/>
        </w:rPr>
        <w:t>-</w:t>
        <w:tab/>
        <w:tab/>
      </w:r>
      <w:r>
        <w:rPr/>
        <w:t>－</w:t>
      </w:r>
    </w:p>
    <w:p>
      <w:pPr>
        <w:tabs>
          <w:tab w:pos="2634" w:val="left" w:leader="none"/>
          <w:tab w:pos="4859" w:val="left" w:leader="none"/>
          <w:tab w:pos="7520" w:val="left" w:leader="none"/>
        </w:tabs>
        <w:spacing w:line="284" w:lineRule="exact" w:before="0"/>
        <w:ind w:left="641" w:right="873" w:firstLine="0"/>
        <w:jc w:val="left"/>
        <w:rPr>
          <w:rFonts w:ascii="Times New Roman" w:hAnsi="Times New Roman" w:cs="Times New Roman" w:eastAsia="Times New Roman" w:hint="default"/>
          <w:sz w:val="18"/>
          <w:szCs w:val="18"/>
        </w:rPr>
      </w:pPr>
      <w:r>
        <w:rPr>
          <w:rFonts w:ascii="宋体" w:hAnsi="宋体" w:cs="宋体" w:eastAsia="宋体" w:hint="default"/>
          <w:position w:val="-7"/>
          <w:sz w:val="24"/>
          <w:szCs w:val="24"/>
        </w:rPr>
        <w:t>管理费用</w:t>
        <w:tab/>
      </w:r>
      <w:r>
        <w:rPr>
          <w:rFonts w:ascii="Times New Roman" w:hAnsi="Times New Roman" w:cs="Times New Roman" w:eastAsia="Times New Roman" w:hint="default"/>
          <w:spacing w:val="-1"/>
          <w:sz w:val="18"/>
          <w:szCs w:val="18"/>
        </w:rPr>
        <w:t>3,541,069.10</w:t>
        <w:tab/>
      </w:r>
      <w:r>
        <w:rPr>
          <w:rFonts w:ascii="Times New Roman" w:hAnsi="Times New Roman" w:cs="Times New Roman" w:eastAsia="Times New Roman" w:hint="default"/>
          <w:position w:val="-5"/>
          <w:sz w:val="24"/>
          <w:szCs w:val="24"/>
        </w:rPr>
        <w:t>5,033,713.75</w:t>
        <w:tab/>
      </w:r>
      <w:r>
        <w:rPr>
          <w:rFonts w:ascii="Times New Roman" w:hAnsi="Times New Roman" w:cs="Times New Roman" w:eastAsia="Times New Roman" w:hint="default"/>
          <w:sz w:val="18"/>
          <w:szCs w:val="18"/>
        </w:rPr>
        <w:t>-29.65%</w:t>
      </w:r>
    </w:p>
    <w:p>
      <w:pPr>
        <w:tabs>
          <w:tab w:pos="2634" w:val="left" w:leader="none"/>
          <w:tab w:pos="4859" w:val="left" w:leader="none"/>
          <w:tab w:pos="7520" w:val="left" w:leader="none"/>
        </w:tabs>
        <w:spacing w:line="312" w:lineRule="exact" w:before="0"/>
        <w:ind w:left="641" w:right="873" w:firstLine="0"/>
        <w:jc w:val="left"/>
        <w:rPr>
          <w:rFonts w:ascii="Times New Roman" w:hAnsi="Times New Roman" w:cs="Times New Roman" w:eastAsia="Times New Roman" w:hint="default"/>
          <w:sz w:val="18"/>
          <w:szCs w:val="18"/>
        </w:rPr>
      </w:pPr>
      <w:r>
        <w:rPr>
          <w:rFonts w:ascii="宋体" w:hAnsi="宋体" w:cs="宋体" w:eastAsia="宋体" w:hint="default"/>
          <w:position w:val="-7"/>
          <w:sz w:val="24"/>
          <w:szCs w:val="24"/>
        </w:rPr>
        <w:t>财务费用</w:t>
        <w:tab/>
      </w:r>
      <w:r>
        <w:rPr>
          <w:rFonts w:ascii="Times New Roman" w:hAnsi="Times New Roman" w:cs="Times New Roman" w:eastAsia="Times New Roman" w:hint="default"/>
          <w:spacing w:val="-1"/>
          <w:sz w:val="18"/>
          <w:szCs w:val="18"/>
        </w:rPr>
        <w:t>3,420,754.45</w:t>
        <w:tab/>
      </w:r>
      <w:r>
        <w:rPr>
          <w:rFonts w:ascii="Times New Roman" w:hAnsi="Times New Roman" w:cs="Times New Roman" w:eastAsia="Times New Roman" w:hint="default"/>
          <w:position w:val="-5"/>
          <w:sz w:val="24"/>
          <w:szCs w:val="24"/>
        </w:rPr>
        <w:t>5,502,013.02</w:t>
        <w:tab/>
      </w:r>
      <w:r>
        <w:rPr>
          <w:rFonts w:ascii="Times New Roman" w:hAnsi="Times New Roman" w:cs="Times New Roman" w:eastAsia="Times New Roman" w:hint="default"/>
          <w:sz w:val="18"/>
          <w:szCs w:val="18"/>
        </w:rPr>
        <w:t>-37.83%</w:t>
      </w:r>
    </w:p>
    <w:p>
      <w:pPr>
        <w:pStyle w:val="BodyText"/>
        <w:spacing w:line="240" w:lineRule="auto" w:before="74"/>
        <w:ind w:left="138" w:right="873"/>
        <w:jc w:val="left"/>
      </w:pPr>
      <w:r>
        <w:rPr>
          <w:rFonts w:ascii="Times New Roman" w:hAnsi="Times New Roman" w:cs="Times New Roman" w:eastAsia="Times New Roman" w:hint="default"/>
        </w:rPr>
        <w:t>4</w:t>
      </w:r>
      <w:r>
        <w:rPr/>
        <w:t>、上市公司（母公司）现金流量的构成情况</w:t>
      </w:r>
    </w:p>
    <w:p>
      <w:pPr>
        <w:spacing w:line="240" w:lineRule="auto" w:before="5"/>
        <w:rPr>
          <w:rFonts w:ascii="宋体" w:hAnsi="宋体" w:cs="宋体" w:eastAsia="宋体" w:hint="default"/>
          <w:sz w:val="8"/>
          <w:szCs w:val="8"/>
        </w:rPr>
      </w:pPr>
    </w:p>
    <w:p>
      <w:pPr>
        <w:pStyle w:val="BodyText"/>
        <w:spacing w:line="240" w:lineRule="auto" w:before="26"/>
        <w:ind w:left="0" w:right="525"/>
        <w:jc w:val="right"/>
      </w:pPr>
      <w:r>
        <w:rPr/>
        <w:t>单位：人民币元</w:t>
      </w:r>
    </w:p>
    <w:p>
      <w:pPr>
        <w:spacing w:line="240" w:lineRule="auto" w:before="9"/>
        <w:rPr>
          <w:rFonts w:ascii="宋体" w:hAnsi="宋体" w:cs="宋体" w:eastAsia="宋体" w:hint="default"/>
          <w:sz w:val="8"/>
          <w:szCs w:val="8"/>
        </w:rPr>
      </w:pPr>
    </w:p>
    <w:tbl>
      <w:tblPr>
        <w:tblW w:w="0" w:type="auto"/>
        <w:jc w:val="left"/>
        <w:tblInd w:w="118" w:type="dxa"/>
        <w:tblLayout w:type="fixed"/>
        <w:tblCellMar>
          <w:top w:w="0" w:type="dxa"/>
          <w:left w:w="0" w:type="dxa"/>
          <w:bottom w:w="0" w:type="dxa"/>
          <w:right w:w="0" w:type="dxa"/>
        </w:tblCellMar>
        <w:tblLook w:val="01E0"/>
      </w:tblPr>
      <w:tblGrid>
        <w:gridCol w:w="3133"/>
        <w:gridCol w:w="2282"/>
        <w:gridCol w:w="2094"/>
        <w:gridCol w:w="1440"/>
      </w:tblGrid>
      <w:tr>
        <w:trPr>
          <w:trHeight w:val="323" w:hRule="exact"/>
        </w:trPr>
        <w:tc>
          <w:tcPr>
            <w:tcW w:w="3133" w:type="dxa"/>
            <w:tcBorders>
              <w:top w:val="single" w:sz="4" w:space="0" w:color="000000"/>
              <w:left w:val="single" w:sz="4" w:space="0" w:color="000000"/>
              <w:bottom w:val="single" w:sz="4" w:space="0" w:color="000000"/>
              <w:right w:val="single" w:sz="4" w:space="0" w:color="000000"/>
            </w:tcBorders>
          </w:tcPr>
          <w:p>
            <w:pPr>
              <w:pStyle w:val="TableParagraph"/>
              <w:tabs>
                <w:tab w:pos="1319" w:val="left" w:leader="none"/>
              </w:tabs>
              <w:spacing w:line="275" w:lineRule="exact"/>
              <w:ind w:right="779"/>
              <w:jc w:val="right"/>
              <w:rPr>
                <w:rFonts w:ascii="宋体" w:hAnsi="宋体" w:cs="宋体" w:eastAsia="宋体" w:hint="default"/>
                <w:sz w:val="24"/>
                <w:szCs w:val="24"/>
              </w:rPr>
            </w:pPr>
            <w:r>
              <w:rPr>
                <w:rFonts w:ascii="宋体" w:hAnsi="宋体" w:cs="宋体" w:eastAsia="宋体" w:hint="default"/>
                <w:sz w:val="24"/>
                <w:szCs w:val="24"/>
              </w:rPr>
              <w:t>项</w:t>
              <w:tab/>
              <w:t>目</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93" w:lineRule="exact"/>
              <w:ind w:right="1"/>
              <w:jc w:val="center"/>
              <w:rPr>
                <w:rFonts w:ascii="宋体" w:hAnsi="宋体" w:cs="宋体" w:eastAsia="宋体" w:hint="default"/>
                <w:sz w:val="24"/>
                <w:szCs w:val="24"/>
              </w:rPr>
            </w:pPr>
            <w:r>
              <w:rPr>
                <w:rFonts w:ascii="Times New Roman" w:hAnsi="Times New Roman" w:cs="Times New Roman" w:eastAsia="Times New Roman" w:hint="default"/>
                <w:sz w:val="24"/>
                <w:szCs w:val="24"/>
              </w:rPr>
              <w:t>2008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1-12 </w:t>
            </w:r>
            <w:r>
              <w:rPr>
                <w:rFonts w:ascii="宋体" w:hAnsi="宋体" w:cs="宋体" w:eastAsia="宋体" w:hint="default"/>
                <w:sz w:val="24"/>
                <w:szCs w:val="24"/>
              </w:rPr>
              <w:t>月</w:t>
            </w:r>
          </w:p>
        </w:tc>
        <w:tc>
          <w:tcPr>
            <w:tcW w:w="2094" w:type="dxa"/>
            <w:tcBorders>
              <w:top w:val="single" w:sz="4" w:space="0" w:color="000000"/>
              <w:left w:val="single" w:sz="4" w:space="0" w:color="000000"/>
              <w:bottom w:val="single" w:sz="4" w:space="0" w:color="000000"/>
              <w:right w:val="single" w:sz="4" w:space="0" w:color="000000"/>
            </w:tcBorders>
          </w:tcPr>
          <w:p>
            <w:pPr>
              <w:pStyle w:val="TableParagraph"/>
              <w:spacing w:line="293" w:lineRule="exact"/>
              <w:ind w:right="0"/>
              <w:jc w:val="center"/>
              <w:rPr>
                <w:rFonts w:ascii="宋体" w:hAnsi="宋体" w:cs="宋体" w:eastAsia="宋体" w:hint="default"/>
                <w:sz w:val="24"/>
                <w:szCs w:val="24"/>
              </w:rPr>
            </w:pPr>
            <w:r>
              <w:rPr>
                <w:rFonts w:ascii="Times New Roman" w:hAnsi="Times New Roman" w:cs="Times New Roman" w:eastAsia="Times New Roman" w:hint="default"/>
                <w:sz w:val="24"/>
                <w:szCs w:val="24"/>
              </w:rPr>
              <w:t>2007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1-12 </w:t>
            </w:r>
            <w:r>
              <w:rPr>
                <w:rFonts w:ascii="宋体" w:hAnsi="宋体" w:cs="宋体" w:eastAsia="宋体" w:hint="default"/>
                <w:sz w:val="24"/>
                <w:szCs w:val="24"/>
              </w:rPr>
              <w:t>月</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同比增减</w:t>
            </w:r>
          </w:p>
        </w:tc>
      </w:tr>
      <w:tr>
        <w:trPr>
          <w:trHeight w:val="634" w:hRule="exact"/>
        </w:trPr>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104" w:right="0"/>
              <w:jc w:val="left"/>
              <w:rPr>
                <w:rFonts w:ascii="宋体" w:hAnsi="宋体" w:cs="宋体" w:eastAsia="宋体" w:hint="default"/>
                <w:sz w:val="24"/>
                <w:szCs w:val="24"/>
              </w:rPr>
            </w:pPr>
            <w:r>
              <w:rPr>
                <w:rFonts w:ascii="Times New Roman" w:hAnsi="Times New Roman" w:cs="Times New Roman" w:eastAsia="Times New Roman" w:hint="default"/>
                <w:spacing w:val="14"/>
                <w:sz w:val="24"/>
                <w:szCs w:val="24"/>
              </w:rPr>
              <w:t>1</w:t>
            </w:r>
            <w:r>
              <w:rPr>
                <w:rFonts w:ascii="宋体" w:hAnsi="宋体" w:cs="宋体" w:eastAsia="宋体" w:hint="default"/>
                <w:spacing w:val="14"/>
                <w:sz w:val="24"/>
                <w:szCs w:val="24"/>
              </w:rPr>
              <w:t>、经营活动产生的现金流</w:t>
            </w:r>
            <w:r>
              <w:rPr>
                <w:rFonts w:ascii="宋体" w:hAnsi="宋体" w:cs="宋体" w:eastAsia="宋体" w:hint="default"/>
                <w:sz w:val="24"/>
                <w:szCs w:val="24"/>
              </w:rPr>
            </w:r>
          </w:p>
          <w:p>
            <w:pPr>
              <w:pStyle w:val="TableParagraph"/>
              <w:spacing w:line="322" w:lineRule="exact"/>
              <w:ind w:left="104"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量</w:t>
            </w:r>
            <w:r>
              <w:rPr>
                <w:rFonts w:ascii="Times New Roman" w:hAnsi="Times New Roman" w:cs="Times New Roman" w:eastAsia="Times New Roman" w:hint="default"/>
                <w:sz w:val="24"/>
                <w:szCs w:val="24"/>
              </w:rPr>
              <w:t>:</w:t>
            </w:r>
          </w:p>
        </w:tc>
        <w:tc>
          <w:tcPr>
            <w:tcW w:w="2282" w:type="dxa"/>
            <w:tcBorders>
              <w:top w:val="single" w:sz="4" w:space="0" w:color="000000"/>
              <w:left w:val="single" w:sz="4" w:space="0" w:color="000000"/>
              <w:bottom w:val="single" w:sz="4" w:space="0" w:color="000000"/>
              <w:right w:val="single" w:sz="4" w:space="0" w:color="000000"/>
            </w:tcBorders>
          </w:tcPr>
          <w:p>
            <w:pPr/>
          </w:p>
        </w:tc>
        <w:tc>
          <w:tcPr>
            <w:tcW w:w="2094"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737"/>
              <w:jc w:val="right"/>
              <w:rPr>
                <w:rFonts w:ascii="宋体" w:hAnsi="宋体" w:cs="宋体" w:eastAsia="宋体" w:hint="default"/>
                <w:sz w:val="24"/>
                <w:szCs w:val="24"/>
              </w:rPr>
            </w:pPr>
            <w:r>
              <w:rPr>
                <w:rFonts w:ascii="宋体" w:hAnsi="宋体" w:cs="宋体" w:eastAsia="宋体" w:hint="default"/>
                <w:sz w:val="24"/>
                <w:szCs w:val="24"/>
              </w:rPr>
              <w:t>现金流入小计</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1,410,845.32</w:t>
            </w:r>
          </w:p>
        </w:tc>
        <w:tc>
          <w:tcPr>
            <w:tcW w:w="2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1"/>
              <w:jc w:val="center"/>
              <w:rPr>
                <w:rFonts w:ascii="Times New Roman" w:hAnsi="Times New Roman" w:cs="Times New Roman" w:eastAsia="Times New Roman" w:hint="default"/>
                <w:sz w:val="24"/>
                <w:szCs w:val="24"/>
              </w:rPr>
            </w:pPr>
            <w:r>
              <w:rPr>
                <w:rFonts w:ascii="Times New Roman"/>
                <w:sz w:val="24"/>
              </w:rPr>
              <w:t>3,545,639.04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-60.21%</w:t>
            </w:r>
          </w:p>
        </w:tc>
      </w:tr>
      <w:tr>
        <w:trPr>
          <w:trHeight w:val="635" w:hRule="exact"/>
        </w:trPr>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737"/>
              <w:jc w:val="right"/>
              <w:rPr>
                <w:rFonts w:ascii="宋体" w:hAnsi="宋体" w:cs="宋体" w:eastAsia="宋体" w:hint="default"/>
                <w:sz w:val="24"/>
                <w:szCs w:val="24"/>
              </w:rPr>
            </w:pPr>
            <w:r>
              <w:rPr>
                <w:rFonts w:ascii="宋体" w:hAnsi="宋体" w:cs="宋体" w:eastAsia="宋体" w:hint="default"/>
                <w:sz w:val="24"/>
                <w:szCs w:val="24"/>
              </w:rPr>
              <w:t>现金流出小计</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1,556,878.20</w:t>
            </w:r>
          </w:p>
        </w:tc>
        <w:tc>
          <w:tcPr>
            <w:tcW w:w="2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1"/>
              <w:jc w:val="center"/>
              <w:rPr>
                <w:rFonts w:ascii="Times New Roman" w:hAnsi="Times New Roman" w:cs="Times New Roman" w:eastAsia="Times New Roman" w:hint="default"/>
                <w:sz w:val="24"/>
                <w:szCs w:val="24"/>
              </w:rPr>
            </w:pPr>
            <w:r>
              <w:rPr>
                <w:rFonts w:ascii="Times New Roman"/>
                <w:sz w:val="24"/>
              </w:rPr>
              <w:t>3,456,323.09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-54.96%</w:t>
            </w:r>
          </w:p>
        </w:tc>
      </w:tr>
      <w:tr>
        <w:trPr>
          <w:trHeight w:val="634" w:hRule="exact"/>
        </w:trPr>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 w:right="0"/>
              <w:jc w:val="center"/>
              <w:rPr>
                <w:rFonts w:ascii="宋体" w:hAnsi="宋体" w:cs="宋体" w:eastAsia="宋体" w:hint="default"/>
                <w:sz w:val="24"/>
                <w:szCs w:val="24"/>
              </w:rPr>
            </w:pPr>
            <w:r>
              <w:rPr>
                <w:rFonts w:ascii="宋体" w:hAnsi="宋体" w:cs="宋体" w:eastAsia="宋体" w:hint="default"/>
                <w:sz w:val="24"/>
                <w:szCs w:val="24"/>
              </w:rPr>
              <w:t>经营活动产生的现金流量净</w:t>
            </w:r>
          </w:p>
          <w:p>
            <w:pPr>
              <w:pStyle w:val="TableParagraph"/>
              <w:spacing w:line="313" w:lineRule="exact"/>
              <w:ind w:left="1" w:right="0"/>
              <w:jc w:val="center"/>
              <w:rPr>
                <w:rFonts w:ascii="宋体" w:hAnsi="宋体" w:cs="宋体" w:eastAsia="宋体" w:hint="default"/>
                <w:sz w:val="24"/>
                <w:szCs w:val="24"/>
              </w:rPr>
            </w:pPr>
            <w:r>
              <w:rPr>
                <w:rFonts w:ascii="宋体" w:hAnsi="宋体" w:cs="宋体" w:eastAsia="宋体" w:hint="default"/>
                <w:sz w:val="24"/>
                <w:szCs w:val="24"/>
              </w:rPr>
              <w:t>额</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-146,032.88</w:t>
            </w:r>
          </w:p>
        </w:tc>
        <w:tc>
          <w:tcPr>
            <w:tcW w:w="2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1"/>
              <w:jc w:val="center"/>
              <w:rPr>
                <w:rFonts w:ascii="Times New Roman" w:hAnsi="Times New Roman" w:cs="Times New Roman" w:eastAsia="Times New Roman" w:hint="default"/>
                <w:sz w:val="24"/>
                <w:szCs w:val="24"/>
              </w:rPr>
            </w:pPr>
            <w:r>
              <w:rPr>
                <w:rFonts w:ascii="Times New Roman"/>
                <w:sz w:val="24"/>
              </w:rPr>
              <w:t>89,315.95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-263.50%</w:t>
            </w:r>
          </w:p>
        </w:tc>
      </w:tr>
      <w:tr>
        <w:trPr>
          <w:trHeight w:val="634" w:hRule="exact"/>
        </w:trPr>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104" w:right="0"/>
              <w:jc w:val="left"/>
              <w:rPr>
                <w:rFonts w:ascii="宋体" w:hAnsi="宋体" w:cs="宋体" w:eastAsia="宋体" w:hint="default"/>
                <w:sz w:val="24"/>
                <w:szCs w:val="24"/>
              </w:rPr>
            </w:pPr>
            <w:r>
              <w:rPr>
                <w:rFonts w:ascii="Times New Roman" w:hAnsi="Times New Roman" w:cs="Times New Roman" w:eastAsia="Times New Roman" w:hint="default"/>
                <w:spacing w:val="14"/>
                <w:sz w:val="24"/>
                <w:szCs w:val="24"/>
              </w:rPr>
              <w:t>2</w:t>
            </w:r>
            <w:r>
              <w:rPr>
                <w:rFonts w:ascii="宋体" w:hAnsi="宋体" w:cs="宋体" w:eastAsia="宋体" w:hint="default"/>
                <w:spacing w:val="14"/>
                <w:sz w:val="24"/>
                <w:szCs w:val="24"/>
              </w:rPr>
              <w:t>、投资活动产生的现金流</w:t>
            </w:r>
            <w:r>
              <w:rPr>
                <w:rFonts w:ascii="宋体" w:hAnsi="宋体" w:cs="宋体" w:eastAsia="宋体" w:hint="default"/>
                <w:sz w:val="24"/>
                <w:szCs w:val="24"/>
              </w:rPr>
            </w:r>
          </w:p>
          <w:p>
            <w:pPr>
              <w:pStyle w:val="TableParagraph"/>
              <w:spacing w:line="322" w:lineRule="exact"/>
              <w:ind w:left="104"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量</w:t>
            </w:r>
            <w:r>
              <w:rPr>
                <w:rFonts w:ascii="Times New Roman" w:hAnsi="Times New Roman" w:cs="Times New Roman" w:eastAsia="Times New Roman" w:hint="default"/>
                <w:sz w:val="24"/>
                <w:szCs w:val="24"/>
              </w:rPr>
              <w:t>:</w:t>
            </w:r>
          </w:p>
        </w:tc>
        <w:tc>
          <w:tcPr>
            <w:tcW w:w="2282" w:type="dxa"/>
            <w:tcBorders>
              <w:top w:val="single" w:sz="4" w:space="0" w:color="000000"/>
              <w:left w:val="single" w:sz="4" w:space="0" w:color="000000"/>
              <w:bottom w:val="single" w:sz="4" w:space="0" w:color="000000"/>
              <w:right w:val="single" w:sz="4" w:space="0" w:color="000000"/>
            </w:tcBorders>
          </w:tcPr>
          <w:p>
            <w:pPr/>
          </w:p>
        </w:tc>
        <w:tc>
          <w:tcPr>
            <w:tcW w:w="2094"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737"/>
              <w:jc w:val="right"/>
              <w:rPr>
                <w:rFonts w:ascii="宋体" w:hAnsi="宋体" w:cs="宋体" w:eastAsia="宋体" w:hint="default"/>
                <w:sz w:val="24"/>
                <w:szCs w:val="24"/>
              </w:rPr>
            </w:pPr>
            <w:r>
              <w:rPr>
                <w:rFonts w:ascii="宋体" w:hAnsi="宋体" w:cs="宋体" w:eastAsia="宋体" w:hint="default"/>
                <w:sz w:val="24"/>
                <w:szCs w:val="24"/>
              </w:rPr>
              <w:t>现金流入小计</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Times New Roman" w:hAnsi="Times New Roman" w:cs="Times New Roman" w:eastAsia="Times New Roman" w:hint="default"/>
                <w:sz w:val="24"/>
                <w:szCs w:val="24"/>
              </w:rPr>
            </w:pPr>
            <w:r>
              <w:rPr>
                <w:rFonts w:ascii="Times New Roman"/>
                <w:sz w:val="24"/>
              </w:rPr>
              <w:t>0</w:t>
            </w:r>
          </w:p>
        </w:tc>
        <w:tc>
          <w:tcPr>
            <w:tcW w:w="2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Times New Roman" w:hAnsi="Times New Roman" w:cs="Times New Roman" w:eastAsia="Times New Roman" w:hint="default"/>
                <w:sz w:val="24"/>
                <w:szCs w:val="24"/>
              </w:rPr>
            </w:pPr>
            <w:r>
              <w:rPr>
                <w:rFonts w:ascii="Times New Roman"/>
                <w:sz w:val="24"/>
              </w:rPr>
              <w:t>5,800.00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Times New Roman" w:hAnsi="Times New Roman" w:cs="Times New Roman" w:eastAsia="Times New Roman" w:hint="default"/>
                <w:sz w:val="24"/>
                <w:szCs w:val="24"/>
              </w:rPr>
            </w:pPr>
            <w:r>
              <w:rPr>
                <w:rFonts w:ascii="Times New Roman"/>
                <w:sz w:val="24"/>
              </w:rPr>
              <w:t>-100%</w:t>
            </w:r>
          </w:p>
        </w:tc>
      </w:tr>
      <w:tr>
        <w:trPr>
          <w:trHeight w:val="322" w:hRule="exact"/>
        </w:trPr>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737"/>
              <w:jc w:val="right"/>
              <w:rPr>
                <w:rFonts w:ascii="宋体" w:hAnsi="宋体" w:cs="宋体" w:eastAsia="宋体" w:hint="default"/>
                <w:sz w:val="24"/>
                <w:szCs w:val="24"/>
              </w:rPr>
            </w:pPr>
            <w:r>
              <w:rPr>
                <w:rFonts w:ascii="宋体" w:hAnsi="宋体" w:cs="宋体" w:eastAsia="宋体" w:hint="default"/>
                <w:sz w:val="24"/>
                <w:szCs w:val="24"/>
              </w:rPr>
              <w:t>现金流出小计</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Times New Roman" w:hAnsi="Times New Roman" w:cs="Times New Roman" w:eastAsia="Times New Roman" w:hint="default"/>
                <w:sz w:val="24"/>
                <w:szCs w:val="24"/>
              </w:rPr>
            </w:pPr>
            <w:r>
              <w:rPr>
                <w:rFonts w:ascii="Times New Roman"/>
                <w:sz w:val="24"/>
              </w:rPr>
              <w:t>0</w:t>
            </w:r>
          </w:p>
        </w:tc>
        <w:tc>
          <w:tcPr>
            <w:tcW w:w="2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Times New Roman" w:hAnsi="Times New Roman" w:cs="Times New Roman" w:eastAsia="Times New Roman" w:hint="default"/>
                <w:sz w:val="24"/>
                <w:szCs w:val="24"/>
              </w:rPr>
            </w:pPr>
            <w:r>
              <w:rPr>
                <w:rFonts w:ascii="Times New Roman"/>
                <w:sz w:val="24"/>
              </w:rPr>
              <w:t>18,036.27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Times New Roman" w:hAnsi="Times New Roman" w:cs="Times New Roman" w:eastAsia="Times New Roman" w:hint="default"/>
                <w:sz w:val="24"/>
                <w:szCs w:val="24"/>
              </w:rPr>
            </w:pPr>
            <w:r>
              <w:rPr>
                <w:rFonts w:ascii="Times New Roman"/>
                <w:sz w:val="24"/>
              </w:rPr>
              <w:t>100%</w:t>
            </w:r>
          </w:p>
        </w:tc>
      </w:tr>
      <w:tr>
        <w:trPr>
          <w:trHeight w:val="634" w:hRule="exact"/>
        </w:trPr>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4" w:right="0"/>
              <w:jc w:val="left"/>
              <w:rPr>
                <w:rFonts w:ascii="宋体" w:hAnsi="宋体" w:cs="宋体" w:eastAsia="宋体" w:hint="default"/>
                <w:sz w:val="24"/>
                <w:szCs w:val="24"/>
              </w:rPr>
            </w:pPr>
            <w:r>
              <w:rPr>
                <w:rFonts w:ascii="宋体" w:hAnsi="宋体" w:cs="宋体" w:eastAsia="宋体" w:hint="default"/>
                <w:spacing w:val="3"/>
                <w:sz w:val="24"/>
                <w:szCs w:val="24"/>
              </w:rPr>
              <w:t>投资活动产生的现金流量净</w:t>
            </w:r>
            <w:r>
              <w:rPr>
                <w:rFonts w:ascii="宋体" w:hAnsi="宋体" w:cs="宋体" w:eastAsia="宋体" w:hint="default"/>
                <w:sz w:val="24"/>
                <w:szCs w:val="24"/>
              </w:rPr>
            </w:r>
          </w:p>
          <w:p>
            <w:pPr>
              <w:pStyle w:val="TableParagraph"/>
              <w:spacing w:line="313" w:lineRule="exact"/>
              <w:ind w:left="104" w:right="0"/>
              <w:jc w:val="left"/>
              <w:rPr>
                <w:rFonts w:ascii="宋体" w:hAnsi="宋体" w:cs="宋体" w:eastAsia="宋体" w:hint="default"/>
                <w:sz w:val="24"/>
                <w:szCs w:val="24"/>
              </w:rPr>
            </w:pPr>
            <w:r>
              <w:rPr>
                <w:rFonts w:ascii="宋体" w:hAnsi="宋体" w:cs="宋体" w:eastAsia="宋体" w:hint="default"/>
                <w:sz w:val="24"/>
                <w:szCs w:val="24"/>
              </w:rPr>
              <w:t>额</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0"/>
              <w:jc w:val="center"/>
              <w:rPr>
                <w:rFonts w:ascii="Times New Roman" w:hAnsi="Times New Roman" w:cs="Times New Roman" w:eastAsia="Times New Roman" w:hint="default"/>
                <w:sz w:val="24"/>
                <w:szCs w:val="24"/>
              </w:rPr>
            </w:pPr>
            <w:r>
              <w:rPr>
                <w:rFonts w:ascii="Times New Roman"/>
                <w:sz w:val="24"/>
              </w:rPr>
              <w:t>0</w:t>
            </w:r>
          </w:p>
        </w:tc>
        <w:tc>
          <w:tcPr>
            <w:tcW w:w="2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0"/>
              <w:jc w:val="center"/>
              <w:rPr>
                <w:rFonts w:ascii="Times New Roman" w:hAnsi="Times New Roman" w:cs="Times New Roman" w:eastAsia="Times New Roman" w:hint="default"/>
                <w:sz w:val="24"/>
                <w:szCs w:val="24"/>
              </w:rPr>
            </w:pPr>
            <w:r>
              <w:rPr>
                <w:rFonts w:ascii="Times New Roman"/>
                <w:sz w:val="24"/>
              </w:rPr>
              <w:t>-12,236.27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1"/>
              <w:jc w:val="center"/>
              <w:rPr>
                <w:rFonts w:ascii="Times New Roman" w:hAnsi="Times New Roman" w:cs="Times New Roman" w:eastAsia="Times New Roman" w:hint="default"/>
                <w:sz w:val="24"/>
                <w:szCs w:val="24"/>
              </w:rPr>
            </w:pPr>
            <w:r>
              <w:rPr>
                <w:rFonts w:ascii="Times New Roman"/>
                <w:sz w:val="24"/>
              </w:rPr>
              <w:t>100%</w:t>
            </w:r>
          </w:p>
        </w:tc>
      </w:tr>
      <w:tr>
        <w:trPr>
          <w:trHeight w:val="635" w:hRule="exact"/>
        </w:trPr>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104" w:right="0"/>
              <w:jc w:val="left"/>
              <w:rPr>
                <w:rFonts w:ascii="宋体" w:hAnsi="宋体" w:cs="宋体" w:eastAsia="宋体" w:hint="default"/>
                <w:sz w:val="24"/>
                <w:szCs w:val="24"/>
              </w:rPr>
            </w:pPr>
            <w:r>
              <w:rPr>
                <w:rFonts w:ascii="Times New Roman" w:hAnsi="Times New Roman" w:cs="Times New Roman" w:eastAsia="Times New Roman" w:hint="default"/>
                <w:spacing w:val="14"/>
                <w:sz w:val="24"/>
                <w:szCs w:val="24"/>
              </w:rPr>
              <w:t>3</w:t>
            </w:r>
            <w:r>
              <w:rPr>
                <w:rFonts w:ascii="宋体" w:hAnsi="宋体" w:cs="宋体" w:eastAsia="宋体" w:hint="default"/>
                <w:spacing w:val="14"/>
                <w:sz w:val="24"/>
                <w:szCs w:val="24"/>
              </w:rPr>
              <w:t>、筹资活动产生的现金流</w:t>
            </w:r>
            <w:r>
              <w:rPr>
                <w:rFonts w:ascii="宋体" w:hAnsi="宋体" w:cs="宋体" w:eastAsia="宋体" w:hint="default"/>
                <w:sz w:val="24"/>
                <w:szCs w:val="24"/>
              </w:rPr>
            </w:r>
          </w:p>
          <w:p>
            <w:pPr>
              <w:pStyle w:val="TableParagraph"/>
              <w:spacing w:line="322" w:lineRule="exact"/>
              <w:ind w:left="104"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量</w:t>
            </w:r>
            <w:r>
              <w:rPr>
                <w:rFonts w:ascii="Times New Roman" w:hAnsi="Times New Roman" w:cs="Times New Roman" w:eastAsia="Times New Roman" w:hint="default"/>
                <w:sz w:val="24"/>
                <w:szCs w:val="24"/>
              </w:rPr>
              <w:t>:</w:t>
            </w:r>
          </w:p>
        </w:tc>
        <w:tc>
          <w:tcPr>
            <w:tcW w:w="2282" w:type="dxa"/>
            <w:tcBorders>
              <w:top w:val="single" w:sz="4" w:space="0" w:color="000000"/>
              <w:left w:val="single" w:sz="4" w:space="0" w:color="000000"/>
              <w:bottom w:val="single" w:sz="4" w:space="0" w:color="000000"/>
              <w:right w:val="single" w:sz="4" w:space="0" w:color="000000"/>
            </w:tcBorders>
          </w:tcPr>
          <w:p>
            <w:pPr/>
          </w:p>
        </w:tc>
        <w:tc>
          <w:tcPr>
            <w:tcW w:w="2094"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737"/>
              <w:jc w:val="right"/>
              <w:rPr>
                <w:rFonts w:ascii="宋体" w:hAnsi="宋体" w:cs="宋体" w:eastAsia="宋体" w:hint="default"/>
                <w:sz w:val="24"/>
                <w:szCs w:val="24"/>
              </w:rPr>
            </w:pPr>
            <w:r>
              <w:rPr>
                <w:rFonts w:ascii="宋体" w:hAnsi="宋体" w:cs="宋体" w:eastAsia="宋体" w:hint="default"/>
                <w:sz w:val="24"/>
                <w:szCs w:val="24"/>
              </w:rPr>
              <w:t>现金流入小计</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2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r>
      <w:tr>
        <w:trPr>
          <w:trHeight w:val="322" w:hRule="exact"/>
        </w:trPr>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737"/>
              <w:jc w:val="right"/>
              <w:rPr>
                <w:rFonts w:ascii="宋体" w:hAnsi="宋体" w:cs="宋体" w:eastAsia="宋体" w:hint="default"/>
                <w:sz w:val="24"/>
                <w:szCs w:val="24"/>
              </w:rPr>
            </w:pPr>
            <w:r>
              <w:rPr>
                <w:rFonts w:ascii="宋体" w:hAnsi="宋体" w:cs="宋体" w:eastAsia="宋体" w:hint="default"/>
                <w:sz w:val="24"/>
                <w:szCs w:val="24"/>
              </w:rPr>
              <w:t>现金流出小计</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2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r>
      <w:tr>
        <w:trPr>
          <w:trHeight w:val="635" w:hRule="exact"/>
        </w:trPr>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4" w:right="0"/>
              <w:jc w:val="left"/>
              <w:rPr>
                <w:rFonts w:ascii="宋体" w:hAnsi="宋体" w:cs="宋体" w:eastAsia="宋体" w:hint="default"/>
                <w:sz w:val="24"/>
                <w:szCs w:val="24"/>
              </w:rPr>
            </w:pPr>
            <w:r>
              <w:rPr>
                <w:rFonts w:ascii="宋体" w:hAnsi="宋体" w:cs="宋体" w:eastAsia="宋体" w:hint="default"/>
                <w:spacing w:val="3"/>
                <w:sz w:val="24"/>
                <w:szCs w:val="24"/>
              </w:rPr>
              <w:t>筹资活动产生的现金流量净</w:t>
            </w:r>
            <w:r>
              <w:rPr>
                <w:rFonts w:ascii="宋体" w:hAnsi="宋体" w:cs="宋体" w:eastAsia="宋体" w:hint="default"/>
                <w:sz w:val="24"/>
                <w:szCs w:val="24"/>
              </w:rPr>
            </w:r>
          </w:p>
          <w:p>
            <w:pPr>
              <w:pStyle w:val="TableParagraph"/>
              <w:spacing w:line="313" w:lineRule="exact"/>
              <w:ind w:left="104" w:right="0"/>
              <w:jc w:val="left"/>
              <w:rPr>
                <w:rFonts w:ascii="宋体" w:hAnsi="宋体" w:cs="宋体" w:eastAsia="宋体" w:hint="default"/>
                <w:sz w:val="24"/>
                <w:szCs w:val="24"/>
              </w:rPr>
            </w:pPr>
            <w:r>
              <w:rPr>
                <w:rFonts w:ascii="宋体" w:hAnsi="宋体" w:cs="宋体" w:eastAsia="宋体" w:hint="default"/>
                <w:sz w:val="24"/>
                <w:szCs w:val="24"/>
              </w:rPr>
              <w:t>额</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2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0"/>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r>
      <w:tr>
        <w:trPr>
          <w:trHeight w:val="634" w:hRule="exact"/>
        </w:trPr>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104" w:right="0"/>
              <w:jc w:val="left"/>
              <w:rPr>
                <w:rFonts w:ascii="宋体" w:hAnsi="宋体" w:cs="宋体" w:eastAsia="宋体" w:hint="default"/>
                <w:sz w:val="24"/>
                <w:szCs w:val="24"/>
              </w:rPr>
            </w:pPr>
            <w:r>
              <w:rPr>
                <w:rFonts w:ascii="Times New Roman" w:hAnsi="Times New Roman" w:cs="Times New Roman" w:eastAsia="Times New Roman" w:hint="default"/>
                <w:spacing w:val="-7"/>
                <w:sz w:val="24"/>
                <w:szCs w:val="24"/>
              </w:rPr>
              <w:t>4</w:t>
            </w:r>
            <w:r>
              <w:rPr>
                <w:rFonts w:ascii="宋体" w:hAnsi="宋体" w:cs="宋体" w:eastAsia="宋体" w:hint="default"/>
                <w:spacing w:val="-7"/>
                <w:sz w:val="24"/>
                <w:szCs w:val="24"/>
              </w:rPr>
              <w:t>、现金及现金等价物净增加</w:t>
            </w:r>
          </w:p>
          <w:p>
            <w:pPr>
              <w:pStyle w:val="TableParagraph"/>
              <w:spacing w:line="304" w:lineRule="exact"/>
              <w:ind w:left="104" w:right="0"/>
              <w:jc w:val="left"/>
              <w:rPr>
                <w:rFonts w:ascii="宋体" w:hAnsi="宋体" w:cs="宋体" w:eastAsia="宋体" w:hint="default"/>
                <w:sz w:val="24"/>
                <w:szCs w:val="24"/>
              </w:rPr>
            </w:pPr>
            <w:r>
              <w:rPr>
                <w:rFonts w:ascii="宋体" w:hAnsi="宋体" w:cs="宋体" w:eastAsia="宋体" w:hint="default"/>
                <w:sz w:val="24"/>
                <w:szCs w:val="24"/>
              </w:rPr>
              <w:t>额</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-146,032.88</w:t>
            </w:r>
          </w:p>
        </w:tc>
        <w:tc>
          <w:tcPr>
            <w:tcW w:w="2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1"/>
              <w:jc w:val="center"/>
              <w:rPr>
                <w:rFonts w:ascii="Times New Roman" w:hAnsi="Times New Roman" w:cs="Times New Roman" w:eastAsia="Times New Roman" w:hint="default"/>
                <w:sz w:val="24"/>
                <w:szCs w:val="24"/>
              </w:rPr>
            </w:pPr>
            <w:r>
              <w:rPr>
                <w:rFonts w:ascii="Times New Roman"/>
                <w:sz w:val="24"/>
              </w:rPr>
              <w:t>77,079.68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-289.46%</w:t>
            </w:r>
          </w:p>
        </w:tc>
      </w:tr>
      <w:tr>
        <w:trPr>
          <w:trHeight w:val="634" w:hRule="exact"/>
        </w:trPr>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91" w:right="0"/>
              <w:jc w:val="left"/>
              <w:rPr>
                <w:rFonts w:ascii="宋体" w:hAnsi="宋体" w:cs="宋体" w:eastAsia="宋体" w:hint="default"/>
                <w:sz w:val="24"/>
                <w:szCs w:val="24"/>
              </w:rPr>
            </w:pPr>
            <w:r>
              <w:rPr>
                <w:rFonts w:ascii="宋体" w:hAnsi="宋体" w:cs="宋体" w:eastAsia="宋体" w:hint="default"/>
                <w:spacing w:val="3"/>
                <w:sz w:val="24"/>
                <w:szCs w:val="24"/>
              </w:rPr>
              <w:t>加：期初现金及现金等</w:t>
            </w:r>
            <w:r>
              <w:rPr>
                <w:rFonts w:ascii="宋体" w:hAnsi="宋体" w:cs="宋体" w:eastAsia="宋体" w:hint="default"/>
                <w:sz w:val="24"/>
                <w:szCs w:val="24"/>
              </w:rPr>
            </w:r>
          </w:p>
          <w:p>
            <w:pPr>
              <w:pStyle w:val="TableParagraph"/>
              <w:spacing w:line="313" w:lineRule="exact"/>
              <w:ind w:left="104" w:right="0"/>
              <w:jc w:val="left"/>
              <w:rPr>
                <w:rFonts w:ascii="宋体" w:hAnsi="宋体" w:cs="宋体" w:eastAsia="宋体" w:hint="default"/>
                <w:sz w:val="24"/>
                <w:szCs w:val="24"/>
              </w:rPr>
            </w:pPr>
            <w:r>
              <w:rPr>
                <w:rFonts w:ascii="宋体" w:hAnsi="宋体" w:cs="宋体" w:eastAsia="宋体" w:hint="default"/>
                <w:sz w:val="24"/>
                <w:szCs w:val="24"/>
              </w:rPr>
              <w:t>价物余额</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202,246.44</w:t>
            </w:r>
          </w:p>
        </w:tc>
        <w:tc>
          <w:tcPr>
            <w:tcW w:w="2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1"/>
              <w:jc w:val="center"/>
              <w:rPr>
                <w:rFonts w:ascii="Times New Roman" w:hAnsi="Times New Roman" w:cs="Times New Roman" w:eastAsia="Times New Roman" w:hint="default"/>
                <w:sz w:val="24"/>
                <w:szCs w:val="24"/>
              </w:rPr>
            </w:pPr>
            <w:r>
              <w:rPr>
                <w:rFonts w:ascii="Times New Roman"/>
                <w:sz w:val="24"/>
              </w:rPr>
              <w:t>125,166.76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 w:right="0"/>
              <w:jc w:val="center"/>
              <w:rPr>
                <w:rFonts w:ascii="Times New Roman" w:hAnsi="Times New Roman" w:cs="Times New Roman" w:eastAsia="Times New Roman" w:hint="default"/>
                <w:sz w:val="21"/>
                <w:szCs w:val="21"/>
              </w:rPr>
            </w:pPr>
            <w:r>
              <w:rPr>
                <w:rFonts w:ascii="Times New Roman"/>
                <w:sz w:val="21"/>
              </w:rPr>
              <w:t>61.58%</w:t>
            </w:r>
          </w:p>
        </w:tc>
      </w:tr>
      <w:tr>
        <w:trPr>
          <w:trHeight w:val="635" w:hRule="exact"/>
        </w:trPr>
        <w:tc>
          <w:tcPr>
            <w:tcW w:w="3133"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104" w:right="0"/>
              <w:jc w:val="left"/>
              <w:rPr>
                <w:rFonts w:ascii="宋体" w:hAnsi="宋体" w:cs="宋体" w:eastAsia="宋体" w:hint="default"/>
                <w:sz w:val="24"/>
                <w:szCs w:val="24"/>
              </w:rPr>
            </w:pPr>
            <w:r>
              <w:rPr>
                <w:rFonts w:ascii="Times New Roman" w:hAnsi="Times New Roman" w:cs="Times New Roman" w:eastAsia="Times New Roman" w:hint="default"/>
                <w:spacing w:val="-7"/>
                <w:sz w:val="24"/>
                <w:szCs w:val="24"/>
              </w:rPr>
              <w:t>5</w:t>
            </w:r>
            <w:r>
              <w:rPr>
                <w:rFonts w:ascii="宋体" w:hAnsi="宋体" w:cs="宋体" w:eastAsia="宋体" w:hint="default"/>
                <w:spacing w:val="-7"/>
                <w:sz w:val="24"/>
                <w:szCs w:val="24"/>
              </w:rPr>
              <w:t>、期末现金及现金等价物余</w:t>
            </w:r>
          </w:p>
          <w:p>
            <w:pPr>
              <w:pStyle w:val="TableParagraph"/>
              <w:spacing w:line="304" w:lineRule="exact"/>
              <w:ind w:left="104" w:right="0"/>
              <w:jc w:val="left"/>
              <w:rPr>
                <w:rFonts w:ascii="宋体" w:hAnsi="宋体" w:cs="宋体" w:eastAsia="宋体" w:hint="default"/>
                <w:sz w:val="24"/>
                <w:szCs w:val="24"/>
              </w:rPr>
            </w:pPr>
            <w:r>
              <w:rPr>
                <w:rFonts w:ascii="宋体" w:hAnsi="宋体" w:cs="宋体" w:eastAsia="宋体" w:hint="default"/>
                <w:sz w:val="24"/>
                <w:szCs w:val="24"/>
              </w:rPr>
              <w:t>额</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56,213.56</w:t>
            </w:r>
          </w:p>
        </w:tc>
        <w:tc>
          <w:tcPr>
            <w:tcW w:w="2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1"/>
              <w:jc w:val="center"/>
              <w:rPr>
                <w:rFonts w:ascii="Times New Roman" w:hAnsi="Times New Roman" w:cs="Times New Roman" w:eastAsia="Times New Roman" w:hint="default"/>
                <w:sz w:val="24"/>
                <w:szCs w:val="24"/>
              </w:rPr>
            </w:pPr>
            <w:r>
              <w:rPr>
                <w:rFonts w:ascii="Times New Roman"/>
                <w:sz w:val="24"/>
              </w:rPr>
              <w:t>202,246.44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-72.21%</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138" w:right="873"/>
        <w:jc w:val="left"/>
      </w:pPr>
      <w:r>
        <w:rPr>
          <w:rFonts w:ascii="Times New Roman" w:hAnsi="Times New Roman" w:cs="Times New Roman" w:eastAsia="Times New Roman" w:hint="default"/>
        </w:rPr>
        <w:t>5</w:t>
      </w:r>
      <w:r>
        <w:rPr/>
        <w:t>、上市公司（母公司）报告期内变动幅度较大的项目说明：</w:t>
      </w:r>
    </w:p>
    <w:p>
      <w:pPr>
        <w:pStyle w:val="BodyText"/>
        <w:spacing w:line="240" w:lineRule="auto"/>
        <w:ind w:left="0" w:right="405"/>
        <w:jc w:val="right"/>
      </w:pPr>
      <w:r>
        <w:rPr/>
        <w:t>单位：人民币元</w:t>
      </w:r>
    </w:p>
    <w:p>
      <w:pPr>
        <w:spacing w:after="0" w:line="240" w:lineRule="auto"/>
        <w:jc w:val="right"/>
        <w:sectPr>
          <w:pgSz w:w="11910" w:h="16840"/>
          <w:pgMar w:header="0" w:footer="594" w:top="1400" w:bottom="800" w:left="1280" w:right="1440"/>
        </w:sectPr>
      </w:pPr>
    </w:p>
    <w:p>
      <w:pPr>
        <w:spacing w:line="240" w:lineRule="auto" w:before="8"/>
        <w:rPr>
          <w:rFonts w:ascii="宋体" w:hAnsi="宋体" w:cs="宋体" w:eastAsia="宋体"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1465"/>
        <w:gridCol w:w="1800"/>
        <w:gridCol w:w="1688"/>
        <w:gridCol w:w="1530"/>
        <w:gridCol w:w="1144"/>
        <w:gridCol w:w="1826"/>
      </w:tblGrid>
      <w:tr>
        <w:trPr>
          <w:trHeight w:val="961" w:hRule="exact"/>
        </w:trPr>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科目名称</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4"/>
                <w:szCs w:val="24"/>
              </w:rPr>
            </w:pPr>
            <w:r>
              <w:rPr>
                <w:rFonts w:ascii="Times New Roman" w:hAnsi="Times New Roman" w:cs="Times New Roman" w:eastAsia="Times New Roman" w:hint="default"/>
                <w:sz w:val="24"/>
                <w:szCs w:val="24"/>
              </w:rPr>
              <w:t>2008</w:t>
            </w:r>
            <w:r>
              <w:rPr>
                <w:rFonts w:ascii="宋体" w:hAnsi="宋体" w:cs="宋体" w:eastAsia="宋体" w:hint="default"/>
                <w:sz w:val="24"/>
                <w:szCs w:val="24"/>
              </w:rPr>
              <w:t>年</w:t>
            </w:r>
            <w:r>
              <w:rPr>
                <w:rFonts w:ascii="Times New Roman" w:hAnsi="Times New Roman" w:cs="Times New Roman" w:eastAsia="Times New Roman" w:hint="default"/>
                <w:sz w:val="24"/>
                <w:szCs w:val="24"/>
              </w:rPr>
              <w:t>12</w:t>
            </w:r>
            <w:r>
              <w:rPr>
                <w:rFonts w:ascii="宋体" w:hAnsi="宋体" w:cs="宋体" w:eastAsia="宋体" w:hint="default"/>
                <w:sz w:val="24"/>
                <w:szCs w:val="24"/>
              </w:rPr>
              <w:t>月</w:t>
            </w:r>
            <w:r>
              <w:rPr>
                <w:rFonts w:ascii="Times New Roman" w:hAnsi="Times New Roman" w:cs="Times New Roman" w:eastAsia="Times New Roman" w:hint="default"/>
                <w:sz w:val="24"/>
                <w:szCs w:val="24"/>
              </w:rPr>
              <w:t>31</w:t>
            </w:r>
            <w:r>
              <w:rPr>
                <w:rFonts w:ascii="宋体" w:hAnsi="宋体" w:cs="宋体" w:eastAsia="宋体" w:hint="default"/>
                <w:sz w:val="24"/>
                <w:szCs w:val="24"/>
              </w:rPr>
              <w:t>日</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4"/>
                <w:szCs w:val="24"/>
              </w:rPr>
            </w:pPr>
            <w:r>
              <w:rPr>
                <w:rFonts w:ascii="Times New Roman" w:hAnsi="Times New Roman" w:cs="Times New Roman" w:eastAsia="Times New Roman" w:hint="default"/>
                <w:sz w:val="24"/>
                <w:szCs w:val="24"/>
              </w:rPr>
              <w:t>2008</w:t>
            </w:r>
            <w:r>
              <w:rPr>
                <w:rFonts w:ascii="宋体" w:hAnsi="宋体" w:cs="宋体" w:eastAsia="宋体" w:hint="default"/>
                <w:sz w:val="24"/>
                <w:szCs w:val="24"/>
              </w:rPr>
              <w:t>年</w:t>
            </w:r>
            <w:r>
              <w:rPr>
                <w:rFonts w:ascii="Times New Roman" w:hAnsi="Times New Roman" w:cs="Times New Roman" w:eastAsia="Times New Roman" w:hint="default"/>
                <w:sz w:val="24"/>
                <w:szCs w:val="24"/>
              </w:rPr>
              <w:t>1</w:t>
            </w:r>
            <w:r>
              <w:rPr>
                <w:rFonts w:ascii="宋体" w:hAnsi="宋体" w:cs="宋体" w:eastAsia="宋体" w:hint="default"/>
                <w:sz w:val="24"/>
                <w:szCs w:val="24"/>
              </w:rPr>
              <w:t>月</w:t>
            </w:r>
            <w:r>
              <w:rPr>
                <w:rFonts w:ascii="Times New Roman" w:hAnsi="Times New Roman" w:cs="Times New Roman" w:eastAsia="Times New Roman" w:hint="default"/>
                <w:sz w:val="24"/>
                <w:szCs w:val="24"/>
              </w:rPr>
              <w:t>1</w:t>
            </w:r>
            <w:r>
              <w:rPr>
                <w:rFonts w:ascii="宋体" w:hAnsi="宋体" w:cs="宋体" w:eastAsia="宋体" w:hint="default"/>
                <w:sz w:val="24"/>
                <w:szCs w:val="24"/>
              </w:rPr>
              <w:t>日</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较年初增加</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增幅</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55"/>
              <w:ind w:left="548" w:right="546"/>
              <w:jc w:val="left"/>
              <w:rPr>
                <w:rFonts w:ascii="宋体" w:hAnsi="宋体" w:cs="宋体" w:eastAsia="宋体" w:hint="default"/>
                <w:sz w:val="24"/>
                <w:szCs w:val="24"/>
              </w:rPr>
            </w:pPr>
            <w:r>
              <w:rPr>
                <w:rFonts w:ascii="宋体" w:hAnsi="宋体" w:cs="宋体" w:eastAsia="宋体" w:hint="default"/>
                <w:sz w:val="24"/>
                <w:szCs w:val="24"/>
              </w:rPr>
              <w:t>变动较 大原因</w:t>
            </w:r>
          </w:p>
        </w:tc>
      </w:tr>
      <w:tr>
        <w:trPr>
          <w:trHeight w:val="488" w:hRule="exact"/>
        </w:trPr>
        <w:tc>
          <w:tcPr>
            <w:tcW w:w="1465" w:type="dxa"/>
            <w:tcBorders>
              <w:top w:val="single" w:sz="4" w:space="0" w:color="000000"/>
              <w:left w:val="single" w:sz="4" w:space="0" w:color="000000"/>
              <w:bottom w:val="nil" w:sz="6" w:space="0" w:color="auto"/>
              <w:right w:val="single" w:sz="4" w:space="0" w:color="000000"/>
            </w:tcBorders>
          </w:tcPr>
          <w:p>
            <w:pPr/>
          </w:p>
        </w:tc>
        <w:tc>
          <w:tcPr>
            <w:tcW w:w="1800" w:type="dxa"/>
            <w:tcBorders>
              <w:top w:val="single" w:sz="4" w:space="0" w:color="000000"/>
              <w:left w:val="single" w:sz="4" w:space="0" w:color="000000"/>
              <w:bottom w:val="nil" w:sz="6" w:space="0" w:color="auto"/>
              <w:right w:val="single" w:sz="4" w:space="0" w:color="000000"/>
            </w:tcBorders>
          </w:tcPr>
          <w:p>
            <w:pPr/>
          </w:p>
        </w:tc>
        <w:tc>
          <w:tcPr>
            <w:tcW w:w="1688" w:type="dxa"/>
            <w:tcBorders>
              <w:top w:val="single" w:sz="4" w:space="0" w:color="000000"/>
              <w:left w:val="single" w:sz="4" w:space="0" w:color="000000"/>
              <w:bottom w:val="nil" w:sz="6" w:space="0" w:color="auto"/>
              <w:right w:val="single" w:sz="4" w:space="0" w:color="000000"/>
            </w:tcBorders>
          </w:tcPr>
          <w:p>
            <w:pPr/>
          </w:p>
        </w:tc>
        <w:tc>
          <w:tcPr>
            <w:tcW w:w="1530" w:type="dxa"/>
            <w:tcBorders>
              <w:top w:val="single" w:sz="4" w:space="0" w:color="000000"/>
              <w:left w:val="single" w:sz="4" w:space="0" w:color="000000"/>
              <w:bottom w:val="nil" w:sz="6" w:space="0" w:color="auto"/>
              <w:right w:val="single" w:sz="4" w:space="0" w:color="000000"/>
            </w:tcBorders>
          </w:tcPr>
          <w:p>
            <w:pPr/>
          </w:p>
        </w:tc>
        <w:tc>
          <w:tcPr>
            <w:tcW w:w="1144" w:type="dxa"/>
            <w:tcBorders>
              <w:top w:val="single" w:sz="4" w:space="0" w:color="000000"/>
              <w:left w:val="single" w:sz="4" w:space="0" w:color="000000"/>
              <w:bottom w:val="nil" w:sz="6" w:space="0" w:color="auto"/>
              <w:right w:val="single" w:sz="4" w:space="0" w:color="000000"/>
            </w:tcBorders>
          </w:tcPr>
          <w:p>
            <w:pPr/>
          </w:p>
        </w:tc>
        <w:tc>
          <w:tcPr>
            <w:tcW w:w="182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5"/>
              <w:ind w:right="0"/>
              <w:jc w:val="center"/>
              <w:rPr>
                <w:rFonts w:ascii="宋体" w:hAnsi="宋体" w:cs="宋体" w:eastAsia="宋体" w:hint="default"/>
                <w:sz w:val="24"/>
                <w:szCs w:val="24"/>
              </w:rPr>
            </w:pPr>
            <w:r>
              <w:rPr>
                <w:rFonts w:ascii="宋体" w:hAnsi="宋体" w:cs="宋体" w:eastAsia="宋体" w:hint="default"/>
                <w:sz w:val="24"/>
                <w:szCs w:val="24"/>
              </w:rPr>
              <w:t>公司将其他应收</w:t>
            </w:r>
          </w:p>
        </w:tc>
      </w:tr>
      <w:tr>
        <w:trPr>
          <w:trHeight w:val="475" w:hRule="exact"/>
        </w:trPr>
        <w:tc>
          <w:tcPr>
            <w:tcW w:w="1465"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1"/>
              <w:jc w:val="center"/>
              <w:rPr>
                <w:rFonts w:ascii="宋体" w:hAnsi="宋体" w:cs="宋体" w:eastAsia="宋体" w:hint="default"/>
                <w:sz w:val="24"/>
                <w:szCs w:val="24"/>
              </w:rPr>
            </w:pPr>
            <w:r>
              <w:rPr>
                <w:rFonts w:ascii="宋体" w:hAnsi="宋体" w:cs="宋体" w:eastAsia="宋体" w:hint="default"/>
                <w:sz w:val="24"/>
                <w:szCs w:val="24"/>
              </w:rPr>
              <w:t>其他应收款</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
              <w:jc w:val="center"/>
              <w:rPr>
                <w:rFonts w:ascii="Times New Roman" w:hAnsi="Times New Roman" w:cs="Times New Roman" w:eastAsia="Times New Roman" w:hint="default"/>
                <w:sz w:val="21"/>
                <w:szCs w:val="21"/>
              </w:rPr>
            </w:pPr>
            <w:r>
              <w:rPr>
                <w:rFonts w:ascii="Times New Roman"/>
                <w:sz w:val="21"/>
              </w:rPr>
              <w:t>87,404.24</w:t>
            </w:r>
          </w:p>
        </w:tc>
        <w:tc>
          <w:tcPr>
            <w:tcW w:w="1688"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0"/>
              <w:jc w:val="center"/>
              <w:rPr>
                <w:rFonts w:ascii="Times New Roman" w:hAnsi="Times New Roman" w:cs="Times New Roman" w:eastAsia="Times New Roman" w:hint="default"/>
                <w:sz w:val="24"/>
                <w:szCs w:val="24"/>
              </w:rPr>
            </w:pPr>
            <w:r>
              <w:rPr>
                <w:rFonts w:ascii="Times New Roman"/>
                <w:sz w:val="24"/>
              </w:rPr>
              <w:t>1,076,299.14</w:t>
            </w:r>
          </w:p>
        </w:tc>
        <w:tc>
          <w:tcPr>
            <w:tcW w:w="1530"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left="1" w:right="0"/>
              <w:jc w:val="center"/>
              <w:rPr>
                <w:rFonts w:ascii="Times New Roman" w:hAnsi="Times New Roman" w:cs="Times New Roman" w:eastAsia="Times New Roman" w:hint="default"/>
                <w:sz w:val="24"/>
                <w:szCs w:val="24"/>
              </w:rPr>
            </w:pPr>
            <w:r>
              <w:rPr>
                <w:rFonts w:ascii="Times New Roman"/>
                <w:sz w:val="24"/>
              </w:rPr>
              <w:t>-988,894.9</w:t>
            </w:r>
          </w:p>
        </w:tc>
        <w:tc>
          <w:tcPr>
            <w:tcW w:w="1144"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0"/>
              <w:jc w:val="center"/>
              <w:rPr>
                <w:rFonts w:ascii="Times New Roman" w:hAnsi="Times New Roman" w:cs="Times New Roman" w:eastAsia="Times New Roman" w:hint="default"/>
                <w:sz w:val="24"/>
                <w:szCs w:val="24"/>
              </w:rPr>
            </w:pPr>
            <w:r>
              <w:rPr>
                <w:rFonts w:ascii="Times New Roman"/>
                <w:sz w:val="24"/>
              </w:rPr>
              <w:t>-91.88%</w:t>
            </w:r>
          </w:p>
        </w:tc>
        <w:tc>
          <w:tcPr>
            <w:tcW w:w="1826"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24"/>
                <w:szCs w:val="24"/>
              </w:rPr>
            </w:pPr>
            <w:r>
              <w:rPr>
                <w:rFonts w:ascii="宋体" w:hAnsi="宋体" w:cs="宋体" w:eastAsia="宋体" w:hint="default"/>
                <w:sz w:val="24"/>
                <w:szCs w:val="24"/>
              </w:rPr>
              <w:t>款项目转让给延</w:t>
            </w:r>
          </w:p>
        </w:tc>
      </w:tr>
      <w:tr>
        <w:trPr>
          <w:trHeight w:val="467" w:hRule="exact"/>
        </w:trPr>
        <w:tc>
          <w:tcPr>
            <w:tcW w:w="1465" w:type="dxa"/>
            <w:tcBorders>
              <w:top w:val="nil" w:sz="6" w:space="0" w:color="auto"/>
              <w:left w:val="single" w:sz="4" w:space="0" w:color="000000"/>
              <w:bottom w:val="single" w:sz="4" w:space="0" w:color="000000"/>
              <w:right w:val="single" w:sz="4" w:space="0" w:color="000000"/>
            </w:tcBorders>
          </w:tcPr>
          <w:p>
            <w:pPr/>
          </w:p>
        </w:tc>
        <w:tc>
          <w:tcPr>
            <w:tcW w:w="1800" w:type="dxa"/>
            <w:tcBorders>
              <w:top w:val="nil" w:sz="6" w:space="0" w:color="auto"/>
              <w:left w:val="single" w:sz="4" w:space="0" w:color="000000"/>
              <w:bottom w:val="single" w:sz="4" w:space="0" w:color="000000"/>
              <w:right w:val="single" w:sz="4" w:space="0" w:color="000000"/>
            </w:tcBorders>
          </w:tcPr>
          <w:p>
            <w:pPr/>
          </w:p>
        </w:tc>
        <w:tc>
          <w:tcPr>
            <w:tcW w:w="1688" w:type="dxa"/>
            <w:tcBorders>
              <w:top w:val="nil" w:sz="6" w:space="0" w:color="auto"/>
              <w:left w:val="single" w:sz="4" w:space="0" w:color="000000"/>
              <w:bottom w:val="single" w:sz="4" w:space="0" w:color="000000"/>
              <w:right w:val="single" w:sz="4" w:space="0" w:color="000000"/>
            </w:tcBorders>
          </w:tcPr>
          <w:p>
            <w:pPr/>
          </w:p>
        </w:tc>
        <w:tc>
          <w:tcPr>
            <w:tcW w:w="1530" w:type="dxa"/>
            <w:tcBorders>
              <w:top w:val="nil" w:sz="6" w:space="0" w:color="auto"/>
              <w:left w:val="single" w:sz="4" w:space="0" w:color="000000"/>
              <w:bottom w:val="single" w:sz="4" w:space="0" w:color="000000"/>
              <w:right w:val="single" w:sz="4" w:space="0" w:color="000000"/>
            </w:tcBorders>
          </w:tcPr>
          <w:p>
            <w:pPr/>
          </w:p>
        </w:tc>
        <w:tc>
          <w:tcPr>
            <w:tcW w:w="1144" w:type="dxa"/>
            <w:tcBorders>
              <w:top w:val="nil" w:sz="6" w:space="0" w:color="auto"/>
              <w:left w:val="single" w:sz="4" w:space="0" w:color="000000"/>
              <w:bottom w:val="single" w:sz="4" w:space="0" w:color="000000"/>
              <w:right w:val="single" w:sz="4" w:space="0" w:color="000000"/>
            </w:tcBorders>
          </w:tcPr>
          <w:p>
            <w:pPr/>
          </w:p>
        </w:tc>
        <w:tc>
          <w:tcPr>
            <w:tcW w:w="18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4"/>
                <w:szCs w:val="24"/>
              </w:rPr>
            </w:pPr>
            <w:r>
              <w:rPr>
                <w:rFonts w:ascii="宋体" w:hAnsi="宋体" w:cs="宋体" w:eastAsia="宋体" w:hint="default"/>
                <w:sz w:val="24"/>
                <w:szCs w:val="24"/>
              </w:rPr>
              <w:t>中传媒</w:t>
            </w:r>
          </w:p>
        </w:tc>
      </w:tr>
      <w:tr>
        <w:trPr>
          <w:trHeight w:val="410" w:hRule="exact"/>
        </w:trPr>
        <w:tc>
          <w:tcPr>
            <w:tcW w:w="1465" w:type="dxa"/>
            <w:tcBorders>
              <w:top w:val="single" w:sz="4" w:space="0" w:color="000000"/>
              <w:left w:val="single" w:sz="4" w:space="0" w:color="000000"/>
              <w:bottom w:val="nil" w:sz="6" w:space="0" w:color="auto"/>
              <w:right w:val="single" w:sz="4" w:space="0" w:color="000000"/>
            </w:tcBorders>
          </w:tcPr>
          <w:p>
            <w:pPr/>
          </w:p>
        </w:tc>
        <w:tc>
          <w:tcPr>
            <w:tcW w:w="1800" w:type="dxa"/>
            <w:tcBorders>
              <w:top w:val="single" w:sz="4" w:space="0" w:color="000000"/>
              <w:left w:val="single" w:sz="4" w:space="0" w:color="000000"/>
              <w:bottom w:val="nil" w:sz="6" w:space="0" w:color="auto"/>
              <w:right w:val="single" w:sz="4" w:space="0" w:color="000000"/>
            </w:tcBorders>
          </w:tcPr>
          <w:p>
            <w:pPr/>
          </w:p>
        </w:tc>
        <w:tc>
          <w:tcPr>
            <w:tcW w:w="1688" w:type="dxa"/>
            <w:tcBorders>
              <w:top w:val="single" w:sz="4" w:space="0" w:color="000000"/>
              <w:left w:val="single" w:sz="4" w:space="0" w:color="000000"/>
              <w:bottom w:val="nil" w:sz="6" w:space="0" w:color="auto"/>
              <w:right w:val="single" w:sz="4" w:space="0" w:color="000000"/>
            </w:tcBorders>
          </w:tcPr>
          <w:p>
            <w:pPr/>
          </w:p>
        </w:tc>
        <w:tc>
          <w:tcPr>
            <w:tcW w:w="1530" w:type="dxa"/>
            <w:tcBorders>
              <w:top w:val="single" w:sz="4" w:space="0" w:color="000000"/>
              <w:left w:val="single" w:sz="4" w:space="0" w:color="000000"/>
              <w:bottom w:val="nil" w:sz="6" w:space="0" w:color="auto"/>
              <w:right w:val="single" w:sz="4" w:space="0" w:color="000000"/>
            </w:tcBorders>
          </w:tcPr>
          <w:p>
            <w:pPr/>
          </w:p>
        </w:tc>
        <w:tc>
          <w:tcPr>
            <w:tcW w:w="1144" w:type="dxa"/>
            <w:tcBorders>
              <w:top w:val="single" w:sz="4" w:space="0" w:color="000000"/>
              <w:left w:val="single" w:sz="4" w:space="0" w:color="000000"/>
              <w:bottom w:val="nil" w:sz="6" w:space="0" w:color="auto"/>
              <w:right w:val="single" w:sz="4" w:space="0" w:color="000000"/>
            </w:tcBorders>
          </w:tcPr>
          <w:p>
            <w:pPr/>
          </w:p>
        </w:tc>
        <w:tc>
          <w:tcPr>
            <w:tcW w:w="182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5"/>
              <w:ind w:right="0"/>
              <w:jc w:val="center"/>
              <w:rPr>
                <w:rFonts w:ascii="宋体" w:hAnsi="宋体" w:cs="宋体" w:eastAsia="宋体" w:hint="default"/>
                <w:sz w:val="24"/>
                <w:szCs w:val="24"/>
              </w:rPr>
            </w:pPr>
            <w:r>
              <w:rPr>
                <w:rFonts w:ascii="宋体" w:hAnsi="宋体" w:cs="宋体" w:eastAsia="宋体" w:hint="default"/>
                <w:sz w:val="24"/>
                <w:szCs w:val="24"/>
              </w:rPr>
              <w:t>青岛广顺、兖州</w:t>
            </w:r>
          </w:p>
        </w:tc>
      </w:tr>
      <w:tr>
        <w:trPr>
          <w:trHeight w:val="624" w:hRule="exact"/>
        </w:trPr>
        <w:tc>
          <w:tcPr>
            <w:tcW w:w="1465" w:type="dxa"/>
            <w:tcBorders>
              <w:top w:val="nil" w:sz="6" w:space="0" w:color="auto"/>
              <w:left w:val="single" w:sz="4" w:space="0" w:color="000000"/>
              <w:bottom w:val="nil" w:sz="6" w:space="0" w:color="auto"/>
              <w:right w:val="single" w:sz="4" w:space="0" w:color="000000"/>
            </w:tcBorders>
          </w:tcPr>
          <w:p>
            <w:pPr>
              <w:pStyle w:val="TableParagraph"/>
              <w:spacing w:line="274" w:lineRule="exact"/>
              <w:ind w:left="367" w:right="0"/>
              <w:jc w:val="left"/>
              <w:rPr>
                <w:rFonts w:ascii="宋体" w:hAnsi="宋体" w:cs="宋体" w:eastAsia="宋体" w:hint="default"/>
                <w:sz w:val="24"/>
                <w:szCs w:val="24"/>
              </w:rPr>
            </w:pPr>
            <w:r>
              <w:rPr>
                <w:rFonts w:ascii="宋体" w:hAnsi="宋体" w:cs="宋体" w:eastAsia="宋体" w:hint="default"/>
                <w:sz w:val="24"/>
                <w:szCs w:val="24"/>
              </w:rPr>
              <w:t>长期股</w:t>
            </w:r>
          </w:p>
          <w:p>
            <w:pPr>
              <w:pStyle w:val="TableParagraph"/>
              <w:spacing w:line="313" w:lineRule="exact"/>
              <w:ind w:left="367" w:right="0"/>
              <w:jc w:val="left"/>
              <w:rPr>
                <w:rFonts w:ascii="宋体" w:hAnsi="宋体" w:cs="宋体" w:eastAsia="宋体" w:hint="default"/>
                <w:sz w:val="24"/>
                <w:szCs w:val="24"/>
              </w:rPr>
            </w:pPr>
            <w:r>
              <w:rPr>
                <w:rFonts w:ascii="宋体" w:hAnsi="宋体" w:cs="宋体" w:eastAsia="宋体" w:hint="default"/>
                <w:sz w:val="24"/>
                <w:szCs w:val="24"/>
              </w:rPr>
              <w:t>权投资</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208,562,237.00</w:t>
            </w:r>
          </w:p>
        </w:tc>
        <w:tc>
          <w:tcPr>
            <w:tcW w:w="1688"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0"/>
              <w:jc w:val="center"/>
              <w:rPr>
                <w:rFonts w:ascii="Times New Roman" w:hAnsi="Times New Roman" w:cs="Times New Roman" w:eastAsia="Times New Roman" w:hint="default"/>
                <w:sz w:val="24"/>
                <w:szCs w:val="24"/>
              </w:rPr>
            </w:pPr>
            <w:r>
              <w:rPr>
                <w:rFonts w:ascii="Times New Roman"/>
                <w:sz w:val="24"/>
              </w:rPr>
              <w:t>234,285.71</w:t>
            </w:r>
          </w:p>
        </w:tc>
        <w:tc>
          <w:tcPr>
            <w:tcW w:w="1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0"/>
              <w:jc w:val="center"/>
              <w:rPr>
                <w:rFonts w:ascii="Times New Roman" w:hAnsi="Times New Roman" w:cs="Times New Roman" w:eastAsia="Times New Roman" w:hint="default"/>
                <w:sz w:val="24"/>
                <w:szCs w:val="24"/>
              </w:rPr>
            </w:pPr>
            <w:r>
              <w:rPr>
                <w:rFonts w:ascii="Times New Roman"/>
                <w:sz w:val="24"/>
              </w:rPr>
              <w:t>208,327,951.3</w:t>
            </w:r>
          </w:p>
        </w:tc>
        <w:tc>
          <w:tcPr>
            <w:tcW w:w="1144"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1"/>
              <w:jc w:val="center"/>
              <w:rPr>
                <w:rFonts w:ascii="Times New Roman" w:hAnsi="Times New Roman" w:cs="Times New Roman" w:eastAsia="Times New Roman" w:hint="default"/>
                <w:sz w:val="24"/>
                <w:szCs w:val="24"/>
              </w:rPr>
            </w:pPr>
            <w:r>
              <w:rPr>
                <w:rFonts w:ascii="Times New Roman"/>
                <w:sz w:val="24"/>
              </w:rPr>
              <w:t>88920.47%</w:t>
            </w:r>
          </w:p>
        </w:tc>
        <w:tc>
          <w:tcPr>
            <w:tcW w:w="1826"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right="0"/>
              <w:jc w:val="center"/>
              <w:rPr>
                <w:rFonts w:ascii="宋体" w:hAnsi="宋体" w:cs="宋体" w:eastAsia="宋体" w:hint="default"/>
                <w:sz w:val="24"/>
                <w:szCs w:val="24"/>
              </w:rPr>
            </w:pPr>
            <w:r>
              <w:rPr>
                <w:rFonts w:ascii="宋体" w:hAnsi="宋体" w:cs="宋体" w:eastAsia="宋体" w:hint="default"/>
                <w:sz w:val="24"/>
                <w:szCs w:val="24"/>
              </w:rPr>
              <w:t>海情的股权过户</w:t>
            </w:r>
          </w:p>
        </w:tc>
      </w:tr>
      <w:tr>
        <w:trPr>
          <w:trHeight w:val="395" w:hRule="exact"/>
        </w:trPr>
        <w:tc>
          <w:tcPr>
            <w:tcW w:w="1465" w:type="dxa"/>
            <w:tcBorders>
              <w:top w:val="nil" w:sz="6" w:space="0" w:color="auto"/>
              <w:left w:val="single" w:sz="4" w:space="0" w:color="000000"/>
              <w:bottom w:val="single" w:sz="4" w:space="0" w:color="000000"/>
              <w:right w:val="single" w:sz="4" w:space="0" w:color="000000"/>
            </w:tcBorders>
          </w:tcPr>
          <w:p>
            <w:pPr/>
          </w:p>
        </w:tc>
        <w:tc>
          <w:tcPr>
            <w:tcW w:w="1800" w:type="dxa"/>
            <w:tcBorders>
              <w:top w:val="nil" w:sz="6" w:space="0" w:color="auto"/>
              <w:left w:val="single" w:sz="4" w:space="0" w:color="000000"/>
              <w:bottom w:val="single" w:sz="4" w:space="0" w:color="000000"/>
              <w:right w:val="single" w:sz="4" w:space="0" w:color="000000"/>
            </w:tcBorders>
          </w:tcPr>
          <w:p>
            <w:pPr/>
          </w:p>
        </w:tc>
        <w:tc>
          <w:tcPr>
            <w:tcW w:w="1688" w:type="dxa"/>
            <w:tcBorders>
              <w:top w:val="nil" w:sz="6" w:space="0" w:color="auto"/>
              <w:left w:val="single" w:sz="4" w:space="0" w:color="000000"/>
              <w:bottom w:val="single" w:sz="4" w:space="0" w:color="000000"/>
              <w:right w:val="single" w:sz="4" w:space="0" w:color="000000"/>
            </w:tcBorders>
          </w:tcPr>
          <w:p>
            <w:pPr/>
          </w:p>
        </w:tc>
        <w:tc>
          <w:tcPr>
            <w:tcW w:w="1530" w:type="dxa"/>
            <w:tcBorders>
              <w:top w:val="nil" w:sz="6" w:space="0" w:color="auto"/>
              <w:left w:val="single" w:sz="4" w:space="0" w:color="000000"/>
              <w:bottom w:val="single" w:sz="4" w:space="0" w:color="000000"/>
              <w:right w:val="single" w:sz="4" w:space="0" w:color="000000"/>
            </w:tcBorders>
          </w:tcPr>
          <w:p>
            <w:pPr/>
          </w:p>
        </w:tc>
        <w:tc>
          <w:tcPr>
            <w:tcW w:w="1144" w:type="dxa"/>
            <w:tcBorders>
              <w:top w:val="nil" w:sz="6" w:space="0" w:color="auto"/>
              <w:left w:val="single" w:sz="4" w:space="0" w:color="000000"/>
              <w:bottom w:val="single" w:sz="4" w:space="0" w:color="000000"/>
              <w:right w:val="single" w:sz="4" w:space="0" w:color="000000"/>
            </w:tcBorders>
          </w:tcPr>
          <w:p>
            <w:pPr/>
          </w:p>
        </w:tc>
        <w:tc>
          <w:tcPr>
            <w:tcW w:w="1826" w:type="dxa"/>
            <w:tcBorders>
              <w:top w:val="nil" w:sz="6" w:space="0" w:color="auto"/>
              <w:left w:val="single" w:sz="4" w:space="0" w:color="000000"/>
              <w:bottom w:val="single" w:sz="4" w:space="0" w:color="000000"/>
              <w:right w:val="single" w:sz="4" w:space="0" w:color="000000"/>
            </w:tcBorders>
          </w:tcPr>
          <w:p>
            <w:pPr>
              <w:pStyle w:val="TableParagraph"/>
              <w:spacing w:line="277" w:lineRule="exact"/>
              <w:ind w:right="0"/>
              <w:jc w:val="center"/>
              <w:rPr>
                <w:rFonts w:ascii="宋体" w:hAnsi="宋体" w:cs="宋体" w:eastAsia="宋体" w:hint="default"/>
                <w:sz w:val="24"/>
                <w:szCs w:val="24"/>
              </w:rPr>
            </w:pPr>
            <w:r>
              <w:rPr>
                <w:rFonts w:ascii="宋体" w:hAnsi="宋体" w:cs="宋体" w:eastAsia="宋体" w:hint="default"/>
                <w:sz w:val="24"/>
                <w:szCs w:val="24"/>
              </w:rPr>
              <w:t>到公司名下</w:t>
            </w:r>
          </w:p>
        </w:tc>
      </w:tr>
      <w:tr>
        <w:trPr>
          <w:trHeight w:val="961" w:hRule="exact"/>
        </w:trPr>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应交税金</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44,907,660.23</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4,675,551.60</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4"/>
                <w:szCs w:val="24"/>
              </w:rPr>
            </w:pPr>
            <w:r>
              <w:rPr>
                <w:rFonts w:ascii="Times New Roman"/>
                <w:sz w:val="24"/>
              </w:rPr>
              <w:t>40,232,108.6</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4"/>
                <w:szCs w:val="24"/>
              </w:rPr>
            </w:pPr>
            <w:r>
              <w:rPr>
                <w:rFonts w:ascii="Times New Roman"/>
                <w:sz w:val="24"/>
              </w:rPr>
              <w:t>860.48%</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55"/>
              <w:ind w:left="428" w:right="66" w:hanging="360"/>
              <w:jc w:val="left"/>
              <w:rPr>
                <w:rFonts w:ascii="宋体" w:hAnsi="宋体" w:cs="宋体" w:eastAsia="宋体" w:hint="default"/>
                <w:sz w:val="24"/>
                <w:szCs w:val="24"/>
              </w:rPr>
            </w:pPr>
            <w:r>
              <w:rPr>
                <w:rFonts w:ascii="宋体" w:hAnsi="宋体" w:cs="宋体" w:eastAsia="宋体" w:hint="default"/>
                <w:sz w:val="24"/>
                <w:szCs w:val="24"/>
              </w:rPr>
              <w:t>赠与股权过户到 公司名下</w:t>
            </w:r>
          </w:p>
        </w:tc>
      </w:tr>
      <w:tr>
        <w:trPr>
          <w:trHeight w:val="960" w:hRule="exact"/>
        </w:trPr>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未分配利润</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-52,013,867.94</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-207,479,768.74</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4"/>
                <w:szCs w:val="24"/>
              </w:rPr>
            </w:pPr>
            <w:r>
              <w:rPr>
                <w:rFonts w:ascii="Times New Roman"/>
                <w:sz w:val="24"/>
              </w:rPr>
              <w:t>155,465,900.8</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55"/>
              <w:ind w:left="428" w:right="66" w:hanging="360"/>
              <w:jc w:val="left"/>
              <w:rPr>
                <w:rFonts w:ascii="宋体" w:hAnsi="宋体" w:cs="宋体" w:eastAsia="宋体" w:hint="default"/>
                <w:sz w:val="24"/>
                <w:szCs w:val="24"/>
              </w:rPr>
            </w:pPr>
            <w:r>
              <w:rPr>
                <w:rFonts w:ascii="宋体" w:hAnsi="宋体" w:cs="宋体" w:eastAsia="宋体" w:hint="default"/>
                <w:sz w:val="24"/>
                <w:szCs w:val="24"/>
              </w:rPr>
              <w:t>公司营业外收入 大幅提升</w:t>
            </w:r>
          </w:p>
        </w:tc>
      </w:tr>
      <w:tr>
        <w:trPr>
          <w:trHeight w:val="961" w:hRule="exact"/>
        </w:trPr>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所有者权益</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70,958,243.82</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-84,507,656.98</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4"/>
                <w:szCs w:val="24"/>
              </w:rPr>
            </w:pPr>
            <w:r>
              <w:rPr>
                <w:rFonts w:ascii="Times New Roman"/>
                <w:sz w:val="24"/>
              </w:rPr>
              <w:t>155,465,900.8</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55"/>
              <w:ind w:left="428" w:right="66" w:hanging="360"/>
              <w:jc w:val="left"/>
              <w:rPr>
                <w:rFonts w:ascii="宋体" w:hAnsi="宋体" w:cs="宋体" w:eastAsia="宋体" w:hint="default"/>
                <w:sz w:val="24"/>
                <w:szCs w:val="24"/>
              </w:rPr>
            </w:pPr>
            <w:r>
              <w:rPr>
                <w:rFonts w:ascii="宋体" w:hAnsi="宋体" w:cs="宋体" w:eastAsia="宋体" w:hint="default"/>
                <w:sz w:val="24"/>
                <w:szCs w:val="24"/>
              </w:rPr>
              <w:t>赠与股权过户到 公司名下</w:t>
            </w:r>
          </w:p>
        </w:tc>
      </w:tr>
      <w:tr>
        <w:trPr>
          <w:trHeight w:val="961" w:hRule="exact"/>
        </w:trPr>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营业利润</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-6,971,823.55</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-13,813,368.33</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4"/>
                <w:szCs w:val="24"/>
              </w:rPr>
            </w:pPr>
            <w:r>
              <w:rPr>
                <w:rFonts w:ascii="Times New Roman"/>
                <w:sz w:val="24"/>
              </w:rPr>
              <w:t>6,841,544.8</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55"/>
              <w:ind w:left="68" w:right="66"/>
              <w:jc w:val="left"/>
              <w:rPr>
                <w:rFonts w:ascii="宋体" w:hAnsi="宋体" w:cs="宋体" w:eastAsia="宋体" w:hint="default"/>
                <w:sz w:val="24"/>
                <w:szCs w:val="24"/>
              </w:rPr>
            </w:pPr>
            <w:r>
              <w:rPr>
                <w:rFonts w:ascii="宋体" w:hAnsi="宋体" w:cs="宋体" w:eastAsia="宋体" w:hint="default"/>
                <w:sz w:val="24"/>
                <w:szCs w:val="24"/>
              </w:rPr>
              <w:t>管理费用和财务 费用的大幅下降</w:t>
            </w:r>
          </w:p>
        </w:tc>
      </w:tr>
      <w:tr>
        <w:trPr>
          <w:trHeight w:val="961" w:hRule="exact"/>
        </w:trPr>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营业外收入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208,578,842.94</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32,444,898.54</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4"/>
                <w:szCs w:val="24"/>
              </w:rPr>
            </w:pPr>
            <w:r>
              <w:rPr>
                <w:rFonts w:ascii="Times New Roman"/>
                <w:sz w:val="24"/>
              </w:rPr>
              <w:t>176,133,944.4</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4"/>
                <w:szCs w:val="24"/>
              </w:rPr>
            </w:pPr>
            <w:r>
              <w:rPr>
                <w:rFonts w:ascii="Times New Roman"/>
                <w:sz w:val="24"/>
              </w:rPr>
              <w:t>542.87%</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55"/>
              <w:ind w:left="428" w:right="66" w:hanging="360"/>
              <w:jc w:val="left"/>
              <w:rPr>
                <w:rFonts w:ascii="宋体" w:hAnsi="宋体" w:cs="宋体" w:eastAsia="宋体" w:hint="default"/>
                <w:sz w:val="24"/>
                <w:szCs w:val="24"/>
              </w:rPr>
            </w:pPr>
            <w:r>
              <w:rPr>
                <w:rFonts w:ascii="宋体" w:hAnsi="宋体" w:cs="宋体" w:eastAsia="宋体" w:hint="default"/>
                <w:sz w:val="24"/>
                <w:szCs w:val="24"/>
              </w:rPr>
              <w:t>赠与股权过户到 公司名下</w:t>
            </w:r>
          </w:p>
        </w:tc>
      </w:tr>
      <w:tr>
        <w:trPr>
          <w:trHeight w:val="961" w:hRule="exact"/>
        </w:trPr>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净利润</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155,465,900.80</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16,140,031.16</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4"/>
                <w:szCs w:val="24"/>
              </w:rPr>
            </w:pPr>
            <w:r>
              <w:rPr>
                <w:rFonts w:ascii="Times New Roman"/>
                <w:sz w:val="24"/>
              </w:rPr>
              <w:t>139,325,869.6</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4"/>
                <w:szCs w:val="24"/>
              </w:rPr>
            </w:pPr>
            <w:r>
              <w:rPr>
                <w:rFonts w:ascii="Times New Roman"/>
                <w:sz w:val="24"/>
              </w:rPr>
              <w:t>863.23%</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55"/>
              <w:ind w:left="428" w:right="66" w:hanging="360"/>
              <w:jc w:val="left"/>
              <w:rPr>
                <w:rFonts w:ascii="宋体" w:hAnsi="宋体" w:cs="宋体" w:eastAsia="宋体" w:hint="default"/>
                <w:sz w:val="24"/>
                <w:szCs w:val="24"/>
              </w:rPr>
            </w:pPr>
            <w:r>
              <w:rPr>
                <w:rFonts w:ascii="宋体" w:hAnsi="宋体" w:cs="宋体" w:eastAsia="宋体" w:hint="default"/>
                <w:sz w:val="24"/>
                <w:szCs w:val="24"/>
              </w:rPr>
              <w:t>赠与股权过户到 公司名下</w:t>
            </w:r>
          </w:p>
        </w:tc>
      </w:tr>
    </w:tbl>
    <w:p>
      <w:pPr>
        <w:spacing w:line="240" w:lineRule="auto" w:before="12"/>
        <w:rPr>
          <w:rFonts w:ascii="宋体" w:hAnsi="宋体" w:cs="宋体" w:eastAsia="宋体" w:hint="default"/>
          <w:sz w:val="24"/>
          <w:szCs w:val="24"/>
        </w:rPr>
      </w:pPr>
    </w:p>
    <w:p>
      <w:pPr>
        <w:pStyle w:val="BodyText"/>
        <w:spacing w:line="348" w:lineRule="auto" w:before="26"/>
        <w:ind w:left="658" w:right="0" w:hanging="360"/>
        <w:jc w:val="left"/>
      </w:pPr>
      <w:r>
        <w:rPr>
          <w:rFonts w:ascii="Times New Roman" w:hAnsi="Times New Roman" w:cs="Times New Roman" w:eastAsia="Times New Roman" w:hint="default"/>
        </w:rPr>
        <w:t>6</w:t>
      </w:r>
      <w:r>
        <w:rPr/>
        <w:t>、公司主要控股公司参股公司的经营情况及业绩分析 公司参股的深圳大通食品工业有限公司因经营亏损已停止生产，无实质性经营。 </w:t>
      </w:r>
      <w:r>
        <w:rPr>
          <w:rFonts w:ascii="Times New Roman" w:hAnsi="Times New Roman" w:cs="Times New Roman" w:eastAsia="Times New Roman" w:hint="default"/>
          <w:color w:val="0000FF"/>
          <w:spacing w:val="-2"/>
        </w:rPr>
        <w:t>2008</w:t>
      </w:r>
      <w:r>
        <w:rPr>
          <w:color w:val="0000FF"/>
          <w:spacing w:val="-2"/>
        </w:rPr>
        <w:t>年</w:t>
      </w:r>
      <w:r>
        <w:rPr>
          <w:rFonts w:ascii="Times New Roman" w:hAnsi="Times New Roman" w:cs="Times New Roman" w:eastAsia="Times New Roman" w:hint="default"/>
          <w:color w:val="0000FF"/>
          <w:spacing w:val="-2"/>
        </w:rPr>
        <w:t>8</w:t>
      </w:r>
      <w:r>
        <w:rPr>
          <w:color w:val="0000FF"/>
          <w:spacing w:val="-2"/>
        </w:rPr>
        <w:t>月</w:t>
      </w:r>
      <w:r>
        <w:rPr>
          <w:rFonts w:ascii="Times New Roman" w:hAnsi="Times New Roman" w:cs="Times New Roman" w:eastAsia="Times New Roman" w:hint="default"/>
          <w:color w:val="0000FF"/>
          <w:spacing w:val="-2"/>
        </w:rPr>
        <w:t>22</w:t>
      </w:r>
      <w:r>
        <w:rPr>
          <w:color w:val="0000FF"/>
          <w:spacing w:val="-2"/>
        </w:rPr>
        <w:t>日，公司与延中传媒签订资产转让协议，将公司持有的深圳大通食品工</w:t>
      </w:r>
      <w:r>
        <w:rPr>
          <w:spacing w:val="-2"/>
        </w:rPr>
      </w:r>
    </w:p>
    <w:p>
      <w:pPr>
        <w:pStyle w:val="BodyText"/>
        <w:spacing w:line="240" w:lineRule="auto" w:before="16"/>
        <w:ind w:left="298" w:right="0"/>
        <w:jc w:val="left"/>
      </w:pPr>
      <w:r>
        <w:rPr>
          <w:color w:val="0000FF"/>
        </w:rPr>
        <w:t>业有限公司股权转让给了延中传媒有限公司。</w:t>
      </w:r>
      <w:r>
        <w:rPr/>
      </w:r>
    </w:p>
    <w:p>
      <w:pPr>
        <w:pStyle w:val="BodyText"/>
        <w:spacing w:line="240" w:lineRule="auto" w:before="154"/>
        <w:ind w:left="298" w:right="0"/>
        <w:jc w:val="left"/>
      </w:pPr>
      <w:r>
        <w:rPr/>
        <w:t>（二）对公司未来发展的展望</w:t>
      </w:r>
    </w:p>
    <w:p>
      <w:pPr>
        <w:pStyle w:val="BodyText"/>
        <w:spacing w:line="348" w:lineRule="auto" w:before="154"/>
        <w:ind w:left="778" w:right="354" w:hanging="480"/>
        <w:jc w:val="left"/>
      </w:pPr>
      <w:r>
        <w:rPr>
          <w:rFonts w:ascii="Times New Roman" w:hAnsi="Times New Roman" w:cs="Times New Roman" w:eastAsia="Times New Roman" w:hint="default"/>
        </w:rPr>
        <w:t>1</w:t>
      </w:r>
      <w:r>
        <w:rPr/>
        <w:t>、公司所处行业的发展趋势及公司面临的市场竞争格局 本报告期内，公司实际所属行业于已经由国内贸易转变为房地产行业。 </w:t>
      </w:r>
      <w:r>
        <w:rPr>
          <w:spacing w:val="-3"/>
        </w:rPr>
        <w:t>近些年我国经济快速发展，人们可支配收入不断增加，高水平、多层次的住房消费</w:t>
      </w:r>
    </w:p>
    <w:p>
      <w:pPr>
        <w:spacing w:after="0" w:line="348" w:lineRule="auto"/>
        <w:jc w:val="left"/>
        <w:sectPr>
          <w:pgSz w:w="11910" w:h="16840"/>
          <w:pgMar w:header="0" w:footer="594" w:top="1400" w:bottom="800" w:left="1120" w:right="1100"/>
        </w:sectPr>
      </w:pPr>
    </w:p>
    <w:p>
      <w:pPr>
        <w:pStyle w:val="BodyText"/>
        <w:spacing w:line="357" w:lineRule="auto" w:before="13"/>
        <w:ind w:right="166"/>
        <w:jc w:val="left"/>
      </w:pPr>
      <w:r>
        <w:rPr>
          <w:spacing w:val="-3"/>
        </w:rPr>
        <w:t>性需求将逐步表现为房地产市场需求的快速增长。然而目前我国房地产市场供给还不够</w:t>
      </w:r>
      <w:r>
        <w:rPr>
          <w:spacing w:val="-95"/>
        </w:rPr>
        <w:t> </w:t>
      </w:r>
      <w:r>
        <w:rPr>
          <w:spacing w:val="-95"/>
        </w:rPr>
      </w:r>
      <w:r>
        <w:rPr/>
        <w:t>充足，供给结构还很不合理，房地产市场的消费性需求仍将保持较大规模和较快增速， 非消费性需求也将在较长时期内持续存在，住房需求的总体规模不会压缩。</w:t>
      </w:r>
    </w:p>
    <w:p>
      <w:pPr>
        <w:pStyle w:val="BodyText"/>
        <w:spacing w:line="350" w:lineRule="auto" w:before="36"/>
        <w:ind w:right="185" w:firstLine="540"/>
        <w:jc w:val="both"/>
      </w:pPr>
      <w:r>
        <w:rPr/>
        <w:t>青岛广顺公司的石雀滩项目地处青岛市黄岛区，距黄岛区政府仅</w:t>
      </w:r>
      <w:r>
        <w:rPr>
          <w:rFonts w:ascii="Times New Roman" w:hAnsi="Times New Roman" w:cs="Times New Roman" w:eastAsia="Times New Roman" w:hint="default"/>
        </w:rPr>
        <w:t>5</w:t>
      </w:r>
      <w:r>
        <w:rPr/>
        <w:t>分钟车程，南临 滨海大道，紧邻胶州湾，地理位置优越。该公司未来将受益于青岛市的整体发展战略。 </w:t>
      </w:r>
      <w:r>
        <w:rPr>
          <w:spacing w:val="-2"/>
        </w:rPr>
        <w:t>目前，青岛市正在建设青岛市至黄岛的跨海大桥和海底隧道，跨海大桥建成后，黄岛区</w:t>
      </w:r>
      <w:r>
        <w:rPr>
          <w:spacing w:val="-95"/>
        </w:rPr>
        <w:t> </w:t>
      </w:r>
      <w:r>
        <w:rPr>
          <w:spacing w:val="-95"/>
        </w:rPr>
      </w:r>
      <w:r>
        <w:rPr/>
        <w:t>到青岛市将建成大的都市圈，将极大的拉升黄岛的经济发展和房地产市场的发展。</w:t>
      </w:r>
    </w:p>
    <w:p>
      <w:pPr>
        <w:pStyle w:val="BodyText"/>
        <w:spacing w:line="357" w:lineRule="auto" w:before="43"/>
        <w:ind w:right="111" w:firstLine="540"/>
        <w:jc w:val="left"/>
      </w:pPr>
      <w:r>
        <w:rPr>
          <w:spacing w:val="-4"/>
        </w:rPr>
        <w:t>兖州海情公司的海情丽都项目位于兖州市西城区的商贸居住综合区，该区域与兖州</w:t>
      </w:r>
      <w:r>
        <w:rPr/>
        <w:t> </w:t>
      </w:r>
      <w:r>
        <w:rPr>
          <w:spacing w:val="-3"/>
        </w:rPr>
        <w:t>市政府的新址以及兖州市规划中的金融、会议、展览、教育、休闲、体育中心仅一路之</w:t>
      </w:r>
      <w:r>
        <w:rPr>
          <w:spacing w:val="-90"/>
        </w:rPr>
        <w:t> </w:t>
      </w:r>
      <w:r>
        <w:rPr>
          <w:spacing w:val="-90"/>
        </w:rPr>
      </w:r>
      <w:r>
        <w:rPr>
          <w:spacing w:val="-6"/>
        </w:rPr>
        <w:t>隔，区域西北为新建成的足球学校和孔子学校，北侧为党校、电信局、自来水厂和医院，</w:t>
      </w:r>
      <w:r>
        <w:rPr>
          <w:spacing w:val="-89"/>
        </w:rPr>
        <w:t> </w:t>
      </w:r>
      <w:r>
        <w:rPr>
          <w:spacing w:val="-89"/>
        </w:rPr>
      </w:r>
      <w:r>
        <w:rPr>
          <w:spacing w:val="-3"/>
        </w:rPr>
        <w:t>东侧有中学和小学，该地理位置得天独厚，是不可多得的黄金地段。同时，兖州海情丽</w:t>
      </w:r>
      <w:r>
        <w:rPr>
          <w:spacing w:val="-88"/>
        </w:rPr>
        <w:t> </w:t>
      </w:r>
      <w:r>
        <w:rPr>
          <w:spacing w:val="-88"/>
        </w:rPr>
      </w:r>
      <w:r>
        <w:rPr>
          <w:spacing w:val="-4"/>
        </w:rPr>
        <w:t>都项目已经被国家评为最高级别的“康居工程”，拟建成兖州市的示范居住小区，将本</w:t>
      </w:r>
      <w:r>
        <w:rPr>
          <w:spacing w:val="-88"/>
        </w:rPr>
        <w:t> </w:t>
      </w:r>
      <w:r>
        <w:rPr>
          <w:spacing w:val="-88"/>
        </w:rPr>
      </w:r>
      <w:r>
        <w:rPr/>
        <w:t>社区打造为地标性的楼盘。公司拟开发的海情丽都项目在兖州有着比较大的竞争优势。</w:t>
      </w:r>
    </w:p>
    <w:p>
      <w:pPr>
        <w:spacing w:line="240" w:lineRule="auto" w:before="0"/>
        <w:rPr>
          <w:rFonts w:ascii="宋体" w:hAnsi="宋体" w:cs="宋体" w:eastAsia="宋体" w:hint="default"/>
          <w:sz w:val="24"/>
          <w:szCs w:val="24"/>
        </w:rPr>
      </w:pPr>
    </w:p>
    <w:p>
      <w:pPr>
        <w:pStyle w:val="BodyText"/>
        <w:spacing w:line="240" w:lineRule="auto" w:before="190"/>
        <w:ind w:right="111"/>
        <w:jc w:val="left"/>
      </w:pPr>
      <w:r>
        <w:rPr/>
        <w:t>2、公司发展战略和新年度经营计划</w:t>
      </w:r>
    </w:p>
    <w:p>
      <w:pPr>
        <w:pStyle w:val="BodyText"/>
        <w:spacing w:line="357" w:lineRule="auto" w:before="154"/>
        <w:ind w:left="598" w:right="111" w:hanging="480"/>
        <w:jc w:val="left"/>
      </w:pPr>
      <w:r>
        <w:rPr/>
        <w:t>（1）战略转型及发展计划 </w:t>
      </w:r>
      <w:r>
        <w:rPr>
          <w:spacing w:val="-2"/>
        </w:rPr>
        <w:t>新年度公司将继续推进公司的资产重组计划，尽快完成股权分置改革工作，进一步</w:t>
      </w:r>
    </w:p>
    <w:p>
      <w:pPr>
        <w:pStyle w:val="BodyText"/>
        <w:spacing w:line="357" w:lineRule="auto" w:before="36"/>
        <w:ind w:right="111"/>
        <w:jc w:val="left"/>
      </w:pPr>
      <w:r>
        <w:rPr>
          <w:spacing w:val="-2"/>
        </w:rPr>
        <w:t>推进公司或有负债的彻底解决，同时深大通将继续剥离除本次亚星实业赠与的股权外的</w:t>
      </w:r>
      <w:r>
        <w:rPr>
          <w:spacing w:val="-95"/>
        </w:rPr>
        <w:t> </w:t>
      </w:r>
      <w:r>
        <w:rPr>
          <w:spacing w:val="-95"/>
        </w:rPr>
      </w:r>
      <w:r>
        <w:rPr/>
        <w:t>全部资产和银行负债外的全部债务。</w:t>
      </w:r>
    </w:p>
    <w:p>
      <w:pPr>
        <w:pStyle w:val="BodyText"/>
        <w:spacing w:line="357" w:lineRule="auto" w:before="36"/>
        <w:ind w:right="234" w:firstLine="480"/>
        <w:jc w:val="both"/>
      </w:pPr>
      <w:r>
        <w:rPr>
          <w:spacing w:val="-2"/>
        </w:rPr>
        <w:t>由于现在公司主营业务已经变更为房地产开发和经营，公司将在新的年度内转变经</w:t>
      </w:r>
      <w:r>
        <w:rPr/>
        <w:t> </w:t>
      </w:r>
      <w:r>
        <w:rPr>
          <w:spacing w:val="-2"/>
        </w:rPr>
        <w:t>营思路，完善公司的房地产开发业务经营体系。根据房地产行业的特点，完善公司的内</w:t>
      </w:r>
      <w:r>
        <w:rPr>
          <w:spacing w:val="-95"/>
        </w:rPr>
        <w:t> </w:t>
      </w:r>
      <w:r>
        <w:rPr>
          <w:spacing w:val="-95"/>
        </w:rPr>
      </w:r>
      <w:r>
        <w:rPr/>
        <w:t>部控制体系，进一步加强公司的可持续发展能力，加强上市公司的竞争能力。</w:t>
      </w:r>
    </w:p>
    <w:p>
      <w:pPr>
        <w:pStyle w:val="BodyText"/>
        <w:spacing w:line="357" w:lineRule="auto" w:before="36"/>
        <w:ind w:right="6766"/>
        <w:jc w:val="left"/>
      </w:pPr>
      <w:r>
        <w:rPr/>
        <w:t>（2）主要措施 1）继续推进重组计划。</w:t>
      </w:r>
    </w:p>
    <w:p>
      <w:pPr>
        <w:pStyle w:val="BodyText"/>
        <w:spacing w:line="357" w:lineRule="auto" w:before="36"/>
        <w:ind w:right="111"/>
        <w:jc w:val="left"/>
      </w:pPr>
      <w:r>
        <w:rPr/>
        <w:t>2）完善上市公司的人员结构，建立健全各岗位职能制度，完善考核体系，强化工作质 量和效率，加大员工教育培训力度提升服务技能。 3）但由于目前公司原主营业务已经停止，很多内部控制制度已不适用。目前公司正在 </w:t>
      </w:r>
      <w:r>
        <w:rPr>
          <w:spacing w:val="-3"/>
        </w:rPr>
        <w:t>重组，公司主营业务已经转变为房地产。为此，公司将根据主业调整的情况，全面提升</w:t>
      </w:r>
      <w:r>
        <w:rPr>
          <w:spacing w:val="-88"/>
        </w:rPr>
        <w:t> </w:t>
      </w:r>
      <w:r>
        <w:rPr>
          <w:spacing w:val="-88"/>
        </w:rPr>
      </w:r>
      <w:r>
        <w:rPr>
          <w:spacing w:val="-3"/>
        </w:rPr>
        <w:t>管理水平，继续推行公司治理结构、内部控制制度、管理体系建设，促进公司管理向法</w:t>
      </w:r>
      <w:r>
        <w:rPr/>
      </w:r>
    </w:p>
    <w:p>
      <w:pPr>
        <w:spacing w:after="0" w:line="357" w:lineRule="auto"/>
        <w:jc w:val="left"/>
        <w:sectPr>
          <w:pgSz w:w="11910" w:h="16840"/>
          <w:pgMar w:header="0" w:footer="594" w:top="1500" w:bottom="800" w:left="1300" w:right="1180"/>
        </w:sectPr>
      </w:pPr>
    </w:p>
    <w:p>
      <w:pPr>
        <w:pStyle w:val="BodyText"/>
        <w:spacing w:line="357" w:lineRule="auto" w:before="13"/>
        <w:ind w:right="94"/>
        <w:jc w:val="left"/>
      </w:pPr>
      <w:r>
        <w:rPr>
          <w:spacing w:val="-3"/>
        </w:rPr>
        <w:t>制化、程序化、规范化、标准化轨道迈进，以使上市公司的治理结构、内部控制和风险</w:t>
      </w:r>
      <w:r>
        <w:rPr>
          <w:spacing w:val="-89"/>
        </w:rPr>
        <w:t> </w:t>
      </w:r>
      <w:r>
        <w:rPr>
          <w:spacing w:val="-89"/>
        </w:rPr>
      </w:r>
      <w:r>
        <w:rPr/>
        <w:t>控制体系符合上市公司的规范要求。</w:t>
      </w:r>
    </w:p>
    <w:p>
      <w:pPr>
        <w:spacing w:line="240" w:lineRule="auto" w:before="0"/>
        <w:rPr>
          <w:rFonts w:ascii="宋体" w:hAnsi="宋体" w:cs="宋体" w:eastAsia="宋体" w:hint="default"/>
          <w:sz w:val="24"/>
          <w:szCs w:val="24"/>
        </w:rPr>
      </w:pPr>
    </w:p>
    <w:p>
      <w:pPr>
        <w:pStyle w:val="BodyText"/>
        <w:spacing w:line="357" w:lineRule="auto" w:before="190"/>
        <w:ind w:left="598" w:right="94" w:hanging="360"/>
        <w:jc w:val="left"/>
      </w:pPr>
      <w:r>
        <w:rPr/>
        <w:t>（3）公司未来发展所需的资金需求、使用及来源计划 </w:t>
      </w:r>
      <w:r>
        <w:rPr>
          <w:spacing w:val="-2"/>
        </w:rPr>
        <w:t>公司可以通过多种方式进行融资来解决资金问题，包括自有资金、销售回款、地产</w:t>
      </w:r>
    </w:p>
    <w:p>
      <w:pPr>
        <w:pStyle w:val="BodyText"/>
        <w:spacing w:line="357" w:lineRule="auto" w:before="36"/>
        <w:ind w:right="113"/>
        <w:jc w:val="both"/>
      </w:pPr>
      <w:r>
        <w:rPr>
          <w:spacing w:val="-2"/>
        </w:rPr>
        <w:t>业务正常所需的房地产开发贷款等方式来解决。公司将做好充分的统筹安排、严格做到</w:t>
      </w:r>
      <w:r>
        <w:rPr>
          <w:spacing w:val="-96"/>
        </w:rPr>
        <w:t> </w:t>
      </w:r>
      <w:r>
        <w:rPr>
          <w:spacing w:val="-96"/>
        </w:rPr>
      </w:r>
      <w:r>
        <w:rPr>
          <w:spacing w:val="-2"/>
        </w:rPr>
        <w:t>资金的专款专用，同时做好开源节流工作，力争在提升经营收入的同时，控制费用，配</w:t>
      </w:r>
      <w:r>
        <w:rPr>
          <w:spacing w:val="-94"/>
        </w:rPr>
        <w:t> </w:t>
      </w:r>
      <w:r>
        <w:rPr>
          <w:spacing w:val="-94"/>
        </w:rPr>
      </w:r>
      <w:r>
        <w:rPr>
          <w:spacing w:val="-2"/>
        </w:rPr>
        <w:t>合资产重组。同时，公司全面推行预算管理，把预算管理作为运营控制管理中的核心工</w:t>
      </w:r>
      <w:r>
        <w:rPr>
          <w:spacing w:val="-95"/>
        </w:rPr>
        <w:t> </w:t>
      </w:r>
      <w:r>
        <w:rPr>
          <w:spacing w:val="-95"/>
        </w:rPr>
      </w:r>
      <w:r>
        <w:rPr/>
        <w:t>作。</w:t>
      </w:r>
    </w:p>
    <w:p>
      <w:pPr>
        <w:pStyle w:val="BodyText"/>
        <w:spacing w:line="357" w:lineRule="auto" w:before="36"/>
        <w:ind w:left="478" w:right="5686" w:hanging="360"/>
        <w:jc w:val="left"/>
      </w:pPr>
      <w:r>
        <w:rPr/>
        <w:t>（4）未来发展面临的风险和措施 1）经营风险</w:t>
      </w:r>
    </w:p>
    <w:p>
      <w:pPr>
        <w:pStyle w:val="BodyText"/>
        <w:spacing w:line="357" w:lineRule="auto" w:before="36"/>
        <w:ind w:right="152" w:firstLine="480"/>
        <w:jc w:val="both"/>
      </w:pPr>
      <w:r>
        <w:rPr/>
        <w:t>自 2006</w:t>
      </w:r>
      <w:r>
        <w:rPr>
          <w:spacing w:val="-90"/>
        </w:rPr>
        <w:t> </w:t>
      </w:r>
      <w:r>
        <w:rPr/>
        <w:t>年起，整个房地产行业面临着过快发展的问题，尤其是房价的过快上涨，</w:t>
      </w:r>
      <w:r>
        <w:rPr/>
        <w:t> </w:t>
      </w:r>
      <w:r>
        <w:rPr>
          <w:spacing w:val="-3"/>
        </w:rPr>
        <w:t>使得国家对房地产业转而采取抑制的措施，收紧对于房地产公司的贷款，收紧土地的管</w:t>
      </w:r>
      <w:r>
        <w:rPr>
          <w:spacing w:val="-96"/>
        </w:rPr>
        <w:t> </w:t>
      </w:r>
      <w:r>
        <w:rPr>
          <w:spacing w:val="-96"/>
        </w:rPr>
      </w:r>
      <w:r>
        <w:rPr>
          <w:spacing w:val="-3"/>
        </w:rPr>
        <w:t>理，加大措施平抑房价，通过推出限价房、普通商品房、提高预售条件，强制规定小户</w:t>
      </w:r>
      <w:r>
        <w:rPr>
          <w:spacing w:val="-96"/>
        </w:rPr>
        <w:t> </w:t>
      </w:r>
      <w:r>
        <w:rPr>
          <w:spacing w:val="-96"/>
        </w:rPr>
      </w:r>
      <w:r>
        <w:rPr/>
        <w:t>型的比例等措施来控制房地产的泡沫继续膨胀。进入 2008</w:t>
      </w:r>
      <w:r>
        <w:rPr>
          <w:spacing w:val="-90"/>
        </w:rPr>
        <w:t> </w:t>
      </w:r>
      <w:r>
        <w:rPr/>
        <w:t>年后，国家的宏观调控政策</w:t>
      </w:r>
      <w:r>
        <w:rPr/>
        <w:t> </w:t>
      </w:r>
      <w:r>
        <w:rPr>
          <w:spacing w:val="-3"/>
        </w:rPr>
        <w:t>的效果逐渐显现，同时，由于国际上房地产市场的整体萎靡，加之由于国际次级抵押债</w:t>
      </w:r>
      <w:r>
        <w:rPr>
          <w:spacing w:val="-96"/>
        </w:rPr>
        <w:t> </w:t>
      </w:r>
      <w:r>
        <w:rPr>
          <w:spacing w:val="-96"/>
        </w:rPr>
      </w:r>
      <w:r>
        <w:rPr>
          <w:spacing w:val="-3"/>
        </w:rPr>
        <w:t>权引起的金融风暴的影响，使得实体经济也受到冲击，在一段时间内房地产市场价格面</w:t>
      </w:r>
      <w:r>
        <w:rPr>
          <w:spacing w:val="-96"/>
        </w:rPr>
        <w:t> </w:t>
      </w:r>
      <w:r>
        <w:rPr>
          <w:spacing w:val="-96"/>
        </w:rPr>
      </w:r>
      <w:r>
        <w:rPr/>
        <w:t>临着下调，成交量持续低迷，整个房地产行业面临着比较大的压力。</w:t>
      </w:r>
    </w:p>
    <w:p>
      <w:pPr>
        <w:pStyle w:val="BodyText"/>
        <w:spacing w:line="357" w:lineRule="auto" w:before="36"/>
        <w:ind w:right="112" w:firstLine="540"/>
        <w:jc w:val="both"/>
      </w:pPr>
      <w:r>
        <w:rPr>
          <w:spacing w:val="-4"/>
        </w:rPr>
        <w:t>对策：公司将针对目前的宏观调控的制定公司的相应措施，一方面公司做好资金链</w:t>
      </w:r>
      <w:r>
        <w:rPr/>
        <w:t> </w:t>
      </w:r>
      <w:r>
        <w:rPr>
          <w:spacing w:val="-3"/>
        </w:rPr>
        <w:t>的控制管理，拓宽公司的融资渠道，保证公司的经营上资金需要；另一方面，根据国家</w:t>
      </w:r>
      <w:r>
        <w:rPr>
          <w:spacing w:val="-88"/>
        </w:rPr>
        <w:t> </w:t>
      </w:r>
      <w:r>
        <w:rPr>
          <w:spacing w:val="-88"/>
        </w:rPr>
      </w:r>
      <w:r>
        <w:rPr/>
        <w:t>的相关调控政策，公司应在经营的各方面进行调整，以适应宏观调整的要求。</w:t>
      </w:r>
    </w:p>
    <w:p>
      <w:pPr>
        <w:spacing w:line="240" w:lineRule="auto" w:before="0"/>
        <w:rPr>
          <w:rFonts w:ascii="宋体" w:hAnsi="宋体" w:cs="宋体" w:eastAsia="宋体" w:hint="default"/>
          <w:sz w:val="24"/>
          <w:szCs w:val="24"/>
        </w:rPr>
      </w:pPr>
    </w:p>
    <w:p>
      <w:pPr>
        <w:pStyle w:val="BodyText"/>
        <w:spacing w:line="240" w:lineRule="auto" w:before="190"/>
        <w:ind w:right="0"/>
        <w:jc w:val="both"/>
      </w:pPr>
      <w:r>
        <w:rPr>
          <w:rFonts w:ascii="Times New Roman" w:hAnsi="Times New Roman" w:cs="Times New Roman" w:eastAsia="Times New Roman" w:hint="default"/>
        </w:rPr>
        <w:t>3</w:t>
      </w:r>
      <w:r>
        <w:rPr/>
        <w:t>、执行新企业会计准则后，公司不会发生的会计政策、会计估计的变化。</w:t>
      </w:r>
    </w:p>
    <w:p>
      <w:pPr>
        <w:pStyle w:val="BodyText"/>
        <w:spacing w:line="240" w:lineRule="auto"/>
        <w:ind w:right="0"/>
        <w:jc w:val="both"/>
      </w:pPr>
      <w:r>
        <w:rPr/>
        <w:t>（三）公司投资情况</w:t>
      </w:r>
    </w:p>
    <w:p>
      <w:pPr>
        <w:pStyle w:val="BodyText"/>
        <w:spacing w:line="240" w:lineRule="auto" w:before="154"/>
        <w:ind w:right="0"/>
        <w:jc w:val="both"/>
      </w:pPr>
      <w:r>
        <w:rPr>
          <w:rFonts w:ascii="Times New Roman" w:hAnsi="Times New Roman" w:cs="Times New Roman" w:eastAsia="Times New Roman" w:hint="default"/>
        </w:rPr>
        <w:t>1</w:t>
      </w:r>
      <w:r>
        <w:rPr/>
        <w:t>、本年度无募集资金使用情况</w:t>
      </w:r>
    </w:p>
    <w:p>
      <w:pPr>
        <w:pStyle w:val="BodyText"/>
        <w:spacing w:line="240" w:lineRule="auto"/>
        <w:ind w:right="0"/>
        <w:jc w:val="both"/>
      </w:pPr>
      <w:r>
        <w:rPr>
          <w:rFonts w:ascii="Times New Roman" w:hAnsi="Times New Roman" w:cs="Times New Roman" w:eastAsia="Times New Roman" w:hint="default"/>
        </w:rPr>
        <w:t>2</w:t>
      </w:r>
      <w:r>
        <w:rPr/>
        <w:t>、本年度非募集资金投资的重大项目情况</w:t>
      </w:r>
    </w:p>
    <w:p>
      <w:pPr>
        <w:pStyle w:val="BodyText"/>
        <w:spacing w:line="357" w:lineRule="auto"/>
        <w:ind w:right="1486"/>
        <w:jc w:val="left"/>
      </w:pPr>
      <w:r>
        <w:rPr/>
        <w:t>（四）执行企业新会计准则后，公司可能发生的会计政策、会计估计变更 及其对公司财务状况和经营成果的影响情况。</w:t>
      </w:r>
    </w:p>
    <w:p>
      <w:pPr>
        <w:pStyle w:val="BodyText"/>
        <w:spacing w:line="240" w:lineRule="auto" w:before="36"/>
        <w:ind w:left="598" w:right="94"/>
        <w:jc w:val="left"/>
      </w:pPr>
      <w:r>
        <w:rPr/>
        <w:t>执行企业新会计准则后，不会对公司财务状况和经营成果的产生影响。</w:t>
      </w:r>
    </w:p>
    <w:p>
      <w:pPr>
        <w:spacing w:after="0" w:line="240" w:lineRule="auto"/>
        <w:jc w:val="left"/>
        <w:sectPr>
          <w:pgSz w:w="11910" w:h="16840"/>
          <w:pgMar w:header="0" w:footer="594" w:top="1500" w:bottom="800" w:left="1300" w:right="1300"/>
        </w:sectPr>
      </w:pPr>
    </w:p>
    <w:p>
      <w:pPr>
        <w:pStyle w:val="BodyText"/>
        <w:spacing w:line="240" w:lineRule="auto" w:before="13"/>
        <w:ind w:right="94"/>
        <w:jc w:val="left"/>
      </w:pPr>
      <w:r>
        <w:rPr/>
        <w:t>（五）董事会日常工作情况</w:t>
      </w:r>
    </w:p>
    <w:p>
      <w:pPr>
        <w:pStyle w:val="BodyText"/>
        <w:spacing w:line="240" w:lineRule="auto" w:before="154"/>
        <w:ind w:right="94"/>
        <w:jc w:val="left"/>
      </w:pPr>
      <w:r>
        <w:rPr>
          <w:rFonts w:ascii="Times New Roman" w:hAnsi="Times New Roman" w:cs="Times New Roman" w:eastAsia="Times New Roman" w:hint="default"/>
        </w:rPr>
        <w:t>1</w:t>
      </w:r>
      <w:r>
        <w:rPr/>
        <w:t>、报告期内，公司共召开十二次董事会会议，会议的程序和议案均符合《公司法》和</w:t>
      </w:r>
    </w:p>
    <w:p>
      <w:pPr>
        <w:pStyle w:val="BodyText"/>
        <w:spacing w:line="240" w:lineRule="auto"/>
        <w:ind w:right="94"/>
        <w:jc w:val="left"/>
      </w:pPr>
      <w:r>
        <w:rPr/>
        <w:t>《公司章程》的规定，具体情况如下：</w:t>
      </w:r>
    </w:p>
    <w:p>
      <w:pPr>
        <w:pStyle w:val="BodyText"/>
        <w:spacing w:line="340" w:lineRule="auto" w:before="154"/>
        <w:ind w:right="97"/>
        <w:jc w:val="left"/>
      </w:pPr>
      <w:r>
        <w:rPr>
          <w:spacing w:val="-2"/>
        </w:rPr>
        <w:t>（</w:t>
      </w:r>
      <w:r>
        <w:rPr>
          <w:rFonts w:ascii="Times New Roman" w:hAnsi="Times New Roman" w:cs="Times New Roman" w:eastAsia="Times New Roman" w:hint="default"/>
          <w:spacing w:val="-2"/>
        </w:rPr>
        <w:t>1</w:t>
      </w:r>
      <w:r>
        <w:rPr>
          <w:spacing w:val="-2"/>
        </w:rPr>
        <w:t>）</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28</w:t>
      </w:r>
      <w:r>
        <w:rPr>
          <w:spacing w:val="-2"/>
        </w:rPr>
        <w:t>日公司第六届董事会第八次会议在深圳都市阳光名苑</w:t>
      </w:r>
      <w:r>
        <w:rPr>
          <w:rFonts w:ascii="Times New Roman" w:hAnsi="Times New Roman" w:cs="Times New Roman" w:eastAsia="Times New Roman" w:hint="default"/>
          <w:spacing w:val="-2"/>
        </w:rPr>
        <w:t>CEO</w:t>
      </w:r>
      <w:r>
        <w:rPr>
          <w:spacing w:val="-2"/>
        </w:rPr>
        <w:t>商务中心二</w:t>
      </w:r>
      <w:r>
        <w:rPr>
          <w:spacing w:val="-88"/>
        </w:rPr>
        <w:t> </w:t>
      </w:r>
      <w:r>
        <w:rPr/>
        <w:t>楼会议室以现场投票的形式召开。会议应参加董事</w:t>
      </w:r>
      <w:r>
        <w:rPr>
          <w:rFonts w:ascii="Times New Roman" w:hAnsi="Times New Roman" w:cs="Times New Roman" w:eastAsia="Times New Roman" w:hint="default"/>
        </w:rPr>
        <w:t>7</w:t>
      </w:r>
      <w:r>
        <w:rPr>
          <w:rFonts w:ascii="Times New Roman" w:hAnsi="Times New Roman" w:cs="Times New Roman" w:eastAsia="Times New Roman" w:hint="default"/>
          <w:spacing w:val="54"/>
        </w:rPr>
        <w:t> </w:t>
      </w:r>
      <w:r>
        <w:rPr>
          <w:spacing w:val="-3"/>
        </w:rPr>
        <w:t>人，独立董事邓朝晖先生、董事胡</w:t>
      </w:r>
      <w:r>
        <w:rPr/>
        <w:t> </w:t>
      </w:r>
      <w:r>
        <w:rPr>
          <w:spacing w:val="-2"/>
        </w:rPr>
        <w:t>滨先生因工作原因未能亲临现场，分别授权独立董事张永国、董事毛诚先生代为行使表</w:t>
      </w:r>
      <w:r>
        <w:rPr>
          <w:spacing w:val="-96"/>
        </w:rPr>
        <w:t> </w:t>
      </w:r>
      <w:r>
        <w:rPr>
          <w:spacing w:val="-96"/>
        </w:rPr>
      </w:r>
      <w:r>
        <w:rPr/>
        <w:t>决权，实际参加董事</w:t>
      </w:r>
      <w:r>
        <w:rPr>
          <w:rFonts w:ascii="Times New Roman" w:hAnsi="Times New Roman" w:cs="Times New Roman" w:eastAsia="Times New Roman" w:hint="default"/>
        </w:rPr>
        <w:t>5</w:t>
      </w:r>
      <w:r>
        <w:rPr/>
        <w:t>人。本次会议由公司董事长高海波先生主持，公司监事及部分高 管列席会议</w:t>
      </w:r>
      <w:r>
        <w:rPr>
          <w:rFonts w:ascii="Times New Roman" w:hAnsi="Times New Roman" w:cs="Times New Roman" w:eastAsia="Times New Roman" w:hint="default"/>
        </w:rPr>
        <w:t>, </w:t>
      </w:r>
      <w:r>
        <w:rPr/>
        <w:t>会议经审议形成以下决议： </w:t>
      </w:r>
      <w:r>
        <w:rPr>
          <w:rFonts w:ascii="Times New Roman" w:hAnsi="Times New Roman" w:cs="Times New Roman" w:eastAsia="Times New Roman" w:hint="default"/>
        </w:rPr>
        <w:t>1</w:t>
      </w:r>
      <w:r>
        <w:rPr/>
        <w:t>）审议通过关于青岛亚星实业有限公司赠与资产之关联交易的议案；</w:t>
      </w:r>
    </w:p>
    <w:p>
      <w:pPr>
        <w:pStyle w:val="BodyText"/>
        <w:spacing w:line="240" w:lineRule="auto" w:before="24"/>
        <w:ind w:left="238" w:right="94"/>
        <w:jc w:val="left"/>
      </w:pPr>
      <w:r>
        <w:rPr>
          <w:rFonts w:ascii="Times New Roman" w:hAnsi="Times New Roman" w:cs="Times New Roman" w:eastAsia="Times New Roman" w:hint="default"/>
        </w:rPr>
        <w:t>2</w:t>
      </w:r>
      <w:r>
        <w:rPr/>
        <w:t>）审议通过关于公司以公积金向全体流通股股东定向转增股本的议案；</w:t>
      </w:r>
    </w:p>
    <w:p>
      <w:pPr>
        <w:pStyle w:val="BodyText"/>
        <w:spacing w:line="240" w:lineRule="auto"/>
        <w:ind w:left="238" w:right="94"/>
        <w:jc w:val="left"/>
      </w:pPr>
      <w:r>
        <w:rPr>
          <w:rFonts w:ascii="Times New Roman" w:hAnsi="Times New Roman" w:cs="Times New Roman" w:eastAsia="Times New Roman" w:hint="default"/>
        </w:rPr>
        <w:t>3</w:t>
      </w:r>
      <w:r>
        <w:rPr/>
        <w:t>）审议通过关于青岛亚星实业有限公司承担公司或有负债清偿责任的议案；</w:t>
      </w:r>
    </w:p>
    <w:p>
      <w:pPr>
        <w:pStyle w:val="BodyText"/>
        <w:spacing w:line="240" w:lineRule="auto"/>
        <w:ind w:left="238" w:right="94"/>
        <w:jc w:val="left"/>
      </w:pPr>
      <w:r>
        <w:rPr>
          <w:rFonts w:ascii="Times New Roman" w:hAnsi="Times New Roman" w:cs="Times New Roman" w:eastAsia="Times New Roman" w:hint="default"/>
        </w:rPr>
        <w:t>4</w:t>
      </w:r>
      <w:r>
        <w:rPr/>
        <w:t>）审议通过关于青岛亚星实业有限公司提出的挽救公司严重财务困难方案的议案；</w:t>
      </w:r>
    </w:p>
    <w:p>
      <w:pPr>
        <w:pStyle w:val="BodyText"/>
        <w:spacing w:line="240" w:lineRule="auto"/>
        <w:ind w:left="238" w:right="94"/>
        <w:jc w:val="left"/>
      </w:pPr>
      <w:r>
        <w:rPr>
          <w:rFonts w:ascii="Times New Roman" w:hAnsi="Times New Roman" w:cs="Times New Roman" w:eastAsia="Times New Roman" w:hint="default"/>
        </w:rPr>
        <w:t>5</w:t>
      </w:r>
      <w:r>
        <w:rPr/>
        <w:t>）审议通过关于公司</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30</w:t>
      </w:r>
      <w:r>
        <w:rPr/>
        <w:t>日财务报告《审计报告》的议案；</w:t>
      </w:r>
    </w:p>
    <w:p>
      <w:pPr>
        <w:pStyle w:val="BodyText"/>
        <w:spacing w:line="240" w:lineRule="auto"/>
        <w:ind w:left="238" w:right="94"/>
        <w:jc w:val="left"/>
      </w:pPr>
      <w:r>
        <w:rPr>
          <w:rFonts w:ascii="Times New Roman" w:hAnsi="Times New Roman" w:cs="Times New Roman" w:eastAsia="Times New Roman" w:hint="default"/>
        </w:rPr>
        <w:t>6</w:t>
      </w:r>
      <w:r>
        <w:rPr/>
        <w:t>）审议通过关于召开公司</w:t>
      </w:r>
      <w:r>
        <w:rPr>
          <w:rFonts w:ascii="Times New Roman" w:hAnsi="Times New Roman" w:cs="Times New Roman" w:eastAsia="Times New Roman" w:hint="default"/>
        </w:rPr>
        <w:t>2008</w:t>
      </w:r>
      <w:r>
        <w:rPr/>
        <w:t>年第一次临时股东大会暨相关股东会议的议案；</w:t>
      </w:r>
    </w:p>
    <w:p>
      <w:pPr>
        <w:pStyle w:val="BodyText"/>
        <w:spacing w:line="240" w:lineRule="auto"/>
        <w:ind w:left="238" w:right="94"/>
        <w:jc w:val="left"/>
      </w:pPr>
      <w:r>
        <w:rPr>
          <w:rFonts w:ascii="Times New Roman" w:hAnsi="Times New Roman" w:cs="Times New Roman" w:eastAsia="Times New Roman" w:hint="default"/>
        </w:rPr>
        <w:t>7</w:t>
      </w:r>
      <w:r>
        <w:rPr/>
        <w:t>）审议通过关于召开公司</w:t>
      </w:r>
      <w:r>
        <w:rPr>
          <w:rFonts w:ascii="Times New Roman" w:hAnsi="Times New Roman" w:cs="Times New Roman" w:eastAsia="Times New Roman" w:hint="default"/>
        </w:rPr>
        <w:t>2008</w:t>
      </w:r>
      <w:r>
        <w:rPr/>
        <w:t>年第二次临时股东大会的议案；</w:t>
      </w:r>
    </w:p>
    <w:p>
      <w:pPr>
        <w:pStyle w:val="BodyText"/>
        <w:spacing w:line="240" w:lineRule="auto"/>
        <w:ind w:left="238" w:right="94"/>
        <w:jc w:val="left"/>
      </w:pPr>
      <w:r>
        <w:rPr>
          <w:rFonts w:ascii="Times New Roman" w:hAnsi="Times New Roman" w:cs="Times New Roman" w:eastAsia="Times New Roman" w:hint="default"/>
        </w:rPr>
        <w:t>8</w:t>
      </w:r>
      <w:r>
        <w:rPr/>
        <w:t>）审议通过制定《信息披露内控管理制度》的议案。</w:t>
      </w:r>
    </w:p>
    <w:p>
      <w:pPr>
        <w:pStyle w:val="BodyText"/>
        <w:spacing w:line="338" w:lineRule="auto"/>
        <w:ind w:right="106"/>
        <w:jc w:val="left"/>
      </w:pPr>
      <w:r>
        <w:rPr>
          <w:spacing w:val="-2"/>
        </w:rPr>
        <w:t>（</w:t>
      </w:r>
      <w:r>
        <w:rPr>
          <w:rFonts w:ascii="Times New Roman" w:hAnsi="Times New Roman" w:cs="Times New Roman" w:eastAsia="Times New Roman" w:hint="default"/>
          <w:spacing w:val="-2"/>
        </w:rPr>
        <w:t>2</w:t>
      </w:r>
      <w:r>
        <w:rPr>
          <w:spacing w:val="-2"/>
        </w:rPr>
        <w:t>）</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26</w:t>
      </w:r>
      <w:r>
        <w:rPr>
          <w:spacing w:val="-2"/>
        </w:rPr>
        <w:t>日公司第六届董事会第九次会议以通讯表决的方式召开。会议应参加</w:t>
      </w:r>
      <w:r>
        <w:rPr>
          <w:spacing w:val="-88"/>
        </w:rPr>
        <w:t> </w:t>
      </w:r>
      <w:r>
        <w:rPr>
          <w:spacing w:val="-88"/>
        </w:rPr>
      </w:r>
      <w:r>
        <w:rPr/>
        <w:t>董事</w:t>
      </w:r>
      <w:r>
        <w:rPr>
          <w:rFonts w:ascii="Times New Roman" w:hAnsi="Times New Roman" w:cs="Times New Roman" w:eastAsia="Times New Roman" w:hint="default"/>
        </w:rPr>
        <w:t>7 </w:t>
      </w:r>
      <w:r>
        <w:rPr/>
        <w:t>人，实际及授权参加董事</w:t>
      </w:r>
      <w:r>
        <w:rPr>
          <w:rFonts w:ascii="Times New Roman" w:hAnsi="Times New Roman" w:cs="Times New Roman" w:eastAsia="Times New Roman" w:hint="default"/>
        </w:rPr>
        <w:t>7 </w:t>
      </w:r>
      <w:r>
        <w:rPr/>
        <w:t>人。会议形成以下决议： </w:t>
      </w:r>
      <w:r>
        <w:rPr>
          <w:rFonts w:ascii="Times New Roman" w:hAnsi="Times New Roman" w:cs="Times New Roman" w:eastAsia="Times New Roman" w:hint="default"/>
        </w:rPr>
        <w:t>1</w:t>
      </w:r>
      <w:r>
        <w:rPr/>
        <w:t>）审议通过了公司以公积金向全体流通股股东定向转增股本的比例由每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1.5</w:t>
      </w:r>
      <w:r>
        <w:rPr/>
        <w:t>股 调整为每</w:t>
      </w:r>
      <w:r>
        <w:rPr>
          <w:rFonts w:ascii="Times New Roman" w:hAnsi="Times New Roman" w:cs="Times New Roman" w:eastAsia="Times New Roman" w:hint="default"/>
        </w:rPr>
        <w:t>10</w:t>
      </w:r>
      <w:r>
        <w:rPr/>
        <w:t>股转增为</w:t>
      </w:r>
      <w:r>
        <w:rPr>
          <w:rFonts w:ascii="Times New Roman" w:hAnsi="Times New Roman" w:cs="Times New Roman" w:eastAsia="Times New Roman" w:hint="default"/>
        </w:rPr>
        <w:t>3</w:t>
      </w:r>
      <w:r>
        <w:rPr/>
        <w:t>股的议案； </w:t>
      </w:r>
      <w:r>
        <w:rPr>
          <w:rFonts w:ascii="Times New Roman" w:hAnsi="Times New Roman" w:cs="Times New Roman" w:eastAsia="Times New Roman" w:hint="default"/>
        </w:rPr>
        <w:t>2</w:t>
      </w:r>
      <w:r>
        <w:rPr/>
        <w:t>）审议通过了决定召开公司</w:t>
      </w:r>
      <w:r>
        <w:rPr>
          <w:rFonts w:ascii="Times New Roman" w:hAnsi="Times New Roman" w:cs="Times New Roman" w:eastAsia="Times New Roman" w:hint="default"/>
        </w:rPr>
        <w:t>2008</w:t>
      </w:r>
      <w:r>
        <w:rPr/>
        <w:t>年第一次临时股东大会暨股权分置改革相关股东会议 的议案；</w:t>
      </w:r>
    </w:p>
    <w:p>
      <w:pPr>
        <w:pStyle w:val="BodyText"/>
        <w:spacing w:line="240" w:lineRule="auto" w:before="55"/>
        <w:ind w:right="94"/>
        <w:jc w:val="left"/>
      </w:pPr>
      <w:r>
        <w:rPr>
          <w:rFonts w:ascii="Times New Roman" w:hAnsi="Times New Roman" w:cs="Times New Roman" w:eastAsia="Times New Roman" w:hint="default"/>
        </w:rPr>
        <w:t>3</w:t>
      </w:r>
      <w:r>
        <w:rPr/>
        <w:t>）审议通过了关于公司聘任高级管理人员的议案。</w:t>
      </w:r>
    </w:p>
    <w:p>
      <w:pPr>
        <w:pStyle w:val="BodyText"/>
        <w:spacing w:line="338" w:lineRule="auto"/>
        <w:ind w:right="94"/>
        <w:jc w:val="left"/>
      </w:pPr>
      <w:r>
        <w:rPr>
          <w:spacing w:val="-2"/>
        </w:rPr>
        <w:t>（</w:t>
      </w:r>
      <w:r>
        <w:rPr>
          <w:rFonts w:ascii="Times New Roman" w:hAnsi="Times New Roman" w:cs="Times New Roman" w:eastAsia="Times New Roman" w:hint="default"/>
          <w:spacing w:val="-2"/>
        </w:rPr>
        <w:t>3</w:t>
      </w:r>
      <w:r>
        <w:rPr>
          <w:spacing w:val="-2"/>
        </w:rPr>
        <w:t>）</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15</w:t>
      </w:r>
      <w:r>
        <w:rPr>
          <w:spacing w:val="-2"/>
        </w:rPr>
        <w:t>日公司第六届董事会第十次会议以通讯表决的方式召开。会议应参加</w:t>
      </w:r>
      <w:r>
        <w:rPr>
          <w:spacing w:val="-88"/>
        </w:rPr>
        <w:t> </w:t>
      </w:r>
      <w:r>
        <w:rPr>
          <w:spacing w:val="-88"/>
        </w:rPr>
      </w:r>
      <w:r>
        <w:rPr/>
        <w:t>董事</w:t>
      </w:r>
      <w:r>
        <w:rPr>
          <w:rFonts w:ascii="Times New Roman" w:hAnsi="Times New Roman" w:cs="Times New Roman" w:eastAsia="Times New Roman" w:hint="default"/>
        </w:rPr>
        <w:t>7</w:t>
      </w:r>
      <w:r>
        <w:rPr/>
        <w:t>人，实际参加董事</w:t>
      </w:r>
      <w:r>
        <w:rPr>
          <w:rFonts w:ascii="Times New Roman" w:hAnsi="Times New Roman" w:cs="Times New Roman" w:eastAsia="Times New Roman" w:hint="default"/>
        </w:rPr>
        <w:t>7</w:t>
      </w:r>
      <w:r>
        <w:rPr/>
        <w:t>人，会议形成以下决议： </w:t>
      </w:r>
      <w:r>
        <w:rPr>
          <w:rFonts w:ascii="Times New Roman" w:hAnsi="Times New Roman" w:cs="Times New Roman" w:eastAsia="Times New Roman" w:hint="default"/>
        </w:rPr>
        <w:t>1</w:t>
      </w:r>
      <w:r>
        <w:rPr/>
        <w:t>）审议通过了《关于公司股票暂停上市后的有关事项的议案》；</w:t>
      </w:r>
    </w:p>
    <w:p>
      <w:pPr>
        <w:pStyle w:val="BodyText"/>
        <w:spacing w:line="240" w:lineRule="auto" w:before="27"/>
        <w:ind w:right="94"/>
        <w:jc w:val="left"/>
      </w:pPr>
      <w:r>
        <w:rPr>
          <w:rFonts w:ascii="Times New Roman" w:hAnsi="Times New Roman" w:cs="Times New Roman" w:eastAsia="Times New Roman" w:hint="default"/>
        </w:rPr>
        <w:t>2</w:t>
      </w:r>
      <w:r>
        <w:rPr/>
        <w:t>）审议通过了《关于召开</w:t>
      </w:r>
      <w:r>
        <w:rPr>
          <w:rFonts w:ascii="Times New Roman" w:hAnsi="Times New Roman" w:cs="Times New Roman" w:eastAsia="Times New Roman" w:hint="default"/>
        </w:rPr>
        <w:t>2008</w:t>
      </w:r>
      <w:r>
        <w:rPr/>
        <w:t>年第三次临时股东大会的议案》。</w:t>
      </w:r>
    </w:p>
    <w:p>
      <w:pPr>
        <w:pStyle w:val="BodyText"/>
        <w:spacing w:line="338" w:lineRule="auto"/>
        <w:ind w:right="97"/>
        <w:jc w:val="left"/>
      </w:pPr>
      <w:r>
        <w:rPr>
          <w:spacing w:val="-2"/>
        </w:rPr>
        <w:t>（</w:t>
      </w:r>
      <w:r>
        <w:rPr>
          <w:rFonts w:ascii="Times New Roman" w:hAnsi="Times New Roman" w:cs="Times New Roman" w:eastAsia="Times New Roman" w:hint="default"/>
          <w:spacing w:val="-2"/>
        </w:rPr>
        <w:t>4</w:t>
      </w:r>
      <w:r>
        <w:rPr>
          <w:spacing w:val="-2"/>
        </w:rPr>
        <w:t>）</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28</w:t>
      </w:r>
      <w:r>
        <w:rPr>
          <w:spacing w:val="-2"/>
        </w:rPr>
        <w:t>日公司第六届董事会第十一次会议以现场表决的方式召开，会议应参</w:t>
      </w:r>
      <w:r>
        <w:rPr>
          <w:spacing w:val="-88"/>
        </w:rPr>
        <w:t> </w:t>
      </w:r>
      <w:r>
        <w:rPr>
          <w:spacing w:val="-88"/>
        </w:rPr>
      </w:r>
      <w:r>
        <w:rPr/>
        <w:t>加董事</w:t>
      </w:r>
      <w:r>
        <w:rPr>
          <w:rFonts w:ascii="Times New Roman" w:hAnsi="Times New Roman" w:cs="Times New Roman" w:eastAsia="Times New Roman" w:hint="default"/>
        </w:rPr>
        <w:t>7</w:t>
      </w:r>
      <w:r>
        <w:rPr>
          <w:rFonts w:ascii="Times New Roman" w:hAnsi="Times New Roman" w:cs="Times New Roman" w:eastAsia="Times New Roman" w:hint="default"/>
          <w:spacing w:val="9"/>
        </w:rPr>
        <w:t> </w:t>
      </w:r>
      <w:r>
        <w:rPr/>
        <w:t>人，独立董事邓朝晖、董事吴灿军先生授权栾伟洁女士表决，董事胡滨先生授</w:t>
      </w:r>
    </w:p>
    <w:p>
      <w:pPr>
        <w:spacing w:after="0" w:line="338" w:lineRule="auto"/>
        <w:jc w:val="left"/>
        <w:sectPr>
          <w:pgSz w:w="11910" w:h="16840"/>
          <w:pgMar w:header="0" w:footer="594" w:top="1500" w:bottom="800" w:left="1300" w:right="1300"/>
        </w:sectPr>
      </w:pPr>
    </w:p>
    <w:p>
      <w:pPr>
        <w:pStyle w:val="BodyText"/>
        <w:spacing w:line="240" w:lineRule="auto" w:before="13"/>
        <w:ind w:right="94"/>
        <w:jc w:val="left"/>
      </w:pPr>
      <w:r>
        <w:rPr/>
        <w:t>权董事毛诚先生表决，实际参加董事</w:t>
      </w:r>
      <w:r>
        <w:rPr>
          <w:rFonts w:ascii="Times New Roman" w:hAnsi="Times New Roman" w:cs="Times New Roman" w:eastAsia="Times New Roman" w:hint="default"/>
        </w:rPr>
        <w:t>4</w:t>
      </w:r>
      <w:r>
        <w:rPr/>
        <w:t>人。会议形成以下决议：</w:t>
      </w:r>
    </w:p>
    <w:p>
      <w:pPr>
        <w:pStyle w:val="BodyText"/>
        <w:spacing w:line="240" w:lineRule="auto"/>
        <w:ind w:right="94"/>
        <w:jc w:val="left"/>
      </w:pPr>
      <w:r>
        <w:rPr>
          <w:rFonts w:ascii="Times New Roman" w:hAnsi="Times New Roman" w:cs="Times New Roman" w:eastAsia="Times New Roman" w:hint="default"/>
        </w:rPr>
        <w:t>1</w:t>
      </w:r>
      <w:r>
        <w:rPr/>
        <w:t>）审议通过《公司</w:t>
      </w:r>
      <w:r>
        <w:rPr>
          <w:rFonts w:ascii="Times New Roman" w:hAnsi="Times New Roman" w:cs="Times New Roman" w:eastAsia="Times New Roman" w:hint="default"/>
        </w:rPr>
        <w:t>2007</w:t>
      </w:r>
      <w:r>
        <w:rPr/>
        <w:t>年董事会工作报告》；</w:t>
      </w:r>
    </w:p>
    <w:p>
      <w:pPr>
        <w:pStyle w:val="BodyText"/>
        <w:spacing w:line="240" w:lineRule="auto"/>
        <w:ind w:right="94"/>
        <w:jc w:val="left"/>
      </w:pPr>
      <w:r>
        <w:rPr>
          <w:rFonts w:ascii="Times New Roman" w:hAnsi="Times New Roman" w:cs="Times New Roman" w:eastAsia="Times New Roman" w:hint="default"/>
        </w:rPr>
        <w:t>2</w:t>
      </w:r>
      <w:r>
        <w:rPr/>
        <w:t>）审议通过《</w:t>
      </w:r>
      <w:r>
        <w:rPr>
          <w:rFonts w:ascii="Times New Roman" w:hAnsi="Times New Roman" w:cs="Times New Roman" w:eastAsia="Times New Roman" w:hint="default"/>
        </w:rPr>
        <w:t>2007</w:t>
      </w:r>
      <w:r>
        <w:rPr/>
        <w:t>年度财务决算方案》；</w:t>
      </w:r>
    </w:p>
    <w:p>
      <w:pPr>
        <w:pStyle w:val="BodyText"/>
        <w:spacing w:line="240" w:lineRule="auto"/>
        <w:ind w:right="94"/>
        <w:jc w:val="left"/>
      </w:pPr>
      <w:r>
        <w:rPr>
          <w:rFonts w:ascii="Times New Roman" w:hAnsi="Times New Roman" w:cs="Times New Roman" w:eastAsia="Times New Roman" w:hint="default"/>
        </w:rPr>
        <w:t>3</w:t>
      </w:r>
      <w:r>
        <w:rPr/>
        <w:t>）审议通过《</w:t>
      </w:r>
      <w:r>
        <w:rPr>
          <w:rFonts w:ascii="Times New Roman" w:hAnsi="Times New Roman" w:cs="Times New Roman" w:eastAsia="Times New Roman" w:hint="default"/>
        </w:rPr>
        <w:t>2007</w:t>
      </w:r>
      <w:r>
        <w:rPr/>
        <w:t>年度利润分配预案》；</w:t>
      </w:r>
    </w:p>
    <w:p>
      <w:pPr>
        <w:pStyle w:val="BodyText"/>
        <w:spacing w:line="240" w:lineRule="auto"/>
        <w:ind w:right="94"/>
        <w:jc w:val="left"/>
      </w:pPr>
      <w:r>
        <w:rPr>
          <w:rFonts w:ascii="Times New Roman" w:hAnsi="Times New Roman" w:cs="Times New Roman" w:eastAsia="Times New Roman" w:hint="default"/>
        </w:rPr>
        <w:t>4</w:t>
      </w:r>
      <w:r>
        <w:rPr/>
        <w:t>）审议通过《</w:t>
      </w:r>
      <w:r>
        <w:rPr>
          <w:rFonts w:ascii="Times New Roman" w:hAnsi="Times New Roman" w:cs="Times New Roman" w:eastAsia="Times New Roman" w:hint="default"/>
        </w:rPr>
        <w:t>2007</w:t>
      </w:r>
      <w:r>
        <w:rPr/>
        <w:t>年度报告及摘要》；</w:t>
      </w:r>
    </w:p>
    <w:p>
      <w:pPr>
        <w:pStyle w:val="BodyText"/>
        <w:spacing w:line="240" w:lineRule="auto"/>
        <w:ind w:right="94"/>
        <w:jc w:val="left"/>
      </w:pPr>
      <w:r>
        <w:rPr>
          <w:rFonts w:ascii="Times New Roman" w:hAnsi="Times New Roman" w:cs="Times New Roman" w:eastAsia="Times New Roman" w:hint="default"/>
        </w:rPr>
        <w:t>5</w:t>
      </w:r>
      <w:r>
        <w:rPr/>
        <w:t>）审议通过《</w:t>
      </w:r>
      <w:r>
        <w:rPr>
          <w:rFonts w:ascii="Times New Roman" w:hAnsi="Times New Roman" w:cs="Times New Roman" w:eastAsia="Times New Roman" w:hint="default"/>
        </w:rPr>
        <w:t>2008</w:t>
      </w:r>
      <w:r>
        <w:rPr/>
        <w:t>年第一季度报告》；</w:t>
      </w:r>
    </w:p>
    <w:p>
      <w:pPr>
        <w:pStyle w:val="BodyText"/>
        <w:spacing w:line="240" w:lineRule="auto"/>
        <w:ind w:right="94"/>
        <w:jc w:val="left"/>
      </w:pPr>
      <w:r>
        <w:rPr>
          <w:rFonts w:ascii="Times New Roman" w:hAnsi="Times New Roman" w:cs="Times New Roman" w:eastAsia="Times New Roman" w:hint="default"/>
        </w:rPr>
        <w:t>6</w:t>
      </w:r>
      <w:r>
        <w:rPr/>
        <w:t>）审议通过《公司审计委员会年报工作规程》；</w:t>
      </w:r>
    </w:p>
    <w:p>
      <w:pPr>
        <w:pStyle w:val="BodyText"/>
        <w:spacing w:line="240" w:lineRule="auto"/>
        <w:ind w:right="94"/>
        <w:jc w:val="left"/>
      </w:pPr>
      <w:r>
        <w:rPr>
          <w:rFonts w:ascii="Times New Roman" w:hAnsi="Times New Roman" w:cs="Times New Roman" w:eastAsia="Times New Roman" w:hint="default"/>
        </w:rPr>
        <w:t>7</w:t>
      </w:r>
      <w:r>
        <w:rPr/>
        <w:t>）审议通过《公司审计委员会履职暨</w:t>
      </w:r>
      <w:r>
        <w:rPr>
          <w:rFonts w:ascii="Times New Roman" w:hAnsi="Times New Roman" w:cs="Times New Roman" w:eastAsia="Times New Roman" w:hint="default"/>
        </w:rPr>
        <w:t>2007</w:t>
      </w:r>
      <w:r>
        <w:rPr/>
        <w:t>年度审计工作的总结报告》；</w:t>
      </w:r>
    </w:p>
    <w:p>
      <w:pPr>
        <w:pStyle w:val="BodyText"/>
        <w:spacing w:line="240" w:lineRule="auto"/>
        <w:ind w:right="94"/>
        <w:jc w:val="left"/>
      </w:pPr>
      <w:r>
        <w:rPr>
          <w:rFonts w:ascii="Times New Roman" w:hAnsi="Times New Roman" w:cs="Times New Roman" w:eastAsia="Times New Roman" w:hint="default"/>
        </w:rPr>
        <w:t>8</w:t>
      </w:r>
      <w:r>
        <w:rPr/>
        <w:t>）审议通过《公司独立董事年报工作规程》；</w:t>
      </w:r>
    </w:p>
    <w:p>
      <w:pPr>
        <w:pStyle w:val="BodyText"/>
        <w:spacing w:line="240" w:lineRule="auto"/>
        <w:ind w:right="94"/>
        <w:jc w:val="left"/>
      </w:pPr>
      <w:r>
        <w:rPr>
          <w:rFonts w:ascii="Times New Roman" w:hAnsi="Times New Roman" w:cs="Times New Roman" w:eastAsia="Times New Roman" w:hint="default"/>
        </w:rPr>
        <w:t>9</w:t>
      </w:r>
      <w:r>
        <w:rPr/>
        <w:t>）审议通过《关于续聘会计师事务所的议案》；</w:t>
      </w:r>
    </w:p>
    <w:p>
      <w:pPr>
        <w:pStyle w:val="BodyText"/>
        <w:spacing w:line="240" w:lineRule="auto"/>
        <w:ind w:right="94"/>
        <w:jc w:val="left"/>
      </w:pPr>
      <w:r>
        <w:rPr>
          <w:rFonts w:ascii="Times New Roman" w:hAnsi="Times New Roman" w:cs="Times New Roman" w:eastAsia="Times New Roman" w:hint="default"/>
        </w:rPr>
        <w:t>10</w:t>
      </w:r>
      <w:r>
        <w:rPr/>
        <w:t>）审议通过《独立董事述职报告》</w:t>
      </w:r>
    </w:p>
    <w:p>
      <w:pPr>
        <w:pStyle w:val="BodyText"/>
        <w:spacing w:line="240" w:lineRule="auto"/>
        <w:ind w:right="94"/>
        <w:jc w:val="left"/>
      </w:pPr>
      <w:r>
        <w:rPr>
          <w:rFonts w:ascii="Times New Roman" w:hAnsi="Times New Roman" w:cs="Times New Roman" w:eastAsia="Times New Roman" w:hint="default"/>
        </w:rPr>
        <w:t>11</w:t>
      </w:r>
      <w:r>
        <w:rPr/>
        <w:t>）审议通过《关于免去汪清公司副总经理的议案》</w:t>
      </w:r>
    </w:p>
    <w:p>
      <w:pPr>
        <w:pStyle w:val="BodyText"/>
        <w:spacing w:line="240" w:lineRule="auto"/>
        <w:ind w:right="94"/>
        <w:jc w:val="left"/>
      </w:pPr>
      <w:r>
        <w:rPr>
          <w:rFonts w:ascii="Times New Roman" w:hAnsi="Times New Roman" w:cs="Times New Roman" w:eastAsia="Times New Roman" w:hint="default"/>
        </w:rPr>
        <w:t>12</w:t>
      </w:r>
      <w:r>
        <w:rPr/>
        <w:t>）审议通过《关于同意向深圳交易所提交恢复上市申请的议案》</w:t>
      </w:r>
    </w:p>
    <w:p>
      <w:pPr>
        <w:pStyle w:val="BodyText"/>
        <w:spacing w:line="240" w:lineRule="auto"/>
        <w:ind w:right="94"/>
        <w:jc w:val="left"/>
      </w:pPr>
      <w:r>
        <w:rPr>
          <w:rFonts w:ascii="Times New Roman" w:hAnsi="Times New Roman" w:cs="Times New Roman" w:eastAsia="Times New Roman" w:hint="default"/>
        </w:rPr>
        <w:t>13</w:t>
      </w:r>
      <w:r>
        <w:rPr/>
        <w:t>）审议通过《关于提议召开公司</w:t>
      </w:r>
      <w:r>
        <w:rPr>
          <w:rFonts w:ascii="Times New Roman" w:hAnsi="Times New Roman" w:cs="Times New Roman" w:eastAsia="Times New Roman" w:hint="default"/>
        </w:rPr>
        <w:t>2007</w:t>
      </w:r>
      <w:r>
        <w:rPr/>
        <w:t>年度股东大会的议案》</w:t>
      </w:r>
    </w:p>
    <w:p>
      <w:pPr>
        <w:pStyle w:val="BodyText"/>
        <w:spacing w:line="338" w:lineRule="auto"/>
        <w:ind w:right="94"/>
        <w:jc w:val="left"/>
      </w:pPr>
      <w:r>
        <w:rPr>
          <w:spacing w:val="-2"/>
        </w:rPr>
        <w:t>（</w:t>
      </w:r>
      <w:r>
        <w:rPr>
          <w:rFonts w:ascii="Times New Roman" w:hAnsi="Times New Roman" w:cs="Times New Roman" w:eastAsia="Times New Roman" w:hint="default"/>
          <w:spacing w:val="-2"/>
        </w:rPr>
        <w:t>5</w:t>
      </w:r>
      <w:r>
        <w:rPr>
          <w:spacing w:val="-2"/>
        </w:rPr>
        <w:t>）</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18</w:t>
      </w:r>
      <w:r>
        <w:rPr>
          <w:spacing w:val="-2"/>
        </w:rPr>
        <w:t>日公司第六届董事会第十二次会议以通讯表决的方式召开，会议应参</w:t>
      </w:r>
      <w:r>
        <w:rPr>
          <w:spacing w:val="-88"/>
        </w:rPr>
        <w:t> </w:t>
      </w:r>
      <w:r>
        <w:rPr>
          <w:spacing w:val="-88"/>
        </w:rPr>
      </w:r>
      <w:r>
        <w:rPr/>
        <w:t>加董事</w:t>
      </w:r>
      <w:r>
        <w:rPr>
          <w:rFonts w:ascii="Times New Roman" w:hAnsi="Times New Roman" w:cs="Times New Roman" w:eastAsia="Times New Roman" w:hint="default"/>
        </w:rPr>
        <w:t>7 </w:t>
      </w:r>
      <w:r>
        <w:rPr/>
        <w:t>人，实际参加董事</w:t>
      </w:r>
      <w:r>
        <w:rPr>
          <w:rFonts w:ascii="Times New Roman" w:hAnsi="Times New Roman" w:cs="Times New Roman" w:eastAsia="Times New Roman" w:hint="default"/>
        </w:rPr>
        <w:t>7 </w:t>
      </w:r>
      <w:r>
        <w:rPr/>
        <w:t>人。会议形成以下决议： 通过了《关于公司治理整改报告中所列事项整改情况的报告》的决议。</w:t>
      </w:r>
    </w:p>
    <w:p>
      <w:pPr>
        <w:pStyle w:val="BodyText"/>
        <w:spacing w:line="338" w:lineRule="auto" w:before="55"/>
        <w:ind w:right="94"/>
        <w:jc w:val="left"/>
      </w:pPr>
      <w:r>
        <w:rPr>
          <w:spacing w:val="-2"/>
        </w:rPr>
        <w:t>（</w:t>
      </w:r>
      <w:r>
        <w:rPr>
          <w:rFonts w:ascii="Times New Roman" w:hAnsi="Times New Roman" w:cs="Times New Roman" w:eastAsia="Times New Roman" w:hint="default"/>
          <w:spacing w:val="-2"/>
        </w:rPr>
        <w:t>6</w:t>
      </w:r>
      <w:r>
        <w:rPr>
          <w:spacing w:val="-2"/>
        </w:rPr>
        <w:t>）</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29</w:t>
      </w:r>
      <w:r>
        <w:rPr>
          <w:spacing w:val="-2"/>
        </w:rPr>
        <w:t>日公司第六届董事会第十三次会议以通讯表决的方式召开，会议应参</w:t>
      </w:r>
      <w:r>
        <w:rPr>
          <w:spacing w:val="-88"/>
        </w:rPr>
        <w:t> </w:t>
      </w:r>
      <w:r>
        <w:rPr>
          <w:spacing w:val="-88"/>
        </w:rPr>
      </w:r>
      <w:r>
        <w:rPr/>
        <w:t>加董事</w:t>
      </w:r>
      <w:r>
        <w:rPr>
          <w:rFonts w:ascii="Times New Roman" w:hAnsi="Times New Roman" w:cs="Times New Roman" w:eastAsia="Times New Roman" w:hint="default"/>
        </w:rPr>
        <w:t>7 </w:t>
      </w:r>
      <w:r>
        <w:rPr/>
        <w:t>人，实际参加董事</w:t>
      </w:r>
      <w:r>
        <w:rPr>
          <w:rFonts w:ascii="Times New Roman" w:hAnsi="Times New Roman" w:cs="Times New Roman" w:eastAsia="Times New Roman" w:hint="default"/>
        </w:rPr>
        <w:t>7 </w:t>
      </w:r>
      <w:r>
        <w:rPr/>
        <w:t>人。会议形成以下决议： 通过了《关于大股东及关联方资金占用情况的自查报告》的决议。</w:t>
      </w:r>
    </w:p>
    <w:p>
      <w:pPr>
        <w:pStyle w:val="BodyText"/>
        <w:spacing w:line="338" w:lineRule="auto" w:before="55"/>
        <w:ind w:right="94"/>
        <w:jc w:val="left"/>
      </w:pPr>
      <w:r>
        <w:rPr>
          <w:spacing w:val="-2"/>
        </w:rPr>
        <w:t>（</w:t>
      </w:r>
      <w:r>
        <w:rPr>
          <w:rFonts w:ascii="Times New Roman" w:hAnsi="Times New Roman" w:cs="Times New Roman" w:eastAsia="Times New Roman" w:hint="default"/>
          <w:spacing w:val="-2"/>
        </w:rPr>
        <w:t>7</w:t>
      </w:r>
      <w:r>
        <w:rPr>
          <w:spacing w:val="-2"/>
        </w:rPr>
        <w:t>）</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19</w:t>
      </w:r>
      <w:r>
        <w:rPr>
          <w:spacing w:val="-2"/>
        </w:rPr>
        <w:t>日公司第六届董事会第十四次会议以通讯表决的方式召开，会议应参</w:t>
      </w:r>
      <w:r>
        <w:rPr>
          <w:spacing w:val="-88"/>
        </w:rPr>
        <w:t> </w:t>
      </w:r>
      <w:r>
        <w:rPr>
          <w:spacing w:val="-88"/>
        </w:rPr>
      </w:r>
      <w:r>
        <w:rPr/>
        <w:t>加董事</w:t>
      </w:r>
      <w:r>
        <w:rPr>
          <w:rFonts w:ascii="Times New Roman" w:hAnsi="Times New Roman" w:cs="Times New Roman" w:eastAsia="Times New Roman" w:hint="default"/>
        </w:rPr>
        <w:t>7 </w:t>
      </w:r>
      <w:r>
        <w:rPr/>
        <w:t>人，实际参加董事</w:t>
      </w:r>
      <w:r>
        <w:rPr>
          <w:rFonts w:ascii="Times New Roman" w:hAnsi="Times New Roman" w:cs="Times New Roman" w:eastAsia="Times New Roman" w:hint="default"/>
        </w:rPr>
        <w:t>7 </w:t>
      </w:r>
      <w:r>
        <w:rPr/>
        <w:t>人。会议形成以下决议： </w:t>
      </w:r>
      <w:r>
        <w:rPr>
          <w:rFonts w:ascii="Times New Roman" w:hAnsi="Times New Roman" w:cs="Times New Roman" w:eastAsia="Times New Roman" w:hint="default"/>
        </w:rPr>
        <w:t>1</w:t>
      </w:r>
      <w:r>
        <w:rPr/>
        <w:t>）通过了《关于公司</w:t>
      </w:r>
      <w:r>
        <w:rPr>
          <w:rFonts w:ascii="Times New Roman" w:hAnsi="Times New Roman" w:cs="Times New Roman" w:eastAsia="Times New Roman" w:hint="default"/>
        </w:rPr>
        <w:t>2008</w:t>
      </w:r>
      <w:r>
        <w:rPr/>
        <w:t>年半年度报告、财务报告及半年度报告摘要的议案》；</w:t>
      </w:r>
    </w:p>
    <w:p>
      <w:pPr>
        <w:pStyle w:val="BodyText"/>
        <w:spacing w:line="240" w:lineRule="auto" w:before="27"/>
        <w:ind w:right="94"/>
        <w:jc w:val="left"/>
      </w:pPr>
      <w:r>
        <w:rPr>
          <w:rFonts w:ascii="Times New Roman" w:hAnsi="Times New Roman" w:cs="Times New Roman" w:eastAsia="Times New Roman" w:hint="default"/>
        </w:rPr>
        <w:t>2</w:t>
      </w:r>
      <w:r>
        <w:rPr/>
        <w:t>）通过了《关于公司</w:t>
      </w:r>
      <w:r>
        <w:rPr>
          <w:rFonts w:ascii="Times New Roman" w:hAnsi="Times New Roman" w:cs="Times New Roman" w:eastAsia="Times New Roman" w:hint="default"/>
        </w:rPr>
        <w:t>2008</w:t>
      </w:r>
      <w:r>
        <w:rPr/>
        <w:t>年半年度利润不分配、不进行公积金转增股本的议案》；</w:t>
      </w:r>
    </w:p>
    <w:p>
      <w:pPr>
        <w:pStyle w:val="BodyText"/>
        <w:spacing w:line="240" w:lineRule="auto"/>
        <w:ind w:right="94"/>
        <w:jc w:val="left"/>
      </w:pPr>
      <w:r>
        <w:rPr>
          <w:rFonts w:ascii="Times New Roman" w:hAnsi="Times New Roman" w:cs="Times New Roman" w:eastAsia="Times New Roman" w:hint="default"/>
        </w:rPr>
        <w:t>3</w:t>
      </w:r>
      <w:r>
        <w:rPr/>
        <w:t>）通过了《关于同意公司与中国农业银行深圳分行罗湖支行贷款重组事宜的议案》；</w:t>
      </w:r>
    </w:p>
    <w:p>
      <w:pPr>
        <w:pStyle w:val="BodyText"/>
        <w:spacing w:line="338" w:lineRule="auto"/>
        <w:ind w:right="166"/>
        <w:jc w:val="left"/>
      </w:pPr>
      <w:r>
        <w:rPr>
          <w:rFonts w:ascii="Times New Roman" w:hAnsi="Times New Roman" w:cs="Times New Roman" w:eastAsia="Times New Roman" w:hint="default"/>
        </w:rPr>
        <w:t>4</w:t>
      </w:r>
      <w:r>
        <w:rPr/>
        <w:t>）通过了《关于提请股东大会授权董事会会同青岛亚星实业有限公司全权办理与中国 农业银行深圳分行罗湖支行贷款重组事宜的议案》。</w:t>
      </w:r>
    </w:p>
    <w:p>
      <w:pPr>
        <w:pStyle w:val="BodyText"/>
        <w:spacing w:line="338" w:lineRule="auto" w:before="55"/>
        <w:ind w:right="97"/>
        <w:jc w:val="left"/>
      </w:pPr>
      <w:r>
        <w:rPr>
          <w:spacing w:val="-2"/>
        </w:rPr>
        <w:t>（</w:t>
      </w:r>
      <w:r>
        <w:rPr>
          <w:rFonts w:ascii="Times New Roman" w:hAnsi="Times New Roman" w:cs="Times New Roman" w:eastAsia="Times New Roman" w:hint="default"/>
          <w:spacing w:val="-2"/>
        </w:rPr>
        <w:t>8</w:t>
      </w:r>
      <w:r>
        <w:rPr>
          <w:spacing w:val="-2"/>
        </w:rPr>
        <w:t>）</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9</w:t>
      </w:r>
      <w:r>
        <w:rPr>
          <w:spacing w:val="-2"/>
        </w:rPr>
        <w:t>月</w:t>
      </w:r>
      <w:r>
        <w:rPr>
          <w:rFonts w:ascii="Times New Roman" w:hAnsi="Times New Roman" w:cs="Times New Roman" w:eastAsia="Times New Roman" w:hint="default"/>
          <w:spacing w:val="-2"/>
        </w:rPr>
        <w:t>24</w:t>
      </w:r>
      <w:r>
        <w:rPr>
          <w:spacing w:val="-2"/>
        </w:rPr>
        <w:t>日公司第六届董事会第十五次会议以通讯表决的方式召开，会议应参</w:t>
      </w:r>
      <w:r>
        <w:rPr>
          <w:spacing w:val="-88"/>
        </w:rPr>
        <w:t> </w:t>
      </w:r>
      <w:r>
        <w:rPr>
          <w:spacing w:val="-88"/>
        </w:rPr>
      </w:r>
      <w:r>
        <w:rPr/>
        <w:t>加董事</w:t>
      </w:r>
      <w:r>
        <w:rPr>
          <w:rFonts w:ascii="Times New Roman" w:hAnsi="Times New Roman" w:cs="Times New Roman" w:eastAsia="Times New Roman" w:hint="default"/>
        </w:rPr>
        <w:t>7  </w:t>
      </w:r>
      <w:r>
        <w:rPr/>
        <w:t>人，实际参加董事</w:t>
      </w:r>
      <w:r>
        <w:rPr>
          <w:rFonts w:ascii="Times New Roman" w:hAnsi="Times New Roman" w:cs="Times New Roman" w:eastAsia="Times New Roman" w:hint="default"/>
        </w:rPr>
        <w:t>7</w:t>
      </w:r>
      <w:r>
        <w:rPr>
          <w:rFonts w:ascii="Times New Roman" w:hAnsi="Times New Roman" w:cs="Times New Roman" w:eastAsia="Times New Roman" w:hint="default"/>
          <w:spacing w:val="9"/>
        </w:rPr>
        <w:t> </w:t>
      </w:r>
      <w:r>
        <w:rPr/>
        <w:t>人，由于董事高海波和吴灿军为关联董事回避表决，实际</w:t>
      </w:r>
    </w:p>
    <w:p>
      <w:pPr>
        <w:spacing w:after="0" w:line="338" w:lineRule="auto"/>
        <w:jc w:val="left"/>
        <w:sectPr>
          <w:pgSz w:w="11910" w:h="16840"/>
          <w:pgMar w:header="0" w:footer="594" w:top="1500" w:bottom="800" w:left="1300" w:right="1300"/>
        </w:sectPr>
      </w:pPr>
    </w:p>
    <w:p>
      <w:pPr>
        <w:pStyle w:val="BodyText"/>
        <w:spacing w:line="338" w:lineRule="auto" w:before="13"/>
        <w:ind w:right="4372"/>
        <w:jc w:val="left"/>
      </w:pPr>
      <w:r>
        <w:rPr/>
        <w:t>共有</w:t>
      </w:r>
      <w:r>
        <w:rPr>
          <w:rFonts w:ascii="Times New Roman" w:hAnsi="Times New Roman" w:cs="Times New Roman" w:eastAsia="Times New Roman" w:hint="default"/>
        </w:rPr>
        <w:t>5</w:t>
      </w:r>
      <w:r>
        <w:rPr/>
        <w:t>名董事参与表决。会议形成以下决议： </w:t>
      </w:r>
      <w:r>
        <w:rPr>
          <w:spacing w:val="-6"/>
        </w:rPr>
        <w:t>会议审议通过了《公司资产处置方案的议案》。</w:t>
      </w:r>
    </w:p>
    <w:p>
      <w:pPr>
        <w:pStyle w:val="BodyText"/>
        <w:spacing w:line="345" w:lineRule="auto" w:before="55"/>
        <w:ind w:right="111"/>
        <w:jc w:val="left"/>
      </w:pPr>
      <w:r>
        <w:rPr>
          <w:spacing w:val="-2"/>
        </w:rPr>
        <w:t>（</w:t>
      </w:r>
      <w:r>
        <w:rPr>
          <w:rFonts w:ascii="Times New Roman" w:hAnsi="Times New Roman" w:cs="Times New Roman" w:eastAsia="Times New Roman" w:hint="default"/>
          <w:spacing w:val="-2"/>
        </w:rPr>
        <w:t>19</w:t>
      </w:r>
      <w:r>
        <w:rPr>
          <w:spacing w:val="-2"/>
        </w:rPr>
        <w:t>）</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10</w:t>
      </w:r>
      <w:r>
        <w:rPr>
          <w:spacing w:val="-2"/>
        </w:rPr>
        <w:t>月</w:t>
      </w:r>
      <w:r>
        <w:rPr>
          <w:rFonts w:ascii="Times New Roman" w:hAnsi="Times New Roman" w:cs="Times New Roman" w:eastAsia="Times New Roman" w:hint="default"/>
          <w:spacing w:val="-2"/>
        </w:rPr>
        <w:t>15</w:t>
      </w:r>
      <w:r>
        <w:rPr>
          <w:spacing w:val="-2"/>
        </w:rPr>
        <w:t>日公司第六届董事会第十六次会议以现场表决的方式召开，会议应</w:t>
      </w:r>
      <w:r>
        <w:rPr>
          <w:spacing w:val="-86"/>
        </w:rPr>
        <w:t> </w:t>
      </w:r>
      <w:r>
        <w:rPr>
          <w:spacing w:val="-86"/>
        </w:rPr>
      </w:r>
      <w:r>
        <w:rPr/>
        <w:t>参加董事</w:t>
      </w:r>
      <w:r>
        <w:rPr>
          <w:rFonts w:ascii="Times New Roman" w:hAnsi="Times New Roman" w:cs="Times New Roman" w:eastAsia="Times New Roman" w:hint="default"/>
        </w:rPr>
        <w:t>7 </w:t>
      </w:r>
      <w:r>
        <w:rPr/>
        <w:t>人，实际共5人参加表决，栾伟洁、邓朝晖由于个人原因缺席。会议形成以 下决议： 通过了《关于公司与中国农业银行深圳分行罗湖支行贷款重组的方案》的议案：</w:t>
      </w:r>
    </w:p>
    <w:p>
      <w:pPr>
        <w:pStyle w:val="BodyText"/>
        <w:spacing w:line="338" w:lineRule="auto" w:before="48"/>
        <w:ind w:right="234"/>
        <w:jc w:val="both"/>
      </w:pPr>
      <w:r>
        <w:rPr>
          <w:spacing w:val="-2"/>
        </w:rPr>
        <w:t>（</w:t>
      </w:r>
      <w:r>
        <w:rPr>
          <w:rFonts w:ascii="Times New Roman" w:hAnsi="Times New Roman" w:cs="Times New Roman" w:eastAsia="Times New Roman" w:hint="default"/>
          <w:spacing w:val="-2"/>
        </w:rPr>
        <w:t>10</w:t>
      </w:r>
      <w:r>
        <w:rPr>
          <w:spacing w:val="-2"/>
        </w:rPr>
        <w:t>）</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10</w:t>
      </w:r>
      <w:r>
        <w:rPr>
          <w:spacing w:val="-2"/>
        </w:rPr>
        <w:t>月</w:t>
      </w:r>
      <w:r>
        <w:rPr>
          <w:rFonts w:ascii="Times New Roman" w:hAnsi="Times New Roman" w:cs="Times New Roman" w:eastAsia="Times New Roman" w:hint="default"/>
          <w:spacing w:val="-2"/>
        </w:rPr>
        <w:t>27</w:t>
      </w:r>
      <w:r>
        <w:rPr>
          <w:spacing w:val="-2"/>
        </w:rPr>
        <w:t>日公司第六届董事会第十七次会议以通讯表决的方式召开，会议应</w:t>
      </w:r>
      <w:r>
        <w:rPr>
          <w:spacing w:val="-86"/>
        </w:rPr>
        <w:t> </w:t>
      </w:r>
      <w:r>
        <w:rPr>
          <w:spacing w:val="-86"/>
        </w:rPr>
      </w:r>
      <w:r>
        <w:rPr/>
        <w:t>参加董事</w:t>
      </w:r>
      <w:r>
        <w:rPr>
          <w:rFonts w:ascii="Times New Roman" w:hAnsi="Times New Roman" w:cs="Times New Roman" w:eastAsia="Times New Roman" w:hint="default"/>
        </w:rPr>
        <w:t>7</w:t>
      </w:r>
      <w:r>
        <w:rPr/>
        <w:t>人，独立董事邓朝晖因个人原因缺席，实际参加董事</w:t>
      </w:r>
      <w:r>
        <w:rPr>
          <w:rFonts w:ascii="Times New Roman" w:hAnsi="Times New Roman" w:cs="Times New Roman" w:eastAsia="Times New Roman" w:hint="default"/>
        </w:rPr>
        <w:t>6 </w:t>
      </w:r>
      <w:r>
        <w:rPr/>
        <w:t>人。会议形成以下决 议：</w:t>
      </w:r>
    </w:p>
    <w:p>
      <w:pPr>
        <w:pStyle w:val="BodyText"/>
        <w:spacing w:line="240" w:lineRule="auto" w:before="55"/>
        <w:ind w:right="111"/>
        <w:jc w:val="left"/>
      </w:pPr>
      <w:r>
        <w:rPr>
          <w:rFonts w:ascii="Times New Roman" w:hAnsi="Times New Roman" w:cs="Times New Roman" w:eastAsia="Times New Roman" w:hint="default"/>
        </w:rPr>
        <w:t>1</w:t>
      </w:r>
      <w:r>
        <w:rPr/>
        <w:t>）通过了公司</w:t>
      </w:r>
      <w:r>
        <w:rPr>
          <w:rFonts w:ascii="Times New Roman" w:hAnsi="Times New Roman" w:cs="Times New Roman" w:eastAsia="Times New Roman" w:hint="default"/>
        </w:rPr>
        <w:t>2008</w:t>
      </w:r>
      <w:r>
        <w:rPr/>
        <w:t>年第三季度报告、财务报告的议案；</w:t>
      </w:r>
    </w:p>
    <w:p>
      <w:pPr>
        <w:pStyle w:val="BodyText"/>
        <w:spacing w:line="240" w:lineRule="auto"/>
        <w:ind w:right="111"/>
        <w:jc w:val="left"/>
      </w:pPr>
      <w:r>
        <w:rPr>
          <w:rFonts w:ascii="Times New Roman" w:hAnsi="Times New Roman" w:cs="Times New Roman" w:eastAsia="Times New Roman" w:hint="default"/>
        </w:rPr>
        <w:t>2</w:t>
      </w:r>
      <w:r>
        <w:rPr/>
        <w:t>）通过了聘任于洪发先生为证券事务代表的方案。</w:t>
      </w:r>
    </w:p>
    <w:p>
      <w:pPr>
        <w:pStyle w:val="BodyText"/>
        <w:spacing w:line="338" w:lineRule="auto"/>
        <w:ind w:right="286"/>
        <w:jc w:val="left"/>
      </w:pPr>
      <w:r>
        <w:rPr/>
        <w:t>（</w:t>
      </w:r>
      <w:r>
        <w:rPr>
          <w:rFonts w:ascii="Times New Roman" w:hAnsi="Times New Roman" w:cs="Times New Roman" w:eastAsia="Times New Roman" w:hint="default"/>
        </w:rPr>
        <w:t>11</w:t>
      </w:r>
      <w:r>
        <w:rPr/>
        <w:t>）</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8</w:t>
      </w:r>
      <w:r>
        <w:rPr/>
        <w:t>日公司第六届董事会第十八次会议以通讯表决的方式召开，会议应 参加董事</w:t>
      </w:r>
      <w:r>
        <w:rPr>
          <w:rFonts w:ascii="Times New Roman" w:hAnsi="Times New Roman" w:cs="Times New Roman" w:eastAsia="Times New Roman" w:hint="default"/>
        </w:rPr>
        <w:t>7 </w:t>
      </w:r>
      <w:r>
        <w:rPr/>
        <w:t>人，独立董事邓朝晖因病缺席，实际参加董事</w:t>
      </w:r>
      <w:r>
        <w:rPr>
          <w:rFonts w:ascii="Times New Roman" w:hAnsi="Times New Roman" w:cs="Times New Roman" w:eastAsia="Times New Roman" w:hint="default"/>
        </w:rPr>
        <w:t>6 </w:t>
      </w:r>
      <w:r>
        <w:rPr/>
        <w:t>人。会议形成以下决议： </w:t>
      </w:r>
      <w:r>
        <w:rPr>
          <w:rFonts w:ascii="Times New Roman" w:hAnsi="Times New Roman" w:cs="Times New Roman" w:eastAsia="Times New Roman" w:hint="default"/>
        </w:rPr>
        <w:t>1</w:t>
      </w:r>
      <w:r>
        <w:rPr/>
        <w:t>）通过了关于聘任王洪先生为公司独立董事的议案；</w:t>
      </w:r>
    </w:p>
    <w:p>
      <w:pPr>
        <w:pStyle w:val="BodyText"/>
        <w:spacing w:line="240" w:lineRule="auto" w:before="27"/>
        <w:ind w:right="111"/>
        <w:jc w:val="left"/>
      </w:pPr>
      <w:r>
        <w:rPr>
          <w:rFonts w:ascii="Times New Roman" w:hAnsi="Times New Roman" w:cs="Times New Roman" w:eastAsia="Times New Roman" w:hint="default"/>
        </w:rPr>
        <w:t>2</w:t>
      </w:r>
      <w:r>
        <w:rPr/>
        <w:t>）通过了聘任舒强兴先生为公司独立董事的议案；</w:t>
      </w:r>
    </w:p>
    <w:p>
      <w:pPr>
        <w:pStyle w:val="BodyText"/>
        <w:spacing w:line="240" w:lineRule="auto"/>
        <w:ind w:right="111"/>
        <w:jc w:val="left"/>
      </w:pPr>
      <w:r>
        <w:rPr>
          <w:rFonts w:ascii="Times New Roman" w:hAnsi="Times New Roman" w:cs="Times New Roman" w:eastAsia="Times New Roman" w:hint="default"/>
        </w:rPr>
        <w:t>3</w:t>
      </w:r>
      <w:r>
        <w:rPr/>
        <w:t>）通过了关于召开</w:t>
      </w:r>
      <w:r>
        <w:rPr>
          <w:rFonts w:ascii="Times New Roman" w:hAnsi="Times New Roman" w:cs="Times New Roman" w:eastAsia="Times New Roman" w:hint="default"/>
        </w:rPr>
        <w:t>2008</w:t>
      </w:r>
      <w:r>
        <w:rPr/>
        <w:t>年第五次临时股东大会的议案。</w:t>
      </w:r>
    </w:p>
    <w:p>
      <w:pPr>
        <w:pStyle w:val="BodyText"/>
        <w:spacing w:line="338" w:lineRule="auto"/>
        <w:ind w:right="233"/>
        <w:jc w:val="both"/>
      </w:pPr>
      <w:r>
        <w:rPr>
          <w:spacing w:val="-2"/>
        </w:rPr>
        <w:t>（</w:t>
      </w:r>
      <w:r>
        <w:rPr>
          <w:rFonts w:ascii="Times New Roman" w:hAnsi="Times New Roman" w:cs="Times New Roman" w:eastAsia="Times New Roman" w:hint="default"/>
          <w:spacing w:val="-2"/>
        </w:rPr>
        <w:t>12</w:t>
      </w:r>
      <w:r>
        <w:rPr>
          <w:spacing w:val="-2"/>
        </w:rPr>
        <w:t>）</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27</w:t>
      </w:r>
      <w:r>
        <w:rPr>
          <w:spacing w:val="-2"/>
        </w:rPr>
        <w:t>日公司第六届董事会第十九次会议以通讯表决的方式召开，由于高</w:t>
      </w:r>
      <w:r>
        <w:rPr>
          <w:spacing w:val="-86"/>
        </w:rPr>
        <w:t> </w:t>
      </w:r>
      <w:r>
        <w:rPr>
          <w:spacing w:val="-86"/>
        </w:rPr>
      </w:r>
      <w:r>
        <w:rPr/>
        <w:t>海波和吴灿军为关联董事回避表决，会议应参加董事</w:t>
      </w:r>
      <w:r>
        <w:rPr>
          <w:rFonts w:ascii="Times New Roman" w:hAnsi="Times New Roman" w:cs="Times New Roman" w:eastAsia="Times New Roman" w:hint="default"/>
        </w:rPr>
        <w:t>5</w:t>
      </w:r>
      <w:r>
        <w:rPr/>
        <w:t>人，独立董事邓朝晖因故未能出 席，实际参加董事</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人。会议形成以下决议：会议审议通过了《公司负债处置方案》议 </w:t>
      </w:r>
      <w:r>
        <w:rPr>
          <w:spacing w:val="-40"/>
        </w:rPr>
        <w:t>案。、</w:t>
      </w:r>
    </w:p>
    <w:p>
      <w:pPr>
        <w:pStyle w:val="BodyText"/>
        <w:spacing w:line="338" w:lineRule="auto" w:before="55"/>
        <w:ind w:left="598" w:right="111" w:hanging="480"/>
        <w:jc w:val="left"/>
      </w:pPr>
      <w:r>
        <w:rPr>
          <w:rFonts w:ascii="Times New Roman" w:hAnsi="Times New Roman" w:cs="Times New Roman" w:eastAsia="Times New Roman" w:hint="default"/>
        </w:rPr>
        <w:t>2</w:t>
      </w:r>
      <w:r>
        <w:rPr/>
        <w:t>、董事会对股东大会决议的执行情况 </w:t>
      </w:r>
      <w:r>
        <w:rPr>
          <w:spacing w:val="-5"/>
        </w:rPr>
        <w:t>报告期内，本公司董事会严格按照公司章程和股东大会形成的决议，认真履行职责，</w:t>
      </w:r>
    </w:p>
    <w:p>
      <w:pPr>
        <w:pStyle w:val="BodyText"/>
        <w:spacing w:line="338" w:lineRule="auto" w:before="55"/>
        <w:ind w:right="111"/>
        <w:jc w:val="left"/>
      </w:pPr>
      <w:r>
        <w:rPr>
          <w:spacing w:val="-2"/>
        </w:rPr>
        <w:t>落实了</w:t>
      </w:r>
      <w:r>
        <w:rPr>
          <w:rFonts w:ascii="Times New Roman" w:hAnsi="Times New Roman" w:cs="Times New Roman" w:eastAsia="Times New Roman" w:hint="default"/>
          <w:spacing w:val="-2"/>
        </w:rPr>
        <w:t>2008</w:t>
      </w:r>
      <w:r>
        <w:rPr>
          <w:spacing w:val="-2"/>
        </w:rPr>
        <w:t>年度股东大会的各项决议。公司股东大会通过的各项议案，均在报告期内执</w:t>
      </w:r>
      <w:r>
        <w:rPr>
          <w:spacing w:val="-92"/>
        </w:rPr>
        <w:t> </w:t>
      </w:r>
      <w:r>
        <w:rPr>
          <w:spacing w:val="-92"/>
        </w:rPr>
      </w:r>
      <w:r>
        <w:rPr/>
        <w:t>行完毕。</w:t>
      </w:r>
    </w:p>
    <w:p>
      <w:pPr>
        <w:pStyle w:val="BodyText"/>
        <w:spacing w:line="338" w:lineRule="auto" w:before="55"/>
        <w:ind w:left="478" w:right="286" w:hanging="360"/>
        <w:jc w:val="left"/>
      </w:pPr>
      <w:r>
        <w:rPr>
          <w:rFonts w:ascii="Times New Roman" w:hAnsi="Times New Roman" w:cs="Times New Roman" w:eastAsia="Times New Roman" w:hint="default"/>
        </w:rPr>
        <w:t>3</w:t>
      </w:r>
      <w:r>
        <w:rPr/>
        <w:t>、董事会下设的审计委员会的履职情况汇总报告 在年报审计过程中，审计委员会严格按照法律法规、《公司章程》、《董事会审计</w:t>
      </w:r>
    </w:p>
    <w:p>
      <w:pPr>
        <w:pStyle w:val="BodyText"/>
        <w:spacing w:line="357" w:lineRule="auto" w:before="55"/>
        <w:ind w:right="111"/>
        <w:jc w:val="left"/>
      </w:pPr>
      <w:r>
        <w:rPr>
          <w:spacing w:val="-2"/>
        </w:rPr>
        <w:t>委员会实施细则》履行自己的职能，形成了《审计委员会履职暨关于深圳鹏城会计师事</w:t>
      </w:r>
      <w:r>
        <w:rPr>
          <w:spacing w:val="-95"/>
        </w:rPr>
        <w:t> </w:t>
      </w:r>
      <w:r>
        <w:rPr>
          <w:spacing w:val="-95"/>
        </w:rPr>
      </w:r>
      <w:r>
        <w:rPr/>
        <w:t>务所有限公司</w:t>
      </w:r>
      <w:r>
        <w:rPr>
          <w:rFonts w:ascii="Times New Roman" w:hAnsi="Times New Roman" w:cs="Times New Roman" w:eastAsia="Times New Roman" w:hint="default"/>
        </w:rPr>
        <w:t>2008</w:t>
      </w:r>
      <w:r>
        <w:rPr/>
        <w:t>年度的审计工作总结报告》，具体内容如下：</w:t>
      </w:r>
    </w:p>
    <w:p>
      <w:pPr>
        <w:pStyle w:val="BodyText"/>
        <w:spacing w:line="240" w:lineRule="auto" w:before="5"/>
        <w:ind w:right="111"/>
        <w:jc w:val="left"/>
      </w:pPr>
      <w:r>
        <w:rPr/>
        <w:t>（</w:t>
      </w:r>
      <w:r>
        <w:rPr>
          <w:rFonts w:ascii="Times New Roman" w:hAnsi="Times New Roman" w:cs="Times New Roman" w:eastAsia="Times New Roman" w:hint="default"/>
        </w:rPr>
        <w:t>1</w:t>
      </w:r>
      <w:r>
        <w:rPr/>
        <w:t>）了解公司报告期内的基本情况，审阅公司编制的财务会计报表。</w:t>
      </w:r>
    </w:p>
    <w:p>
      <w:pPr>
        <w:spacing w:after="0" w:line="240" w:lineRule="auto"/>
        <w:jc w:val="left"/>
        <w:sectPr>
          <w:pgSz w:w="11910" w:h="16840"/>
          <w:pgMar w:header="0" w:footer="594" w:top="1500" w:bottom="800" w:left="1300" w:right="1180"/>
        </w:sectPr>
      </w:pPr>
    </w:p>
    <w:p>
      <w:pPr>
        <w:pStyle w:val="BodyText"/>
        <w:spacing w:line="338" w:lineRule="auto" w:before="13"/>
        <w:ind w:right="234" w:firstLine="480"/>
        <w:jc w:val="both"/>
      </w:pPr>
      <w:r>
        <w:rPr>
          <w:rFonts w:ascii="Times New Roman" w:hAnsi="Times New Roman" w:cs="Times New Roman" w:eastAsia="Times New Roman" w:hint="default"/>
        </w:rPr>
        <w:t>2009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5</w:t>
      </w:r>
      <w:r>
        <w:rPr/>
        <w:t>日，审计委员会召开了</w:t>
      </w:r>
      <w:r>
        <w:rPr>
          <w:rFonts w:ascii="Times New Roman" w:hAnsi="Times New Roman" w:cs="Times New Roman" w:eastAsia="Times New Roman" w:hint="default"/>
        </w:rPr>
        <w:t>2009 </w:t>
      </w:r>
      <w:r>
        <w:rPr/>
        <w:t>年第一次会议，会议听取了公司总经理对 </w:t>
      </w:r>
      <w:r>
        <w:rPr>
          <w:spacing w:val="-2"/>
        </w:rPr>
        <w:t>公司报告期内生产经营情况和重大事项进展情况的全面汇报，审议了公司编制的</w:t>
      </w:r>
      <w:r>
        <w:rPr>
          <w:rFonts w:ascii="Times New Roman" w:hAnsi="Times New Roman" w:cs="Times New Roman" w:eastAsia="Times New Roman" w:hint="default"/>
          <w:spacing w:val="-2"/>
        </w:rPr>
        <w:t>2008</w:t>
      </w:r>
      <w:r>
        <w:rPr>
          <w:spacing w:val="-2"/>
        </w:rPr>
        <w:t>年</w:t>
      </w:r>
      <w:r>
        <w:rPr>
          <w:spacing w:val="-91"/>
        </w:rPr>
        <w:t> </w:t>
      </w:r>
      <w:r>
        <w:rPr>
          <w:spacing w:val="-2"/>
        </w:rPr>
        <w:t>度财务会计报表，认为：公司编制的财务会计报表的有关数据基本反映了公司截止</w:t>
      </w:r>
      <w:r>
        <w:rPr>
          <w:rFonts w:ascii="Times New Roman" w:hAnsi="Times New Roman" w:cs="Times New Roman" w:eastAsia="Times New Roman" w:hint="default"/>
          <w:spacing w:val="-2"/>
        </w:rPr>
        <w:t>2008</w:t>
      </w:r>
      <w:r>
        <w:rPr>
          <w:rFonts w:ascii="Times New Roman" w:hAnsi="Times New Roman" w:cs="Times New Roman" w:eastAsia="Times New Roman" w:hint="default"/>
          <w:spacing w:val="-32"/>
        </w:rPr>
        <w:t> </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日的财务状况和经营成果，并同意以此财务报表为基础开展</w:t>
      </w:r>
      <w:r>
        <w:rPr>
          <w:rFonts w:ascii="Times New Roman" w:hAnsi="Times New Roman" w:cs="Times New Roman" w:eastAsia="Times New Roman" w:hint="default"/>
          <w:spacing w:val="-2"/>
        </w:rPr>
        <w:t>2008</w:t>
      </w:r>
      <w:r>
        <w:rPr>
          <w:spacing w:val="-2"/>
        </w:rPr>
        <w:t>年度的审计工</w:t>
      </w:r>
      <w:r>
        <w:rPr>
          <w:spacing w:val="-87"/>
        </w:rPr>
        <w:t> </w:t>
      </w:r>
      <w:r>
        <w:rPr/>
        <w:t>作，并出具了相关的书面审阅意见。</w:t>
      </w:r>
    </w:p>
    <w:p>
      <w:pPr>
        <w:pStyle w:val="BodyText"/>
        <w:spacing w:line="338" w:lineRule="auto" w:before="55"/>
        <w:ind w:left="598" w:right="406" w:hanging="480"/>
        <w:jc w:val="left"/>
      </w:pPr>
      <w:r>
        <w:rPr/>
        <w:t>（</w:t>
      </w:r>
      <w:r>
        <w:rPr>
          <w:rFonts w:ascii="Times New Roman" w:hAnsi="Times New Roman" w:cs="Times New Roman" w:eastAsia="Times New Roman" w:hint="default"/>
        </w:rPr>
        <w:t>2</w:t>
      </w:r>
      <w:r>
        <w:rPr/>
        <w:t>）确定总体审计计划 在会计师事务所进场审计前，审计委员会与会计师事务所经过协商，确定了公司</w:t>
      </w:r>
    </w:p>
    <w:p>
      <w:pPr>
        <w:pStyle w:val="BodyText"/>
        <w:spacing w:line="240" w:lineRule="auto" w:before="55"/>
        <w:ind w:right="111"/>
        <w:jc w:val="left"/>
      </w:pPr>
      <w:r>
        <w:rPr>
          <w:rFonts w:ascii="Times New Roman" w:hAnsi="Times New Roman" w:cs="Times New Roman" w:eastAsia="Times New Roman" w:hint="default"/>
        </w:rPr>
        <w:t>2008</w:t>
      </w:r>
      <w:r>
        <w:rPr/>
        <w:t>年年度审计工作的时间安排。</w:t>
      </w:r>
    </w:p>
    <w:p>
      <w:pPr>
        <w:pStyle w:val="BodyText"/>
        <w:spacing w:line="240" w:lineRule="auto"/>
        <w:ind w:right="111"/>
        <w:jc w:val="left"/>
      </w:pPr>
      <w:r>
        <w:rPr/>
        <w:t>（</w:t>
      </w:r>
      <w:r>
        <w:rPr>
          <w:rFonts w:ascii="Times New Roman" w:hAnsi="Times New Roman" w:cs="Times New Roman" w:eastAsia="Times New Roman" w:hint="default"/>
        </w:rPr>
        <w:t>3</w:t>
      </w:r>
      <w:r>
        <w:rPr/>
        <w:t>）督促审计工作</w:t>
      </w:r>
    </w:p>
    <w:p>
      <w:pPr>
        <w:pStyle w:val="BodyText"/>
        <w:spacing w:line="338" w:lineRule="auto"/>
        <w:ind w:right="234" w:firstLine="480"/>
        <w:jc w:val="both"/>
      </w:pPr>
      <w:r>
        <w:rPr>
          <w:rFonts w:ascii="Times New Roman" w:hAnsi="Times New Roman" w:cs="Times New Roman" w:eastAsia="Times New Roman" w:hint="default"/>
        </w:rPr>
        <w:t>2009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10</w:t>
      </w:r>
      <w:r>
        <w:rPr/>
        <w:t>日，会计师事务所正式进场开始审计工作。在审计期间，审计委员会 于</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4 </w:t>
      </w:r>
      <w:r>
        <w:rPr/>
        <w:t>月</w:t>
      </w:r>
      <w:r>
        <w:rPr>
          <w:rFonts w:ascii="Times New Roman" w:hAnsi="Times New Roman" w:cs="Times New Roman" w:eastAsia="Times New Roman" w:hint="default"/>
        </w:rPr>
        <w:t>18</w:t>
      </w:r>
      <w:r>
        <w:rPr/>
        <w:t>日及</w:t>
      </w:r>
      <w:r>
        <w:rPr>
          <w:rFonts w:ascii="Times New Roman" w:hAnsi="Times New Roman" w:cs="Times New Roman" w:eastAsia="Times New Roman" w:hint="default"/>
        </w:rPr>
        <w:t>2009 </w:t>
      </w:r>
      <w:r>
        <w:rPr/>
        <w:t>年</w:t>
      </w:r>
      <w:r>
        <w:rPr>
          <w:rFonts w:ascii="Times New Roman" w:hAnsi="Times New Roman" w:cs="Times New Roman" w:eastAsia="Times New Roman" w:hint="default"/>
        </w:rPr>
        <w:t>4 </w:t>
      </w:r>
      <w:r>
        <w:rPr/>
        <w:t>月</w:t>
      </w:r>
      <w:r>
        <w:rPr>
          <w:rFonts w:ascii="Times New Roman" w:hAnsi="Times New Roman" w:cs="Times New Roman" w:eastAsia="Times New Roman" w:hint="default"/>
        </w:rPr>
        <w:t>24</w:t>
      </w:r>
      <w:r>
        <w:rPr>
          <w:rFonts w:ascii="Times New Roman" w:hAnsi="Times New Roman" w:cs="Times New Roman" w:eastAsia="Times New Roman" w:hint="default"/>
          <w:spacing w:val="14"/>
        </w:rPr>
        <w:t> </w:t>
      </w:r>
      <w:r>
        <w:rPr>
          <w:spacing w:val="-3"/>
        </w:rPr>
        <w:t>日先后两次发出《审计督促函》，要求会计师事务</w:t>
      </w:r>
      <w:r>
        <w:rPr/>
        <w:t> 所按照审计时间安排完成审计工作，确保公司年度报告及相关文件按时披露。</w:t>
      </w:r>
    </w:p>
    <w:p>
      <w:pPr>
        <w:pStyle w:val="BodyText"/>
        <w:spacing w:line="240" w:lineRule="auto" w:before="55"/>
        <w:ind w:right="111"/>
        <w:jc w:val="left"/>
      </w:pPr>
      <w:r>
        <w:rPr/>
        <w:t>（</w:t>
      </w:r>
      <w:r>
        <w:rPr>
          <w:rFonts w:ascii="Times New Roman" w:hAnsi="Times New Roman" w:cs="Times New Roman" w:eastAsia="Times New Roman" w:hint="default"/>
        </w:rPr>
        <w:t>4</w:t>
      </w:r>
      <w:r>
        <w:rPr/>
        <w:t>）初步审计意见后审阅财务会计报表</w:t>
      </w:r>
    </w:p>
    <w:p>
      <w:pPr>
        <w:pStyle w:val="BodyText"/>
        <w:spacing w:line="338" w:lineRule="auto"/>
        <w:ind w:right="305" w:firstLine="480"/>
        <w:jc w:val="both"/>
      </w:pPr>
      <w:r>
        <w:rPr>
          <w:rFonts w:ascii="Times New Roman" w:hAnsi="Times New Roman" w:cs="Times New Roman" w:eastAsia="Times New Roman" w:hint="default"/>
        </w:rPr>
        <w:t>2009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28</w:t>
      </w:r>
      <w:r>
        <w:rPr/>
        <w:t>日，会计师事务所出具了财务会计报表的初步审计意见，审计委员会 于当日召开了审计委员会</w:t>
      </w:r>
      <w:r>
        <w:rPr>
          <w:rFonts w:ascii="Times New Roman" w:hAnsi="Times New Roman" w:cs="Times New Roman" w:eastAsia="Times New Roman" w:hint="default"/>
        </w:rPr>
        <w:t>2008 </w:t>
      </w:r>
      <w:r>
        <w:rPr/>
        <w:t>年度第二次会议，再次审阅了经初步审计后的公司财务 会计报表，认为：该报表真实、准确、完整的反映了公司截至</w:t>
      </w:r>
      <w:r>
        <w:rPr>
          <w:rFonts w:ascii="Times New Roman" w:hAnsi="Times New Roman" w:cs="Times New Roman" w:eastAsia="Times New Roman" w:hint="default"/>
        </w:rPr>
        <w:t>2008 </w:t>
      </w:r>
      <w:r>
        <w:rPr/>
        <w:t>年</w:t>
      </w:r>
      <w:r>
        <w:rPr>
          <w:rFonts w:ascii="Times New Roman" w:hAnsi="Times New Roman" w:cs="Times New Roman" w:eastAsia="Times New Roman" w:hint="default"/>
        </w:rPr>
        <w:t>12 </w:t>
      </w:r>
      <w:r>
        <w:rPr/>
        <w:t>月</w:t>
      </w:r>
      <w:r>
        <w:rPr>
          <w:rFonts w:ascii="Times New Roman" w:hAnsi="Times New Roman" w:cs="Times New Roman" w:eastAsia="Times New Roman" w:hint="default"/>
        </w:rPr>
        <w:t>31 </w:t>
      </w:r>
      <w:r>
        <w:rPr/>
        <w:t>日的财 务状况和经营成果，并同意以此报表为基础制作</w:t>
      </w:r>
      <w:r>
        <w:rPr>
          <w:rFonts w:ascii="Times New Roman" w:hAnsi="Times New Roman" w:cs="Times New Roman" w:eastAsia="Times New Roman" w:hint="default"/>
        </w:rPr>
        <w:t>2008 </w:t>
      </w:r>
      <w:r>
        <w:rPr/>
        <w:t>年年度报告及摘要。同时要求会 计师事务所按照计划尽快完成审计工作，以保证公司如期披露</w:t>
      </w:r>
      <w:r>
        <w:rPr>
          <w:rFonts w:ascii="Times New Roman" w:hAnsi="Times New Roman" w:cs="Times New Roman" w:eastAsia="Times New Roman" w:hint="default"/>
        </w:rPr>
        <w:t>2008  </w:t>
      </w:r>
      <w:r>
        <w:rPr/>
        <w:t>年年度报告。</w:t>
      </w:r>
    </w:p>
    <w:p>
      <w:pPr>
        <w:pStyle w:val="BodyText"/>
        <w:spacing w:line="240" w:lineRule="auto" w:before="27"/>
        <w:ind w:right="111"/>
        <w:jc w:val="left"/>
      </w:pPr>
      <w:r>
        <w:rPr/>
        <w:t>（</w:t>
      </w:r>
      <w:r>
        <w:rPr>
          <w:rFonts w:ascii="Times New Roman" w:hAnsi="Times New Roman" w:cs="Times New Roman" w:eastAsia="Times New Roman" w:hint="default"/>
        </w:rPr>
        <w:t>5</w:t>
      </w:r>
      <w:r>
        <w:rPr/>
        <w:t>）正式报告后的总结工作</w:t>
      </w:r>
    </w:p>
    <w:p>
      <w:pPr>
        <w:pStyle w:val="BodyText"/>
        <w:spacing w:line="343" w:lineRule="auto"/>
        <w:ind w:right="166" w:firstLine="480"/>
        <w:jc w:val="left"/>
      </w:pPr>
      <w:r>
        <w:rPr>
          <w:rFonts w:ascii="Times New Roman" w:hAnsi="Times New Roman" w:cs="Times New Roman" w:eastAsia="Times New Roman" w:hint="default"/>
        </w:rPr>
        <w:t>2009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29</w:t>
      </w:r>
      <w:r>
        <w:rPr/>
        <w:t>日，会计师事务所出具正式审计报告及其他相关文件。审计委员会向 董事会提交《审计委员会履职暨关于会计师事务所</w:t>
      </w:r>
      <w:r>
        <w:rPr>
          <w:rFonts w:ascii="Times New Roman" w:hAnsi="Times New Roman" w:cs="Times New Roman" w:eastAsia="Times New Roman" w:hint="default"/>
        </w:rPr>
        <w:t>2008 </w:t>
      </w:r>
      <w:r>
        <w:rPr/>
        <w:t>年度的审计工作总结报告》， 认为：公司聘请的深圳市鹏城会计师事务所有限公司在为公司提供审计服务的过程中， </w:t>
      </w:r>
      <w:r>
        <w:rPr>
          <w:spacing w:val="-2"/>
        </w:rPr>
        <w:t>恪尽职守，遵守独立、客观、公正的职业准则，较好地完成了</w:t>
      </w:r>
      <w:r>
        <w:rPr>
          <w:rFonts w:ascii="Times New Roman" w:hAnsi="Times New Roman" w:cs="Times New Roman" w:eastAsia="Times New Roman" w:hint="default"/>
          <w:spacing w:val="-2"/>
        </w:rPr>
        <w:t>2008</w:t>
      </w:r>
      <w:r>
        <w:rPr>
          <w:spacing w:val="-2"/>
        </w:rPr>
        <w:t>年年度报告审计的各</w:t>
      </w:r>
      <w:r>
        <w:rPr>
          <w:spacing w:val="-97"/>
        </w:rPr>
        <w:t> </w:t>
      </w:r>
      <w:r>
        <w:rPr/>
        <w:t>项工作。</w:t>
      </w:r>
    </w:p>
    <w:p>
      <w:pPr>
        <w:pStyle w:val="BodyText"/>
        <w:spacing w:line="338" w:lineRule="auto" w:before="50"/>
        <w:ind w:left="598" w:right="111" w:hanging="480"/>
        <w:jc w:val="left"/>
      </w:pPr>
      <w:r>
        <w:rPr/>
        <w:t>（</w:t>
      </w:r>
      <w:r>
        <w:rPr>
          <w:rFonts w:ascii="Times New Roman" w:hAnsi="Times New Roman" w:cs="Times New Roman" w:eastAsia="Times New Roman" w:hint="default"/>
        </w:rPr>
        <w:t>6</w:t>
      </w:r>
      <w:r>
        <w:rPr/>
        <w:t>）续聘会计师事务所的决议 </w:t>
      </w:r>
      <w:r>
        <w:rPr>
          <w:spacing w:val="-2"/>
        </w:rPr>
        <w:t>鉴于深圳市鹏城会计师事务所能够按照新的审计准则的要求，严格执行相关审计规</w:t>
      </w:r>
    </w:p>
    <w:p>
      <w:pPr>
        <w:pStyle w:val="BodyText"/>
        <w:spacing w:line="348" w:lineRule="auto" w:before="55"/>
        <w:ind w:right="111"/>
        <w:jc w:val="left"/>
      </w:pPr>
      <w:r>
        <w:rPr>
          <w:spacing w:val="-5"/>
        </w:rPr>
        <w:t>程和事务所质量控制制度，该所业务素质良好，恪尽职守，较好地完成了各项审计任务，</w:t>
      </w:r>
      <w:r>
        <w:rPr>
          <w:spacing w:val="-96"/>
        </w:rPr>
        <w:t> </w:t>
      </w:r>
      <w:r>
        <w:rPr>
          <w:spacing w:val="-96"/>
        </w:rPr>
      </w:r>
      <w:r>
        <w:rPr/>
        <w:t>决议向董事会提请继续聘任该所为公司</w:t>
      </w:r>
      <w:r>
        <w:rPr>
          <w:rFonts w:ascii="Times New Roman" w:hAnsi="Times New Roman" w:cs="Times New Roman" w:eastAsia="Times New Roman" w:hint="default"/>
        </w:rPr>
        <w:t>2009</w:t>
      </w:r>
      <w:r>
        <w:rPr/>
        <w:t>年度审计机构。 </w:t>
      </w:r>
      <w:r>
        <w:rPr>
          <w:rFonts w:ascii="Times New Roman" w:hAnsi="Times New Roman" w:cs="Times New Roman" w:eastAsia="Times New Roman" w:hint="default"/>
        </w:rPr>
        <w:t>4</w:t>
      </w:r>
      <w:r>
        <w:rPr/>
        <w:t>、董事会下设的提名、薪酬与考核委员会的履职情况汇总报告</w:t>
      </w:r>
    </w:p>
    <w:p>
      <w:pPr>
        <w:spacing w:after="0" w:line="348" w:lineRule="auto"/>
        <w:jc w:val="left"/>
        <w:sectPr>
          <w:pgSz w:w="11910" w:h="16840"/>
          <w:pgMar w:header="0" w:footer="594" w:top="1500" w:bottom="800" w:left="1300" w:right="1180"/>
        </w:sectPr>
      </w:pPr>
    </w:p>
    <w:p>
      <w:pPr>
        <w:pStyle w:val="BodyText"/>
        <w:spacing w:line="350" w:lineRule="auto" w:before="13"/>
        <w:ind w:right="111" w:firstLine="360"/>
        <w:jc w:val="left"/>
      </w:pPr>
      <w:r>
        <w:rPr>
          <w:spacing w:val="-2"/>
        </w:rPr>
        <w:t>董事会提名、薪酬与考核委员会严格按照法律法规、《公司章程》、《董事会提名、</w:t>
      </w:r>
      <w:r>
        <w:rPr/>
        <w:t> 薪酬与考核委员会实施细则》履行自己的职能，对公司董事、监事和高级管理人员</w:t>
      </w:r>
      <w:r>
        <w:rPr>
          <w:rFonts w:ascii="Times New Roman" w:hAnsi="Times New Roman" w:cs="Times New Roman" w:eastAsia="Times New Roman" w:hint="default"/>
        </w:rPr>
        <w:t>2008 </w:t>
      </w:r>
      <w:r>
        <w:rPr/>
        <w:t>年度薪酬进行了审核，审核意见如下：公司董事、监事和高级管理人员报酬决策程序符 合规定；董事、监事和高级管理人员报酬发放标准符合薪酬体系规定；公司</w:t>
      </w:r>
      <w:r>
        <w:rPr>
          <w:rFonts w:ascii="Times New Roman" w:hAnsi="Times New Roman" w:cs="Times New Roman" w:eastAsia="Times New Roman" w:hint="default"/>
        </w:rPr>
        <w:t>2008</w:t>
      </w:r>
      <w:r>
        <w:rPr/>
        <w:t>年年度 报告中所披露的董事、监事和高级管理人员薪酬真实、准确。 </w:t>
      </w:r>
      <w:r>
        <w:rPr>
          <w:rFonts w:ascii="Times New Roman" w:hAnsi="Times New Roman" w:cs="Times New Roman" w:eastAsia="Times New Roman" w:hint="default"/>
        </w:rPr>
        <w:t>5</w:t>
      </w:r>
      <w:r>
        <w:rPr/>
        <w:t>、独立董事对公司累计和当期对外担保情况、执行相关规定情况的专项说明及独立意 见 我们基于独立判断的立场，对深圳大通实业股份有限公司对外担保情况及执行相关规定 </w:t>
      </w:r>
      <w:r>
        <w:rPr>
          <w:spacing w:val="-3"/>
        </w:rPr>
        <w:t>情况进行了深入核查。经审查，报告期内，公司未为公司股东及其关联方、任何非法人</w:t>
      </w:r>
      <w:r>
        <w:rPr>
          <w:spacing w:val="-88"/>
        </w:rPr>
        <w:t> </w:t>
      </w:r>
      <w:r>
        <w:rPr>
          <w:spacing w:val="-88"/>
        </w:rPr>
      </w:r>
      <w:r>
        <w:rPr/>
        <w:t>单位或个人提供担保。</w:t>
      </w:r>
    </w:p>
    <w:p>
      <w:pPr>
        <w:pStyle w:val="BodyText"/>
        <w:spacing w:line="240" w:lineRule="auto" w:before="43"/>
        <w:ind w:right="111"/>
        <w:jc w:val="left"/>
      </w:pPr>
      <w:r>
        <w:rPr/>
        <w:t>（六）利润分配预案</w:t>
      </w:r>
    </w:p>
    <w:p>
      <w:pPr>
        <w:pStyle w:val="BodyText"/>
        <w:spacing w:line="240" w:lineRule="auto" w:before="154"/>
        <w:ind w:left="718" w:right="111"/>
        <w:jc w:val="left"/>
      </w:pPr>
      <w:r>
        <w:rPr>
          <w:spacing w:val="-5"/>
        </w:rPr>
        <w:t>经深圳鹏城会计师事务所审计确认，公司</w:t>
      </w:r>
      <w:r>
        <w:rPr>
          <w:spacing w:val="-60"/>
        </w:rPr>
        <w:t> </w:t>
      </w:r>
      <w:r>
        <w:rPr>
          <w:rFonts w:ascii="Times New Roman" w:hAnsi="Times New Roman" w:cs="Times New Roman" w:eastAsia="Times New Roman" w:hint="default"/>
        </w:rPr>
        <w:t>2008 </w:t>
      </w:r>
      <w:r>
        <w:rPr/>
        <w:t>年度实现的归属于母公司的净利润</w:t>
      </w:r>
    </w:p>
    <w:p>
      <w:pPr>
        <w:pStyle w:val="BodyText"/>
        <w:spacing w:line="350" w:lineRule="auto"/>
        <w:ind w:right="245"/>
        <w:jc w:val="both"/>
      </w:pPr>
      <w:r>
        <w:rPr/>
        <w:t>为</w:t>
      </w:r>
      <w:r>
        <w:rPr>
          <w:spacing w:val="-60"/>
        </w:rPr>
        <w:t> </w:t>
      </w:r>
      <w:r>
        <w:rPr>
          <w:rFonts w:ascii="Times New Roman" w:hAnsi="Times New Roman" w:cs="Times New Roman" w:eastAsia="Times New Roman" w:hint="default"/>
        </w:rPr>
        <w:t>154,196,264.25 </w:t>
      </w:r>
      <w:r>
        <w:rPr/>
        <w:t>元，经董事会审议通过，公司本年度净利润用于弥补以前年度亏损， </w:t>
      </w:r>
      <w:r>
        <w:rPr>
          <w:spacing w:val="-3"/>
        </w:rPr>
        <w:t>本年度不进行利润分配，也不进行资本公积金转增股本（股改方案中的资本公积向全体</w:t>
      </w:r>
      <w:r>
        <w:rPr>
          <w:spacing w:val="-96"/>
        </w:rPr>
        <w:t> </w:t>
      </w:r>
      <w:r>
        <w:rPr>
          <w:spacing w:val="-96"/>
        </w:rPr>
      </w:r>
      <w:r>
        <w:rPr>
          <w:spacing w:val="-3"/>
        </w:rPr>
        <w:t>流通股定向转增方案除外）。公司独立董事表示同意董事会作出该项预案，本方案需提</w:t>
      </w:r>
      <w:r>
        <w:rPr>
          <w:spacing w:val="-96"/>
        </w:rPr>
        <w:t> </w:t>
      </w:r>
      <w:r>
        <w:rPr>
          <w:spacing w:val="-96"/>
        </w:rPr>
      </w:r>
      <w:r>
        <w:rPr/>
        <w:t>交</w:t>
      </w:r>
      <w:r>
        <w:rPr>
          <w:spacing w:val="-60"/>
        </w:rPr>
        <w:t> </w:t>
      </w:r>
      <w:r>
        <w:rPr>
          <w:rFonts w:ascii="Times New Roman" w:hAnsi="Times New Roman" w:cs="Times New Roman" w:eastAsia="Times New Roman" w:hint="default"/>
        </w:rPr>
        <w:t>2008 </w:t>
      </w:r>
      <w:r>
        <w:rPr/>
        <w:t>年年度股东大会审议。</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21"/>
          <w:szCs w:val="21"/>
        </w:rPr>
      </w:pPr>
    </w:p>
    <w:p>
      <w:pPr>
        <w:spacing w:before="0"/>
        <w:ind w:left="2841" w:right="2996" w:firstLine="0"/>
        <w:jc w:val="center"/>
        <w:rPr>
          <w:rFonts w:ascii="宋体" w:hAnsi="宋体" w:cs="宋体" w:eastAsia="宋体" w:hint="default"/>
          <w:sz w:val="30"/>
          <w:szCs w:val="30"/>
        </w:rPr>
      </w:pPr>
      <w:bookmarkStart w:name="_TOC_250003" w:id="8"/>
      <w:r>
        <w:rPr>
          <w:rFonts w:ascii="宋体" w:hAnsi="宋体" w:cs="宋体" w:eastAsia="宋体" w:hint="default"/>
          <w:b/>
          <w:bCs/>
          <w:sz w:val="30"/>
          <w:szCs w:val="30"/>
        </w:rPr>
        <w:t>第八章</w:t>
      </w:r>
      <w:r>
        <w:rPr>
          <w:rFonts w:ascii="宋体" w:hAnsi="宋体" w:cs="宋体" w:eastAsia="宋体" w:hint="default"/>
          <w:b/>
          <w:bCs/>
          <w:spacing w:val="-3"/>
          <w:sz w:val="30"/>
          <w:szCs w:val="30"/>
        </w:rPr>
        <w:t> </w:t>
      </w:r>
      <w:r>
        <w:rPr>
          <w:rFonts w:ascii="宋体" w:hAnsi="宋体" w:cs="宋体" w:eastAsia="宋体" w:hint="default"/>
          <w:b/>
          <w:bCs/>
          <w:sz w:val="30"/>
          <w:szCs w:val="30"/>
        </w:rPr>
        <w:t>监事会报告</w:t>
      </w:r>
      <w:bookmarkEnd w:id="8"/>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pStyle w:val="BodyText"/>
        <w:spacing w:line="240" w:lineRule="auto" w:before="204"/>
        <w:ind w:right="111"/>
        <w:jc w:val="left"/>
      </w:pPr>
      <w:r>
        <w:rPr/>
        <w:t>（一）报告期内监事会会议情况</w:t>
      </w:r>
    </w:p>
    <w:p>
      <w:pPr>
        <w:pStyle w:val="BodyText"/>
        <w:spacing w:line="240" w:lineRule="auto" w:before="154"/>
        <w:ind w:right="111"/>
        <w:jc w:val="left"/>
      </w:pPr>
      <w:r>
        <w:rPr>
          <w:rFonts w:ascii="Times New Roman" w:hAnsi="Times New Roman" w:cs="Times New Roman" w:eastAsia="Times New Roman" w:hint="default"/>
        </w:rPr>
        <w:t>1</w:t>
      </w:r>
      <w:r>
        <w:rPr/>
        <w:t>、报告期内监事会共召开</w:t>
      </w:r>
      <w:r>
        <w:rPr>
          <w:rFonts w:ascii="Times New Roman" w:hAnsi="Times New Roman" w:cs="Times New Roman" w:eastAsia="Times New Roman" w:hint="default"/>
        </w:rPr>
        <w:t>2</w:t>
      </w:r>
      <w:r>
        <w:rPr/>
        <w:t>次会议，主要内容如下：</w:t>
      </w:r>
    </w:p>
    <w:p>
      <w:pPr>
        <w:pStyle w:val="BodyText"/>
        <w:spacing w:line="338" w:lineRule="auto"/>
        <w:ind w:right="100"/>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8</w:t>
      </w:r>
      <w:r>
        <w:rPr/>
        <w:t>日公司第六届监事会第三次会议在都市阳光名苑</w:t>
      </w:r>
      <w:r>
        <w:rPr>
          <w:rFonts w:ascii="Times New Roman" w:hAnsi="Times New Roman" w:cs="Times New Roman" w:eastAsia="Times New Roman" w:hint="default"/>
        </w:rPr>
        <w:t>CEO</w:t>
      </w:r>
      <w:r>
        <w:rPr/>
        <w:t>商务中心会议室 以现场投票的形式召开。会议应参加监事</w:t>
      </w:r>
      <w:r>
        <w:rPr>
          <w:rFonts w:ascii="Times New Roman" w:hAnsi="Times New Roman" w:cs="Times New Roman" w:eastAsia="Times New Roman" w:hint="default"/>
        </w:rPr>
        <w:t>3 </w:t>
      </w:r>
      <w:r>
        <w:rPr/>
        <w:t>人，实际参加</w:t>
      </w:r>
      <w:r>
        <w:rPr>
          <w:rFonts w:ascii="Times New Roman" w:hAnsi="Times New Roman" w:cs="Times New Roman" w:eastAsia="Times New Roman" w:hint="default"/>
        </w:rPr>
        <w:t>3 </w:t>
      </w:r>
      <w:r>
        <w:rPr/>
        <w:t>人。 本次会议由公司监事会召集人陈璇女士主持，公司部分高管列席会议</w:t>
      </w:r>
      <w:r>
        <w:rPr>
          <w:rFonts w:ascii="Times New Roman" w:hAnsi="Times New Roman" w:cs="Times New Roman" w:eastAsia="Times New Roman" w:hint="default"/>
        </w:rPr>
        <w:t>,</w:t>
      </w:r>
      <w:r>
        <w:rPr>
          <w:rFonts w:ascii="Times New Roman" w:hAnsi="Times New Roman" w:cs="Times New Roman" w:eastAsia="Times New Roman" w:hint="default"/>
          <w:spacing w:val="26"/>
        </w:rPr>
        <w:t> </w:t>
      </w:r>
      <w:r>
        <w:rPr>
          <w:spacing w:val="-10"/>
        </w:rPr>
        <w:t>符合《公司法》、</w:t>
      </w:r>
    </w:p>
    <w:p>
      <w:pPr>
        <w:pStyle w:val="BodyText"/>
        <w:spacing w:line="357" w:lineRule="auto" w:before="27"/>
        <w:ind w:left="658" w:right="226" w:hanging="540"/>
        <w:jc w:val="left"/>
      </w:pPr>
      <w:r>
        <w:rPr/>
        <w:t>《公司章程》及《监事会议事规则》的有关规定。会议经审议形成以下决议： </w:t>
      </w:r>
      <w:r>
        <w:rPr>
          <w:spacing w:val="-3"/>
        </w:rPr>
        <w:t>审议通过了关于公司</w:t>
      </w:r>
      <w:r>
        <w:rPr>
          <w:rFonts w:ascii="Times New Roman" w:hAnsi="Times New Roman" w:cs="Times New Roman" w:eastAsia="Times New Roman" w:hint="default"/>
          <w:spacing w:val="-3"/>
        </w:rPr>
        <w:t>2007</w:t>
      </w:r>
      <w:r>
        <w:rPr>
          <w:spacing w:val="-3"/>
        </w:rPr>
        <w:t>年</w:t>
      </w:r>
      <w:r>
        <w:rPr>
          <w:rFonts w:ascii="Times New Roman" w:hAnsi="Times New Roman" w:cs="Times New Roman" w:eastAsia="Times New Roman" w:hint="default"/>
          <w:spacing w:val="-3"/>
        </w:rPr>
        <w:t>11</w:t>
      </w:r>
      <w:r>
        <w:rPr>
          <w:spacing w:val="-3"/>
        </w:rPr>
        <w:t>月</w:t>
      </w:r>
      <w:r>
        <w:rPr>
          <w:rFonts w:ascii="Times New Roman" w:hAnsi="Times New Roman" w:cs="Times New Roman" w:eastAsia="Times New Roman" w:hint="default"/>
          <w:spacing w:val="-3"/>
        </w:rPr>
        <w:t>30</w:t>
      </w:r>
      <w:r>
        <w:rPr>
          <w:spacing w:val="-3"/>
        </w:rPr>
        <w:t>日财务报表《审计报告》的议案，并对审计报告</w:t>
      </w:r>
    </w:p>
    <w:p>
      <w:pPr>
        <w:pStyle w:val="BodyText"/>
        <w:spacing w:line="357" w:lineRule="auto" w:before="5"/>
        <w:ind w:left="658" w:right="306" w:hanging="540"/>
        <w:jc w:val="left"/>
      </w:pPr>
      <w:r>
        <w:rPr/>
        <w:t>中的非标意见作出如下说明： 深圳鹏城会计师事务所为本公司出具了“深鹏所股审字</w:t>
      </w:r>
      <w:r>
        <w:rPr>
          <w:rFonts w:ascii="Times New Roman" w:hAnsi="Times New Roman" w:cs="Times New Roman" w:eastAsia="Times New Roman" w:hint="default"/>
        </w:rPr>
        <w:t>[2007]107</w:t>
      </w:r>
      <w:r>
        <w:rPr/>
        <w:t>号关于深圳大通</w:t>
      </w:r>
    </w:p>
    <w:p>
      <w:pPr>
        <w:spacing w:after="0" w:line="357" w:lineRule="auto"/>
        <w:jc w:val="left"/>
        <w:sectPr>
          <w:pgSz w:w="11910" w:h="16840"/>
          <w:pgMar w:header="0" w:footer="594" w:top="1500" w:bottom="800" w:left="1300" w:right="1180"/>
        </w:sectPr>
      </w:pPr>
    </w:p>
    <w:p>
      <w:pPr>
        <w:pStyle w:val="BodyText"/>
        <w:spacing w:line="338" w:lineRule="auto" w:before="13"/>
        <w:ind w:right="111"/>
        <w:jc w:val="left"/>
      </w:pPr>
      <w:r>
        <w:rPr>
          <w:spacing w:val="-1"/>
        </w:rPr>
        <w:t>实业股份有限公司</w:t>
      </w:r>
      <w:r>
        <w:rPr>
          <w:rFonts w:ascii="Times New Roman" w:hAnsi="Times New Roman" w:cs="Times New Roman" w:eastAsia="Times New Roman" w:hint="default"/>
          <w:spacing w:val="-1"/>
        </w:rPr>
        <w:t>2007</w:t>
      </w:r>
      <w:r>
        <w:rPr>
          <w:spacing w:val="-1"/>
        </w:rPr>
        <w:t>年</w:t>
      </w:r>
      <w:r>
        <w:rPr>
          <w:rFonts w:ascii="Times New Roman" w:hAnsi="Times New Roman" w:cs="Times New Roman" w:eastAsia="Times New Roman" w:hint="default"/>
          <w:spacing w:val="-1"/>
        </w:rPr>
        <w:t>1-11</w:t>
      </w:r>
      <w:r>
        <w:rPr>
          <w:spacing w:val="-1"/>
        </w:rPr>
        <w:t>月份的财务审计报告，监事会认同公司董事会对此所做的</w:t>
      </w:r>
      <w:r>
        <w:rPr>
          <w:spacing w:val="-88"/>
        </w:rPr>
        <w:t> </w:t>
      </w:r>
      <w:r>
        <w:rPr>
          <w:spacing w:val="-88"/>
        </w:rPr>
      </w:r>
      <w:r>
        <w:rPr/>
        <w:t>专项说明。</w:t>
      </w:r>
    </w:p>
    <w:p>
      <w:pPr>
        <w:pStyle w:val="BodyText"/>
        <w:spacing w:line="345" w:lineRule="auto" w:before="55"/>
        <w:ind w:right="111"/>
        <w:jc w:val="left"/>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28</w:t>
      </w:r>
      <w:r>
        <w:rPr/>
        <w:t>日第六届监事会第四次会议以现场表决的形式召开。会议应参加监事 </w:t>
      </w:r>
      <w:r>
        <w:rPr>
          <w:rFonts w:ascii="Times New Roman" w:hAnsi="Times New Roman" w:cs="Times New Roman" w:eastAsia="Times New Roman" w:hint="default"/>
        </w:rPr>
        <w:t>3</w:t>
      </w:r>
      <w:r>
        <w:rPr>
          <w:rFonts w:ascii="Times New Roman" w:hAnsi="Times New Roman" w:cs="Times New Roman" w:eastAsia="Times New Roman" w:hint="default"/>
          <w:spacing w:val="9"/>
        </w:rPr>
        <w:t> </w:t>
      </w:r>
      <w:r>
        <w:rPr>
          <w:spacing w:val="-10"/>
        </w:rPr>
        <w:t>人，共有</w:t>
      </w:r>
      <w:r>
        <w:rPr>
          <w:rFonts w:ascii="Times New Roman" w:hAnsi="Times New Roman" w:cs="Times New Roman" w:eastAsia="Times New Roman" w:hint="default"/>
          <w:spacing w:val="-10"/>
        </w:rPr>
        <w:t>3</w:t>
      </w:r>
      <w:r>
        <w:rPr>
          <w:rFonts w:ascii="Times New Roman" w:hAnsi="Times New Roman" w:cs="Times New Roman" w:eastAsia="Times New Roman" w:hint="default"/>
          <w:spacing w:val="19"/>
        </w:rPr>
        <w:t> </w:t>
      </w:r>
      <w:r>
        <w:rPr>
          <w:spacing w:val="-9"/>
        </w:rPr>
        <w:t>人参与表决。参加表决的监事有张岩先生、高皓先生、陈璇女士，符合《公</w:t>
      </w:r>
      <w:r>
        <w:rPr>
          <w:spacing w:val="-108"/>
        </w:rPr>
        <w:t> </w:t>
      </w:r>
      <w:r>
        <w:rPr>
          <w:spacing w:val="-108"/>
        </w:rPr>
      </w:r>
      <w:r>
        <w:rPr>
          <w:spacing w:val="-5"/>
        </w:rPr>
        <w:t>司法》、《公司章程》及《监事会议事规则》的有关规定。会议经审议，通过以下议案：</w:t>
      </w:r>
      <w:r>
        <w:rPr>
          <w:spacing w:val="-100"/>
        </w:rPr>
        <w:t> </w:t>
      </w:r>
      <w:r>
        <w:rPr>
          <w:spacing w:val="-100"/>
        </w:rPr>
      </w:r>
      <w:r>
        <w:rPr>
          <w:rFonts w:ascii="Times New Roman" w:hAnsi="Times New Roman" w:cs="Times New Roman" w:eastAsia="Times New Roman" w:hint="default"/>
        </w:rPr>
        <w:t>1</w:t>
      </w:r>
      <w:r>
        <w:rPr/>
        <w:t>）审议通过《公司</w:t>
      </w:r>
      <w:r>
        <w:rPr>
          <w:rFonts w:ascii="Times New Roman" w:hAnsi="Times New Roman" w:cs="Times New Roman" w:eastAsia="Times New Roman" w:hint="default"/>
        </w:rPr>
        <w:t>2007</w:t>
      </w:r>
      <w:r>
        <w:rPr/>
        <w:t>年监事会工作报告》；</w:t>
      </w:r>
    </w:p>
    <w:p>
      <w:pPr>
        <w:pStyle w:val="BodyText"/>
        <w:spacing w:line="240" w:lineRule="auto" w:before="19"/>
        <w:ind w:left="238" w:right="111"/>
        <w:jc w:val="left"/>
      </w:pPr>
      <w:r>
        <w:rPr>
          <w:rFonts w:ascii="Times New Roman" w:hAnsi="Times New Roman" w:cs="Times New Roman" w:eastAsia="Times New Roman" w:hint="default"/>
        </w:rPr>
        <w:t>2</w:t>
      </w:r>
      <w:r>
        <w:rPr/>
        <w:t>）审议通过《公司</w:t>
      </w:r>
      <w:r>
        <w:rPr>
          <w:rFonts w:ascii="Times New Roman" w:hAnsi="Times New Roman" w:cs="Times New Roman" w:eastAsia="Times New Roman" w:hint="default"/>
        </w:rPr>
        <w:t>2007</w:t>
      </w:r>
      <w:r>
        <w:rPr/>
        <w:t>年度财务决算报告》；</w:t>
      </w:r>
    </w:p>
    <w:p>
      <w:pPr>
        <w:pStyle w:val="BodyText"/>
        <w:spacing w:line="240" w:lineRule="auto"/>
        <w:ind w:left="238" w:right="111"/>
        <w:jc w:val="left"/>
      </w:pPr>
      <w:r>
        <w:rPr>
          <w:rFonts w:ascii="Times New Roman" w:hAnsi="Times New Roman" w:cs="Times New Roman" w:eastAsia="Times New Roman" w:hint="default"/>
        </w:rPr>
        <w:t>3</w:t>
      </w:r>
      <w:r>
        <w:rPr/>
        <w:t>）审议通过《</w:t>
      </w:r>
      <w:r>
        <w:rPr>
          <w:rFonts w:ascii="Times New Roman" w:hAnsi="Times New Roman" w:cs="Times New Roman" w:eastAsia="Times New Roman" w:hint="default"/>
        </w:rPr>
        <w:t>2007</w:t>
      </w:r>
      <w:r>
        <w:rPr/>
        <w:t>年度利润分配预案》；</w:t>
      </w:r>
    </w:p>
    <w:p>
      <w:pPr>
        <w:pStyle w:val="BodyText"/>
        <w:spacing w:line="240" w:lineRule="auto"/>
        <w:ind w:left="238" w:right="111"/>
        <w:jc w:val="left"/>
      </w:pPr>
      <w:r>
        <w:rPr>
          <w:rFonts w:ascii="Times New Roman" w:hAnsi="Times New Roman" w:cs="Times New Roman" w:eastAsia="Times New Roman" w:hint="default"/>
        </w:rPr>
        <w:t>4</w:t>
      </w:r>
      <w:r>
        <w:rPr/>
        <w:t>）审议通过《</w:t>
      </w:r>
      <w:r>
        <w:rPr>
          <w:rFonts w:ascii="Times New Roman" w:hAnsi="Times New Roman" w:cs="Times New Roman" w:eastAsia="Times New Roman" w:hint="default"/>
        </w:rPr>
        <w:t>2007</w:t>
      </w:r>
      <w:r>
        <w:rPr/>
        <w:t>年度报告及其摘要》；</w:t>
      </w:r>
    </w:p>
    <w:p>
      <w:pPr>
        <w:pStyle w:val="BodyText"/>
        <w:spacing w:line="240" w:lineRule="auto"/>
        <w:ind w:left="238" w:right="111"/>
        <w:jc w:val="left"/>
      </w:pPr>
      <w:r>
        <w:rPr>
          <w:rFonts w:ascii="Times New Roman" w:hAnsi="Times New Roman" w:cs="Times New Roman" w:eastAsia="Times New Roman" w:hint="default"/>
        </w:rPr>
        <w:t>5</w:t>
      </w:r>
      <w:r>
        <w:rPr/>
        <w:t>）审议通过《</w:t>
      </w:r>
      <w:r>
        <w:rPr>
          <w:rFonts w:ascii="Times New Roman" w:hAnsi="Times New Roman" w:cs="Times New Roman" w:eastAsia="Times New Roman" w:hint="default"/>
        </w:rPr>
        <w:t>2008</w:t>
      </w:r>
      <w:r>
        <w:rPr/>
        <w:t>年第一季度报告》；</w:t>
      </w:r>
    </w:p>
    <w:p>
      <w:pPr>
        <w:pStyle w:val="BodyText"/>
        <w:spacing w:line="240" w:lineRule="auto"/>
        <w:ind w:left="238" w:right="111"/>
        <w:jc w:val="left"/>
      </w:pPr>
      <w:r>
        <w:rPr>
          <w:rFonts w:ascii="Times New Roman" w:hAnsi="Times New Roman" w:cs="Times New Roman" w:eastAsia="Times New Roman" w:hint="default"/>
        </w:rPr>
        <w:t>6</w:t>
      </w:r>
      <w:r>
        <w:rPr/>
        <w:t>）审议通过《关于续聘会计师事务所的议案》；</w:t>
      </w:r>
    </w:p>
    <w:p>
      <w:pPr>
        <w:pStyle w:val="BodyText"/>
        <w:spacing w:line="240" w:lineRule="auto"/>
        <w:ind w:left="238" w:right="111"/>
        <w:jc w:val="left"/>
      </w:pPr>
      <w:r>
        <w:rPr>
          <w:rFonts w:ascii="Times New Roman" w:hAnsi="Times New Roman" w:cs="Times New Roman" w:eastAsia="Times New Roman" w:hint="default"/>
        </w:rPr>
        <w:t>7</w:t>
      </w:r>
      <w:r>
        <w:rPr/>
        <w:t>）审议通过《关于提议召开公司</w:t>
      </w:r>
      <w:r>
        <w:rPr>
          <w:rFonts w:ascii="Times New Roman" w:hAnsi="Times New Roman" w:cs="Times New Roman" w:eastAsia="Times New Roman" w:hint="default"/>
        </w:rPr>
        <w:t>2007</w:t>
      </w:r>
      <w:r>
        <w:rPr/>
        <w:t>年度股东大会的议案》。</w:t>
      </w:r>
    </w:p>
    <w:p>
      <w:pPr>
        <w:pStyle w:val="BodyText"/>
        <w:spacing w:line="240" w:lineRule="auto"/>
        <w:ind w:right="111"/>
        <w:jc w:val="left"/>
      </w:pPr>
      <w:r>
        <w:rPr/>
        <w:t>（二）监事会对本公司</w:t>
      </w:r>
      <w:r>
        <w:rPr>
          <w:rFonts w:ascii="Times New Roman" w:hAnsi="Times New Roman" w:cs="Times New Roman" w:eastAsia="Times New Roman" w:hint="default"/>
        </w:rPr>
        <w:t>2008  </w:t>
      </w:r>
      <w:r>
        <w:rPr/>
        <w:t>年度有关事项的独立意见</w:t>
      </w:r>
    </w:p>
    <w:p>
      <w:pPr>
        <w:pStyle w:val="BodyText"/>
        <w:spacing w:line="338" w:lineRule="auto"/>
        <w:ind w:left="718" w:right="286" w:hanging="480"/>
        <w:jc w:val="left"/>
      </w:pPr>
      <w:r>
        <w:rPr>
          <w:rFonts w:ascii="Times New Roman" w:hAnsi="Times New Roman" w:cs="Times New Roman" w:eastAsia="Times New Roman" w:hint="default"/>
        </w:rPr>
        <w:t>1</w:t>
      </w:r>
      <w:r>
        <w:rPr/>
        <w:t>、公司依法运作情况 本公司监事会认为：董事会认真执行了股东大会的决议，忠实履行了诚信义务，</w:t>
      </w:r>
    </w:p>
    <w:p>
      <w:pPr>
        <w:pStyle w:val="BodyText"/>
        <w:spacing w:line="357" w:lineRule="auto" w:before="55"/>
        <w:ind w:right="232"/>
        <w:jc w:val="both"/>
      </w:pPr>
      <w:r>
        <w:rPr>
          <w:spacing w:val="-2"/>
        </w:rPr>
        <w:t>能够代表公司和股东的利益，未出现损害公司、股东利益的行为，董事会的各项决议符</w:t>
      </w:r>
      <w:r>
        <w:rPr>
          <w:spacing w:val="-95"/>
        </w:rPr>
        <w:t> </w:t>
      </w:r>
      <w:r>
        <w:rPr>
          <w:spacing w:val="-95"/>
        </w:rPr>
      </w:r>
      <w:r>
        <w:rPr>
          <w:spacing w:val="-3"/>
        </w:rPr>
        <w:t>合《公司法》等法律法规和《公司章程》的要求。公司经营层认真执行了董事会的各项</w:t>
      </w:r>
      <w:r>
        <w:rPr>
          <w:spacing w:val="-89"/>
        </w:rPr>
        <w:t> </w:t>
      </w:r>
      <w:r>
        <w:rPr>
          <w:spacing w:val="-89"/>
        </w:rPr>
      </w:r>
      <w:r>
        <w:rPr/>
        <w:t>决议、生产经营状况保持稳定，无违规操作行为。</w:t>
      </w:r>
    </w:p>
    <w:p>
      <w:pPr>
        <w:pStyle w:val="BodyText"/>
        <w:spacing w:line="338" w:lineRule="auto" w:before="36"/>
        <w:ind w:left="598" w:right="111" w:hanging="360"/>
        <w:jc w:val="left"/>
      </w:pPr>
      <w:r>
        <w:rPr>
          <w:rFonts w:ascii="Times New Roman" w:hAnsi="Times New Roman" w:cs="Times New Roman" w:eastAsia="Times New Roman" w:hint="default"/>
        </w:rPr>
        <w:t>2</w:t>
      </w:r>
      <w:r>
        <w:rPr/>
        <w:t>、检查公司财务情况 </w:t>
      </w:r>
      <w:r>
        <w:rPr>
          <w:spacing w:val="-5"/>
        </w:rPr>
        <w:t>报告期内，监事会认真审阅了公司的财务报告、审计报告和其他会计资料，并认为：</w:t>
      </w:r>
    </w:p>
    <w:p>
      <w:pPr>
        <w:pStyle w:val="BodyText"/>
        <w:spacing w:line="357" w:lineRule="auto" w:before="55"/>
        <w:ind w:right="234"/>
        <w:jc w:val="both"/>
      </w:pPr>
      <w:r>
        <w:rPr>
          <w:spacing w:val="-2"/>
        </w:rPr>
        <w:t>公司建立了各项财务会计内部控制制度，公司的财务会计独立完整，无重大遗漏和虚假</w:t>
      </w:r>
      <w:r>
        <w:rPr>
          <w:spacing w:val="-96"/>
        </w:rPr>
        <w:t> </w:t>
      </w:r>
      <w:r>
        <w:rPr>
          <w:spacing w:val="-96"/>
        </w:rPr>
      </w:r>
      <w:r>
        <w:rPr>
          <w:spacing w:val="-2"/>
        </w:rPr>
        <w:t>记载，公司的财务会计符合《企业会计准则》和《企业会计制度》的要求。公司的财务</w:t>
      </w:r>
      <w:r>
        <w:rPr>
          <w:spacing w:val="-98"/>
        </w:rPr>
        <w:t> </w:t>
      </w:r>
      <w:r>
        <w:rPr>
          <w:spacing w:val="-98"/>
        </w:rPr>
      </w:r>
      <w:r>
        <w:rPr/>
        <w:t>管理与费用开支合法，无违法违纪现象。</w:t>
      </w:r>
    </w:p>
    <w:p>
      <w:pPr>
        <w:pStyle w:val="BodyText"/>
        <w:spacing w:line="240" w:lineRule="auto" w:before="36"/>
        <w:ind w:right="111"/>
        <w:jc w:val="left"/>
      </w:pPr>
      <w:r>
        <w:rPr>
          <w:rFonts w:ascii="Times New Roman" w:hAnsi="Times New Roman" w:cs="Times New Roman" w:eastAsia="Times New Roman" w:hint="default"/>
        </w:rPr>
        <w:t>3</w:t>
      </w:r>
      <w:r>
        <w:rPr/>
        <w:t>、公司无募集资金投资项目的情况。</w:t>
      </w:r>
    </w:p>
    <w:p>
      <w:pPr>
        <w:pStyle w:val="BodyText"/>
        <w:spacing w:line="240" w:lineRule="auto"/>
        <w:ind w:right="111"/>
        <w:jc w:val="left"/>
      </w:pPr>
      <w:r>
        <w:rPr>
          <w:rFonts w:ascii="Times New Roman" w:hAnsi="Times New Roman" w:cs="Times New Roman" w:eastAsia="Times New Roman" w:hint="default"/>
        </w:rPr>
        <w:t>4</w:t>
      </w:r>
      <w:r>
        <w:rPr/>
        <w:t>、报告期内，公司收购、出售资产情况及关联交易情况如下：</w:t>
      </w:r>
    </w:p>
    <w:p>
      <w:pPr>
        <w:pStyle w:val="BodyText"/>
        <w:spacing w:line="338" w:lineRule="auto"/>
        <w:ind w:right="111"/>
        <w:jc w:val="left"/>
      </w:pPr>
      <w:r>
        <w:rPr>
          <w:spacing w:val="-10"/>
        </w:rPr>
        <w:t>（</w:t>
      </w:r>
      <w:r>
        <w:rPr>
          <w:rFonts w:ascii="Times New Roman" w:hAnsi="Times New Roman" w:cs="Times New Roman" w:eastAsia="Times New Roman" w:hint="default"/>
          <w:spacing w:val="-10"/>
        </w:rPr>
        <w:t>1</w:t>
      </w:r>
      <w:r>
        <w:rPr>
          <w:spacing w:val="-10"/>
        </w:rPr>
        <w:t>）</w:t>
      </w:r>
      <w:r>
        <w:rPr>
          <w:rFonts w:ascii="Times New Roman" w:hAnsi="Times New Roman" w:cs="Times New Roman" w:eastAsia="Times New Roman" w:hint="default"/>
          <w:spacing w:val="-10"/>
        </w:rPr>
        <w:t>2008</w:t>
      </w:r>
      <w:r>
        <w:rPr>
          <w:spacing w:val="-10"/>
        </w:rPr>
        <w:t>年</w:t>
      </w:r>
      <w:r>
        <w:rPr>
          <w:rFonts w:ascii="Times New Roman" w:hAnsi="Times New Roman" w:cs="Times New Roman" w:eastAsia="Times New Roman" w:hint="default"/>
          <w:spacing w:val="-10"/>
        </w:rPr>
        <w:t>8</w:t>
      </w:r>
      <w:r>
        <w:rPr>
          <w:spacing w:val="-10"/>
        </w:rPr>
        <w:t>月</w:t>
      </w:r>
      <w:r>
        <w:rPr>
          <w:rFonts w:ascii="Times New Roman" w:hAnsi="Times New Roman" w:cs="Times New Roman" w:eastAsia="Times New Roman" w:hint="default"/>
          <w:spacing w:val="-10"/>
        </w:rPr>
        <w:t>20</w:t>
      </w:r>
      <w:r>
        <w:rPr>
          <w:spacing w:val="-10"/>
        </w:rPr>
        <w:t>日，公司与第一大股东方正延中传媒有限公司签订了《资产转让协议》，</w:t>
      </w:r>
      <w:r>
        <w:rPr>
          <w:spacing w:val="-90"/>
        </w:rPr>
        <w:t> </w:t>
      </w:r>
      <w:r>
        <w:rPr>
          <w:spacing w:val="-90"/>
        </w:rPr>
      </w:r>
      <w:r>
        <w:rPr/>
        <w:t>协议约定方正延中传媒有限公司同意依照本协议约定受让本公司共计</w:t>
      </w:r>
      <w:r>
        <w:rPr>
          <w:rFonts w:ascii="Times New Roman" w:hAnsi="Times New Roman" w:cs="Times New Roman" w:eastAsia="Times New Roman" w:hint="default"/>
        </w:rPr>
        <w:t>27,198.72</w:t>
      </w:r>
      <w:r>
        <w:rPr/>
        <w:t>元（人民 币）资产；</w:t>
      </w:r>
    </w:p>
    <w:p>
      <w:pPr>
        <w:pStyle w:val="BodyText"/>
        <w:spacing w:line="240" w:lineRule="auto" w:before="55"/>
        <w:ind w:right="111"/>
        <w:jc w:val="left"/>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月，公司与第一大股东方正延中传媒有限公司签订了《债务承担及担保</w:t>
      </w:r>
    </w:p>
    <w:p>
      <w:pPr>
        <w:spacing w:after="0" w:line="240" w:lineRule="auto"/>
        <w:jc w:val="left"/>
        <w:sectPr>
          <w:pgSz w:w="11910" w:h="16840"/>
          <w:pgMar w:header="0" w:footer="594" w:top="1500" w:bottom="800" w:left="1300" w:right="1180"/>
        </w:sectPr>
      </w:pPr>
    </w:p>
    <w:p>
      <w:pPr>
        <w:pStyle w:val="BodyText"/>
        <w:spacing w:line="352" w:lineRule="auto" w:before="13"/>
        <w:ind w:right="146"/>
        <w:jc w:val="left"/>
      </w:pPr>
      <w:r>
        <w:rPr/>
        <w:t>协议》，协议约定由方正延中传媒有限公司承担本公司共计人民币</w:t>
      </w:r>
      <w:r>
        <w:rPr>
          <w:rFonts w:ascii="Times New Roman" w:hAnsi="Times New Roman" w:cs="Times New Roman" w:eastAsia="Times New Roman" w:hint="default"/>
        </w:rPr>
        <w:t>28,867,380.24</w:t>
      </w:r>
      <w:r>
        <w:rPr/>
        <w:t>元债务 的担保及清偿责任。 </w:t>
      </w:r>
      <w:r>
        <w:rPr>
          <w:spacing w:val="-2"/>
        </w:rPr>
        <w:t>监事会认为：上述关联交易有利于进一步推进本公司的重组，对本公司的经营发展有正</w:t>
      </w:r>
      <w:r>
        <w:rPr>
          <w:spacing w:val="-96"/>
        </w:rPr>
        <w:t> </w:t>
      </w:r>
      <w:r>
        <w:rPr>
          <w:spacing w:val="-96"/>
        </w:rPr>
      </w:r>
      <w:r>
        <w:rPr>
          <w:spacing w:val="-3"/>
        </w:rPr>
        <w:t>面的积极的意义；董事会在审议该关联交易事项中，关联董事进行了回避，符合《上市</w:t>
      </w:r>
      <w:r>
        <w:rPr>
          <w:spacing w:val="-88"/>
        </w:rPr>
        <w:t> </w:t>
      </w:r>
      <w:r>
        <w:rPr>
          <w:spacing w:val="-88"/>
        </w:rPr>
      </w:r>
      <w:r>
        <w:rPr>
          <w:spacing w:val="-2"/>
        </w:rPr>
        <w:t>规则》、《公司章程》等规定的要求；综上，监事会认为上述交易公平合理，符合公司</w:t>
      </w:r>
      <w:r>
        <w:rPr>
          <w:spacing w:val="-99"/>
        </w:rPr>
        <w:t> </w:t>
      </w:r>
      <w:r>
        <w:rPr>
          <w:spacing w:val="-99"/>
        </w:rPr>
      </w:r>
      <w:r>
        <w:rPr/>
        <w:t>及全体股东的利益，没有损害中小股东的利益。</w:t>
      </w:r>
    </w:p>
    <w:p>
      <w:pPr>
        <w:spacing w:line="240" w:lineRule="auto" w:before="0"/>
        <w:rPr>
          <w:rFonts w:ascii="宋体" w:hAnsi="宋体" w:cs="宋体" w:eastAsia="宋体" w:hint="default"/>
          <w:sz w:val="24"/>
          <w:szCs w:val="24"/>
        </w:rPr>
      </w:pPr>
    </w:p>
    <w:p>
      <w:pPr>
        <w:pStyle w:val="BodyText"/>
        <w:spacing w:line="338" w:lineRule="auto" w:before="195"/>
        <w:ind w:left="598" w:right="146" w:hanging="480"/>
        <w:jc w:val="left"/>
      </w:pPr>
      <w:r>
        <w:rPr>
          <w:rFonts w:ascii="Times New Roman" w:hAnsi="Times New Roman" w:cs="Times New Roman" w:eastAsia="Times New Roman" w:hint="default"/>
        </w:rPr>
        <w:t>5</w:t>
      </w:r>
      <w:r>
        <w:rPr/>
        <w:t>、股东大会决议执行情况 </w:t>
      </w:r>
      <w:r>
        <w:rPr>
          <w:spacing w:val="-2"/>
        </w:rPr>
        <w:t>公司监事会对股东大会的决议执行情况进行了监督，认为公司董事会能够认真执行</w:t>
      </w:r>
    </w:p>
    <w:p>
      <w:pPr>
        <w:pStyle w:val="BodyText"/>
        <w:spacing w:line="240" w:lineRule="auto" w:before="55"/>
        <w:ind w:right="146"/>
        <w:jc w:val="left"/>
      </w:pPr>
      <w:r>
        <w:rPr/>
        <w:t>股东大会的有关决议。</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32"/>
          <w:szCs w:val="32"/>
        </w:rPr>
      </w:pPr>
    </w:p>
    <w:p>
      <w:pPr>
        <w:spacing w:before="0"/>
        <w:ind w:left="3487" w:right="3561" w:firstLine="0"/>
        <w:jc w:val="center"/>
        <w:rPr>
          <w:rFonts w:ascii="宋体" w:hAnsi="宋体" w:cs="宋体" w:eastAsia="宋体" w:hint="default"/>
          <w:sz w:val="30"/>
          <w:szCs w:val="30"/>
        </w:rPr>
      </w:pPr>
      <w:bookmarkStart w:name="_TOC_250002" w:id="9"/>
      <w:r>
        <w:rPr>
          <w:rFonts w:ascii="宋体" w:hAnsi="宋体" w:cs="宋体" w:eastAsia="宋体" w:hint="default"/>
          <w:b/>
          <w:bCs/>
          <w:sz w:val="30"/>
          <w:szCs w:val="30"/>
        </w:rPr>
        <w:t>第九章</w:t>
      </w:r>
      <w:r>
        <w:rPr>
          <w:rFonts w:ascii="宋体" w:hAnsi="宋体" w:cs="宋体" w:eastAsia="宋体" w:hint="default"/>
          <w:b/>
          <w:bCs/>
          <w:spacing w:val="-3"/>
          <w:sz w:val="30"/>
          <w:szCs w:val="30"/>
        </w:rPr>
        <w:t> </w:t>
      </w:r>
      <w:r>
        <w:rPr>
          <w:rFonts w:ascii="宋体" w:hAnsi="宋体" w:cs="宋体" w:eastAsia="宋体" w:hint="default"/>
          <w:b/>
          <w:bCs/>
          <w:sz w:val="30"/>
          <w:szCs w:val="30"/>
        </w:rPr>
        <w:t>重要事项</w:t>
      </w:r>
      <w:bookmarkEnd w:id="9"/>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pStyle w:val="BodyText"/>
        <w:spacing w:line="348" w:lineRule="auto" w:before="204"/>
        <w:ind w:right="86"/>
        <w:jc w:val="left"/>
      </w:pPr>
      <w:r>
        <w:rPr/>
        <w:t>（一）公司重大诉讼、仲裁事项 </w:t>
      </w:r>
      <w:r>
        <w:rPr>
          <w:rFonts w:ascii="Times New Roman" w:hAnsi="Times New Roman" w:cs="Times New Roman" w:eastAsia="Times New Roman" w:hint="default"/>
        </w:rPr>
        <w:t>1</w:t>
      </w:r>
      <w:r>
        <w:rPr/>
        <w:t>、深大通为深圳市益生堂生物企业有限公司（以下简称“益生堂”</w:t>
      </w:r>
      <w:r>
        <w:rPr>
          <w:spacing w:val="-43"/>
        </w:rPr>
        <w:t> </w:t>
      </w:r>
      <w:r>
        <w:rPr>
          <w:spacing w:val="-3"/>
        </w:rPr>
        <w:t>）向上海浦东发展</w:t>
      </w:r>
      <w:r>
        <w:rPr/>
        <w:t> 银行深圳红荔路支行（以下简称“浦发银行红荔路支行” ）贷款</w:t>
      </w:r>
      <w:r>
        <w:rPr>
          <w:spacing w:val="-60"/>
        </w:rPr>
        <w:t> </w:t>
      </w:r>
      <w:r>
        <w:rPr>
          <w:rFonts w:ascii="Times New Roman" w:hAnsi="Times New Roman" w:cs="Times New Roman" w:eastAsia="Times New Roman" w:hint="default"/>
        </w:rPr>
        <w:t>2500 </w:t>
      </w:r>
      <w:r>
        <w:rPr/>
        <w:t>万元提供担保， </w:t>
      </w:r>
      <w:r>
        <w:rPr>
          <w:spacing w:val="-3"/>
        </w:rPr>
        <w:t>浦发银行红荔路支行在深圳市中级人民法院诉益生堂、深大通借款担保合同纠纷案涉及</w:t>
      </w:r>
      <w:r>
        <w:rPr>
          <w:spacing w:val="-95"/>
        </w:rPr>
        <w:t> </w:t>
      </w:r>
      <w:r>
        <w:rPr>
          <w:spacing w:val="-95"/>
        </w:rPr>
      </w:r>
      <w:r>
        <w:rPr/>
        <w:t>本金</w:t>
      </w:r>
      <w:r>
        <w:rPr>
          <w:spacing w:val="-60"/>
        </w:rPr>
        <w:t> </w:t>
      </w:r>
      <w:r>
        <w:rPr>
          <w:rFonts w:ascii="Times New Roman" w:hAnsi="Times New Roman" w:cs="Times New Roman" w:eastAsia="Times New Roman" w:hint="default"/>
        </w:rPr>
        <w:t>2500 </w:t>
      </w:r>
      <w:r>
        <w:rPr/>
        <w:t>万元及利息</w:t>
      </w:r>
      <w:r>
        <w:rPr>
          <w:spacing w:val="-60"/>
        </w:rPr>
        <w:t> </w:t>
      </w:r>
      <w:r>
        <w:rPr>
          <w:rFonts w:ascii="Times New Roman" w:hAnsi="Times New Roman" w:cs="Times New Roman" w:eastAsia="Times New Roman" w:hint="default"/>
        </w:rPr>
        <w:t>324.6 </w:t>
      </w:r>
      <w:r>
        <w:rPr/>
        <w:t>万元，已经法院立案并正在审理中。</w:t>
      </w:r>
    </w:p>
    <w:p>
      <w:pPr>
        <w:pStyle w:val="BodyText"/>
        <w:spacing w:line="352" w:lineRule="auto" w:before="16"/>
        <w:ind w:right="143" w:firstLine="600"/>
        <w:jc w:val="left"/>
      </w:pPr>
      <w:r>
        <w:rPr/>
        <w:t>2008</w:t>
      </w:r>
      <w:r>
        <w:rPr>
          <w:spacing w:val="-66"/>
        </w:rPr>
        <w:t> </w:t>
      </w:r>
      <w:r>
        <w:rPr/>
        <w:t>年</w:t>
      </w:r>
      <w:r>
        <w:rPr>
          <w:spacing w:val="-66"/>
        </w:rPr>
        <w:t> </w:t>
      </w:r>
      <w:r>
        <w:rPr/>
        <w:t>11</w:t>
      </w:r>
      <w:r>
        <w:rPr>
          <w:spacing w:val="-66"/>
        </w:rPr>
        <w:t> </w:t>
      </w:r>
      <w:r>
        <w:rPr/>
        <w:t>月</w:t>
      </w:r>
      <w:r>
        <w:rPr>
          <w:spacing w:val="-66"/>
        </w:rPr>
        <w:t> </w:t>
      </w:r>
      <w:r>
        <w:rPr/>
        <w:t>27</w:t>
      </w:r>
      <w:r>
        <w:rPr>
          <w:spacing w:val="-66"/>
        </w:rPr>
        <w:t> </w:t>
      </w:r>
      <w:r>
        <w:rPr/>
        <w:t>日，亚星实业、深大通、浦发银行、文慧投资、港银投资及其他</w:t>
      </w:r>
      <w:r>
        <w:rPr/>
        <w:t> </w:t>
      </w:r>
      <w:r>
        <w:rPr>
          <w:spacing w:val="-3"/>
        </w:rPr>
        <w:t>相关各方包括河南方正信息技术有限公司、深圳益生堂生物企业有限公司、深圳市益生</w:t>
      </w:r>
      <w:r>
        <w:rPr>
          <w:spacing w:val="-96"/>
        </w:rPr>
        <w:t> </w:t>
      </w:r>
      <w:r>
        <w:rPr>
          <w:spacing w:val="-96"/>
        </w:rPr>
      </w:r>
      <w:r>
        <w:rPr/>
        <w:t>堂药业有限公司和创益生物科技有限公司签署了浦银深担保字（2008）第</w:t>
      </w:r>
      <w:r>
        <w:rPr>
          <w:spacing w:val="-81"/>
        </w:rPr>
        <w:t> </w:t>
      </w:r>
      <w:r>
        <w:rPr/>
        <w:t>001</w:t>
      </w:r>
      <w:r>
        <w:rPr>
          <w:spacing w:val="-81"/>
        </w:rPr>
        <w:t> </w:t>
      </w:r>
      <w:r>
        <w:rPr>
          <w:spacing w:val="-8"/>
        </w:rPr>
        <w:t>号《协议</w:t>
      </w:r>
      <w:r>
        <w:rPr/>
        <w:t> </w:t>
      </w:r>
      <w:r>
        <w:rPr>
          <w:spacing w:val="-8"/>
        </w:rPr>
        <w:t>书》，在满足约定条件下，浦发银行同意免除深大通</w:t>
      </w:r>
      <w:r>
        <w:rPr>
          <w:spacing w:val="-56"/>
        </w:rPr>
        <w:t> </w:t>
      </w:r>
      <w:r>
        <w:rPr/>
        <w:t>2500</w:t>
      </w:r>
      <w:r>
        <w:rPr>
          <w:spacing w:val="-56"/>
        </w:rPr>
        <w:t> </w:t>
      </w:r>
      <w:r>
        <w:rPr>
          <w:spacing w:val="-3"/>
        </w:rPr>
        <w:t>万元的担保责任，并撤回相关</w:t>
      </w:r>
      <w:r>
        <w:rPr>
          <w:spacing w:val="-117"/>
        </w:rPr>
        <w:t> </w:t>
      </w:r>
      <w:r>
        <w:rPr>
          <w:spacing w:val="-117"/>
        </w:rPr>
      </w:r>
      <w:r>
        <w:rPr/>
        <w:t>诉讼。 </w:t>
      </w:r>
      <w:r>
        <w:rPr>
          <w:rFonts w:ascii="Times New Roman" w:hAnsi="Times New Roman" w:cs="Times New Roman" w:eastAsia="Times New Roman" w:hint="default"/>
          <w:spacing w:val="-2"/>
        </w:rPr>
        <w:t>2</w:t>
      </w:r>
      <w:r>
        <w:rPr>
          <w:spacing w:val="-2"/>
        </w:rPr>
        <w:t>、本公司向中国农业银行深圳罗湖支行贷款</w:t>
      </w:r>
      <w:r>
        <w:rPr>
          <w:rFonts w:ascii="Times New Roman" w:hAnsi="Times New Roman" w:cs="Times New Roman" w:eastAsia="Times New Roman" w:hint="default"/>
          <w:spacing w:val="-2"/>
        </w:rPr>
        <w:t>5000</w:t>
      </w:r>
      <w:r>
        <w:rPr>
          <w:spacing w:val="-2"/>
        </w:rPr>
        <w:t>万元，该项借款分别于</w:t>
      </w:r>
      <w:r>
        <w:rPr>
          <w:rFonts w:ascii="Times New Roman" w:hAnsi="Times New Roman" w:cs="Times New Roman" w:eastAsia="Times New Roman" w:hint="default"/>
          <w:spacing w:val="-2"/>
        </w:rPr>
        <w:t>2005</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20</w:t>
      </w:r>
      <w:r>
        <w:rPr>
          <w:spacing w:val="-2"/>
        </w:rPr>
        <w:t>日</w:t>
      </w:r>
      <w:r>
        <w:rPr>
          <w:spacing w:val="-84"/>
        </w:rPr>
        <w:t> </w:t>
      </w:r>
      <w:r>
        <w:rPr/>
        <w:t>到期</w:t>
      </w:r>
      <w:r>
        <w:rPr>
          <w:rFonts w:ascii="Times New Roman" w:hAnsi="Times New Roman" w:cs="Times New Roman" w:eastAsia="Times New Roman" w:hint="default"/>
        </w:rPr>
        <w:t>2000</w:t>
      </w:r>
      <w:r>
        <w:rPr/>
        <w:t>万元，于</w:t>
      </w:r>
      <w:r>
        <w:rPr>
          <w:rFonts w:ascii="Times New Roman" w:hAnsi="Times New Roman" w:cs="Times New Roman" w:eastAsia="Times New Roman" w:hint="default"/>
        </w:rPr>
        <w:t>2005</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6</w:t>
      </w:r>
      <w:r>
        <w:rPr/>
        <w:t>日到期</w:t>
      </w:r>
      <w:r>
        <w:rPr>
          <w:rFonts w:ascii="Times New Roman" w:hAnsi="Times New Roman" w:cs="Times New Roman" w:eastAsia="Times New Roman" w:hint="default"/>
        </w:rPr>
        <w:t>3000</w:t>
      </w:r>
      <w:r>
        <w:rPr/>
        <w:t>万元。公司于</w:t>
      </w:r>
      <w:r>
        <w:rPr>
          <w:rFonts w:ascii="Times New Roman" w:hAnsi="Times New Roman" w:cs="Times New Roman" w:eastAsia="Times New Roman" w:hint="default"/>
        </w:rPr>
        <w:t>2006</w:t>
      </w:r>
      <w:r>
        <w:rPr/>
        <w:t>年</w:t>
      </w:r>
      <w:r>
        <w:rPr>
          <w:rFonts w:ascii="Times New Roman" w:hAnsi="Times New Roman" w:cs="Times New Roman" w:eastAsia="Times New Roman" w:hint="default"/>
        </w:rPr>
        <w:t>2</w:t>
      </w:r>
      <w:r>
        <w:rPr/>
        <w:t>月归还</w:t>
      </w:r>
      <w:r>
        <w:rPr>
          <w:rFonts w:ascii="Times New Roman" w:hAnsi="Times New Roman" w:cs="Times New Roman" w:eastAsia="Times New Roman" w:hint="default"/>
        </w:rPr>
        <w:t>12</w:t>
      </w:r>
      <w:r>
        <w:rPr/>
        <w:t>万元，</w:t>
      </w:r>
      <w:r>
        <w:rPr>
          <w:rFonts w:ascii="Times New Roman" w:hAnsi="Times New Roman" w:cs="Times New Roman" w:eastAsia="Times New Roman" w:hint="default"/>
        </w:rPr>
        <w:t>2006</w:t>
      </w:r>
      <w:r>
        <w:rPr/>
        <w:t>年 </w:t>
      </w:r>
      <w:r>
        <w:rPr>
          <w:rFonts w:ascii="Times New Roman" w:hAnsi="Times New Roman" w:cs="Times New Roman" w:eastAsia="Times New Roman" w:hint="default"/>
          <w:spacing w:val="-1"/>
        </w:rPr>
        <w:t>12</w:t>
      </w:r>
      <w:r>
        <w:rPr>
          <w:spacing w:val="-1"/>
        </w:rPr>
        <w:t>月归还</w:t>
      </w:r>
      <w:r>
        <w:rPr>
          <w:rFonts w:ascii="Times New Roman" w:hAnsi="Times New Roman" w:cs="Times New Roman" w:eastAsia="Times New Roman" w:hint="default"/>
          <w:spacing w:val="-1"/>
        </w:rPr>
        <w:t>3,509,157.72</w:t>
      </w:r>
      <w:r>
        <w:rPr>
          <w:spacing w:val="-1"/>
        </w:rPr>
        <w:t>元，截止</w:t>
      </w:r>
      <w:r>
        <w:rPr>
          <w:rFonts w:ascii="Times New Roman" w:hAnsi="Times New Roman" w:cs="Times New Roman" w:eastAsia="Times New Roman" w:hint="default"/>
          <w:spacing w:val="-1"/>
        </w:rPr>
        <w:t>2006</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日，尚欠</w:t>
      </w:r>
      <w:r>
        <w:rPr>
          <w:rFonts w:ascii="Times New Roman" w:hAnsi="Times New Roman" w:cs="Times New Roman" w:eastAsia="Times New Roman" w:hint="default"/>
          <w:spacing w:val="-1"/>
        </w:rPr>
        <w:t>46,370,842.28</w:t>
      </w:r>
      <w:r>
        <w:rPr>
          <w:spacing w:val="-1"/>
        </w:rPr>
        <w:t>元。深圳罗湖支行在</w:t>
      </w:r>
    </w:p>
    <w:p>
      <w:pPr>
        <w:pStyle w:val="BodyText"/>
        <w:spacing w:line="338" w:lineRule="auto" w:before="11"/>
        <w:ind w:right="146"/>
        <w:jc w:val="left"/>
      </w:pPr>
      <w:r>
        <w:rPr>
          <w:rFonts w:ascii="Times New Roman" w:hAnsi="Times New Roman" w:cs="Times New Roman" w:eastAsia="Times New Roman" w:hint="default"/>
        </w:rPr>
        <w:t>2006</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18</w:t>
      </w:r>
      <w:r>
        <w:rPr/>
        <w:t>日申请要求深圳市中级人民法院强制执行，法院出具（</w:t>
      </w:r>
      <w:r>
        <w:rPr>
          <w:rFonts w:ascii="Times New Roman" w:hAnsi="Times New Roman" w:cs="Times New Roman" w:eastAsia="Times New Roman" w:hint="default"/>
        </w:rPr>
        <w:t>2006</w:t>
      </w:r>
      <w:r>
        <w:rPr/>
        <w:t>）深中法执字 </w:t>
      </w:r>
      <w:r>
        <w:rPr>
          <w:spacing w:val="-2"/>
        </w:rPr>
        <w:t>第</w:t>
      </w:r>
      <w:r>
        <w:rPr>
          <w:rFonts w:ascii="Times New Roman" w:hAnsi="Times New Roman" w:cs="Times New Roman" w:eastAsia="Times New Roman" w:hint="default"/>
          <w:spacing w:val="-2"/>
        </w:rPr>
        <w:t>354</w:t>
      </w:r>
      <w:r>
        <w:rPr>
          <w:spacing w:val="-2"/>
        </w:rPr>
        <w:t>、</w:t>
      </w:r>
      <w:r>
        <w:rPr>
          <w:rFonts w:ascii="Times New Roman" w:hAnsi="Times New Roman" w:cs="Times New Roman" w:eastAsia="Times New Roman" w:hint="default"/>
          <w:spacing w:val="-2"/>
        </w:rPr>
        <w:t>355</w:t>
      </w:r>
      <w:r>
        <w:rPr>
          <w:spacing w:val="-2"/>
        </w:rPr>
        <w:t>号民事裁定书和执行令，责令深大通公司连同担保单位遵化新利能源开发有</w:t>
      </w:r>
    </w:p>
    <w:p>
      <w:pPr>
        <w:spacing w:after="0" w:line="338" w:lineRule="auto"/>
        <w:jc w:val="left"/>
        <w:sectPr>
          <w:pgSz w:w="11910" w:h="16840"/>
          <w:pgMar w:header="0" w:footer="594" w:top="1500" w:bottom="800" w:left="1300" w:right="1260"/>
        </w:sectPr>
      </w:pPr>
    </w:p>
    <w:p>
      <w:pPr>
        <w:pStyle w:val="BodyText"/>
        <w:spacing w:line="338" w:lineRule="auto" w:before="13"/>
        <w:ind w:left="598" w:right="111" w:hanging="480"/>
        <w:jc w:val="left"/>
      </w:pPr>
      <w:r>
        <w:rPr/>
        <w:t>限公司履行</w:t>
      </w:r>
      <w:r>
        <w:rPr>
          <w:rFonts w:ascii="Times New Roman" w:hAnsi="Times New Roman" w:cs="Times New Roman" w:eastAsia="Times New Roman" w:hint="default"/>
        </w:rPr>
        <w:t>5000</w:t>
      </w:r>
      <w:r>
        <w:rPr/>
        <w:t>万贷款偿还义务，执行标的为</w:t>
      </w:r>
      <w:r>
        <w:rPr>
          <w:rFonts w:ascii="Times New Roman" w:hAnsi="Times New Roman" w:cs="Times New Roman" w:eastAsia="Times New Roman" w:hint="default"/>
        </w:rPr>
        <w:t>4988</w:t>
      </w:r>
      <w:r>
        <w:rPr/>
        <w:t>万元及诉讼费为限。 </w:t>
      </w:r>
      <w:r>
        <w:rPr>
          <w:spacing w:val="-3"/>
        </w:rPr>
        <w:t>经过亚星实业与深圳农行的积极协商，深圳农行向中国农业银行总行提出《深圳分</w:t>
      </w:r>
    </w:p>
    <w:p>
      <w:pPr>
        <w:pStyle w:val="BodyText"/>
        <w:spacing w:line="345" w:lineRule="auto" w:before="55"/>
        <w:ind w:right="231"/>
        <w:jc w:val="left"/>
      </w:pPr>
      <w:r>
        <w:rPr>
          <w:spacing w:val="-3"/>
        </w:rPr>
        <w:t>行关于深圳大通实业股份有限公司不良贷款减免息重组方案的请示》，中国农业银行总</w:t>
      </w:r>
      <w:r>
        <w:rPr>
          <w:spacing w:val="1"/>
        </w:rPr>
        <w:t> </w:t>
      </w:r>
      <w:r>
        <w:rPr/>
        <w:t>行并已发农银复【</w:t>
      </w:r>
      <w:r>
        <w:rPr>
          <w:rFonts w:ascii="Times New Roman" w:hAnsi="Times New Roman" w:cs="Times New Roman" w:eastAsia="Times New Roman" w:hint="default"/>
        </w:rPr>
        <w:t>2009</w:t>
      </w:r>
      <w:r>
        <w:rPr/>
        <w:t>】</w:t>
      </w:r>
      <w:r>
        <w:rPr>
          <w:rFonts w:ascii="Times New Roman" w:hAnsi="Times New Roman" w:cs="Times New Roman" w:eastAsia="Times New Roman" w:hint="default"/>
        </w:rPr>
        <w:t>158</w:t>
      </w:r>
      <w:r>
        <w:rPr>
          <w:rFonts w:ascii="Times New Roman" w:hAnsi="Times New Roman" w:cs="Times New Roman" w:eastAsia="Times New Roman" w:hint="default"/>
          <w:spacing w:val="-17"/>
        </w:rPr>
        <w:t> </w:t>
      </w:r>
      <w:r>
        <w:rPr/>
        <w:t>号文件进行批复，同意在证监会批准深大通重组方案情况 下，免除深大通</w:t>
      </w:r>
      <w:r>
        <w:rPr>
          <w:spacing w:val="-56"/>
        </w:rPr>
        <w:t> </w:t>
      </w:r>
      <w:r>
        <w:rPr>
          <w:rFonts w:ascii="Times New Roman" w:hAnsi="Times New Roman" w:cs="Times New Roman" w:eastAsia="Times New Roman" w:hint="default"/>
        </w:rPr>
        <w:t>2008</w:t>
      </w:r>
      <w:r>
        <w:rPr>
          <w:rFonts w:ascii="Times New Roman" w:hAnsi="Times New Roman" w:cs="Times New Roman" w:eastAsia="Times New Roman" w:hint="default"/>
          <w:spacing w:val="6"/>
        </w:rPr>
        <w:t> </w:t>
      </w:r>
      <w:r>
        <w:rPr/>
        <w:t>年</w:t>
      </w:r>
      <w:r>
        <w:rPr>
          <w:spacing w:val="-56"/>
        </w:rPr>
        <w:t> </w:t>
      </w:r>
      <w:r>
        <w:rPr>
          <w:rFonts w:ascii="Times New Roman" w:hAnsi="Times New Roman" w:cs="Times New Roman" w:eastAsia="Times New Roman" w:hint="default"/>
        </w:rPr>
        <w:t>8</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日之前的利息和罚息，并延期归还本金方案。亚星实业 及深大通目前正与深圳农行就债务重组协议具体条款进行进一步的磋商。 </w:t>
      </w:r>
      <w:r>
        <w:rPr>
          <w:rFonts w:ascii="Times New Roman" w:hAnsi="Times New Roman" w:cs="Times New Roman" w:eastAsia="Times New Roman" w:hint="default"/>
          <w:spacing w:val="-4"/>
          <w:w w:val="99"/>
        </w:rPr>
        <w:t>3</w:t>
      </w:r>
      <w:r>
        <w:rPr>
          <w:spacing w:val="-4"/>
          <w:w w:val="99"/>
        </w:rPr>
        <w:t>、因本公司与</w:t>
      </w:r>
      <w:r>
        <w:rPr>
          <w:rFonts w:ascii="Times New Roman" w:hAnsi="Times New Roman" w:cs="Times New Roman" w:eastAsia="Times New Roman" w:hint="default"/>
          <w:spacing w:val="-4"/>
          <w:w w:val="99"/>
        </w:rPr>
        <w:t>CENTRA</w:t>
      </w:r>
      <w:r>
        <w:rPr>
          <w:rFonts w:ascii="Times New Roman" w:hAnsi="Times New Roman" w:cs="Times New Roman" w:eastAsia="Times New Roman" w:hint="default"/>
          <w:w w:val="99"/>
        </w:rPr>
        <w:t> </w:t>
      </w:r>
      <w:r>
        <w:rPr>
          <w:rFonts w:ascii="Times New Roman" w:hAnsi="Times New Roman" w:cs="Times New Roman" w:eastAsia="Times New Roman" w:hint="default"/>
          <w:spacing w:val="-2"/>
          <w:w w:val="99"/>
        </w:rPr>
        <w:t>INTERTRACO</w:t>
      </w:r>
      <w:r>
        <w:rPr>
          <w:rFonts w:ascii="Times New Roman" w:hAnsi="Times New Roman" w:cs="Times New Roman" w:eastAsia="Times New Roman" w:hint="default"/>
          <w:w w:val="99"/>
        </w:rPr>
        <w:t> </w:t>
      </w:r>
      <w:r>
        <w:rPr>
          <w:rFonts w:ascii="Times New Roman" w:hAnsi="Times New Roman" w:cs="Times New Roman" w:eastAsia="Times New Roman" w:hint="default"/>
          <w:spacing w:val="-13"/>
          <w:w w:val="99"/>
        </w:rPr>
        <w:t>LTD</w:t>
      </w:r>
      <w:r>
        <w:rPr>
          <w:spacing w:val="-13"/>
          <w:w w:val="99"/>
        </w:rPr>
        <w:t>（以下简称“中央国际有限公司”）关于“合</w:t>
      </w:r>
      <w:r>
        <w:rPr>
          <w:spacing w:val="-118"/>
          <w:w w:val="99"/>
        </w:rPr>
        <w:t> </w:t>
      </w:r>
      <w:r>
        <w:rPr>
          <w:spacing w:val="-118"/>
          <w:w w:val="99"/>
        </w:rPr>
      </w:r>
      <w:r>
        <w:rPr/>
        <w:t>资经营深圳大通食品工业有限公司合同争议” 经中国国际经济贸易仲裁委员会作出的</w:t>
      </w:r>
    </w:p>
    <w:p>
      <w:pPr>
        <w:pStyle w:val="BodyText"/>
        <w:spacing w:line="340" w:lineRule="auto" w:before="48"/>
        <w:ind w:right="114"/>
        <w:jc w:val="left"/>
      </w:pPr>
      <w:r>
        <w:rPr/>
        <w:t>（</w:t>
      </w:r>
      <w:r>
        <w:rPr>
          <w:rFonts w:ascii="Times New Roman" w:hAnsi="Times New Roman" w:cs="Times New Roman" w:eastAsia="Times New Roman" w:hint="default"/>
        </w:rPr>
        <w:t>2004</w:t>
      </w:r>
      <w:r>
        <w:rPr/>
        <w:t>）中国贸仲深裁字第</w:t>
      </w:r>
      <w:r>
        <w:rPr>
          <w:rFonts w:ascii="Times New Roman" w:hAnsi="Times New Roman" w:cs="Times New Roman" w:eastAsia="Times New Roman" w:hint="default"/>
        </w:rPr>
        <w:t>76</w:t>
      </w:r>
      <w:r>
        <w:rPr/>
        <w:t>号裁决书裁决。中央国际有限公司向广东省普宁市人民法 院提出申请，以人民币</w:t>
      </w:r>
      <w:r>
        <w:rPr>
          <w:rFonts w:ascii="Times New Roman" w:hAnsi="Times New Roman" w:cs="Times New Roman" w:eastAsia="Times New Roman" w:hint="default"/>
        </w:rPr>
        <w:t>7,920,200.00</w:t>
      </w:r>
      <w:r>
        <w:rPr/>
        <w:t>元及相关利息、执行费为限查封本公司资产。</w:t>
      </w:r>
      <w:r>
        <w:rPr>
          <w:rFonts w:ascii="Times New Roman" w:hAnsi="Times New Roman" w:cs="Times New Roman" w:eastAsia="Times New Roman" w:hint="default"/>
        </w:rPr>
        <w:t>2007 </w:t>
      </w:r>
      <w:r>
        <w:rPr>
          <w:spacing w:val="-4"/>
        </w:rPr>
        <w:t>年</w:t>
      </w:r>
      <w:r>
        <w:rPr>
          <w:rFonts w:ascii="Times New Roman" w:hAnsi="Times New Roman" w:cs="Times New Roman" w:eastAsia="Times New Roman" w:hint="default"/>
          <w:spacing w:val="-4"/>
        </w:rPr>
        <w:t>1</w:t>
      </w:r>
      <w:r>
        <w:rPr>
          <w:spacing w:val="-4"/>
        </w:rPr>
        <w:t>月</w:t>
      </w:r>
      <w:r>
        <w:rPr>
          <w:rFonts w:ascii="Times New Roman" w:hAnsi="Times New Roman" w:cs="Times New Roman" w:eastAsia="Times New Roman" w:hint="default"/>
          <w:spacing w:val="-4"/>
        </w:rPr>
        <w:t>16</w:t>
      </w:r>
      <w:r>
        <w:rPr>
          <w:spacing w:val="-4"/>
        </w:rPr>
        <w:t>日，公司接到广东省普宁市人民法院</w:t>
      </w:r>
      <w:r>
        <w:rPr>
          <w:rFonts w:ascii="Times New Roman" w:hAnsi="Times New Roman" w:cs="Times New Roman" w:eastAsia="Times New Roman" w:hint="default"/>
          <w:spacing w:val="-4"/>
        </w:rPr>
        <w:t>(2006)</w:t>
      </w:r>
      <w:r>
        <w:rPr>
          <w:spacing w:val="-4"/>
        </w:rPr>
        <w:t>普法季执字第</w:t>
      </w:r>
      <w:r>
        <w:rPr>
          <w:rFonts w:ascii="Times New Roman" w:hAnsi="Times New Roman" w:cs="Times New Roman" w:eastAsia="Times New Roman" w:hint="default"/>
          <w:spacing w:val="-4"/>
        </w:rPr>
        <w:t>25-1</w:t>
      </w:r>
      <w:r>
        <w:rPr>
          <w:spacing w:val="-4"/>
        </w:rPr>
        <w:t>号《民事裁定书》。</w:t>
      </w:r>
      <w:r>
        <w:rPr>
          <w:spacing w:val="-115"/>
        </w:rPr>
        <w:t> </w:t>
      </w:r>
      <w:r>
        <w:rPr>
          <w:spacing w:val="-115"/>
        </w:rPr>
      </w:r>
      <w:r>
        <w:rPr/>
        <w:t>查封了本公司位于宝安区公明镇大通工业城九号厂房的土地及地上建筑（宗地号为Ａ </w:t>
      </w:r>
      <w:r>
        <w:rPr>
          <w:rFonts w:ascii="Times New Roman" w:hAnsi="Times New Roman" w:cs="Times New Roman" w:eastAsia="Times New Roman" w:hint="default"/>
          <w:spacing w:val="-4"/>
        </w:rPr>
        <w:t>622</w:t>
      </w:r>
      <w:r>
        <w:rPr>
          <w:spacing w:val="-4"/>
        </w:rPr>
        <w:t>－</w:t>
      </w:r>
      <w:r>
        <w:rPr>
          <w:rFonts w:ascii="Times New Roman" w:hAnsi="Times New Roman" w:cs="Times New Roman" w:eastAsia="Times New Roman" w:hint="default"/>
          <w:spacing w:val="-4"/>
        </w:rPr>
        <w:t>0052</w:t>
      </w:r>
      <w:r>
        <w:rPr>
          <w:spacing w:val="-4"/>
        </w:rPr>
        <w:t>，房产证号列：深房地字第</w:t>
      </w:r>
      <w:r>
        <w:rPr>
          <w:rFonts w:ascii="Times New Roman" w:hAnsi="Times New Roman" w:cs="Times New Roman" w:eastAsia="Times New Roman" w:hint="default"/>
          <w:spacing w:val="-4"/>
        </w:rPr>
        <w:t>5000046670</w:t>
      </w:r>
      <w:r>
        <w:rPr>
          <w:spacing w:val="-4"/>
        </w:rPr>
        <w:t>号），查封了公司持有的深圳大通食品</w:t>
      </w:r>
      <w:r>
        <w:rPr>
          <w:spacing w:val="-103"/>
        </w:rPr>
        <w:t> </w:t>
      </w:r>
      <w:r>
        <w:rPr>
          <w:spacing w:val="-103"/>
        </w:rPr>
      </w:r>
      <w:r>
        <w:rPr/>
        <w:t>工业有限公司</w:t>
      </w:r>
      <w:r>
        <w:rPr>
          <w:rFonts w:ascii="Times New Roman" w:hAnsi="Times New Roman" w:cs="Times New Roman" w:eastAsia="Times New Roman" w:hint="default"/>
        </w:rPr>
        <w:t>30</w:t>
      </w:r>
      <w:r>
        <w:rPr/>
        <w:t>％的股权。查封期限为</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18</w:t>
      </w:r>
      <w:r>
        <w:rPr/>
        <w:t>日至</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17</w:t>
      </w:r>
      <w:r>
        <w:rPr/>
        <w:t>日。</w:t>
      </w:r>
    </w:p>
    <w:p>
      <w:pPr>
        <w:pStyle w:val="BodyText"/>
        <w:spacing w:line="374" w:lineRule="auto" w:before="133"/>
        <w:ind w:right="270" w:firstLine="480"/>
        <w:jc w:val="both"/>
      </w:pPr>
      <w:r>
        <w:rPr>
          <w:rFonts w:ascii="Times New Roman" w:hAnsi="Times New Roman" w:cs="Times New Roman" w:eastAsia="Times New Roman" w:hint="default"/>
        </w:rPr>
        <w:t>2008</w:t>
      </w:r>
      <w:r>
        <w:rPr>
          <w:rFonts w:ascii="Times New Roman" w:hAnsi="Times New Roman" w:cs="Times New Roman" w:eastAsia="Times New Roman" w:hint="default"/>
          <w:spacing w:val="-6"/>
        </w:rPr>
        <w:t> </w:t>
      </w:r>
      <w:r>
        <w:rPr/>
        <w:t>年</w:t>
      </w:r>
      <w:r>
        <w:rPr>
          <w:spacing w:val="-66"/>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月</w:t>
      </w:r>
      <w:r>
        <w:rPr>
          <w:spacing w:val="-66"/>
        </w:rPr>
        <w:t> </w:t>
      </w:r>
      <w:r>
        <w:rPr>
          <w:rFonts w:ascii="Times New Roman" w:hAnsi="Times New Roman" w:cs="Times New Roman" w:eastAsia="Times New Roman" w:hint="default"/>
        </w:rPr>
        <w:t>24</w:t>
      </w:r>
      <w:r>
        <w:rPr>
          <w:rFonts w:ascii="Times New Roman" w:hAnsi="Times New Roman" w:cs="Times New Roman" w:eastAsia="Times New Roman" w:hint="default"/>
          <w:spacing w:val="-6"/>
        </w:rPr>
        <w:t> </w:t>
      </w:r>
      <w:r>
        <w:rPr/>
        <w:t>日，本公司与深圳大通食品工业有限公司（以下简称”大通食品公 </w:t>
      </w:r>
      <w:r>
        <w:rPr>
          <w:spacing w:val="-9"/>
        </w:rPr>
        <w:t>司”）、中央国际有限公司和河南方正信息技术有限公司（以下简称“河南方正”）经友</w:t>
      </w:r>
      <w:r>
        <w:rPr>
          <w:spacing w:val="2"/>
        </w:rPr>
        <w:t> </w:t>
      </w:r>
      <w:r>
        <w:rPr>
          <w:spacing w:val="-3"/>
        </w:rPr>
        <w:t>好协商，在郑州市中级人民法院（以下简称“郑州中院”）协调下签署如下和解协议，</w:t>
      </w:r>
      <w:r>
        <w:rPr>
          <w:spacing w:val="-114"/>
        </w:rPr>
        <w:t> </w:t>
      </w:r>
      <w:r>
        <w:rPr>
          <w:spacing w:val="-114"/>
        </w:rPr>
      </w:r>
      <w:r>
        <w:rPr/>
        <w:t>协议主要内容如下：</w:t>
      </w:r>
    </w:p>
    <w:p>
      <w:pPr>
        <w:pStyle w:val="BodyText"/>
        <w:spacing w:line="367" w:lineRule="auto" w:before="52"/>
        <w:ind w:right="271" w:firstLine="480"/>
        <w:jc w:val="both"/>
      </w:pPr>
      <w:r>
        <w:rPr/>
        <w:t>（</w:t>
      </w:r>
      <w:r>
        <w:rPr>
          <w:rFonts w:ascii="Times New Roman" w:hAnsi="Times New Roman" w:cs="Times New Roman" w:eastAsia="Times New Roman" w:hint="default"/>
        </w:rPr>
        <w:t>1</w:t>
      </w:r>
      <w:r>
        <w:rPr/>
        <w:t>）对河南方正生效判决执行和解，四方一致同意将郑州中院已经查封，普宁法 院针对（</w:t>
      </w:r>
      <w:r>
        <w:rPr>
          <w:rFonts w:ascii="Times New Roman" w:hAnsi="Times New Roman" w:cs="Times New Roman" w:eastAsia="Times New Roman" w:hint="default"/>
        </w:rPr>
        <w:t>2004</w:t>
      </w:r>
      <w:r>
        <w:rPr/>
        <w:t>）中国贸仲深裁字第</w:t>
      </w:r>
      <w:r>
        <w:rPr>
          <w:spacing w:val="-53"/>
        </w:rPr>
        <w:t> </w:t>
      </w:r>
      <w:r>
        <w:rPr>
          <w:rFonts w:ascii="Times New Roman" w:hAnsi="Times New Roman" w:cs="Times New Roman" w:eastAsia="Times New Roman" w:hint="default"/>
        </w:rPr>
        <w:t>76</w:t>
      </w:r>
      <w:r>
        <w:rPr>
          <w:rFonts w:ascii="Times New Roman" w:hAnsi="Times New Roman" w:cs="Times New Roman" w:eastAsia="Times New Roman" w:hint="default"/>
          <w:spacing w:val="7"/>
        </w:rPr>
        <w:t> </w:t>
      </w:r>
      <w:r>
        <w:rPr/>
        <w:t>号《裁决书》的执行轮候查封的</w:t>
      </w:r>
      <w:r>
        <w:rPr>
          <w:spacing w:val="-53"/>
        </w:rPr>
        <w:t> </w:t>
      </w:r>
      <w:r>
        <w:rPr>
          <w:rFonts w:ascii="Times New Roman" w:hAnsi="Times New Roman" w:cs="Times New Roman" w:eastAsia="Times New Roman" w:hint="default"/>
        </w:rPr>
        <w:t>9</w:t>
      </w:r>
      <w:r>
        <w:rPr>
          <w:rFonts w:ascii="Times New Roman" w:hAnsi="Times New Roman" w:cs="Times New Roman" w:eastAsia="Times New Roman" w:hint="default"/>
          <w:spacing w:val="7"/>
        </w:rPr>
        <w:t> </w:t>
      </w:r>
      <w:r>
        <w:rPr/>
        <w:t>号厂房所有权 </w:t>
      </w:r>
      <w:r>
        <w:rPr>
          <w:spacing w:val="-3"/>
        </w:rPr>
        <w:t>及所占土地使用权转移过户给河南方正指定的上海高科房地产有限公司（以下简称“上</w:t>
      </w:r>
      <w:r>
        <w:rPr>
          <w:spacing w:val="-96"/>
        </w:rPr>
        <w:t> </w:t>
      </w:r>
      <w:r>
        <w:rPr>
          <w:spacing w:val="-96"/>
        </w:rPr>
      </w:r>
      <w:r>
        <w:rPr>
          <w:spacing w:val="-5"/>
        </w:rPr>
        <w:t>海高科公司”）名下，作为对河南方正生效判决执行事宜的了结；</w:t>
      </w:r>
    </w:p>
    <w:p>
      <w:pPr>
        <w:pStyle w:val="BodyText"/>
        <w:spacing w:line="360" w:lineRule="auto" w:before="59"/>
        <w:ind w:right="271" w:firstLine="480"/>
        <w:jc w:val="both"/>
      </w:pPr>
      <w:r>
        <w:rPr>
          <w:spacing w:val="-3"/>
        </w:rPr>
        <w:t>（</w:t>
      </w:r>
      <w:r>
        <w:rPr>
          <w:rFonts w:ascii="Times New Roman" w:hAnsi="Times New Roman" w:cs="Times New Roman" w:eastAsia="Times New Roman" w:hint="default"/>
          <w:spacing w:val="-3"/>
        </w:rPr>
        <w:t>2</w:t>
      </w:r>
      <w:r>
        <w:rPr>
          <w:spacing w:val="-3"/>
        </w:rPr>
        <w:t>）对（</w:t>
      </w:r>
      <w:r>
        <w:rPr>
          <w:rFonts w:ascii="Times New Roman" w:hAnsi="Times New Roman" w:cs="Times New Roman" w:eastAsia="Times New Roman" w:hint="default"/>
          <w:spacing w:val="-3"/>
        </w:rPr>
        <w:t>2004</w:t>
      </w:r>
      <w:r>
        <w:rPr>
          <w:spacing w:val="-3"/>
        </w:rPr>
        <w:t>）中国贸仲深裁字第</w:t>
      </w:r>
      <w:r>
        <w:rPr>
          <w:spacing w:val="-53"/>
        </w:rPr>
        <w:t> </w:t>
      </w:r>
      <w:r>
        <w:rPr>
          <w:rFonts w:ascii="Times New Roman" w:hAnsi="Times New Roman" w:cs="Times New Roman" w:eastAsia="Times New Roman" w:hint="default"/>
        </w:rPr>
        <w:t>76</w:t>
      </w:r>
      <w:r>
        <w:rPr>
          <w:rFonts w:ascii="Times New Roman" w:hAnsi="Times New Roman" w:cs="Times New Roman" w:eastAsia="Times New Roman" w:hint="default"/>
          <w:spacing w:val="7"/>
        </w:rPr>
        <w:t> </w:t>
      </w:r>
      <w:r>
        <w:rPr>
          <w:spacing w:val="-3"/>
        </w:rPr>
        <w:t>号《裁决书》执行和解，四方一致同意并确</w:t>
      </w:r>
      <w:r>
        <w:rPr/>
        <w:t> 认由深大通向中央国际支付人民币</w:t>
      </w:r>
      <w:r>
        <w:rPr>
          <w:spacing w:val="-75"/>
        </w:rPr>
        <w:t> </w:t>
      </w:r>
      <w:r>
        <w:rPr>
          <w:rFonts w:ascii="Times New Roman" w:hAnsi="Times New Roman" w:cs="Times New Roman" w:eastAsia="Times New Roman" w:hint="default"/>
        </w:rPr>
        <w:t>11</w:t>
      </w:r>
      <w:r>
        <w:rPr/>
        <w:t>，</w:t>
      </w:r>
      <w:r>
        <w:rPr>
          <w:rFonts w:ascii="Times New Roman" w:hAnsi="Times New Roman" w:cs="Times New Roman" w:eastAsia="Times New Roman" w:hint="default"/>
        </w:rPr>
        <w:t>000</w:t>
      </w:r>
      <w:r>
        <w:rPr/>
        <w:t>，</w:t>
      </w:r>
      <w:r>
        <w:rPr>
          <w:rFonts w:ascii="Times New Roman" w:hAnsi="Times New Roman" w:cs="Times New Roman" w:eastAsia="Times New Roman" w:hint="default"/>
        </w:rPr>
        <w:t>000.00</w:t>
      </w:r>
      <w:r>
        <w:rPr>
          <w:rFonts w:ascii="Times New Roman" w:hAnsi="Times New Roman" w:cs="Times New Roman" w:eastAsia="Times New Roman" w:hint="default"/>
          <w:spacing w:val="-15"/>
        </w:rPr>
        <w:t> </w:t>
      </w:r>
      <w:r>
        <w:rPr/>
        <w:t>元，并且深大通将其持在大通食品 的</w:t>
      </w:r>
      <w:r>
        <w:rPr>
          <w:spacing w:val="-56"/>
        </w:rPr>
        <w:t> </w:t>
      </w:r>
      <w:r>
        <w:rPr>
          <w:rFonts w:ascii="Times New Roman" w:hAnsi="Times New Roman" w:cs="Times New Roman" w:eastAsia="Times New Roman" w:hint="default"/>
          <w:spacing w:val="-3"/>
        </w:rPr>
        <w:t>30%</w:t>
      </w:r>
      <w:r>
        <w:rPr>
          <w:spacing w:val="-3"/>
        </w:rPr>
        <w:t>股权无偿转让给中央国际，作为深大通与中央国际就合资成立大通食品的合资纠</w:t>
      </w:r>
    </w:p>
    <w:p>
      <w:pPr>
        <w:pStyle w:val="BodyText"/>
        <w:spacing w:line="280" w:lineRule="auto" w:before="35"/>
        <w:ind w:right="286"/>
        <w:jc w:val="left"/>
      </w:pPr>
      <w:r>
        <w:rPr/>
        <w:t>纷及（</w:t>
      </w:r>
      <w:r>
        <w:rPr>
          <w:rFonts w:ascii="Times New Roman" w:hAnsi="Times New Roman" w:cs="Times New Roman" w:eastAsia="Times New Roman" w:hint="default"/>
        </w:rPr>
        <w:t>2004</w:t>
      </w:r>
      <w:r>
        <w:rPr/>
        <w:t>）中国贸仲深裁字第</w:t>
      </w:r>
      <w:r>
        <w:rPr>
          <w:spacing w:val="-60"/>
        </w:rPr>
        <w:t> </w:t>
      </w:r>
      <w:r>
        <w:rPr>
          <w:rFonts w:ascii="Times New Roman" w:hAnsi="Times New Roman" w:cs="Times New Roman" w:eastAsia="Times New Roman" w:hint="default"/>
        </w:rPr>
        <w:t>76 </w:t>
      </w:r>
      <w:r>
        <w:rPr/>
        <w:t>号《裁决书》执行事宜的了结。 另外</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23</w:t>
      </w:r>
      <w:r>
        <w:rPr/>
        <w:t>日，本公司与河南方正公司签署抵债协议，双方同意以郑州中院委托</w:t>
      </w:r>
    </w:p>
    <w:p>
      <w:pPr>
        <w:pStyle w:val="BodyText"/>
        <w:spacing w:line="338" w:lineRule="auto" w:before="90"/>
        <w:ind w:right="219"/>
        <w:jc w:val="left"/>
        <w:rPr>
          <w:rFonts w:ascii="Times New Roman" w:hAnsi="Times New Roman" w:cs="Times New Roman" w:eastAsia="Times New Roman" w:hint="default"/>
        </w:rPr>
      </w:pPr>
      <w:r>
        <w:rPr/>
        <w:t>深圳市国房土地房地产评估咨询有限公司于</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30</w:t>
      </w:r>
      <w:r>
        <w:rPr/>
        <w:t>日出具的大通工业城</w:t>
      </w:r>
      <w:r>
        <w:rPr>
          <w:rFonts w:ascii="Times New Roman" w:hAnsi="Times New Roman" w:cs="Times New Roman" w:eastAsia="Times New Roman" w:hint="default"/>
        </w:rPr>
        <w:t>9</w:t>
      </w:r>
      <w:r>
        <w:rPr/>
        <w:t>号厂房 </w:t>
      </w:r>
      <w:r>
        <w:rPr>
          <w:spacing w:val="-1"/>
        </w:rPr>
        <w:t>及占地的评估结果</w:t>
      </w:r>
      <w:r>
        <w:rPr>
          <w:rFonts w:ascii="Times New Roman" w:hAnsi="Times New Roman" w:cs="Times New Roman" w:eastAsia="Times New Roman" w:hint="default"/>
          <w:spacing w:val="-1"/>
        </w:rPr>
        <w:t>11,769,959.00</w:t>
      </w:r>
      <w:r>
        <w:rPr>
          <w:spacing w:val="-1"/>
        </w:rPr>
        <w:t>元作为依据，将深大通</w:t>
      </w:r>
      <w:r>
        <w:rPr>
          <w:rFonts w:ascii="Times New Roman" w:hAnsi="Times New Roman" w:cs="Times New Roman" w:eastAsia="Times New Roman" w:hint="default"/>
          <w:spacing w:val="-1"/>
        </w:rPr>
        <w:t>9</w:t>
      </w:r>
      <w:r>
        <w:rPr>
          <w:spacing w:val="-1"/>
        </w:rPr>
        <w:t>号厂房及占地作价</w:t>
      </w:r>
      <w:r>
        <w:rPr>
          <w:rFonts w:ascii="Times New Roman" w:hAnsi="Times New Roman" w:cs="Times New Roman" w:eastAsia="Times New Roman" w:hint="default"/>
          <w:spacing w:val="-1"/>
        </w:rPr>
        <w:t>11,769,959.00</w:t>
      </w:r>
    </w:p>
    <w:p>
      <w:pPr>
        <w:spacing w:after="0" w:line="338" w:lineRule="auto"/>
        <w:jc w:val="left"/>
        <w:rPr>
          <w:rFonts w:ascii="Times New Roman" w:hAnsi="Times New Roman" w:cs="Times New Roman" w:eastAsia="Times New Roman" w:hint="default"/>
        </w:rPr>
        <w:sectPr>
          <w:pgSz w:w="11910" w:h="16840"/>
          <w:pgMar w:header="0" w:footer="594" w:top="1500" w:bottom="800" w:left="1300" w:right="1180"/>
        </w:sectPr>
      </w:pPr>
    </w:p>
    <w:p>
      <w:pPr>
        <w:pStyle w:val="BodyText"/>
        <w:spacing w:line="240" w:lineRule="auto" w:before="13"/>
        <w:ind w:right="0"/>
        <w:jc w:val="both"/>
      </w:pPr>
      <w:r>
        <w:rPr/>
        <w:t>元，抵偿欠河南方正的诉讼款项。</w:t>
      </w:r>
    </w:p>
    <w:p>
      <w:pPr>
        <w:pStyle w:val="BodyText"/>
        <w:spacing w:line="240" w:lineRule="auto" w:before="154"/>
        <w:ind w:right="0"/>
        <w:jc w:val="both"/>
      </w:pPr>
      <w:r>
        <w:rPr>
          <w:rFonts w:ascii="Times New Roman" w:hAnsi="Times New Roman" w:cs="Times New Roman" w:eastAsia="Times New Roman" w:hint="default"/>
        </w:rPr>
        <w:t>4</w:t>
      </w:r>
      <w:r>
        <w:rPr/>
        <w:t>、截止本公告日，本公司无其他尚未披露的诉讼或仲裁事项。</w:t>
      </w: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2"/>
          <w:szCs w:val="22"/>
        </w:rPr>
      </w:pPr>
    </w:p>
    <w:p>
      <w:pPr>
        <w:pStyle w:val="BodyText"/>
        <w:spacing w:line="240" w:lineRule="auto" w:before="0"/>
        <w:ind w:right="0"/>
        <w:jc w:val="both"/>
      </w:pPr>
      <w:r>
        <w:rPr/>
        <w:t>（二）重大担保事项</w:t>
      </w:r>
    </w:p>
    <w:p>
      <w:pPr>
        <w:pStyle w:val="BodyText"/>
        <w:spacing w:line="338" w:lineRule="auto" w:before="154"/>
        <w:ind w:right="126" w:firstLine="360"/>
        <w:jc w:val="left"/>
      </w:pPr>
      <w:r>
        <w:rPr>
          <w:rFonts w:ascii="Times New Roman" w:hAnsi="Times New Roman" w:cs="Times New Roman" w:eastAsia="Times New Roman" w:hint="default"/>
          <w:spacing w:val="-2"/>
        </w:rPr>
        <w:t>1</w:t>
      </w:r>
      <w:r>
        <w:rPr>
          <w:spacing w:val="-2"/>
        </w:rPr>
        <w:t>、</w:t>
      </w:r>
      <w:r>
        <w:rPr>
          <w:rFonts w:ascii="Times New Roman" w:hAnsi="Times New Roman" w:cs="Times New Roman" w:eastAsia="Times New Roman" w:hint="default"/>
          <w:spacing w:val="-2"/>
        </w:rPr>
        <w:t>2003</w:t>
      </w:r>
      <w:r>
        <w:rPr>
          <w:spacing w:val="-2"/>
        </w:rPr>
        <w:t>年</w:t>
      </w:r>
      <w:r>
        <w:rPr>
          <w:rFonts w:ascii="Times New Roman" w:hAnsi="Times New Roman" w:cs="Times New Roman" w:eastAsia="Times New Roman" w:hint="default"/>
          <w:spacing w:val="-2"/>
        </w:rPr>
        <w:t>11</w:t>
      </w:r>
      <w:r>
        <w:rPr>
          <w:spacing w:val="-2"/>
        </w:rPr>
        <w:t>月深大通与中国银行遵化支行签订担保合同，为遵化新利能源开发有限</w:t>
      </w:r>
      <w:r>
        <w:rPr/>
        <w:t> 公司在中国银行遵化支行的</w:t>
      </w:r>
      <w:r>
        <w:rPr>
          <w:rFonts w:ascii="Times New Roman" w:hAnsi="Times New Roman" w:cs="Times New Roman" w:eastAsia="Times New Roman" w:hint="default"/>
        </w:rPr>
        <w:t>15000</w:t>
      </w:r>
      <w:r>
        <w:rPr/>
        <w:t>万元贷款授信提供担保。遵化新利能源开发有限公司 已经向银行贷款</w:t>
      </w:r>
      <w:r>
        <w:rPr>
          <w:rFonts w:ascii="Times New Roman" w:hAnsi="Times New Roman" w:cs="Times New Roman" w:eastAsia="Times New Roman" w:hint="default"/>
        </w:rPr>
        <w:t>14,824.4</w:t>
      </w:r>
      <w:r>
        <w:rPr/>
        <w:t>万元，贷款期限</w:t>
      </w:r>
      <w:r>
        <w:rPr>
          <w:rFonts w:ascii="Times New Roman" w:hAnsi="Times New Roman" w:cs="Times New Roman" w:eastAsia="Times New Roman" w:hint="default"/>
        </w:rPr>
        <w:t>2003</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26</w:t>
      </w:r>
      <w:r>
        <w:rPr/>
        <w:t>日至</w:t>
      </w:r>
      <w:r>
        <w:rPr>
          <w:rFonts w:ascii="Times New Roman" w:hAnsi="Times New Roman" w:cs="Times New Roman" w:eastAsia="Times New Roman" w:hint="default"/>
        </w:rPr>
        <w:t>2004</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26</w:t>
      </w:r>
      <w:r>
        <w:rPr/>
        <w:t>日，担保期限 为最后一期还款履行届满之日起经过两年。</w:t>
      </w:r>
    </w:p>
    <w:p>
      <w:pPr>
        <w:pStyle w:val="BodyText"/>
        <w:spacing w:line="240" w:lineRule="auto" w:before="55"/>
        <w:ind w:left="598" w:right="126"/>
        <w:jc w:val="left"/>
      </w:pPr>
      <w:r>
        <w:rPr/>
        <w:t>2008</w:t>
      </w:r>
      <w:r>
        <w:rPr>
          <w:spacing w:val="-70"/>
        </w:rPr>
        <w:t> </w:t>
      </w:r>
      <w:r>
        <w:rPr/>
        <w:t>年</w:t>
      </w:r>
      <w:r>
        <w:rPr>
          <w:spacing w:val="-70"/>
        </w:rPr>
        <w:t> </w:t>
      </w:r>
      <w:r>
        <w:rPr/>
        <w:t>10</w:t>
      </w:r>
      <w:r>
        <w:rPr>
          <w:spacing w:val="-70"/>
        </w:rPr>
        <w:t> </w:t>
      </w:r>
      <w:r>
        <w:rPr/>
        <w:t>月，亚星实业依据《或有负债承担协议》相关约定向中国银行遵化支行</w:t>
      </w:r>
    </w:p>
    <w:p>
      <w:pPr>
        <w:pStyle w:val="BodyText"/>
        <w:spacing w:line="357" w:lineRule="auto" w:before="154"/>
        <w:ind w:right="232"/>
        <w:jc w:val="both"/>
      </w:pPr>
      <w:r>
        <w:rPr/>
        <w:t>支付了</w:t>
      </w:r>
      <w:r>
        <w:rPr>
          <w:spacing w:val="-58"/>
        </w:rPr>
        <w:t> </w:t>
      </w:r>
      <w:r>
        <w:rPr/>
        <w:t>3500</w:t>
      </w:r>
      <w:r>
        <w:rPr>
          <w:spacing w:val="-58"/>
        </w:rPr>
        <w:t> </w:t>
      </w:r>
      <w:r>
        <w:rPr>
          <w:spacing w:val="-4"/>
        </w:rPr>
        <w:t>万元现金，中国银行遵化支行于</w:t>
      </w:r>
      <w:r>
        <w:rPr>
          <w:spacing w:val="-58"/>
        </w:rPr>
        <w:t> </w:t>
      </w:r>
      <w:r>
        <w:rPr/>
        <w:t>2008</w:t>
      </w:r>
      <w:r>
        <w:rPr>
          <w:spacing w:val="-58"/>
        </w:rPr>
        <w:t> </w:t>
      </w:r>
      <w:r>
        <w:rPr/>
        <w:t>年</w:t>
      </w:r>
      <w:r>
        <w:rPr>
          <w:spacing w:val="-58"/>
        </w:rPr>
        <w:t> </w:t>
      </w:r>
      <w:r>
        <w:rPr/>
        <w:t>10</w:t>
      </w:r>
      <w:r>
        <w:rPr>
          <w:spacing w:val="-58"/>
        </w:rPr>
        <w:t> </w:t>
      </w:r>
      <w:r>
        <w:rPr/>
        <w:t>月</w:t>
      </w:r>
      <w:r>
        <w:rPr>
          <w:spacing w:val="-58"/>
        </w:rPr>
        <w:t> </w:t>
      </w:r>
      <w:r>
        <w:rPr/>
        <w:t>13</w:t>
      </w:r>
      <w:r>
        <w:rPr>
          <w:spacing w:val="-58"/>
        </w:rPr>
        <w:t> </w:t>
      </w:r>
      <w:r>
        <w:rPr>
          <w:spacing w:val="-5"/>
        </w:rPr>
        <w:t>日向深大通出具《解除担</w:t>
      </w:r>
      <w:r>
        <w:rPr/>
        <w:t> </w:t>
      </w:r>
      <w:r>
        <w:rPr>
          <w:spacing w:val="-7"/>
        </w:rPr>
        <w:t>保通知书》，深大通与中国银行股份有限公司遵化分行签订的</w:t>
      </w:r>
      <w:r>
        <w:rPr>
          <w:spacing w:val="-55"/>
        </w:rPr>
        <w:t> </w:t>
      </w:r>
      <w:r>
        <w:rPr/>
        <w:t>2003</w:t>
      </w:r>
      <w:r>
        <w:rPr>
          <w:spacing w:val="-55"/>
        </w:rPr>
        <w:t> </w:t>
      </w:r>
      <w:r>
        <w:rPr/>
        <w:t>年遵保字</w:t>
      </w:r>
      <w:r>
        <w:rPr>
          <w:spacing w:val="-55"/>
        </w:rPr>
        <w:t> </w:t>
      </w:r>
      <w:r>
        <w:rPr/>
        <w:t>008</w:t>
      </w:r>
      <w:r>
        <w:rPr>
          <w:spacing w:val="-55"/>
        </w:rPr>
        <w:t> </w:t>
      </w:r>
      <w:r>
        <w:rPr>
          <w:spacing w:val="-15"/>
        </w:rPr>
        <w:t>号《最</w:t>
      </w:r>
      <w:r>
        <w:rPr/>
        <w:t> 高额保证合同》项下</w:t>
      </w:r>
      <w:r>
        <w:rPr>
          <w:spacing w:val="-60"/>
        </w:rPr>
        <w:t> </w:t>
      </w:r>
      <w:r>
        <w:rPr/>
        <w:t>1.5</w:t>
      </w:r>
      <w:r>
        <w:rPr>
          <w:spacing w:val="-60"/>
        </w:rPr>
        <w:t> </w:t>
      </w:r>
      <w:r>
        <w:rPr/>
        <w:t>亿保证义务已全部解除。</w:t>
      </w:r>
    </w:p>
    <w:p>
      <w:pPr>
        <w:pStyle w:val="BodyText"/>
        <w:spacing w:line="352" w:lineRule="auto" w:before="36"/>
        <w:ind w:right="228" w:firstLine="480"/>
        <w:jc w:val="both"/>
      </w:pPr>
      <w:r>
        <w:rPr>
          <w:rFonts w:ascii="Times New Roman" w:hAnsi="Times New Roman" w:cs="Times New Roman" w:eastAsia="Times New Roman" w:hint="default"/>
        </w:rPr>
        <w:t>2</w:t>
      </w:r>
      <w:r>
        <w:rPr/>
        <w:t>、2007</w:t>
      </w:r>
      <w:r>
        <w:rPr>
          <w:spacing w:val="-67"/>
        </w:rPr>
        <w:t> </w:t>
      </w:r>
      <w:r>
        <w:rPr/>
        <w:t>年</w:t>
      </w:r>
      <w:r>
        <w:rPr>
          <w:spacing w:val="-67"/>
        </w:rPr>
        <w:t> </w:t>
      </w:r>
      <w:r>
        <w:rPr/>
        <w:t>11</w:t>
      </w:r>
      <w:r>
        <w:rPr>
          <w:spacing w:val="-67"/>
        </w:rPr>
        <w:t> </w:t>
      </w:r>
      <w:r>
        <w:rPr/>
        <w:t>月</w:t>
      </w:r>
      <w:r>
        <w:rPr>
          <w:spacing w:val="-67"/>
        </w:rPr>
        <w:t> </w:t>
      </w:r>
      <w:r>
        <w:rPr/>
        <w:t>26</w:t>
      </w:r>
      <w:r>
        <w:rPr>
          <w:spacing w:val="-67"/>
        </w:rPr>
        <w:t> </w:t>
      </w:r>
      <w:r>
        <w:rPr/>
        <w:t>日，深大通与中联实业、亚星实业、深圳益生堂生物企业有限</w:t>
      </w:r>
      <w:r>
        <w:rPr/>
        <w:t> </w:t>
      </w:r>
      <w:r>
        <w:rPr>
          <w:spacing w:val="-3"/>
        </w:rPr>
        <w:t>公司（以下简称“益生堂“）四方签订《和解协议书》，深大通潜在股东亚星实业承诺</w:t>
      </w:r>
      <w:r>
        <w:rPr>
          <w:spacing w:val="-114"/>
        </w:rPr>
        <w:t> </w:t>
      </w:r>
      <w:r>
        <w:rPr>
          <w:spacing w:val="-114"/>
        </w:rPr>
      </w:r>
      <w:r>
        <w:rPr>
          <w:spacing w:val="3"/>
        </w:rPr>
        <w:t>在其通过重组取得深大通股份后按照和解协议书约定条件向中联实业承担债务清偿责</w:t>
      </w:r>
      <w:r>
        <w:rPr>
          <w:spacing w:val="-93"/>
        </w:rPr>
        <w:t> </w:t>
      </w:r>
      <w:r>
        <w:rPr>
          <w:spacing w:val="-93"/>
        </w:rPr>
      </w:r>
      <w:r>
        <w:rPr/>
        <w:t>任，作为对价，中联实业应解除深大通反担保责任及相应的连带清偿责任。2008 年</w:t>
      </w:r>
      <w:r>
        <w:rPr>
          <w:spacing w:val="21"/>
        </w:rPr>
        <w:t> </w:t>
      </w:r>
      <w:r>
        <w:rPr/>
        <w:t>3</w:t>
      </w:r>
      <w:r>
        <w:rPr/>
        <w:t> 月，深圳市福田区人民法院出具了通知书，准许中联实业撤诉。</w:t>
      </w:r>
    </w:p>
    <w:p>
      <w:pPr>
        <w:pStyle w:val="BodyText"/>
        <w:spacing w:line="240" w:lineRule="auto" w:before="41"/>
        <w:ind w:left="598" w:right="126"/>
        <w:jc w:val="left"/>
      </w:pPr>
      <w:r>
        <w:rPr/>
        <w:t>2008 年 6</w:t>
      </w:r>
      <w:r>
        <w:rPr>
          <w:spacing w:val="-89"/>
        </w:rPr>
        <w:t> </w:t>
      </w:r>
      <w:r>
        <w:rPr/>
        <w:t>月，协议各方签订了和解协议书之补充协议，将和解协议的期限延长到</w:t>
      </w:r>
    </w:p>
    <w:p>
      <w:pPr>
        <w:pStyle w:val="BodyText"/>
        <w:spacing w:line="240" w:lineRule="auto" w:before="154"/>
        <w:ind w:right="0"/>
        <w:jc w:val="both"/>
      </w:pPr>
      <w:r>
        <w:rPr/>
        <w:t>2008</w:t>
      </w:r>
      <w:r>
        <w:rPr>
          <w:spacing w:val="-59"/>
        </w:rPr>
        <w:t> </w:t>
      </w:r>
      <w:r>
        <w:rPr/>
        <w:t>年</w:t>
      </w:r>
      <w:r>
        <w:rPr>
          <w:spacing w:val="-59"/>
        </w:rPr>
        <w:t> </w:t>
      </w:r>
      <w:r>
        <w:rPr/>
        <w:t>12</w:t>
      </w:r>
      <w:r>
        <w:rPr>
          <w:spacing w:val="-59"/>
        </w:rPr>
        <w:t> </w:t>
      </w:r>
      <w:r>
        <w:rPr/>
        <w:t>月</w:t>
      </w:r>
      <w:r>
        <w:rPr>
          <w:spacing w:val="-59"/>
        </w:rPr>
        <w:t> </w:t>
      </w:r>
      <w:r>
        <w:rPr/>
        <w:t>30</w:t>
      </w:r>
      <w:r>
        <w:rPr>
          <w:spacing w:val="-59"/>
        </w:rPr>
        <w:t> </w:t>
      </w:r>
      <w:r>
        <w:rPr>
          <w:spacing w:val="-5"/>
        </w:rPr>
        <w:t>日。2008</w:t>
      </w:r>
      <w:r>
        <w:rPr>
          <w:spacing w:val="-59"/>
        </w:rPr>
        <w:t> </w:t>
      </w:r>
      <w:r>
        <w:rPr/>
        <w:t>年</w:t>
      </w:r>
      <w:r>
        <w:rPr>
          <w:spacing w:val="-59"/>
        </w:rPr>
        <w:t> </w:t>
      </w:r>
      <w:r>
        <w:rPr/>
        <w:t>11</w:t>
      </w:r>
      <w:r>
        <w:rPr>
          <w:spacing w:val="-59"/>
        </w:rPr>
        <w:t> </w:t>
      </w:r>
      <w:r>
        <w:rPr>
          <w:spacing w:val="-3"/>
        </w:rPr>
        <w:t>月，协议各方签订了补充备忘录，将和解协议的期限延</w:t>
      </w:r>
    </w:p>
    <w:p>
      <w:pPr>
        <w:pStyle w:val="BodyText"/>
        <w:spacing w:line="357" w:lineRule="auto" w:before="154"/>
        <w:ind w:right="231"/>
        <w:jc w:val="both"/>
      </w:pPr>
      <w:r>
        <w:rPr/>
        <w:t>长到</w:t>
      </w:r>
      <w:r>
        <w:rPr>
          <w:spacing w:val="-52"/>
        </w:rPr>
        <w:t> </w:t>
      </w:r>
      <w:r>
        <w:rPr>
          <w:spacing w:val="29"/>
        </w:rPr>
        <w:t>2009年4月</w:t>
      </w:r>
      <w:r>
        <w:rPr>
          <w:spacing w:val="-52"/>
        </w:rPr>
        <w:t> </w:t>
      </w:r>
      <w:r>
        <w:rPr/>
        <w:t>30</w:t>
      </w:r>
      <w:r>
        <w:rPr>
          <w:spacing w:val="-52"/>
        </w:rPr>
        <w:t> </w:t>
      </w:r>
      <w:r>
        <w:rPr/>
        <w:t>日。2008</w:t>
      </w:r>
      <w:r>
        <w:rPr>
          <w:spacing w:val="-52"/>
        </w:rPr>
        <w:t> </w:t>
      </w:r>
      <w:r>
        <w:rPr/>
        <w:t>年</w:t>
      </w:r>
      <w:r>
        <w:rPr>
          <w:spacing w:val="-52"/>
        </w:rPr>
        <w:t> </w:t>
      </w:r>
      <w:r>
        <w:rPr/>
        <w:t>12</w:t>
      </w:r>
      <w:r>
        <w:rPr>
          <w:spacing w:val="-52"/>
        </w:rPr>
        <w:t> </w:t>
      </w:r>
      <w:r>
        <w:rPr/>
        <w:t>月</w:t>
      </w:r>
      <w:r>
        <w:rPr>
          <w:spacing w:val="-52"/>
        </w:rPr>
        <w:t> </w:t>
      </w:r>
      <w:r>
        <w:rPr/>
        <w:t>31</w:t>
      </w:r>
      <w:r>
        <w:rPr>
          <w:spacing w:val="-52"/>
        </w:rPr>
        <w:t> </w:t>
      </w:r>
      <w:r>
        <w:rPr/>
        <w:t>日，协议各方签订了谅解备忘录，将和解协</w:t>
      </w:r>
      <w:r>
        <w:rPr/>
        <w:t> 议的期限延长到</w:t>
      </w:r>
      <w:r>
        <w:rPr>
          <w:spacing w:val="-59"/>
        </w:rPr>
        <w:t> </w:t>
      </w:r>
      <w:r>
        <w:rPr>
          <w:spacing w:val="25"/>
        </w:rPr>
        <w:t>2009年9月</w:t>
      </w:r>
      <w:r>
        <w:rPr>
          <w:spacing w:val="-59"/>
        </w:rPr>
        <w:t> </w:t>
      </w:r>
      <w:r>
        <w:rPr/>
        <w:t>30</w:t>
      </w:r>
      <w:r>
        <w:rPr>
          <w:spacing w:val="-59"/>
        </w:rPr>
        <w:t> </w:t>
      </w:r>
      <w:r>
        <w:rPr/>
        <w:t>日。</w:t>
      </w:r>
    </w:p>
    <w:p>
      <w:pPr>
        <w:pStyle w:val="BodyText"/>
        <w:spacing w:line="357" w:lineRule="auto" w:before="36"/>
        <w:ind w:right="100" w:firstLine="480"/>
        <w:jc w:val="left"/>
      </w:pPr>
      <w:r>
        <w:rPr>
          <w:spacing w:val="-1"/>
        </w:rPr>
        <w:t>3、2007</w:t>
      </w:r>
      <w:r>
        <w:rPr>
          <w:spacing w:val="-56"/>
        </w:rPr>
        <w:t> </w:t>
      </w:r>
      <w:r>
        <w:rPr/>
        <w:t>年</w:t>
      </w:r>
      <w:r>
        <w:rPr>
          <w:spacing w:val="-56"/>
        </w:rPr>
        <w:t> </w:t>
      </w:r>
      <w:r>
        <w:rPr/>
        <w:t>11</w:t>
      </w:r>
      <w:r>
        <w:rPr>
          <w:spacing w:val="-56"/>
        </w:rPr>
        <w:t> </w:t>
      </w:r>
      <w:r>
        <w:rPr/>
        <w:t>月</w:t>
      </w:r>
      <w:r>
        <w:rPr>
          <w:spacing w:val="-56"/>
        </w:rPr>
        <w:t> </w:t>
      </w:r>
      <w:r>
        <w:rPr/>
        <w:t>26</w:t>
      </w:r>
      <w:r>
        <w:rPr>
          <w:spacing w:val="-56"/>
        </w:rPr>
        <w:t> </w:t>
      </w:r>
      <w:r>
        <w:rPr>
          <w:spacing w:val="-6"/>
        </w:rPr>
        <w:t>日，亚星实业、深大通、益田房地产三方签订《和解协议书》，</w:t>
      </w:r>
      <w:r>
        <w:rPr/>
        <w:t> </w:t>
      </w:r>
      <w:r>
        <w:rPr>
          <w:spacing w:val="3"/>
        </w:rPr>
        <w:t>亚星实业承诺在其通过重组取得深大通股份后按照和解协议书约定条件向益田房地产</w:t>
      </w:r>
      <w:r>
        <w:rPr>
          <w:spacing w:val="-93"/>
        </w:rPr>
        <w:t> </w:t>
      </w:r>
      <w:r>
        <w:rPr>
          <w:spacing w:val="-93"/>
        </w:rPr>
      </w:r>
      <w:r>
        <w:rPr/>
        <w:t>支付约定对价，益田房地产解除深大通对其的反担保责任并放弃就代偿的 5000</w:t>
      </w:r>
      <w:r>
        <w:rPr>
          <w:spacing w:val="-90"/>
        </w:rPr>
        <w:t> </w:t>
      </w:r>
      <w:r>
        <w:rPr/>
        <w:t>万元借</w:t>
      </w:r>
      <w:r>
        <w:rPr/>
        <w:t> </w:t>
      </w:r>
      <w:r>
        <w:rPr>
          <w:spacing w:val="6"/>
        </w:rPr>
        <w:t>款向深大通追偿的权利。按和解协议约定益田房地产已向法院申请撤诉。2008年5月</w:t>
      </w:r>
      <w:r>
        <w:rPr>
          <w:spacing w:val="-84"/>
        </w:rPr>
        <w:t> </w:t>
      </w:r>
      <w:r>
        <w:rPr/>
        <w:t>16</w:t>
      </w:r>
      <w:r>
        <w:rPr>
          <w:spacing w:val="-30"/>
        </w:rPr>
        <w:t> </w:t>
      </w:r>
      <w:r>
        <w:rPr/>
        <w:t>日，深圳市中级人民法院出具了（2007）深中法民四初字第</w:t>
      </w:r>
      <w:r>
        <w:rPr>
          <w:spacing w:val="-30"/>
        </w:rPr>
        <w:t> </w:t>
      </w:r>
      <w:r>
        <w:rPr/>
        <w:t>162</w:t>
      </w:r>
      <w:r>
        <w:rPr>
          <w:spacing w:val="-30"/>
        </w:rPr>
        <w:t> </w:t>
      </w:r>
      <w:r>
        <w:rPr/>
        <w:t>号，准许益田房地</w:t>
      </w:r>
      <w:r>
        <w:rPr/>
        <w:t> 产撤诉。</w:t>
      </w:r>
    </w:p>
    <w:p>
      <w:pPr>
        <w:pStyle w:val="BodyText"/>
        <w:spacing w:line="357" w:lineRule="auto" w:before="36"/>
        <w:ind w:right="126" w:firstLine="480"/>
        <w:jc w:val="left"/>
      </w:pPr>
      <w:r>
        <w:rPr/>
        <w:t>2008年10月，协议各方签订了补充协议书，将和解协议的期限延长到2009年4月30 </w:t>
      </w:r>
      <w:r>
        <w:rPr>
          <w:spacing w:val="-2"/>
        </w:rPr>
        <w:t>日。2009年1月9日，协议各方签订了补充协议书（二），将和解协议的期限延长到2009</w:t>
      </w:r>
    </w:p>
    <w:p>
      <w:pPr>
        <w:spacing w:after="0" w:line="357" w:lineRule="auto"/>
        <w:jc w:val="left"/>
        <w:sectPr>
          <w:pgSz w:w="11910" w:h="16840"/>
          <w:pgMar w:header="0" w:footer="594" w:top="1500" w:bottom="800" w:left="1300" w:right="1220"/>
        </w:sectPr>
      </w:pPr>
    </w:p>
    <w:p>
      <w:pPr>
        <w:pStyle w:val="BodyText"/>
        <w:spacing w:line="240" w:lineRule="auto" w:before="13"/>
        <w:ind w:right="0"/>
        <w:jc w:val="both"/>
      </w:pPr>
      <w:r>
        <w:rPr/>
        <w:t>年9月30日。</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spacing w:line="357" w:lineRule="auto" w:before="0"/>
        <w:ind w:right="275"/>
        <w:jc w:val="both"/>
      </w:pPr>
      <w:r>
        <w:rPr>
          <w:spacing w:val="-3"/>
        </w:rPr>
        <w:t>（三）报告期内，公司没有持有其他上市公司股权、参股商业银行、证券公司、保险公</w:t>
      </w:r>
      <w:r>
        <w:rPr>
          <w:spacing w:val="-96"/>
        </w:rPr>
        <w:t> </w:t>
      </w:r>
      <w:r>
        <w:rPr>
          <w:spacing w:val="-96"/>
        </w:rPr>
      </w:r>
      <w:r>
        <w:rPr/>
        <w:t>司、信托公司和期货公司等金融企业股权，以及参股拟上市公司等投资情况。</w:t>
      </w:r>
    </w:p>
    <w:p>
      <w:pPr>
        <w:pStyle w:val="BodyText"/>
        <w:spacing w:line="240" w:lineRule="auto" w:before="36"/>
        <w:ind w:right="0"/>
        <w:jc w:val="both"/>
      </w:pPr>
      <w:r>
        <w:rPr/>
        <w:t>（四）报告期内，公司收购及出售资产、吸收合并事项；</w:t>
      </w:r>
    </w:p>
    <w:p>
      <w:pPr>
        <w:pStyle w:val="BodyText"/>
        <w:spacing w:line="338" w:lineRule="auto" w:before="154"/>
        <w:ind w:right="234"/>
        <w:jc w:val="both"/>
      </w:pPr>
      <w:r>
        <w:rPr>
          <w:spacing w:val="-2"/>
        </w:rPr>
        <w:t>（</w:t>
      </w:r>
      <w:r>
        <w:rPr>
          <w:rFonts w:ascii="Times New Roman" w:hAnsi="Times New Roman" w:cs="Times New Roman" w:eastAsia="Times New Roman" w:hint="default"/>
          <w:spacing w:val="-2"/>
        </w:rPr>
        <w:t>1</w:t>
      </w:r>
      <w:r>
        <w:rPr>
          <w:spacing w:val="-2"/>
        </w:rPr>
        <w:t>）</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20</w:t>
      </w:r>
      <w:r>
        <w:rPr>
          <w:spacing w:val="-2"/>
        </w:rPr>
        <w:t>日，公司与方正延中传媒有限公司签订了《资产转让协议》，协议约</w:t>
      </w:r>
      <w:r>
        <w:rPr>
          <w:spacing w:val="-111"/>
        </w:rPr>
        <w:t> </w:t>
      </w:r>
      <w:r>
        <w:rPr>
          <w:spacing w:val="-111"/>
        </w:rPr>
      </w:r>
      <w:r>
        <w:rPr>
          <w:spacing w:val="-2"/>
        </w:rPr>
        <w:t>定方正延中传媒有限公司同意依照本协议约定受让本公司共计</w:t>
      </w:r>
      <w:r>
        <w:rPr>
          <w:rFonts w:ascii="Times New Roman" w:hAnsi="Times New Roman" w:cs="Times New Roman" w:eastAsia="Times New Roman" w:hint="default"/>
          <w:spacing w:val="-2"/>
        </w:rPr>
        <w:t>27,198.72</w:t>
      </w:r>
      <w:r>
        <w:rPr>
          <w:spacing w:val="-2"/>
        </w:rPr>
        <w:t>元（人民币）资</w:t>
      </w:r>
      <w:r>
        <w:rPr>
          <w:spacing w:val="-86"/>
        </w:rPr>
        <w:t> </w:t>
      </w:r>
      <w:r>
        <w:rPr>
          <w:spacing w:val="-86"/>
        </w:rPr>
      </w:r>
      <w:r>
        <w:rPr/>
        <w:t>产；资产的范围为公司截止到</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30</w:t>
      </w:r>
      <w:r>
        <w:rPr/>
        <w:t>日除固定资产以外的其他全部资产主要包括 应收账款、其他应收款、长期股权投资。</w:t>
      </w:r>
    </w:p>
    <w:p>
      <w:pPr>
        <w:pStyle w:val="BodyText"/>
        <w:spacing w:line="338" w:lineRule="auto" w:before="55"/>
        <w:ind w:right="166" w:firstLine="480"/>
        <w:jc w:val="left"/>
      </w:pPr>
      <w:r>
        <w:rPr/>
        <w:pict>
          <v:shape style="position:absolute;margin-left:82.610001pt;margin-top:67.909561pt;width:398.9pt;height:116.2pt;mso-position-horizontal-relative:page;mso-position-vertical-relative:paragraph;z-index:17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79"/>
                    <w:gridCol w:w="2424"/>
                    <w:gridCol w:w="2040"/>
                    <w:gridCol w:w="1535"/>
                  </w:tblGrid>
                  <w:tr>
                    <w:trPr>
                      <w:trHeight w:val="925" w:hRule="exact"/>
                    </w:trPr>
                    <w:tc>
                      <w:tcPr>
                        <w:tcW w:w="1979" w:type="dxa"/>
                        <w:tcBorders>
                          <w:top w:val="nil" w:sz="6" w:space="0" w:color="auto"/>
                          <w:left w:val="nil" w:sz="6" w:space="0" w:color="auto"/>
                          <w:bottom w:val="nil" w:sz="6" w:space="0" w:color="auto"/>
                          <w:right w:val="nil" w:sz="6" w:space="0" w:color="auto"/>
                        </w:tcBorders>
                      </w:tcPr>
                      <w:p>
                        <w:pPr>
                          <w:pStyle w:val="TableParagraph"/>
                          <w:spacing w:line="357" w:lineRule="auto" w:before="21"/>
                          <w:ind w:left="35" w:right="983"/>
                          <w:jc w:val="left"/>
                          <w:rPr>
                            <w:rFonts w:ascii="宋体" w:hAnsi="宋体" w:cs="宋体" w:eastAsia="宋体" w:hint="default"/>
                            <w:sz w:val="24"/>
                            <w:szCs w:val="24"/>
                          </w:rPr>
                        </w:pPr>
                        <w:r>
                          <w:rPr>
                            <w:rFonts w:ascii="宋体" w:hAnsi="宋体" w:cs="宋体" w:eastAsia="宋体" w:hint="default"/>
                            <w:sz w:val="24"/>
                            <w:szCs w:val="24"/>
                          </w:rPr>
                          <w:t>项目 应收帐款</w:t>
                        </w:r>
                      </w:p>
                    </w:tc>
                    <w:tc>
                      <w:tcPr>
                        <w:tcW w:w="2424" w:type="dxa"/>
                        <w:tcBorders>
                          <w:top w:val="nil" w:sz="6" w:space="0" w:color="auto"/>
                          <w:left w:val="nil" w:sz="6" w:space="0" w:color="auto"/>
                          <w:bottom w:val="nil" w:sz="6" w:space="0" w:color="auto"/>
                          <w:right w:val="nil" w:sz="6" w:space="0" w:color="auto"/>
                        </w:tcBorders>
                      </w:tcPr>
                      <w:p>
                        <w:pPr>
                          <w:pStyle w:val="TableParagraph"/>
                          <w:spacing w:line="240" w:lineRule="auto" w:before="21"/>
                          <w:ind w:left="503" w:right="0"/>
                          <w:jc w:val="left"/>
                          <w:rPr>
                            <w:rFonts w:ascii="宋体" w:hAnsi="宋体" w:cs="宋体" w:eastAsia="宋体" w:hint="default"/>
                            <w:sz w:val="24"/>
                            <w:szCs w:val="24"/>
                          </w:rPr>
                        </w:pPr>
                        <w:r>
                          <w:rPr>
                            <w:rFonts w:ascii="宋体" w:hAnsi="宋体" w:cs="宋体" w:eastAsia="宋体" w:hint="default"/>
                            <w:sz w:val="24"/>
                            <w:szCs w:val="24"/>
                          </w:rPr>
                          <w:t>帐面原值</w:t>
                        </w:r>
                      </w:p>
                      <w:p>
                        <w:pPr>
                          <w:pStyle w:val="TableParagraph"/>
                          <w:spacing w:line="240" w:lineRule="auto" w:before="215"/>
                          <w:ind w:left="503" w:right="0"/>
                          <w:jc w:val="left"/>
                          <w:rPr>
                            <w:rFonts w:ascii="Times New Roman" w:hAnsi="Times New Roman" w:cs="Times New Roman" w:eastAsia="Times New Roman" w:hint="default"/>
                            <w:sz w:val="24"/>
                            <w:szCs w:val="24"/>
                          </w:rPr>
                        </w:pPr>
                        <w:r>
                          <w:rPr>
                            <w:rFonts w:ascii="Times New Roman"/>
                            <w:sz w:val="24"/>
                          </w:rPr>
                          <w:t>32,891,971.04</w:t>
                        </w: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21"/>
                          <w:ind w:left="419" w:right="0"/>
                          <w:jc w:val="left"/>
                          <w:rPr>
                            <w:rFonts w:ascii="宋体" w:hAnsi="宋体" w:cs="宋体" w:eastAsia="宋体" w:hint="default"/>
                            <w:sz w:val="24"/>
                            <w:szCs w:val="24"/>
                          </w:rPr>
                        </w:pPr>
                        <w:r>
                          <w:rPr>
                            <w:rFonts w:ascii="宋体" w:hAnsi="宋体" w:cs="宋体" w:eastAsia="宋体" w:hint="default"/>
                            <w:sz w:val="24"/>
                            <w:szCs w:val="24"/>
                          </w:rPr>
                          <w:t>帐面净值</w:t>
                        </w:r>
                      </w:p>
                      <w:p>
                        <w:pPr>
                          <w:pStyle w:val="TableParagraph"/>
                          <w:spacing w:line="240" w:lineRule="auto" w:before="215"/>
                          <w:ind w:left="420" w:right="0"/>
                          <w:jc w:val="left"/>
                          <w:rPr>
                            <w:rFonts w:ascii="Times New Roman" w:hAnsi="Times New Roman" w:cs="Times New Roman" w:eastAsia="Times New Roman" w:hint="default"/>
                            <w:sz w:val="24"/>
                            <w:szCs w:val="24"/>
                          </w:rPr>
                        </w:pPr>
                        <w:r>
                          <w:rPr>
                            <w:rFonts w:ascii="Times New Roman"/>
                            <w:sz w:val="24"/>
                          </w:rPr>
                          <w:t>0</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1"/>
                          <w:ind w:left="539" w:right="0"/>
                          <w:jc w:val="left"/>
                          <w:rPr>
                            <w:rFonts w:ascii="宋体" w:hAnsi="宋体" w:cs="宋体" w:eastAsia="宋体" w:hint="default"/>
                            <w:sz w:val="24"/>
                            <w:szCs w:val="24"/>
                          </w:rPr>
                        </w:pPr>
                        <w:r>
                          <w:rPr>
                            <w:rFonts w:ascii="宋体" w:hAnsi="宋体" w:cs="宋体" w:eastAsia="宋体" w:hint="default"/>
                            <w:sz w:val="24"/>
                            <w:szCs w:val="24"/>
                          </w:rPr>
                          <w:t>评估净值</w:t>
                        </w:r>
                      </w:p>
                      <w:p>
                        <w:pPr>
                          <w:pStyle w:val="TableParagraph"/>
                          <w:spacing w:line="240" w:lineRule="auto" w:before="215"/>
                          <w:ind w:right="333"/>
                          <w:jc w:val="center"/>
                          <w:rPr>
                            <w:rFonts w:ascii="Times New Roman" w:hAnsi="Times New Roman" w:cs="Times New Roman" w:eastAsia="Times New Roman" w:hint="default"/>
                            <w:sz w:val="24"/>
                            <w:szCs w:val="24"/>
                          </w:rPr>
                        </w:pPr>
                        <w:r>
                          <w:rPr>
                            <w:rFonts w:ascii="Times New Roman"/>
                            <w:sz w:val="24"/>
                          </w:rPr>
                          <w:t>0</w:t>
                        </w:r>
                      </w:p>
                    </w:tc>
                  </w:tr>
                  <w:tr>
                    <w:trPr>
                      <w:trHeight w:val="467" w:hRule="exact"/>
                    </w:trPr>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24"/>
                            <w:szCs w:val="24"/>
                          </w:rPr>
                        </w:pPr>
                        <w:r>
                          <w:rPr>
                            <w:rFonts w:ascii="宋体" w:hAnsi="宋体" w:cs="宋体" w:eastAsia="宋体" w:hint="default"/>
                            <w:sz w:val="24"/>
                            <w:szCs w:val="24"/>
                          </w:rPr>
                          <w:t>其他应收款</w:t>
                        </w:r>
                      </w:p>
                    </w:tc>
                    <w:tc>
                      <w:tcPr>
                        <w:tcW w:w="2424" w:type="dxa"/>
                        <w:tcBorders>
                          <w:top w:val="nil" w:sz="6" w:space="0" w:color="auto"/>
                          <w:left w:val="nil" w:sz="6" w:space="0" w:color="auto"/>
                          <w:bottom w:val="nil" w:sz="6" w:space="0" w:color="auto"/>
                          <w:right w:val="nil" w:sz="6" w:space="0" w:color="auto"/>
                        </w:tcBorders>
                      </w:tcPr>
                      <w:p>
                        <w:pPr>
                          <w:pStyle w:val="TableParagraph"/>
                          <w:spacing w:line="240" w:lineRule="auto" w:before="92"/>
                          <w:ind w:left="503" w:right="0"/>
                          <w:jc w:val="left"/>
                          <w:rPr>
                            <w:rFonts w:ascii="Times New Roman" w:hAnsi="Times New Roman" w:cs="Times New Roman" w:eastAsia="Times New Roman" w:hint="default"/>
                            <w:sz w:val="24"/>
                            <w:szCs w:val="24"/>
                          </w:rPr>
                        </w:pPr>
                        <w:r>
                          <w:rPr>
                            <w:rFonts w:ascii="Times New Roman"/>
                            <w:sz w:val="24"/>
                          </w:rPr>
                          <w:t>202,823,563.81</w:t>
                        </w: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420" w:right="0"/>
                          <w:jc w:val="left"/>
                          <w:rPr>
                            <w:rFonts w:ascii="Times New Roman" w:hAnsi="Times New Roman" w:cs="Times New Roman" w:eastAsia="Times New Roman" w:hint="default"/>
                            <w:sz w:val="24"/>
                            <w:szCs w:val="24"/>
                          </w:rPr>
                        </w:pPr>
                        <w:r>
                          <w:rPr>
                            <w:rFonts w:ascii="Times New Roman"/>
                            <w:sz w:val="24"/>
                          </w:rPr>
                          <w:t>128,026.35</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540" w:right="0"/>
                          <w:jc w:val="left"/>
                          <w:rPr>
                            <w:rFonts w:ascii="Times New Roman" w:hAnsi="Times New Roman" w:cs="Times New Roman" w:eastAsia="Times New Roman" w:hint="default"/>
                            <w:sz w:val="24"/>
                            <w:szCs w:val="24"/>
                          </w:rPr>
                        </w:pPr>
                        <w:r>
                          <w:rPr>
                            <w:rFonts w:ascii="Times New Roman"/>
                            <w:sz w:val="24"/>
                          </w:rPr>
                          <w:t>27,198.72</w:t>
                        </w:r>
                      </w:p>
                    </w:tc>
                  </w:tr>
                  <w:tr>
                    <w:trPr>
                      <w:trHeight w:val="467" w:hRule="exact"/>
                    </w:trPr>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24"/>
                            <w:szCs w:val="24"/>
                          </w:rPr>
                        </w:pPr>
                        <w:r>
                          <w:rPr>
                            <w:rFonts w:ascii="宋体" w:hAnsi="宋体" w:cs="宋体" w:eastAsia="宋体" w:hint="default"/>
                            <w:sz w:val="24"/>
                            <w:szCs w:val="24"/>
                          </w:rPr>
                          <w:t>长期股权投资</w:t>
                        </w:r>
                      </w:p>
                    </w:tc>
                    <w:tc>
                      <w:tcPr>
                        <w:tcW w:w="2424" w:type="dxa"/>
                        <w:tcBorders>
                          <w:top w:val="nil" w:sz="6" w:space="0" w:color="auto"/>
                          <w:left w:val="nil" w:sz="6" w:space="0" w:color="auto"/>
                          <w:bottom w:val="nil" w:sz="6" w:space="0" w:color="auto"/>
                          <w:right w:val="nil" w:sz="6" w:space="0" w:color="auto"/>
                        </w:tcBorders>
                      </w:tcPr>
                      <w:p>
                        <w:pPr>
                          <w:pStyle w:val="TableParagraph"/>
                          <w:spacing w:line="240" w:lineRule="auto" w:before="92"/>
                          <w:ind w:left="503" w:right="0"/>
                          <w:jc w:val="left"/>
                          <w:rPr>
                            <w:rFonts w:ascii="Times New Roman" w:hAnsi="Times New Roman" w:cs="Times New Roman" w:eastAsia="Times New Roman" w:hint="default"/>
                            <w:sz w:val="24"/>
                            <w:szCs w:val="24"/>
                          </w:rPr>
                        </w:pPr>
                        <w:r>
                          <w:rPr>
                            <w:rFonts w:ascii="Times New Roman"/>
                            <w:sz w:val="24"/>
                          </w:rPr>
                          <w:t>4,069,983.36</w:t>
                        </w: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420" w:right="0"/>
                          <w:jc w:val="left"/>
                          <w:rPr>
                            <w:rFonts w:ascii="Times New Roman" w:hAnsi="Times New Roman" w:cs="Times New Roman" w:eastAsia="Times New Roman" w:hint="default"/>
                            <w:sz w:val="24"/>
                            <w:szCs w:val="24"/>
                          </w:rPr>
                        </w:pPr>
                        <w:r>
                          <w:rPr>
                            <w:rFonts w:ascii="Times New Roman"/>
                            <w:sz w:val="24"/>
                          </w:rPr>
                          <w:t>234,285.71</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540" w:right="0"/>
                          <w:jc w:val="left"/>
                          <w:rPr>
                            <w:rFonts w:ascii="Times New Roman" w:hAnsi="Times New Roman" w:cs="Times New Roman" w:eastAsia="Times New Roman" w:hint="default"/>
                            <w:sz w:val="24"/>
                            <w:szCs w:val="24"/>
                          </w:rPr>
                        </w:pPr>
                        <w:r>
                          <w:rPr>
                            <w:rFonts w:ascii="Times New Roman"/>
                            <w:sz w:val="24"/>
                          </w:rPr>
                          <w:t>0</w:t>
                        </w:r>
                      </w:p>
                    </w:tc>
                  </w:tr>
                  <w:tr>
                    <w:trPr>
                      <w:trHeight w:val="464" w:hRule="exact"/>
                    </w:trPr>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5"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2424" w:type="dxa"/>
                        <w:tcBorders>
                          <w:top w:val="nil" w:sz="6" w:space="0" w:color="auto"/>
                          <w:left w:val="nil" w:sz="6" w:space="0" w:color="auto"/>
                          <w:bottom w:val="nil" w:sz="6" w:space="0" w:color="auto"/>
                          <w:right w:val="nil" w:sz="6" w:space="0" w:color="auto"/>
                        </w:tcBorders>
                      </w:tcPr>
                      <w:p>
                        <w:pPr>
                          <w:pStyle w:val="TableParagraph"/>
                          <w:spacing w:line="240" w:lineRule="auto" w:before="92"/>
                          <w:ind w:left="503" w:right="0"/>
                          <w:jc w:val="left"/>
                          <w:rPr>
                            <w:rFonts w:ascii="Times New Roman" w:hAnsi="Times New Roman" w:cs="Times New Roman" w:eastAsia="Times New Roman" w:hint="default"/>
                            <w:sz w:val="24"/>
                            <w:szCs w:val="24"/>
                          </w:rPr>
                        </w:pPr>
                        <w:r>
                          <w:rPr>
                            <w:rFonts w:ascii="Times New Roman"/>
                            <w:sz w:val="24"/>
                          </w:rPr>
                          <w:t>239,785,518.21</w:t>
                        </w: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420" w:right="0"/>
                          <w:jc w:val="left"/>
                          <w:rPr>
                            <w:rFonts w:ascii="Times New Roman" w:hAnsi="Times New Roman" w:cs="Times New Roman" w:eastAsia="Times New Roman" w:hint="default"/>
                            <w:sz w:val="24"/>
                            <w:szCs w:val="24"/>
                          </w:rPr>
                        </w:pPr>
                        <w:r>
                          <w:rPr>
                            <w:rFonts w:ascii="Times New Roman"/>
                            <w:sz w:val="24"/>
                          </w:rPr>
                          <w:t>362,312.06</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540" w:right="0"/>
                          <w:jc w:val="left"/>
                          <w:rPr>
                            <w:rFonts w:ascii="Times New Roman" w:hAnsi="Times New Roman" w:cs="Times New Roman" w:eastAsia="Times New Roman" w:hint="default"/>
                            <w:sz w:val="24"/>
                            <w:szCs w:val="24"/>
                          </w:rPr>
                        </w:pPr>
                        <w:r>
                          <w:rPr>
                            <w:rFonts w:ascii="Times New Roman"/>
                            <w:sz w:val="24"/>
                          </w:rPr>
                          <w:t>27,198.72</w:t>
                        </w:r>
                      </w:p>
                    </w:tc>
                  </w:tr>
                </w:tbl>
                <w:p>
                  <w:pPr/>
                </w:p>
              </w:txbxContent>
            </v:textbox>
            <w10:wrap type="none"/>
          </v:shape>
        </w:pict>
      </w:r>
      <w:r>
        <w:rPr/>
        <w:t>上述资产的成交价值为人民币</w:t>
      </w:r>
      <w:r>
        <w:rPr>
          <w:rFonts w:ascii="Times New Roman" w:hAnsi="Times New Roman" w:cs="Times New Roman" w:eastAsia="Times New Roman" w:hint="default"/>
        </w:rPr>
        <w:t>27,198.72</w:t>
      </w:r>
      <w:r>
        <w:rPr/>
        <w:t>元，本次交易的定价依据为沃克森（北京） 国际资产评估有限公司</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15</w:t>
      </w:r>
      <w:r>
        <w:rPr/>
        <w:t>日出具的《深圳大通实业股份有限公司拟转让资产 项目资产评估报告书》（沃克森评报字</w:t>
      </w:r>
      <w:r>
        <w:rPr>
          <w:rFonts w:ascii="Times New Roman" w:hAnsi="Times New Roman" w:cs="Times New Roman" w:eastAsia="Times New Roman" w:hint="default"/>
        </w:rPr>
        <w:t>[2008]</w:t>
      </w:r>
      <w:r>
        <w:rPr/>
        <w:t>第</w:t>
      </w:r>
      <w:r>
        <w:rPr>
          <w:rFonts w:ascii="Times New Roman" w:hAnsi="Times New Roman" w:cs="Times New Roman" w:eastAsia="Times New Roman" w:hint="default"/>
        </w:rPr>
        <w:t>0096</w: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before="26"/>
        <w:ind w:right="111"/>
        <w:jc w:val="left"/>
      </w:pPr>
      <w:r>
        <w:rPr/>
        <w:t>（</w:t>
      </w:r>
      <w:r>
        <w:rPr>
          <w:rFonts w:ascii="Times New Roman" w:hAnsi="Times New Roman" w:cs="Times New Roman" w:eastAsia="Times New Roman" w:hint="default"/>
        </w:rPr>
        <w:t>2</w:t>
      </w:r>
      <w:r>
        <w:rPr/>
        <w:t>）报告期内，公司无其他收购、资产出售和吸收合并事项。</w:t>
      </w:r>
    </w:p>
    <w:p>
      <w:pPr>
        <w:pStyle w:val="BodyText"/>
        <w:spacing w:line="240" w:lineRule="auto"/>
        <w:ind w:right="111"/>
        <w:jc w:val="left"/>
      </w:pPr>
      <w:r>
        <w:rPr/>
        <w:t>（五）截止到报告期内，公司无股权或期权激励计划；</w:t>
      </w:r>
    </w:p>
    <w:p>
      <w:pPr>
        <w:pStyle w:val="BodyText"/>
        <w:spacing w:line="345" w:lineRule="auto" w:before="154"/>
        <w:ind w:right="98"/>
        <w:jc w:val="left"/>
      </w:pPr>
      <w:r>
        <w:rPr/>
        <w:t>（六）报告期内公司重大关联交易事项： </w:t>
      </w:r>
      <w:r>
        <w:rPr>
          <w:rFonts w:ascii="Times New Roman" w:hAnsi="Times New Roman" w:cs="Times New Roman" w:eastAsia="Times New Roman" w:hint="default"/>
          <w:spacing w:val="-4"/>
        </w:rPr>
        <w:t>1</w:t>
      </w:r>
      <w:r>
        <w:rPr>
          <w:spacing w:val="-4"/>
        </w:rPr>
        <w:t>、</w:t>
      </w:r>
      <w:r>
        <w:rPr>
          <w:rFonts w:ascii="Times New Roman" w:hAnsi="Times New Roman" w:cs="Times New Roman" w:eastAsia="Times New Roman" w:hint="default"/>
          <w:spacing w:val="-4"/>
        </w:rPr>
        <w:t>2008</w:t>
      </w:r>
      <w:r>
        <w:rPr>
          <w:spacing w:val="-4"/>
        </w:rPr>
        <w:t>年</w:t>
      </w:r>
      <w:r>
        <w:rPr>
          <w:rFonts w:ascii="Times New Roman" w:hAnsi="Times New Roman" w:cs="Times New Roman" w:eastAsia="Times New Roman" w:hint="default"/>
          <w:spacing w:val="-4"/>
        </w:rPr>
        <w:t>8</w:t>
      </w:r>
      <w:r>
        <w:rPr>
          <w:spacing w:val="-4"/>
        </w:rPr>
        <w:t>月</w:t>
      </w:r>
      <w:r>
        <w:rPr>
          <w:rFonts w:ascii="Times New Roman" w:hAnsi="Times New Roman" w:cs="Times New Roman" w:eastAsia="Times New Roman" w:hint="default"/>
          <w:spacing w:val="-4"/>
        </w:rPr>
        <w:t>20</w:t>
      </w:r>
      <w:r>
        <w:rPr>
          <w:spacing w:val="-4"/>
        </w:rPr>
        <w:t>日，公司与第一大股东方正延中传媒有限公司签订了《资产转让协议》，</w:t>
      </w:r>
      <w:r>
        <w:rPr>
          <w:spacing w:val="-118"/>
        </w:rPr>
        <w:t> </w:t>
      </w:r>
      <w:r>
        <w:rPr>
          <w:spacing w:val="-118"/>
        </w:rPr>
      </w:r>
      <w:r>
        <w:rPr/>
        <w:t>协议约定方正延中传媒有限公司同意依照本协议约定受让本公司共计</w:t>
      </w:r>
      <w:r>
        <w:rPr>
          <w:rFonts w:ascii="Times New Roman" w:hAnsi="Times New Roman" w:cs="Times New Roman" w:eastAsia="Times New Roman" w:hint="default"/>
        </w:rPr>
        <w:t>27,198.72</w:t>
      </w:r>
      <w:r>
        <w:rPr/>
        <w:t>元（人民 币）资产；（详见本章第五条） </w:t>
      </w:r>
      <w:r>
        <w:rPr>
          <w:rFonts w:ascii="Times New Roman" w:hAnsi="Times New Roman" w:cs="Times New Roman" w:eastAsia="Times New Roman" w:hint="default"/>
        </w:rPr>
        <w:t>2</w:t>
      </w:r>
      <w:r>
        <w:rPr/>
        <w:t>、</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月，公司与第一大股东方正延中传媒有限公司签订了《债务承担及担保协 议》，协议约定由方正延中传媒有限公司承担本公司共计人民币</w:t>
      </w:r>
      <w:r>
        <w:rPr>
          <w:rFonts w:ascii="Times New Roman" w:hAnsi="Times New Roman" w:cs="Times New Roman" w:eastAsia="Times New Roman" w:hint="default"/>
        </w:rPr>
        <w:t>28,867,380.24</w:t>
      </w:r>
      <w:r>
        <w:rPr/>
        <w:t>元债务的 担保及清偿责任。具体范围及数额详见公司2008年12月30日的公告</w:t>
      </w:r>
    </w:p>
    <w:p>
      <w:pPr>
        <w:pStyle w:val="BodyText"/>
        <w:spacing w:line="357" w:lineRule="auto" w:before="48"/>
        <w:ind w:left="598" w:right="111" w:hanging="480"/>
        <w:jc w:val="left"/>
      </w:pPr>
      <w:hyperlink r:id="rId9">
        <w:r>
          <w:rPr/>
          <w:t>（www.cninfo.com.cn）。</w:t>
        </w:r>
      </w:hyperlink>
      <w:r>
        <w:rPr/>
        <w:t> </w:t>
      </w:r>
      <w:r>
        <w:rPr>
          <w:spacing w:val="-2"/>
        </w:rPr>
        <w:t>协议约定：在协议生效后三个工作日内，公司负责在全国性公开发行报纸上发出债</w:t>
      </w:r>
    </w:p>
    <w:p>
      <w:pPr>
        <w:spacing w:after="0" w:line="357" w:lineRule="auto"/>
        <w:jc w:val="left"/>
        <w:sectPr>
          <w:pgSz w:w="11910" w:h="16840"/>
          <w:pgMar w:header="0" w:footer="594" w:top="1500" w:bottom="800" w:left="1300" w:right="1180"/>
        </w:sectPr>
      </w:pPr>
    </w:p>
    <w:p>
      <w:pPr>
        <w:pStyle w:val="BodyText"/>
        <w:spacing w:line="357" w:lineRule="auto" w:before="13"/>
        <w:ind w:right="94"/>
        <w:jc w:val="left"/>
      </w:pPr>
      <w:r>
        <w:rPr>
          <w:spacing w:val="-2"/>
        </w:rPr>
        <w:t>权登记通知公告，通知债权人在三个月内到甲方登记有效债权，并在债权人登记债权时</w:t>
      </w:r>
      <w:r>
        <w:rPr>
          <w:spacing w:val="-96"/>
        </w:rPr>
        <w:t> </w:t>
      </w:r>
      <w:r>
        <w:rPr>
          <w:spacing w:val="-96"/>
        </w:rPr>
      </w:r>
      <w:r>
        <w:rPr/>
        <w:t>就将债权转让给延中传媒的事宜征得债权人同意。</w:t>
      </w:r>
    </w:p>
    <w:p>
      <w:pPr>
        <w:pStyle w:val="BodyText"/>
        <w:spacing w:line="357" w:lineRule="auto" w:before="36"/>
        <w:ind w:right="114" w:firstLine="600"/>
        <w:jc w:val="both"/>
      </w:pPr>
      <w:r>
        <w:rPr/>
        <w:t>协议约定：延中传媒同意，在有关债权人不同意公司将债权转让延中传媒并向公 </w:t>
      </w:r>
      <w:r>
        <w:rPr>
          <w:spacing w:val="-2"/>
        </w:rPr>
        <w:t>司主张的清偿有关债权的要求合法有效的前提下，延中传媒应在接到公司通知后三十日</w:t>
      </w:r>
      <w:r>
        <w:rPr>
          <w:spacing w:val="-95"/>
        </w:rPr>
        <w:t> </w:t>
      </w:r>
      <w:r>
        <w:rPr>
          <w:spacing w:val="-95"/>
        </w:rPr>
      </w:r>
      <w:r>
        <w:rPr/>
        <w:t>内按照本协议的规定承担清偿责任。</w:t>
      </w:r>
    </w:p>
    <w:p>
      <w:pPr>
        <w:pStyle w:val="BodyText"/>
        <w:spacing w:line="357" w:lineRule="auto" w:before="36"/>
        <w:ind w:right="185" w:firstLine="600"/>
        <w:jc w:val="both"/>
      </w:pPr>
      <w:r>
        <w:rPr/>
        <w:t>截至目前公司尚未在全国性公开发行报纸上发出债权登记通知公告，本协议尚未 有效执行。</w:t>
      </w:r>
    </w:p>
    <w:p>
      <w:pPr>
        <w:spacing w:line="240" w:lineRule="auto" w:before="0"/>
        <w:rPr>
          <w:rFonts w:ascii="宋体" w:hAnsi="宋体" w:cs="宋体" w:eastAsia="宋体" w:hint="default"/>
          <w:sz w:val="24"/>
          <w:szCs w:val="24"/>
        </w:rPr>
      </w:pPr>
    </w:p>
    <w:p>
      <w:pPr>
        <w:pStyle w:val="BodyText"/>
        <w:spacing w:line="240" w:lineRule="auto" w:before="190"/>
        <w:ind w:right="94"/>
        <w:jc w:val="left"/>
      </w:pPr>
      <w:r>
        <w:rPr/>
        <w:t>（七）公司重大合同及其履行情况</w:t>
      </w:r>
    </w:p>
    <w:p>
      <w:pPr>
        <w:pStyle w:val="BodyText"/>
        <w:spacing w:line="240" w:lineRule="auto" w:before="154"/>
        <w:ind w:left="238" w:right="94"/>
        <w:jc w:val="left"/>
      </w:pPr>
      <w:r>
        <w:rPr>
          <w:rFonts w:ascii="Times New Roman" w:hAnsi="Times New Roman" w:cs="Times New Roman" w:eastAsia="Times New Roman" w:hint="default"/>
        </w:rPr>
        <w:t>1</w:t>
      </w:r>
      <w:r>
        <w:rPr/>
        <w:t>、报告期内，重大合同事项。</w:t>
      </w:r>
    </w:p>
    <w:p>
      <w:pPr>
        <w:pStyle w:val="BodyText"/>
        <w:spacing w:line="338" w:lineRule="auto"/>
        <w:ind w:right="147" w:firstLine="120"/>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8</w:t>
      </w:r>
      <w:r>
        <w:rPr/>
        <w:t>日，公司与中国证券登记结算有限责任公司深圳分公司签订了《股份登</w:t>
      </w:r>
      <w:r>
        <w:rPr>
          <w:w w:val="99"/>
        </w:rPr>
        <w:t> </w:t>
      </w:r>
      <w:r>
        <w:rPr/>
        <w:t>记服务协议书》；</w:t>
      </w:r>
    </w:p>
    <w:p>
      <w:pPr>
        <w:pStyle w:val="BodyText"/>
        <w:spacing w:line="348" w:lineRule="auto" w:before="55"/>
        <w:ind w:right="106" w:firstLine="12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11"/>
        </w:rPr>
        <w:t> </w:t>
      </w:r>
      <w:r>
        <w:rPr>
          <w:rFonts w:ascii="Times New Roman" w:hAnsi="Times New Roman" w:cs="Times New Roman" w:eastAsia="Times New Roman" w:hint="default"/>
          <w:spacing w:val="-3"/>
        </w:rPr>
        <w:t>2008</w:t>
      </w:r>
      <w:r>
        <w:rPr>
          <w:spacing w:val="-3"/>
        </w:rPr>
        <w:t>年</w:t>
      </w:r>
      <w:r>
        <w:rPr>
          <w:rFonts w:ascii="Times New Roman" w:hAnsi="Times New Roman" w:cs="Times New Roman" w:eastAsia="Times New Roman" w:hint="default"/>
          <w:spacing w:val="-3"/>
        </w:rPr>
        <w:t>5</w:t>
      </w:r>
      <w:r>
        <w:rPr>
          <w:spacing w:val="-3"/>
        </w:rPr>
        <w:t>月，公司与中信证券股份有限公司、招商证券股份有限公司签订了《推荐恢</w:t>
      </w:r>
      <w:r>
        <w:rPr>
          <w:spacing w:val="-1"/>
          <w:w w:val="99"/>
        </w:rPr>
        <w:t> </w:t>
      </w:r>
      <w:r>
        <w:rPr>
          <w:spacing w:val="-2"/>
        </w:rPr>
        <w:t>复上市、委托代办股份转让协议书》，协议约定本公司全权委托中信证券股份有限公司</w:t>
      </w:r>
      <w:r>
        <w:rPr>
          <w:spacing w:val="-96"/>
        </w:rPr>
        <w:t> </w:t>
      </w:r>
      <w:r>
        <w:rPr>
          <w:spacing w:val="-96"/>
        </w:rPr>
      </w:r>
      <w:r>
        <w:rPr/>
        <w:t>担任股票恢复上市的上市推荐人；</w:t>
      </w:r>
      <w:r>
        <w:rPr>
          <w:w w:val="99"/>
        </w:rPr>
        <w:t> </w:t>
      </w:r>
      <w:r>
        <w:rPr>
          <w:rFonts w:ascii="Times New Roman" w:hAnsi="Times New Roman" w:cs="Times New Roman" w:eastAsia="Times New Roman" w:hint="default"/>
          <w:spacing w:val="-2"/>
        </w:rPr>
        <w:t>3</w:t>
      </w:r>
      <w:r>
        <w:rPr>
          <w:spacing w:val="-2"/>
        </w:rPr>
        <w:t>）</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7</w:t>
      </w:r>
      <w:r>
        <w:rPr>
          <w:spacing w:val="-2"/>
        </w:rPr>
        <w:t>月，中央国际、河南方正信息技术有限公司（以下简称“河南方正”）、深</w:t>
      </w:r>
      <w:r>
        <w:rPr>
          <w:spacing w:val="-89"/>
        </w:rPr>
        <w:t> </w:t>
      </w:r>
      <w:r>
        <w:rPr>
          <w:spacing w:val="-89"/>
        </w:rPr>
      </w:r>
      <w:r>
        <w:rPr>
          <w:spacing w:val="-2"/>
        </w:rPr>
        <w:t>圳大通食品有限公司（以下简称“大通食品”）和公司签订了和解协议书。（详见本章</w:t>
      </w:r>
      <w:r>
        <w:rPr>
          <w:spacing w:val="-97"/>
        </w:rPr>
        <w:t> </w:t>
      </w:r>
      <w:r>
        <w:rPr>
          <w:spacing w:val="-97"/>
        </w:rPr>
      </w:r>
      <w:r>
        <w:rPr/>
        <w:t>第（三）条）</w:t>
      </w:r>
      <w:r>
        <w:rPr>
          <w:w w:val="99"/>
        </w:rPr>
        <w:t> </w:t>
      </w:r>
      <w:r>
        <w:rPr>
          <w:rFonts w:ascii="Times New Roman" w:hAnsi="Times New Roman" w:cs="Times New Roman" w:eastAsia="Times New Roman" w:hint="default"/>
        </w:rPr>
        <w:t>4</w:t>
      </w:r>
      <w:r>
        <w:rPr/>
        <w:t>）</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20</w:t>
      </w:r>
      <w:r>
        <w:rPr/>
        <w:t>日与方正延中传媒有限公司签订了《资产转让协议》，协议约定方正</w:t>
      </w:r>
      <w:r>
        <w:rPr>
          <w:w w:val="99"/>
        </w:rPr>
        <w:t> </w:t>
      </w:r>
      <w:r>
        <w:rPr>
          <w:spacing w:val="-7"/>
          <w:w w:val="99"/>
        </w:rPr>
        <w:t>延中传媒有限公司同意依照本协议约定受让本公司共计</w:t>
      </w:r>
      <w:r>
        <w:rPr>
          <w:rFonts w:ascii="Times New Roman" w:hAnsi="Times New Roman" w:cs="Times New Roman" w:eastAsia="Times New Roman" w:hint="default"/>
          <w:spacing w:val="-7"/>
          <w:w w:val="99"/>
        </w:rPr>
        <w:t>27,198.72</w:t>
      </w:r>
      <w:r>
        <w:rPr>
          <w:spacing w:val="-7"/>
          <w:w w:val="99"/>
        </w:rPr>
        <w:t>元（人民币）资产；（详</w:t>
      </w:r>
      <w:r>
        <w:rPr>
          <w:spacing w:val="-100"/>
          <w:w w:val="99"/>
        </w:rPr>
        <w:t> </w:t>
      </w:r>
      <w:r>
        <w:rPr>
          <w:spacing w:val="-100"/>
          <w:w w:val="99"/>
        </w:rPr>
      </w:r>
      <w:r>
        <w:rPr/>
        <w:t>见本章第（五）条）</w:t>
      </w:r>
      <w:r>
        <w:rPr>
          <w:w w:val="99"/>
        </w:rPr>
        <w:t> </w:t>
      </w:r>
      <w:r>
        <w:rPr>
          <w:rFonts w:ascii="Times New Roman" w:hAnsi="Times New Roman" w:cs="Times New Roman" w:eastAsia="Times New Roman" w:hint="default"/>
          <w:spacing w:val="-3"/>
        </w:rPr>
        <w:t>5</w:t>
      </w:r>
      <w:r>
        <w:rPr>
          <w:spacing w:val="-3"/>
        </w:rPr>
        <w:t>）与方正延中传媒有限公司签订了《债务承担及担保协议》，协议约定由方正延中传</w:t>
      </w:r>
      <w:r>
        <w:rPr>
          <w:spacing w:val="-86"/>
        </w:rPr>
        <w:t> </w:t>
      </w:r>
      <w:r>
        <w:rPr>
          <w:spacing w:val="-86"/>
        </w:rPr>
      </w:r>
      <w:r>
        <w:rPr/>
        <w:t>媒有限公司承担本公司共计人民币</w:t>
      </w:r>
      <w:r>
        <w:rPr>
          <w:rFonts w:ascii="Times New Roman" w:hAnsi="Times New Roman" w:cs="Times New Roman" w:eastAsia="Times New Roman" w:hint="default"/>
        </w:rPr>
        <w:t>28,867,380.24</w:t>
      </w:r>
      <w:r>
        <w:rPr/>
        <w:t>元债务的担保及清偿责任。（详见本章</w:t>
      </w:r>
      <w:r>
        <w:rPr>
          <w:w w:val="99"/>
        </w:rPr>
        <w:t> </w:t>
      </w:r>
      <w:r>
        <w:rPr/>
        <w:t>第（七）条第</w:t>
      </w:r>
      <w:r>
        <w:rPr>
          <w:rFonts w:ascii="Times New Roman" w:hAnsi="Times New Roman" w:cs="Times New Roman" w:eastAsia="Times New Roman" w:hint="default"/>
        </w:rPr>
        <w:t>2</w:t>
      </w:r>
      <w:r>
        <w:rPr/>
        <w:t>款）</w:t>
      </w:r>
    </w:p>
    <w:p>
      <w:pPr>
        <w:pStyle w:val="BodyText"/>
        <w:spacing w:line="240" w:lineRule="auto" w:before="16"/>
        <w:ind w:left="238" w:right="94"/>
        <w:jc w:val="left"/>
      </w:pPr>
      <w:r>
        <w:rPr>
          <w:rFonts w:ascii="Times New Roman" w:hAnsi="Times New Roman" w:cs="Times New Roman" w:eastAsia="Times New Roman" w:hint="default"/>
        </w:rPr>
        <w:t>2</w:t>
      </w:r>
      <w:r>
        <w:rPr/>
        <w:t>、公司报告期内，无新发生的重大担保事项。</w:t>
      </w:r>
    </w:p>
    <w:p>
      <w:pPr>
        <w:pStyle w:val="BodyText"/>
        <w:spacing w:line="240" w:lineRule="auto"/>
        <w:ind w:left="238" w:right="94"/>
        <w:jc w:val="left"/>
      </w:pPr>
      <w:r>
        <w:rPr>
          <w:rFonts w:ascii="Times New Roman" w:hAnsi="Times New Roman" w:cs="Times New Roman" w:eastAsia="Times New Roman" w:hint="default"/>
        </w:rPr>
        <w:t>3</w:t>
      </w:r>
      <w:r>
        <w:rPr/>
        <w:t>、报告期内，公司无其他委托现金资产管理事项。</w:t>
      </w:r>
    </w:p>
    <w:p>
      <w:pPr>
        <w:pStyle w:val="BodyText"/>
        <w:spacing w:line="240" w:lineRule="auto"/>
        <w:ind w:left="238" w:right="94"/>
        <w:jc w:val="left"/>
      </w:pPr>
      <w:r>
        <w:rPr>
          <w:rFonts w:ascii="Times New Roman" w:hAnsi="Times New Roman" w:cs="Times New Roman" w:eastAsia="Times New Roman" w:hint="default"/>
        </w:rPr>
        <w:t>4</w:t>
      </w:r>
      <w:r>
        <w:rPr/>
        <w:t>、报告期内，公司无其他重大合同事项</w:t>
      </w:r>
    </w:p>
    <w:p>
      <w:pPr>
        <w:pStyle w:val="BodyText"/>
        <w:spacing w:line="240" w:lineRule="auto"/>
        <w:ind w:right="94"/>
        <w:jc w:val="left"/>
      </w:pPr>
      <w:r>
        <w:rPr/>
        <w:t>（八）公司持股</w:t>
      </w:r>
      <w:r>
        <w:rPr>
          <w:rFonts w:ascii="Times New Roman" w:hAnsi="Times New Roman" w:cs="Times New Roman" w:eastAsia="Times New Roman" w:hint="default"/>
        </w:rPr>
        <w:t>5</w:t>
      </w:r>
      <w:r>
        <w:rPr/>
        <w:t>％以上股东持续到报告期或报告期内的承诺事项。</w:t>
      </w:r>
    </w:p>
    <w:p>
      <w:pPr>
        <w:pStyle w:val="BodyText"/>
        <w:spacing w:line="240" w:lineRule="auto"/>
        <w:ind w:right="0"/>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22</w:t>
      </w:r>
      <w:r>
        <w:rPr/>
        <w:t>日公司</w:t>
      </w:r>
      <w:r>
        <w:rPr>
          <w:rFonts w:ascii="Times New Roman" w:hAnsi="Times New Roman" w:cs="Times New Roman" w:eastAsia="Times New Roman" w:hint="default"/>
        </w:rPr>
        <w:t>2008</w:t>
      </w:r>
      <w:r>
        <w:rPr/>
        <w:t>年第一次临时股东大会通过的股权分置改革方案中，青岛亚</w:t>
      </w:r>
    </w:p>
    <w:p>
      <w:pPr>
        <w:spacing w:after="0" w:line="240" w:lineRule="auto"/>
        <w:jc w:val="left"/>
        <w:sectPr>
          <w:pgSz w:w="11910" w:h="16840"/>
          <w:pgMar w:header="0" w:footer="594" w:top="1500" w:bottom="800" w:left="1300" w:right="1300"/>
        </w:sectPr>
      </w:pPr>
    </w:p>
    <w:p>
      <w:pPr>
        <w:pStyle w:val="BodyText"/>
        <w:spacing w:line="240" w:lineRule="auto" w:before="13"/>
        <w:ind w:right="146"/>
        <w:jc w:val="left"/>
      </w:pPr>
      <w:r>
        <w:rPr/>
        <w:t>星实业有限公司做出以下承诺：</w:t>
      </w:r>
    </w:p>
    <w:p>
      <w:pPr>
        <w:pStyle w:val="BodyText"/>
        <w:spacing w:line="338" w:lineRule="auto" w:before="154"/>
        <w:ind w:right="154" w:firstLine="360"/>
        <w:jc w:val="both"/>
      </w:pPr>
      <w:r>
        <w:rPr>
          <w:spacing w:val="-8"/>
        </w:rPr>
        <w:t>（</w:t>
      </w:r>
      <w:r>
        <w:rPr>
          <w:rFonts w:ascii="Times New Roman" w:hAnsi="Times New Roman" w:cs="Times New Roman" w:eastAsia="Times New Roman" w:hint="default"/>
          <w:spacing w:val="-8"/>
        </w:rPr>
        <w:t>1</w:t>
      </w:r>
      <w:r>
        <w:rPr>
          <w:spacing w:val="-8"/>
        </w:rPr>
        <w:t>）资产赠与本次股权分置改革，潜在非流通股股东亚星实业向深大通赠与资产（资</w:t>
      </w:r>
      <w:r>
        <w:rPr/>
        <w:t> </w:t>
      </w:r>
      <w:r>
        <w:rPr>
          <w:spacing w:val="-3"/>
        </w:rPr>
        <w:t>产为</w:t>
      </w:r>
      <w:r>
        <w:rPr>
          <w:rFonts w:ascii="Times New Roman" w:hAnsi="Times New Roman" w:cs="Times New Roman" w:eastAsia="Times New Roman" w:hint="default"/>
          <w:spacing w:val="-3"/>
        </w:rPr>
        <w:t>2</w:t>
      </w:r>
      <w:r>
        <w:rPr>
          <w:spacing w:val="-3"/>
        </w:rPr>
        <w:t>家房地产公司股权，股权对应净资产合计约</w:t>
      </w:r>
      <w:r>
        <w:rPr>
          <w:rFonts w:ascii="Times New Roman" w:hAnsi="Times New Roman" w:cs="Times New Roman" w:eastAsia="Times New Roman" w:hint="default"/>
          <w:spacing w:val="-3"/>
        </w:rPr>
        <w:t>2.09</w:t>
      </w:r>
      <w:r>
        <w:rPr>
          <w:spacing w:val="-3"/>
        </w:rPr>
        <w:t>亿元），公司原有非流通股股东按</w:t>
      </w:r>
      <w:r>
        <w:rPr>
          <w:spacing w:val="-111"/>
        </w:rPr>
        <w:t> </w:t>
      </w:r>
      <w:r>
        <w:rPr>
          <w:spacing w:val="-111"/>
        </w:rPr>
      </w:r>
      <w:r>
        <w:rPr>
          <w:rFonts w:ascii="Times New Roman" w:hAnsi="Times New Roman" w:cs="Times New Roman" w:eastAsia="Times New Roman" w:hint="default"/>
        </w:rPr>
        <w:t>10</w:t>
      </w:r>
      <w:r>
        <w:rPr/>
        <w:t>：</w:t>
      </w:r>
      <w:r>
        <w:rPr>
          <w:rFonts w:ascii="Times New Roman" w:hAnsi="Times New Roman" w:cs="Times New Roman" w:eastAsia="Times New Roman" w:hint="default"/>
        </w:rPr>
        <w:t>6.5</w:t>
      </w:r>
      <w:r>
        <w:rPr/>
        <w:t>的比例向亚星实业赠送股份。亚星实业向公司赠与的资产情况如下：</w:t>
      </w:r>
    </w:p>
    <w:p>
      <w:pPr>
        <w:pStyle w:val="BodyText"/>
        <w:spacing w:line="338" w:lineRule="auto" w:before="27"/>
        <w:ind w:right="146"/>
        <w:jc w:val="left"/>
      </w:pPr>
      <w:r>
        <w:rPr>
          <w:rFonts w:ascii="Times New Roman" w:hAnsi="Times New Roman" w:cs="Times New Roman" w:eastAsia="Times New Roman" w:hint="default"/>
          <w:spacing w:val="-3"/>
        </w:rPr>
        <w:t>1</w:t>
      </w:r>
      <w:r>
        <w:rPr>
          <w:spacing w:val="-3"/>
        </w:rPr>
        <w:t>）青岛广顺房地产有限公司</w:t>
      </w:r>
      <w:r>
        <w:rPr>
          <w:rFonts w:ascii="Times New Roman" w:hAnsi="Times New Roman" w:cs="Times New Roman" w:eastAsia="Times New Roman" w:hint="default"/>
          <w:spacing w:val="-3"/>
        </w:rPr>
        <w:t>83%</w:t>
      </w:r>
      <w:r>
        <w:rPr>
          <w:spacing w:val="-3"/>
        </w:rPr>
        <w:t>股权。根据审计和评估的结果，亚星实业持有的</w:t>
      </w:r>
      <w:r>
        <w:rPr>
          <w:rFonts w:ascii="Times New Roman" w:hAnsi="Times New Roman" w:cs="Times New Roman" w:eastAsia="Times New Roman" w:hint="default"/>
          <w:spacing w:val="-3"/>
        </w:rPr>
        <w:t>83%</w:t>
      </w:r>
      <w:r>
        <w:rPr>
          <w:spacing w:val="-3"/>
        </w:rPr>
        <w:t>股</w:t>
      </w:r>
      <w:r>
        <w:rPr>
          <w:spacing w:val="-87"/>
        </w:rPr>
        <w:t> </w:t>
      </w:r>
      <w:r>
        <w:rPr/>
        <w:t>权的评估值约为</w:t>
      </w:r>
      <w:r>
        <w:rPr>
          <w:rFonts w:ascii="Times New Roman" w:hAnsi="Times New Roman" w:cs="Times New Roman" w:eastAsia="Times New Roman" w:hint="default"/>
        </w:rPr>
        <w:t>8,764.21</w:t>
      </w:r>
      <w:r>
        <w:rPr/>
        <w:t>万元。 </w:t>
      </w:r>
      <w:r>
        <w:rPr>
          <w:rFonts w:ascii="Times New Roman" w:hAnsi="Times New Roman" w:cs="Times New Roman" w:eastAsia="Times New Roman" w:hint="default"/>
          <w:spacing w:val="-3"/>
        </w:rPr>
        <w:t>2</w:t>
      </w:r>
      <w:r>
        <w:rPr>
          <w:spacing w:val="-3"/>
        </w:rPr>
        <w:t>）兖州海情置业有限公司</w:t>
      </w:r>
      <w:r>
        <w:rPr>
          <w:rFonts w:ascii="Times New Roman" w:hAnsi="Times New Roman" w:cs="Times New Roman" w:eastAsia="Times New Roman" w:hint="default"/>
          <w:spacing w:val="-3"/>
        </w:rPr>
        <w:t>90%</w:t>
      </w:r>
      <w:r>
        <w:rPr>
          <w:spacing w:val="-3"/>
        </w:rPr>
        <w:t>股权。根据审计和评估的结果，亚星实业持有的</w:t>
      </w:r>
      <w:r>
        <w:rPr>
          <w:rFonts w:ascii="Times New Roman" w:hAnsi="Times New Roman" w:cs="Times New Roman" w:eastAsia="Times New Roman" w:hint="default"/>
          <w:spacing w:val="-3"/>
        </w:rPr>
        <w:t>90%</w:t>
      </w:r>
      <w:r>
        <w:rPr>
          <w:spacing w:val="-3"/>
        </w:rPr>
        <w:t>股权</w:t>
      </w:r>
      <w:r>
        <w:rPr>
          <w:spacing w:val="-87"/>
        </w:rPr>
        <w:t> </w:t>
      </w:r>
      <w:r>
        <w:rPr/>
        <w:t>的评估值约为</w:t>
      </w:r>
      <w:r>
        <w:rPr>
          <w:rFonts w:ascii="Times New Roman" w:hAnsi="Times New Roman" w:cs="Times New Roman" w:eastAsia="Times New Roman" w:hint="default"/>
        </w:rPr>
        <w:t>12,092.01</w:t>
      </w:r>
      <w:r>
        <w:rPr/>
        <w:t>万元。</w:t>
      </w:r>
    </w:p>
    <w:p>
      <w:pPr>
        <w:pStyle w:val="BodyText"/>
        <w:spacing w:line="357" w:lineRule="auto" w:before="27"/>
        <w:ind w:right="206" w:firstLine="480"/>
        <w:jc w:val="left"/>
      </w:pPr>
      <w:r>
        <w:rPr/>
        <w:t>亚星实业已分别于2008年9月27日和2008年9月28日将青岛广顺83%的股权及兖州海 情90%的股权过户至本公司名下。</w:t>
      </w:r>
    </w:p>
    <w:p>
      <w:pPr>
        <w:spacing w:line="240" w:lineRule="auto" w:before="0"/>
        <w:rPr>
          <w:rFonts w:ascii="宋体" w:hAnsi="宋体" w:cs="宋体" w:eastAsia="宋体" w:hint="default"/>
          <w:sz w:val="24"/>
          <w:szCs w:val="24"/>
        </w:rPr>
      </w:pPr>
    </w:p>
    <w:p>
      <w:pPr>
        <w:pStyle w:val="BodyText"/>
        <w:spacing w:line="340" w:lineRule="auto" w:before="190"/>
        <w:ind w:right="146"/>
        <w:jc w:val="left"/>
      </w:pPr>
      <w:r>
        <w:rPr/>
        <w:t>（</w:t>
      </w:r>
      <w:r>
        <w:rPr>
          <w:rFonts w:ascii="Times New Roman" w:hAnsi="Times New Roman" w:cs="Times New Roman" w:eastAsia="Times New Roman" w:hint="default"/>
        </w:rPr>
        <w:t>2</w:t>
      </w:r>
      <w:r>
        <w:rPr/>
        <w:t>）追加对价安排：如果发生下述情况之一（以首次发生的情况为准），将追加送股 一次（股份追送完成后，此承诺自动失效）： </w:t>
      </w:r>
      <w:r>
        <w:rPr>
          <w:rFonts w:ascii="Times New Roman" w:hAnsi="Times New Roman" w:cs="Times New Roman" w:eastAsia="Times New Roman" w:hint="default"/>
        </w:rPr>
        <w:t>1</w:t>
      </w:r>
      <w:r>
        <w:rPr/>
        <w:t>）亚星实业在向深大通赠与资产完成后的当年及其后两个会计年度（即</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2009 </w:t>
      </w:r>
      <w:r>
        <w:rPr/>
        <w:t>年和</w:t>
      </w:r>
      <w:r>
        <w:rPr>
          <w:rFonts w:ascii="Times New Roman" w:hAnsi="Times New Roman" w:cs="Times New Roman" w:eastAsia="Times New Roman" w:hint="default"/>
        </w:rPr>
        <w:t>2010</w:t>
      </w:r>
      <w:r>
        <w:rPr/>
        <w:t>年）的任一年度财务报告被出具除标准无保留意见之外的审计报告； </w:t>
      </w:r>
      <w:r>
        <w:rPr>
          <w:rFonts w:ascii="Times New Roman" w:hAnsi="Times New Roman" w:cs="Times New Roman" w:eastAsia="Times New Roman" w:hint="default"/>
        </w:rPr>
        <w:t>2</w:t>
      </w:r>
      <w:r>
        <w:rPr/>
        <w:t>）亚星实业在向深大通赠与资产完成后的当年及其后两个会计年度（即</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2009 </w:t>
      </w:r>
      <w:r>
        <w:rPr>
          <w:spacing w:val="-2"/>
        </w:rPr>
        <w:t>年和</w:t>
      </w:r>
      <w:r>
        <w:rPr>
          <w:rFonts w:ascii="Times New Roman" w:hAnsi="Times New Roman" w:cs="Times New Roman" w:eastAsia="Times New Roman" w:hint="default"/>
          <w:spacing w:val="-2"/>
        </w:rPr>
        <w:t>2010</w:t>
      </w:r>
      <w:r>
        <w:rPr>
          <w:spacing w:val="-2"/>
        </w:rPr>
        <w:t>年）净利润（归属母公司股东净利润，下同）未达到如下承诺标准：</w:t>
      </w:r>
      <w:r>
        <w:rPr>
          <w:rFonts w:ascii="Times New Roman" w:hAnsi="Times New Roman" w:cs="Times New Roman" w:eastAsia="Times New Roman" w:hint="default"/>
          <w:spacing w:val="-2"/>
        </w:rPr>
        <w:t>2008</w:t>
      </w:r>
      <w:r>
        <w:rPr>
          <w:spacing w:val="-2"/>
        </w:rPr>
        <w:t>年度</w:t>
      </w:r>
      <w:r>
        <w:rPr>
          <w:spacing w:val="-112"/>
        </w:rPr>
        <w:t> </w:t>
      </w:r>
      <w:r>
        <w:rPr/>
        <w:t>不低于</w:t>
      </w:r>
      <w:r>
        <w:rPr>
          <w:rFonts w:ascii="Times New Roman" w:hAnsi="Times New Roman" w:cs="Times New Roman" w:eastAsia="Times New Roman" w:hint="default"/>
        </w:rPr>
        <w:t>1500</w:t>
      </w:r>
      <w:r>
        <w:rPr/>
        <w:t>万元、</w:t>
      </w:r>
      <w:r>
        <w:rPr>
          <w:rFonts w:ascii="Times New Roman" w:hAnsi="Times New Roman" w:cs="Times New Roman" w:eastAsia="Times New Roman" w:hint="default"/>
        </w:rPr>
        <w:t>2009</w:t>
      </w:r>
      <w:r>
        <w:rPr/>
        <w:t>年度不低于</w:t>
      </w:r>
      <w:r>
        <w:rPr>
          <w:rFonts w:ascii="Times New Roman" w:hAnsi="Times New Roman" w:cs="Times New Roman" w:eastAsia="Times New Roman" w:hint="default"/>
        </w:rPr>
        <w:t>2000</w:t>
      </w:r>
      <w:r>
        <w:rPr/>
        <w:t>万元、</w:t>
      </w:r>
      <w:r>
        <w:rPr>
          <w:rFonts w:ascii="Times New Roman" w:hAnsi="Times New Roman" w:cs="Times New Roman" w:eastAsia="Times New Roman" w:hint="default"/>
        </w:rPr>
        <w:t>2010</w:t>
      </w:r>
      <w:r>
        <w:rPr/>
        <w:t>年度不低于</w:t>
      </w:r>
      <w:r>
        <w:rPr>
          <w:rFonts w:ascii="Times New Roman" w:hAnsi="Times New Roman" w:cs="Times New Roman" w:eastAsia="Times New Roman" w:hint="default"/>
        </w:rPr>
        <w:t>2500</w:t>
      </w:r>
      <w:r>
        <w:rPr/>
        <w:t>万元。</w:t>
      </w:r>
    </w:p>
    <w:p>
      <w:pPr>
        <w:pStyle w:val="BodyText"/>
        <w:spacing w:line="348" w:lineRule="auto" w:before="24"/>
        <w:ind w:right="105" w:firstLine="480"/>
        <w:jc w:val="both"/>
      </w:pPr>
      <w:r>
        <w:rPr>
          <w:spacing w:val="-2"/>
        </w:rPr>
        <w:t>当上述追加对价条件触发时，亚星实业将以股权分置改革方案实施股权登记日深大</w:t>
      </w:r>
      <w:r>
        <w:rPr/>
        <w:t> 通流通股股份为基数，按照</w:t>
      </w:r>
      <w:r>
        <w:rPr>
          <w:rFonts w:ascii="Times New Roman" w:hAnsi="Times New Roman" w:cs="Times New Roman" w:eastAsia="Times New Roman" w:hint="default"/>
        </w:rPr>
        <w:t>10:1</w:t>
      </w:r>
      <w:r>
        <w:rPr/>
        <w:t>的比例向追送股份股权登记日登记在册的所有无限售条 件的流通股（不含亚星实业解除禁售后的股份）追送股份，追送股份共计</w:t>
      </w:r>
      <w:r>
        <w:rPr>
          <w:rFonts w:ascii="Times New Roman" w:hAnsi="Times New Roman" w:cs="Times New Roman" w:eastAsia="Times New Roman" w:hint="default"/>
        </w:rPr>
        <w:t>2,201,100</w:t>
      </w:r>
      <w:r>
        <w:rPr/>
        <w:t>股。</w:t>
      </w:r>
    </w:p>
    <w:p>
      <w:pPr>
        <w:pStyle w:val="BodyText"/>
        <w:spacing w:line="357" w:lineRule="auto" w:before="16"/>
        <w:ind w:right="192" w:firstLine="480"/>
        <w:jc w:val="both"/>
      </w:pPr>
      <w:r>
        <w:rPr>
          <w:spacing w:val="-3"/>
        </w:rPr>
        <w:t>深圳市鹏城会计师事务所已经为公司出具了标准无保留意见的审计报告，且审计报</w:t>
      </w:r>
      <w:r>
        <w:rPr/>
        <w:t> 告显示公司</w:t>
      </w:r>
      <w:r>
        <w:rPr>
          <w:spacing w:val="-60"/>
        </w:rPr>
        <w:t> </w:t>
      </w:r>
      <w:r>
        <w:rPr>
          <w:rFonts w:ascii="Times New Roman" w:hAnsi="Times New Roman" w:cs="Times New Roman" w:eastAsia="Times New Roman" w:hint="default"/>
        </w:rPr>
        <w:t>2008 </w:t>
      </w:r>
      <w:r>
        <w:rPr/>
        <w:t>年度净利润（归属母公司股东净利润）为</w:t>
      </w:r>
      <w:r>
        <w:rPr>
          <w:spacing w:val="-60"/>
        </w:rPr>
        <w:t> </w:t>
      </w:r>
      <w:r>
        <w:rPr>
          <w:rFonts w:ascii="Times New Roman" w:hAnsi="Times New Roman" w:cs="Times New Roman" w:eastAsia="Times New Roman" w:hint="default"/>
        </w:rPr>
        <w:t>155,465,900.80 </w:t>
      </w:r>
      <w:r>
        <w:rPr/>
        <w:t>元，达到了</w:t>
      </w:r>
    </w:p>
    <w:p>
      <w:pPr>
        <w:pStyle w:val="BodyText"/>
        <w:spacing w:line="240" w:lineRule="auto" w:before="5"/>
        <w:ind w:right="146"/>
        <w:jc w:val="left"/>
      </w:pPr>
      <w:r>
        <w:rPr/>
        <w:t>承诺</w:t>
      </w:r>
      <w:r>
        <w:rPr>
          <w:spacing w:val="-60"/>
        </w:rPr>
        <w:t> </w:t>
      </w:r>
      <w:r>
        <w:rPr>
          <w:rFonts w:ascii="Times New Roman" w:hAnsi="Times New Roman" w:cs="Times New Roman" w:eastAsia="Times New Roman" w:hint="default"/>
        </w:rPr>
        <w:t>2008 </w:t>
      </w:r>
      <w:r>
        <w:rPr/>
        <w:t>年度不低于</w:t>
      </w:r>
      <w:r>
        <w:rPr>
          <w:spacing w:val="-60"/>
        </w:rPr>
        <w:t> </w:t>
      </w:r>
      <w:r>
        <w:rPr>
          <w:rFonts w:ascii="Times New Roman" w:hAnsi="Times New Roman" w:cs="Times New Roman" w:eastAsia="Times New Roman" w:hint="default"/>
        </w:rPr>
        <w:t>1500 </w:t>
      </w:r>
      <w:r>
        <w:rPr/>
        <w:t>万元的承诺。</w:t>
      </w: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2"/>
          <w:szCs w:val="22"/>
        </w:rPr>
      </w:pPr>
    </w:p>
    <w:p>
      <w:pPr>
        <w:pStyle w:val="BodyText"/>
        <w:spacing w:line="240" w:lineRule="auto" w:before="0"/>
        <w:ind w:right="146"/>
        <w:jc w:val="left"/>
      </w:pPr>
      <w:r>
        <w:rPr/>
        <w:t>（九）股改事项</w:t>
      </w:r>
    </w:p>
    <w:p>
      <w:pPr>
        <w:pStyle w:val="BodyText"/>
        <w:spacing w:line="348" w:lineRule="auto" w:before="154"/>
        <w:ind w:right="153"/>
        <w:jc w:val="both"/>
      </w:pPr>
      <w:r>
        <w:rPr>
          <w:rFonts w:ascii="Times New Roman" w:hAnsi="Times New Roman" w:cs="Times New Roman" w:eastAsia="Times New Roman" w:hint="default"/>
          <w:spacing w:val="-5"/>
        </w:rPr>
        <w:t>1</w:t>
      </w:r>
      <w:r>
        <w:rPr>
          <w:spacing w:val="-5"/>
        </w:rPr>
        <w:t>、</w:t>
      </w:r>
      <w:r>
        <w:rPr>
          <w:rFonts w:ascii="Times New Roman" w:hAnsi="Times New Roman" w:cs="Times New Roman" w:eastAsia="Times New Roman" w:hint="default"/>
          <w:spacing w:val="-5"/>
        </w:rPr>
        <w:t>2008</w:t>
      </w:r>
      <w:r>
        <w:rPr>
          <w:spacing w:val="-5"/>
        </w:rPr>
        <w:t>年</w:t>
      </w:r>
      <w:r>
        <w:rPr>
          <w:rFonts w:ascii="Times New Roman" w:hAnsi="Times New Roman" w:cs="Times New Roman" w:eastAsia="Times New Roman" w:hint="default"/>
          <w:spacing w:val="-5"/>
        </w:rPr>
        <w:t>1</w:t>
      </w:r>
      <w:r>
        <w:rPr>
          <w:spacing w:val="-5"/>
        </w:rPr>
        <w:t>月</w:t>
      </w:r>
      <w:r>
        <w:rPr>
          <w:rFonts w:ascii="Times New Roman" w:hAnsi="Times New Roman" w:cs="Times New Roman" w:eastAsia="Times New Roman" w:hint="default"/>
          <w:spacing w:val="-5"/>
        </w:rPr>
        <w:t>28</w:t>
      </w:r>
      <w:r>
        <w:rPr>
          <w:spacing w:val="-5"/>
        </w:rPr>
        <w:t>日青岛亚星实业有限公司提出了《</w:t>
      </w:r>
      <w:r>
        <w:rPr>
          <w:spacing w:val="-45"/>
        </w:rPr>
        <w:t> </w:t>
      </w:r>
      <w:r>
        <w:rPr/>
        <w:t>关于挽救深圳大通实业股份有限公司</w:t>
      </w:r>
      <w:r>
        <w:rPr>
          <w:spacing w:val="-118"/>
        </w:rPr>
        <w:t> </w:t>
      </w:r>
      <w:r>
        <w:rPr>
          <w:spacing w:val="-118"/>
        </w:rPr>
      </w:r>
      <w:r>
        <w:rPr>
          <w:spacing w:val="-3"/>
        </w:rPr>
        <w:t>严重财务困难的方案》，同时公司发布了《股权分置改革的说明书》，提出了初步的股</w:t>
      </w:r>
      <w:r>
        <w:rPr>
          <w:spacing w:val="-89"/>
        </w:rPr>
        <w:t> </w:t>
      </w:r>
      <w:r>
        <w:rPr>
          <w:spacing w:val="-89"/>
        </w:rPr>
      </w:r>
      <w:r>
        <w:rPr/>
        <w:t>权分置改革方案：</w:t>
      </w:r>
    </w:p>
    <w:p>
      <w:pPr>
        <w:spacing w:after="0" w:line="348" w:lineRule="auto"/>
        <w:jc w:val="both"/>
        <w:sectPr>
          <w:pgSz w:w="11910" w:h="16840"/>
          <w:pgMar w:header="0" w:footer="594" w:top="1500" w:bottom="800" w:left="1300" w:right="1260"/>
        </w:sectPr>
      </w:pPr>
    </w:p>
    <w:p>
      <w:pPr>
        <w:pStyle w:val="BodyText"/>
        <w:spacing w:line="338" w:lineRule="auto" w:before="13"/>
        <w:ind w:right="229"/>
        <w:jc w:val="left"/>
      </w:pPr>
      <w:r>
        <w:rPr/>
        <w:t>（</w:t>
      </w:r>
      <w:r>
        <w:rPr>
          <w:rFonts w:ascii="Times New Roman" w:hAnsi="Times New Roman" w:cs="Times New Roman" w:eastAsia="Times New Roman" w:hint="default"/>
        </w:rPr>
        <w:t>1</w:t>
      </w:r>
      <w:r>
        <w:rPr/>
        <w:t>）定向转增股份 以公司现有总股本</w:t>
      </w:r>
      <w:r>
        <w:rPr>
          <w:rFonts w:ascii="Times New Roman" w:hAnsi="Times New Roman" w:cs="Times New Roman" w:eastAsia="Times New Roman" w:hint="default"/>
        </w:rPr>
        <w:t>90,486,000</w:t>
      </w:r>
      <w:r>
        <w:rPr/>
        <w:t>股为基数，以截止</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30</w:t>
      </w:r>
      <w:r>
        <w:rPr/>
        <w:t>日经审计的资本公积金向 </w:t>
      </w:r>
      <w:r>
        <w:rPr>
          <w:spacing w:val="-3"/>
        </w:rPr>
        <w:t>本方案实施股权登记日在册的公司全体流通股股东每</w:t>
      </w:r>
      <w:r>
        <w:rPr>
          <w:rFonts w:ascii="Times New Roman" w:hAnsi="Times New Roman" w:cs="Times New Roman" w:eastAsia="Times New Roman" w:hint="default"/>
          <w:spacing w:val="-3"/>
        </w:rPr>
        <w:t>10</w:t>
      </w:r>
      <w:r>
        <w:rPr>
          <w:spacing w:val="-3"/>
        </w:rPr>
        <w:t>股定向转增</w:t>
      </w:r>
      <w:r>
        <w:rPr>
          <w:rFonts w:ascii="Times New Roman" w:hAnsi="Times New Roman" w:cs="Times New Roman" w:eastAsia="Times New Roman" w:hint="default"/>
          <w:spacing w:val="-3"/>
        </w:rPr>
        <w:t>1.5</w:t>
      </w:r>
      <w:r>
        <w:rPr>
          <w:spacing w:val="-3"/>
        </w:rPr>
        <w:t>股，相当于流通股</w:t>
      </w:r>
      <w:r>
        <w:rPr>
          <w:spacing w:val="-108"/>
        </w:rPr>
        <w:t> </w:t>
      </w:r>
      <w:r>
        <w:rPr>
          <w:spacing w:val="-108"/>
        </w:rPr>
      </w:r>
      <w:r>
        <w:rPr/>
        <w:t>股东每</w:t>
      </w:r>
      <w:r>
        <w:rPr>
          <w:rFonts w:ascii="Times New Roman" w:hAnsi="Times New Roman" w:cs="Times New Roman" w:eastAsia="Times New Roman" w:hint="default"/>
        </w:rPr>
        <w:t>10</w:t>
      </w:r>
      <w:r>
        <w:rPr/>
        <w:t>股获送了</w:t>
      </w:r>
      <w:r>
        <w:rPr>
          <w:rFonts w:ascii="Times New Roman" w:hAnsi="Times New Roman" w:cs="Times New Roman" w:eastAsia="Times New Roman" w:hint="default"/>
        </w:rPr>
        <w:t>1.15</w:t>
      </w:r>
      <w:r>
        <w:rPr/>
        <w:t>股的非流通股股东对价安排。</w:t>
      </w:r>
    </w:p>
    <w:p>
      <w:pPr>
        <w:pStyle w:val="BodyText"/>
        <w:spacing w:line="338" w:lineRule="auto" w:before="27"/>
        <w:ind w:right="234"/>
        <w:jc w:val="both"/>
      </w:pPr>
      <w:r>
        <w:rPr/>
        <w:t>（</w:t>
      </w:r>
      <w:r>
        <w:rPr>
          <w:rFonts w:ascii="Times New Roman" w:hAnsi="Times New Roman" w:cs="Times New Roman" w:eastAsia="Times New Roman" w:hint="default"/>
        </w:rPr>
        <w:t>2</w:t>
      </w:r>
      <w:r>
        <w:rPr/>
        <w:t>）资产赠与本次股权分置改革，潜在非流通股股东亚星实业向深大通赠与资产（资 </w:t>
      </w:r>
      <w:r>
        <w:rPr>
          <w:spacing w:val="-3"/>
        </w:rPr>
        <w:t>产为</w:t>
      </w:r>
      <w:r>
        <w:rPr>
          <w:rFonts w:ascii="Times New Roman" w:hAnsi="Times New Roman" w:cs="Times New Roman" w:eastAsia="Times New Roman" w:hint="default"/>
          <w:spacing w:val="-3"/>
        </w:rPr>
        <w:t>2</w:t>
      </w:r>
      <w:r>
        <w:rPr>
          <w:spacing w:val="-3"/>
        </w:rPr>
        <w:t>家房地产公司股权，股权对应净资产合计约</w:t>
      </w:r>
      <w:r>
        <w:rPr>
          <w:rFonts w:ascii="Times New Roman" w:hAnsi="Times New Roman" w:cs="Times New Roman" w:eastAsia="Times New Roman" w:hint="default"/>
          <w:spacing w:val="-3"/>
        </w:rPr>
        <w:t>2.09</w:t>
      </w:r>
      <w:r>
        <w:rPr>
          <w:spacing w:val="-3"/>
        </w:rPr>
        <w:t>亿元），公司原有非流通股股东按</w:t>
      </w:r>
      <w:r>
        <w:rPr>
          <w:spacing w:val="-111"/>
        </w:rPr>
        <w:t> </w:t>
      </w:r>
      <w:r>
        <w:rPr>
          <w:spacing w:val="-111"/>
        </w:rPr>
      </w:r>
      <w:r>
        <w:rPr>
          <w:rFonts w:ascii="Times New Roman" w:hAnsi="Times New Roman" w:cs="Times New Roman" w:eastAsia="Times New Roman" w:hint="default"/>
        </w:rPr>
        <w:t>10</w:t>
      </w:r>
      <w:r>
        <w:rPr/>
        <w:t>：</w:t>
      </w:r>
      <w:r>
        <w:rPr>
          <w:rFonts w:ascii="Times New Roman" w:hAnsi="Times New Roman" w:cs="Times New Roman" w:eastAsia="Times New Roman" w:hint="default"/>
        </w:rPr>
        <w:t>6.5</w:t>
      </w:r>
      <w:r>
        <w:rPr/>
        <w:t>的比例向亚星实业赠送股份。亚星实业向公司赠与的资产情况如下：</w:t>
      </w:r>
    </w:p>
    <w:p>
      <w:pPr>
        <w:pStyle w:val="BodyText"/>
        <w:spacing w:line="338" w:lineRule="auto" w:before="27"/>
        <w:ind w:right="111"/>
        <w:jc w:val="left"/>
      </w:pPr>
      <w:r>
        <w:rPr>
          <w:rFonts w:ascii="Times New Roman" w:hAnsi="Times New Roman" w:cs="Times New Roman" w:eastAsia="Times New Roman" w:hint="default"/>
          <w:spacing w:val="-3"/>
        </w:rPr>
        <w:t>1</w:t>
      </w:r>
      <w:r>
        <w:rPr>
          <w:spacing w:val="-3"/>
        </w:rPr>
        <w:t>）青岛广顺房地产有限公司</w:t>
      </w:r>
      <w:r>
        <w:rPr>
          <w:rFonts w:ascii="Times New Roman" w:hAnsi="Times New Roman" w:cs="Times New Roman" w:eastAsia="Times New Roman" w:hint="default"/>
          <w:spacing w:val="-3"/>
        </w:rPr>
        <w:t>83%</w:t>
      </w:r>
      <w:r>
        <w:rPr>
          <w:spacing w:val="-3"/>
        </w:rPr>
        <w:t>股权。根据审计和评估的结果，亚星实业持有的</w:t>
      </w:r>
      <w:r>
        <w:rPr>
          <w:rFonts w:ascii="Times New Roman" w:hAnsi="Times New Roman" w:cs="Times New Roman" w:eastAsia="Times New Roman" w:hint="default"/>
          <w:spacing w:val="-3"/>
        </w:rPr>
        <w:t>83%</w:t>
      </w:r>
      <w:r>
        <w:rPr>
          <w:spacing w:val="-3"/>
        </w:rPr>
        <w:t>股</w:t>
      </w:r>
      <w:r>
        <w:rPr>
          <w:spacing w:val="-87"/>
        </w:rPr>
        <w:t> </w:t>
      </w:r>
      <w:r>
        <w:rPr/>
        <w:t>权的评估值约为</w:t>
      </w:r>
      <w:r>
        <w:rPr>
          <w:rFonts w:ascii="Times New Roman" w:hAnsi="Times New Roman" w:cs="Times New Roman" w:eastAsia="Times New Roman" w:hint="default"/>
        </w:rPr>
        <w:t>8,764.21</w:t>
      </w:r>
      <w:r>
        <w:rPr/>
        <w:t>万元。 </w:t>
      </w:r>
      <w:r>
        <w:rPr>
          <w:rFonts w:ascii="Times New Roman" w:hAnsi="Times New Roman" w:cs="Times New Roman" w:eastAsia="Times New Roman" w:hint="default"/>
          <w:spacing w:val="-3"/>
        </w:rPr>
        <w:t>2</w:t>
      </w:r>
      <w:r>
        <w:rPr>
          <w:spacing w:val="-3"/>
        </w:rPr>
        <w:t>）兖州海情置业有限公司</w:t>
      </w:r>
      <w:r>
        <w:rPr>
          <w:rFonts w:ascii="Times New Roman" w:hAnsi="Times New Roman" w:cs="Times New Roman" w:eastAsia="Times New Roman" w:hint="default"/>
          <w:spacing w:val="-3"/>
        </w:rPr>
        <w:t>90%</w:t>
      </w:r>
      <w:r>
        <w:rPr>
          <w:spacing w:val="-3"/>
        </w:rPr>
        <w:t>股权。根据审计和评估的结果，亚星实业持有的</w:t>
      </w:r>
      <w:r>
        <w:rPr>
          <w:rFonts w:ascii="Times New Roman" w:hAnsi="Times New Roman" w:cs="Times New Roman" w:eastAsia="Times New Roman" w:hint="default"/>
          <w:spacing w:val="-3"/>
        </w:rPr>
        <w:t>90%</w:t>
      </w:r>
      <w:r>
        <w:rPr>
          <w:spacing w:val="-3"/>
        </w:rPr>
        <w:t>股权</w:t>
      </w:r>
      <w:r>
        <w:rPr>
          <w:spacing w:val="-87"/>
        </w:rPr>
        <w:t> </w:t>
      </w:r>
      <w:r>
        <w:rPr/>
        <w:t>的评估值约为</w:t>
      </w:r>
      <w:r>
        <w:rPr>
          <w:rFonts w:ascii="Times New Roman" w:hAnsi="Times New Roman" w:cs="Times New Roman" w:eastAsia="Times New Roman" w:hint="default"/>
        </w:rPr>
        <w:t>12,092.01</w:t>
      </w:r>
      <w:r>
        <w:rPr/>
        <w:t>万元。</w:t>
      </w:r>
    </w:p>
    <w:p>
      <w:pPr>
        <w:pStyle w:val="BodyText"/>
        <w:spacing w:line="240" w:lineRule="auto" w:before="27"/>
        <w:ind w:left="478" w:right="111"/>
        <w:jc w:val="left"/>
      </w:pPr>
      <w:r>
        <w:rPr/>
        <w:t>上述资产赠与完成后，相当于公司增加了</w:t>
      </w:r>
      <w:r>
        <w:rPr>
          <w:rFonts w:ascii="Times New Roman" w:hAnsi="Times New Roman" w:cs="Times New Roman" w:eastAsia="Times New Roman" w:hint="default"/>
        </w:rPr>
        <w:t>208,562,200.00</w:t>
      </w:r>
      <w:r>
        <w:rPr/>
        <w:t>元净资产。</w:t>
      </w:r>
    </w:p>
    <w:p>
      <w:pPr>
        <w:pStyle w:val="BodyText"/>
        <w:spacing w:line="340" w:lineRule="auto"/>
        <w:ind w:right="111"/>
        <w:jc w:val="left"/>
      </w:pPr>
      <w:r>
        <w:rPr/>
        <w:t>（</w:t>
      </w:r>
      <w:r>
        <w:rPr>
          <w:rFonts w:ascii="Times New Roman" w:hAnsi="Times New Roman" w:cs="Times New Roman" w:eastAsia="Times New Roman" w:hint="default"/>
        </w:rPr>
        <w:t>3</w:t>
      </w:r>
      <w:r>
        <w:rPr/>
        <w:t>）追加对价安排：如果发生下述情况之一（以首次发生的情况为准），将追加送股 一次（股份追送完成后，此承诺自动失效）： </w:t>
      </w:r>
      <w:r>
        <w:rPr>
          <w:rFonts w:ascii="Times New Roman" w:hAnsi="Times New Roman" w:cs="Times New Roman" w:eastAsia="Times New Roman" w:hint="default"/>
        </w:rPr>
        <w:t>1</w:t>
      </w:r>
      <w:r>
        <w:rPr/>
        <w:t>）亚星实业在向深大通赠与资产完成后的当年及其后两个会计年度（即</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2009 </w:t>
      </w:r>
      <w:r>
        <w:rPr/>
        <w:t>年和</w:t>
      </w:r>
      <w:r>
        <w:rPr>
          <w:rFonts w:ascii="Times New Roman" w:hAnsi="Times New Roman" w:cs="Times New Roman" w:eastAsia="Times New Roman" w:hint="default"/>
        </w:rPr>
        <w:t>2010</w:t>
      </w:r>
      <w:r>
        <w:rPr/>
        <w:t>年）的任一年度财务报告被出具除标准无保留意见之外的审计报告； </w:t>
      </w:r>
      <w:r>
        <w:rPr>
          <w:rFonts w:ascii="Times New Roman" w:hAnsi="Times New Roman" w:cs="Times New Roman" w:eastAsia="Times New Roman" w:hint="default"/>
        </w:rPr>
        <w:t>2</w:t>
      </w:r>
      <w:r>
        <w:rPr/>
        <w:t>）亚星实业在向深大通赠与资产完成后的当年及其后两个会计年度（即</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2009 </w:t>
      </w:r>
      <w:r>
        <w:rPr>
          <w:spacing w:val="-2"/>
        </w:rPr>
        <w:t>年和</w:t>
      </w:r>
      <w:r>
        <w:rPr>
          <w:rFonts w:ascii="Times New Roman" w:hAnsi="Times New Roman" w:cs="Times New Roman" w:eastAsia="Times New Roman" w:hint="default"/>
          <w:spacing w:val="-2"/>
        </w:rPr>
        <w:t>2010</w:t>
      </w:r>
      <w:r>
        <w:rPr>
          <w:spacing w:val="-2"/>
        </w:rPr>
        <w:t>年）净利润（归属母公司股东净利润，下同）未达到如下承诺标准：</w:t>
      </w:r>
      <w:r>
        <w:rPr>
          <w:rFonts w:ascii="Times New Roman" w:hAnsi="Times New Roman" w:cs="Times New Roman" w:eastAsia="Times New Roman" w:hint="default"/>
          <w:spacing w:val="-2"/>
        </w:rPr>
        <w:t>2008</w:t>
      </w:r>
      <w:r>
        <w:rPr>
          <w:spacing w:val="-2"/>
        </w:rPr>
        <w:t>年度</w:t>
      </w:r>
      <w:r>
        <w:rPr>
          <w:spacing w:val="-112"/>
        </w:rPr>
        <w:t> </w:t>
      </w:r>
      <w:r>
        <w:rPr/>
        <w:t>不低于</w:t>
      </w:r>
      <w:r>
        <w:rPr>
          <w:rFonts w:ascii="Times New Roman" w:hAnsi="Times New Roman" w:cs="Times New Roman" w:eastAsia="Times New Roman" w:hint="default"/>
        </w:rPr>
        <w:t>1500</w:t>
      </w:r>
      <w:r>
        <w:rPr/>
        <w:t>万元、</w:t>
      </w:r>
      <w:r>
        <w:rPr>
          <w:rFonts w:ascii="Times New Roman" w:hAnsi="Times New Roman" w:cs="Times New Roman" w:eastAsia="Times New Roman" w:hint="default"/>
        </w:rPr>
        <w:t>2009</w:t>
      </w:r>
      <w:r>
        <w:rPr/>
        <w:t>年度不低于</w:t>
      </w:r>
      <w:r>
        <w:rPr>
          <w:rFonts w:ascii="Times New Roman" w:hAnsi="Times New Roman" w:cs="Times New Roman" w:eastAsia="Times New Roman" w:hint="default"/>
        </w:rPr>
        <w:t>2000</w:t>
      </w:r>
      <w:r>
        <w:rPr/>
        <w:t>万元、</w:t>
      </w:r>
      <w:r>
        <w:rPr>
          <w:rFonts w:ascii="Times New Roman" w:hAnsi="Times New Roman" w:cs="Times New Roman" w:eastAsia="Times New Roman" w:hint="default"/>
        </w:rPr>
        <w:t>2010</w:t>
      </w:r>
      <w:r>
        <w:rPr/>
        <w:t>年度不低于</w:t>
      </w:r>
      <w:r>
        <w:rPr>
          <w:rFonts w:ascii="Times New Roman" w:hAnsi="Times New Roman" w:cs="Times New Roman" w:eastAsia="Times New Roman" w:hint="default"/>
        </w:rPr>
        <w:t>2500</w:t>
      </w:r>
      <w:r>
        <w:rPr/>
        <w:t>万元。</w:t>
      </w:r>
    </w:p>
    <w:p>
      <w:pPr>
        <w:pStyle w:val="BodyText"/>
        <w:spacing w:line="345" w:lineRule="auto" w:before="24"/>
        <w:ind w:right="116" w:firstLine="480"/>
        <w:jc w:val="left"/>
      </w:pPr>
      <w:r>
        <w:rPr/>
        <w:t>当上述追加对价条件触发时，亚星实业将以股权分置改革方案实施股权登记日深大 通流通股股份为基数，按照</w:t>
      </w:r>
      <w:r>
        <w:rPr>
          <w:rFonts w:ascii="Times New Roman" w:hAnsi="Times New Roman" w:cs="Times New Roman" w:eastAsia="Times New Roman" w:hint="default"/>
        </w:rPr>
        <w:t>10:1</w:t>
      </w:r>
      <w:r>
        <w:rPr/>
        <w:t>的比例向追送股份股权登记日登记在册的所有无限售条 件的流通股（不含亚星实业解除禁售后的股份）追送股份，追送股份共计</w:t>
      </w:r>
      <w:r>
        <w:rPr>
          <w:rFonts w:ascii="Times New Roman" w:hAnsi="Times New Roman" w:cs="Times New Roman" w:eastAsia="Times New Roman" w:hint="default"/>
        </w:rPr>
        <w:t>2,201,100</w:t>
      </w:r>
      <w:r>
        <w:rPr/>
        <w:t>股。 </w:t>
      </w:r>
      <w:r>
        <w:rPr>
          <w:rFonts w:ascii="Times New Roman" w:hAnsi="Times New Roman" w:cs="Times New Roman" w:eastAsia="Times New Roman" w:hint="default"/>
          <w:spacing w:val="-4"/>
        </w:rPr>
        <w:t>2</w:t>
      </w:r>
      <w:r>
        <w:rPr>
          <w:spacing w:val="-4"/>
        </w:rPr>
        <w:t>、公司于</w:t>
      </w:r>
      <w:r>
        <w:rPr>
          <w:rFonts w:ascii="Times New Roman" w:hAnsi="Times New Roman" w:cs="Times New Roman" w:eastAsia="Times New Roman" w:hint="default"/>
          <w:spacing w:val="-4"/>
        </w:rPr>
        <w:t>2008</w:t>
      </w:r>
      <w:r>
        <w:rPr>
          <w:spacing w:val="-4"/>
        </w:rPr>
        <w:t>年</w:t>
      </w:r>
      <w:r>
        <w:rPr>
          <w:rFonts w:ascii="Times New Roman" w:hAnsi="Times New Roman" w:cs="Times New Roman" w:eastAsia="Times New Roman" w:hint="default"/>
          <w:spacing w:val="-4"/>
        </w:rPr>
        <w:t>2</w:t>
      </w:r>
      <w:r>
        <w:rPr>
          <w:spacing w:val="-4"/>
        </w:rPr>
        <w:t>月</w:t>
      </w:r>
      <w:r>
        <w:rPr>
          <w:rFonts w:ascii="Times New Roman" w:hAnsi="Times New Roman" w:cs="Times New Roman" w:eastAsia="Times New Roman" w:hint="default"/>
          <w:spacing w:val="-4"/>
        </w:rPr>
        <w:t>19</w:t>
      </w:r>
      <w:r>
        <w:rPr>
          <w:spacing w:val="-4"/>
        </w:rPr>
        <w:t>日（星期二）</w:t>
      </w:r>
      <w:r>
        <w:rPr>
          <w:rFonts w:ascii="Times New Roman" w:hAnsi="Times New Roman" w:cs="Times New Roman" w:eastAsia="Times New Roman" w:hint="default"/>
          <w:spacing w:val="-4"/>
        </w:rPr>
        <w:t>15</w:t>
      </w:r>
      <w:r>
        <w:rPr>
          <w:spacing w:val="-4"/>
        </w:rPr>
        <w:t>：</w:t>
      </w:r>
      <w:r>
        <w:rPr>
          <w:rFonts w:ascii="Times New Roman" w:hAnsi="Times New Roman" w:cs="Times New Roman" w:eastAsia="Times New Roman" w:hint="default"/>
          <w:spacing w:val="-4"/>
        </w:rPr>
        <w:t>00-17</w:t>
      </w:r>
      <w:r>
        <w:rPr>
          <w:spacing w:val="-4"/>
        </w:rPr>
        <w:t>：</w:t>
      </w:r>
      <w:r>
        <w:rPr>
          <w:rFonts w:ascii="Times New Roman" w:hAnsi="Times New Roman" w:cs="Times New Roman" w:eastAsia="Times New Roman" w:hint="default"/>
          <w:spacing w:val="-4"/>
        </w:rPr>
        <w:t>00</w:t>
      </w:r>
      <w:r>
        <w:rPr>
          <w:spacing w:val="-4"/>
        </w:rPr>
        <w:t>在青岛新闻网</w:t>
      </w:r>
      <w:r>
        <w:rPr>
          <w:rFonts w:ascii="Times New Roman" w:hAnsi="Times New Roman" w:cs="Times New Roman" w:eastAsia="Times New Roman" w:hint="default"/>
          <w:spacing w:val="-4"/>
        </w:rPr>
        <w:t>(</w:t>
      </w:r>
      <w:r>
        <w:rPr>
          <w:rFonts w:ascii="Times New Roman" w:hAnsi="Times New Roman" w:cs="Times New Roman" w:eastAsia="Times New Roman" w:hint="default"/>
          <w:spacing w:val="-4"/>
          <w:u w:val="single" w:color="000000"/>
        </w:rPr>
        <w:t>www.qingdaonews.com</w:t>
      </w:r>
      <w:r>
        <w:rPr>
          <w:rFonts w:ascii="Times New Roman" w:hAnsi="Times New Roman" w:cs="Times New Roman" w:eastAsia="Times New Roman" w:hint="default"/>
          <w:spacing w:val="-4"/>
        </w:rPr>
        <w:t>)</w:t>
      </w:r>
      <w:r>
        <w:rPr>
          <w:rFonts w:ascii="Times New Roman" w:hAnsi="Times New Roman" w:cs="Times New Roman" w:eastAsia="Times New Roman" w:hint="default"/>
          <w:spacing w:val="-40"/>
        </w:rPr>
        <w:t> </w:t>
      </w:r>
      <w:r>
        <w:rPr>
          <w:rFonts w:ascii="Times New Roman" w:hAnsi="Times New Roman" w:cs="Times New Roman" w:eastAsia="Times New Roman" w:hint="default"/>
          <w:spacing w:val="-40"/>
        </w:rPr>
      </w:r>
      <w:r>
        <w:rPr/>
        <w:t>进行了网上路演，与广大的股东进行了广泛的沟通，回答了股东关心的问题。 </w:t>
      </w:r>
      <w:r>
        <w:rPr>
          <w:rFonts w:ascii="Times New Roman" w:hAnsi="Times New Roman" w:cs="Times New Roman" w:eastAsia="Times New Roman" w:hint="default"/>
        </w:rPr>
        <w:t>3</w:t>
      </w:r>
      <w:r>
        <w:rPr/>
        <w:t>、为了充分保护中小股东的利益，充分的了解各股东的意见，公司申请了延期公布股 改沟通结果，并奔赴各地充分的与各股东进行沟通。 </w:t>
      </w:r>
      <w:r>
        <w:rPr>
          <w:rFonts w:ascii="Times New Roman" w:hAnsi="Times New Roman" w:cs="Times New Roman" w:eastAsia="Times New Roman" w:hint="default"/>
          <w:spacing w:val="-13"/>
        </w:rPr>
        <w:t>4</w:t>
      </w:r>
      <w:r>
        <w:rPr>
          <w:spacing w:val="-13"/>
        </w:rPr>
        <w:t>、经过与各股东充分沟通后，公司于</w:t>
      </w:r>
      <w:r>
        <w:rPr>
          <w:rFonts w:ascii="Times New Roman" w:hAnsi="Times New Roman" w:cs="Times New Roman" w:eastAsia="Times New Roman" w:hint="default"/>
          <w:spacing w:val="-13"/>
        </w:rPr>
        <w:t>2008</w:t>
      </w:r>
      <w:r>
        <w:rPr>
          <w:spacing w:val="-13"/>
        </w:rPr>
        <w:t>年</w:t>
      </w:r>
      <w:r>
        <w:rPr>
          <w:rFonts w:ascii="Times New Roman" w:hAnsi="Times New Roman" w:cs="Times New Roman" w:eastAsia="Times New Roman" w:hint="default"/>
          <w:spacing w:val="-13"/>
        </w:rPr>
        <w:t>4</w:t>
      </w:r>
      <w:r>
        <w:rPr>
          <w:spacing w:val="-13"/>
        </w:rPr>
        <w:t>月</w:t>
      </w:r>
      <w:r>
        <w:rPr>
          <w:rFonts w:ascii="Times New Roman" w:hAnsi="Times New Roman" w:cs="Times New Roman" w:eastAsia="Times New Roman" w:hint="default"/>
          <w:spacing w:val="-13"/>
        </w:rPr>
        <w:t>2</w:t>
      </w:r>
      <w:r>
        <w:rPr>
          <w:spacing w:val="-13"/>
        </w:rPr>
        <w:t>日发布了《股权分置改革书（修改稿）》，</w:t>
      </w:r>
      <w:r>
        <w:rPr>
          <w:spacing w:val="-82"/>
        </w:rPr>
        <w:t> </w:t>
      </w:r>
      <w:r>
        <w:rPr>
          <w:spacing w:val="-82"/>
        </w:rPr>
      </w:r>
      <w:r>
        <w:rPr/>
        <w:t>发布了新的股权分置改革的方案：</w:t>
      </w:r>
    </w:p>
    <w:p>
      <w:pPr>
        <w:pStyle w:val="BodyText"/>
        <w:spacing w:line="240" w:lineRule="auto" w:before="48"/>
        <w:ind w:right="111"/>
        <w:jc w:val="left"/>
      </w:pPr>
      <w:r>
        <w:rPr/>
        <w:t>（</w:t>
      </w:r>
      <w:r>
        <w:rPr>
          <w:rFonts w:ascii="Times New Roman" w:hAnsi="Times New Roman" w:cs="Times New Roman" w:eastAsia="Times New Roman" w:hint="default"/>
        </w:rPr>
        <w:t>1</w:t>
      </w:r>
      <w:r>
        <w:rPr/>
        <w:t>）定向转增股份</w:t>
      </w:r>
    </w:p>
    <w:p>
      <w:pPr>
        <w:spacing w:after="0" w:line="240" w:lineRule="auto"/>
        <w:jc w:val="left"/>
        <w:sectPr>
          <w:pgSz w:w="11910" w:h="16840"/>
          <w:pgMar w:header="0" w:footer="594" w:top="1500" w:bottom="800" w:left="1300" w:right="1180"/>
        </w:sectPr>
      </w:pPr>
    </w:p>
    <w:p>
      <w:pPr>
        <w:pStyle w:val="BodyText"/>
        <w:spacing w:line="338" w:lineRule="auto" w:before="13"/>
        <w:ind w:right="654" w:firstLine="480"/>
        <w:jc w:val="both"/>
      </w:pPr>
      <w:r>
        <w:rPr/>
        <w:t>以公司现有总股本</w:t>
      </w:r>
      <w:r>
        <w:rPr>
          <w:rFonts w:ascii="Times New Roman" w:hAnsi="Times New Roman" w:cs="Times New Roman" w:eastAsia="Times New Roman" w:hint="default"/>
        </w:rPr>
        <w:t>90,486,000</w:t>
      </w:r>
      <w:r>
        <w:rPr/>
        <w:t>股为基数，以截止</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30</w:t>
      </w:r>
      <w:r>
        <w:rPr/>
        <w:t>日经审计的资本公积 </w:t>
      </w:r>
      <w:r>
        <w:rPr>
          <w:spacing w:val="-3"/>
        </w:rPr>
        <w:t>金向本方案实施股权登记日在册的公司全体流通股股东每</w:t>
      </w:r>
      <w:r>
        <w:rPr>
          <w:rFonts w:ascii="Times New Roman" w:hAnsi="Times New Roman" w:cs="Times New Roman" w:eastAsia="Times New Roman" w:hint="default"/>
          <w:spacing w:val="-3"/>
        </w:rPr>
        <w:t>10</w:t>
      </w:r>
      <w:r>
        <w:rPr>
          <w:spacing w:val="-3"/>
        </w:rPr>
        <w:t>股定向转增</w:t>
      </w:r>
      <w:r>
        <w:rPr>
          <w:rFonts w:ascii="Times New Roman" w:hAnsi="Times New Roman" w:cs="Times New Roman" w:eastAsia="Times New Roman" w:hint="default"/>
          <w:spacing w:val="-3"/>
        </w:rPr>
        <w:t>3.0</w:t>
      </w:r>
      <w:r>
        <w:rPr>
          <w:spacing w:val="-3"/>
        </w:rPr>
        <w:t>股，相当于流</w:t>
      </w:r>
      <w:r>
        <w:rPr>
          <w:spacing w:val="-108"/>
        </w:rPr>
        <w:t> </w:t>
      </w:r>
      <w:r>
        <w:rPr>
          <w:spacing w:val="-108"/>
        </w:rPr>
      </w:r>
      <w:r>
        <w:rPr/>
        <w:t>通股股东每</w:t>
      </w:r>
      <w:r>
        <w:rPr>
          <w:rFonts w:ascii="Times New Roman" w:hAnsi="Times New Roman" w:cs="Times New Roman" w:eastAsia="Times New Roman" w:hint="default"/>
        </w:rPr>
        <w:t>10</w:t>
      </w:r>
      <w:r>
        <w:rPr/>
        <w:t>股获送了</w:t>
      </w:r>
      <w:r>
        <w:rPr>
          <w:rFonts w:ascii="Times New Roman" w:hAnsi="Times New Roman" w:cs="Times New Roman" w:eastAsia="Times New Roman" w:hint="default"/>
        </w:rPr>
        <w:t>2.22</w:t>
      </w:r>
      <w:r>
        <w:rPr/>
        <w:t>股的非流通股股东对价安排。</w:t>
      </w:r>
    </w:p>
    <w:p>
      <w:pPr>
        <w:pStyle w:val="BodyText"/>
        <w:spacing w:line="338" w:lineRule="auto" w:before="27"/>
        <w:ind w:right="635"/>
        <w:jc w:val="left"/>
      </w:pPr>
      <w:r>
        <w:rPr/>
        <w:t>（</w:t>
      </w:r>
      <w:r>
        <w:rPr>
          <w:rFonts w:ascii="Times New Roman" w:hAnsi="Times New Roman" w:cs="Times New Roman" w:eastAsia="Times New Roman" w:hint="default"/>
        </w:rPr>
        <w:t>2</w:t>
      </w:r>
      <w:r>
        <w:rPr/>
        <w:t>）资产赠与 本次股权分置改革，潜在非流通股股东亚星实业向深大通赠与资产（资产为</w:t>
      </w:r>
      <w:r>
        <w:rPr>
          <w:rFonts w:ascii="Times New Roman" w:hAnsi="Times New Roman" w:cs="Times New Roman" w:eastAsia="Times New Roman" w:hint="default"/>
        </w:rPr>
        <w:t>2</w:t>
      </w:r>
      <w:r>
        <w:rPr/>
        <w:t>家房地产 </w:t>
      </w:r>
      <w:r>
        <w:rPr>
          <w:spacing w:val="-2"/>
        </w:rPr>
        <w:t>公司股权，股权对应净资产合计约</w:t>
      </w:r>
      <w:r>
        <w:rPr>
          <w:rFonts w:ascii="Times New Roman" w:hAnsi="Times New Roman" w:cs="Times New Roman" w:eastAsia="Times New Roman" w:hint="default"/>
          <w:spacing w:val="-2"/>
        </w:rPr>
        <w:t>2.09</w:t>
      </w:r>
      <w:r>
        <w:rPr>
          <w:spacing w:val="-2"/>
        </w:rPr>
        <w:t>亿元），公司原有非流通股股东按</w:t>
      </w:r>
      <w:r>
        <w:rPr>
          <w:rFonts w:ascii="Times New Roman" w:hAnsi="Times New Roman" w:cs="Times New Roman" w:eastAsia="Times New Roman" w:hint="default"/>
          <w:spacing w:val="-2"/>
        </w:rPr>
        <w:t>10</w:t>
      </w:r>
      <w:r>
        <w:rPr>
          <w:spacing w:val="-2"/>
        </w:rPr>
        <w:t>：</w:t>
      </w:r>
      <w:r>
        <w:rPr>
          <w:rFonts w:ascii="Times New Roman" w:hAnsi="Times New Roman" w:cs="Times New Roman" w:eastAsia="Times New Roman" w:hint="default"/>
          <w:spacing w:val="-2"/>
        </w:rPr>
        <w:t>6.5</w:t>
      </w:r>
      <w:r>
        <w:rPr>
          <w:spacing w:val="-2"/>
        </w:rPr>
        <w:t>的比例</w:t>
      </w:r>
      <w:r>
        <w:rPr>
          <w:spacing w:val="-85"/>
        </w:rPr>
        <w:t> </w:t>
      </w:r>
      <w:r>
        <w:rPr/>
        <w:t>向亚星实业赠送股份。</w:t>
      </w:r>
    </w:p>
    <w:p>
      <w:pPr>
        <w:pStyle w:val="BodyText"/>
        <w:spacing w:line="338" w:lineRule="auto" w:before="55"/>
        <w:ind w:right="706"/>
        <w:jc w:val="left"/>
      </w:pPr>
      <w:r>
        <w:rPr/>
        <w:t>（</w:t>
      </w:r>
      <w:r>
        <w:rPr>
          <w:rFonts w:ascii="Times New Roman" w:hAnsi="Times New Roman" w:cs="Times New Roman" w:eastAsia="Times New Roman" w:hint="default"/>
        </w:rPr>
        <w:t>3</w:t>
      </w:r>
      <w:r>
        <w:rPr/>
        <w:t>）如果发生下述情况之一（以首次发生的情况为准），将追加送股一次（股份追送 完成后，此承诺自动失效）：</w:t>
      </w:r>
    </w:p>
    <w:p>
      <w:pPr>
        <w:pStyle w:val="BodyText"/>
        <w:spacing w:line="340" w:lineRule="auto" w:before="55"/>
        <w:ind w:right="635"/>
        <w:jc w:val="left"/>
      </w:pPr>
      <w:r>
        <w:rPr>
          <w:rFonts w:ascii="Times New Roman" w:hAnsi="Times New Roman" w:cs="Times New Roman" w:eastAsia="Times New Roman" w:hint="default"/>
        </w:rPr>
        <w:t>1</w:t>
      </w:r>
      <w:r>
        <w:rPr/>
        <w:t>）</w:t>
      </w:r>
      <w:r>
        <w:rPr>
          <w:spacing w:val="-49"/>
        </w:rPr>
        <w:t> </w:t>
      </w:r>
      <w:r>
        <w:rPr/>
        <w:t>亚星实业在向深大通赠与资产完成后的当年及其后两个会计年度（即</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2009 </w:t>
      </w:r>
      <w:r>
        <w:rPr/>
        <w:t>年和</w:t>
      </w:r>
      <w:r>
        <w:rPr>
          <w:rFonts w:ascii="Times New Roman" w:hAnsi="Times New Roman" w:cs="Times New Roman" w:eastAsia="Times New Roman" w:hint="default"/>
        </w:rPr>
        <w:t>2010</w:t>
      </w:r>
      <w:r>
        <w:rPr/>
        <w:t>年）的任一年度财务报告被出具除标准无保留意见之外的审计报告； </w:t>
      </w:r>
      <w:r>
        <w:rPr>
          <w:rFonts w:ascii="Times New Roman" w:hAnsi="Times New Roman" w:cs="Times New Roman" w:eastAsia="Times New Roman" w:hint="default"/>
        </w:rPr>
        <w:t>2</w:t>
      </w:r>
      <w:r>
        <w:rPr/>
        <w:t>）亚星实业在向深大通赠与资产完成后的当年及其后两个会计年度（即</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2009 </w:t>
      </w:r>
      <w:r>
        <w:rPr>
          <w:spacing w:val="-2"/>
        </w:rPr>
        <w:t>年和</w:t>
      </w:r>
      <w:r>
        <w:rPr>
          <w:rFonts w:ascii="Times New Roman" w:hAnsi="Times New Roman" w:cs="Times New Roman" w:eastAsia="Times New Roman" w:hint="default"/>
          <w:spacing w:val="-2"/>
        </w:rPr>
        <w:t>2010</w:t>
      </w:r>
      <w:r>
        <w:rPr>
          <w:spacing w:val="-2"/>
        </w:rPr>
        <w:t>年）净利润（归属母公司股东净利润，下同）未达到如下承诺标准：</w:t>
      </w:r>
      <w:r>
        <w:rPr>
          <w:rFonts w:ascii="Times New Roman" w:hAnsi="Times New Roman" w:cs="Times New Roman" w:eastAsia="Times New Roman" w:hint="default"/>
          <w:spacing w:val="-2"/>
        </w:rPr>
        <w:t>2008</w:t>
      </w:r>
      <w:r>
        <w:rPr>
          <w:spacing w:val="-2"/>
        </w:rPr>
        <w:t>年度</w:t>
      </w:r>
      <w:r>
        <w:rPr>
          <w:spacing w:val="-112"/>
        </w:rPr>
        <w:t> </w:t>
      </w:r>
      <w:r>
        <w:rPr>
          <w:spacing w:val="-2"/>
        </w:rPr>
        <w:t>不低于</w:t>
      </w:r>
      <w:r>
        <w:rPr>
          <w:rFonts w:ascii="Times New Roman" w:hAnsi="Times New Roman" w:cs="Times New Roman" w:eastAsia="Times New Roman" w:hint="default"/>
          <w:spacing w:val="-2"/>
        </w:rPr>
        <w:t>1500</w:t>
      </w:r>
      <w:r>
        <w:rPr>
          <w:spacing w:val="-2"/>
        </w:rPr>
        <w:t>万元、</w:t>
      </w:r>
      <w:r>
        <w:rPr>
          <w:rFonts w:ascii="Times New Roman" w:hAnsi="Times New Roman" w:cs="Times New Roman" w:eastAsia="Times New Roman" w:hint="default"/>
          <w:spacing w:val="-2"/>
        </w:rPr>
        <w:t>2009</w:t>
      </w:r>
      <w:r>
        <w:rPr>
          <w:spacing w:val="-2"/>
        </w:rPr>
        <w:t>年度不低于</w:t>
      </w:r>
      <w:r>
        <w:rPr>
          <w:rFonts w:ascii="Times New Roman" w:hAnsi="Times New Roman" w:cs="Times New Roman" w:eastAsia="Times New Roman" w:hint="default"/>
          <w:spacing w:val="-2"/>
        </w:rPr>
        <w:t>2000</w:t>
      </w:r>
      <w:r>
        <w:rPr>
          <w:spacing w:val="-2"/>
        </w:rPr>
        <w:t>万元、</w:t>
      </w:r>
      <w:r>
        <w:rPr>
          <w:rFonts w:ascii="Times New Roman" w:hAnsi="Times New Roman" w:cs="Times New Roman" w:eastAsia="Times New Roman" w:hint="default"/>
          <w:spacing w:val="-2"/>
        </w:rPr>
        <w:t>2010</w:t>
      </w:r>
      <w:r>
        <w:rPr>
          <w:spacing w:val="-2"/>
        </w:rPr>
        <w:t>年度不低于</w:t>
      </w:r>
      <w:r>
        <w:rPr>
          <w:rFonts w:ascii="Times New Roman" w:hAnsi="Times New Roman" w:cs="Times New Roman" w:eastAsia="Times New Roman" w:hint="default"/>
          <w:spacing w:val="-2"/>
        </w:rPr>
        <w:t>2500</w:t>
      </w:r>
      <w:r>
        <w:rPr>
          <w:spacing w:val="-2"/>
        </w:rPr>
        <w:t>万元。当上述追加对</w:t>
      </w:r>
      <w:r>
        <w:rPr>
          <w:spacing w:val="-75"/>
        </w:rPr>
        <w:t> </w:t>
      </w:r>
      <w:r>
        <w:rPr>
          <w:spacing w:val="-75"/>
        </w:rPr>
      </w:r>
      <w:r>
        <w:rPr>
          <w:spacing w:val="-2"/>
        </w:rPr>
        <w:t>价条件触发时，亚星实业将以股权分置改革方案实施股权登记日深大通流通股股份为基</w:t>
      </w:r>
      <w:r>
        <w:rPr>
          <w:spacing w:val="-95"/>
        </w:rPr>
        <w:t> </w:t>
      </w:r>
      <w:r>
        <w:rPr>
          <w:spacing w:val="-95"/>
        </w:rPr>
      </w:r>
      <w:r>
        <w:rPr/>
        <w:t>数，按照</w:t>
      </w:r>
      <w:r>
        <w:rPr>
          <w:rFonts w:ascii="Times New Roman" w:hAnsi="Times New Roman" w:cs="Times New Roman" w:eastAsia="Times New Roman" w:hint="default"/>
        </w:rPr>
        <w:t>10:1</w:t>
      </w:r>
      <w:r>
        <w:rPr/>
        <w:t>的比例向追送股份股权登记日登记在册的所有无限售条件的流通股（不含 亚星实业解除禁售后的股份）追送股份，追送股份共计</w:t>
      </w:r>
      <w:r>
        <w:rPr>
          <w:rFonts w:ascii="Times New Roman" w:hAnsi="Times New Roman" w:cs="Times New Roman" w:eastAsia="Times New Roman" w:hint="default"/>
        </w:rPr>
        <w:t>2,488,200</w:t>
      </w:r>
      <w:r>
        <w:rPr/>
        <w:t>股。 </w:t>
      </w:r>
      <w:r>
        <w:rPr>
          <w:rFonts w:ascii="Times New Roman" w:hAnsi="Times New Roman" w:cs="Times New Roman" w:eastAsia="Times New Roman" w:hint="default"/>
          <w:spacing w:val="-2"/>
        </w:rPr>
        <w:t>5</w:t>
      </w:r>
      <w:r>
        <w:rPr>
          <w:spacing w:val="-2"/>
        </w:rPr>
        <w:t>、</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22</w:t>
      </w:r>
      <w:r>
        <w:rPr>
          <w:spacing w:val="-2"/>
        </w:rPr>
        <w:t>日公司召开了</w:t>
      </w:r>
      <w:r>
        <w:rPr>
          <w:rFonts w:ascii="Times New Roman" w:hAnsi="Times New Roman" w:cs="Times New Roman" w:eastAsia="Times New Roman" w:hint="default"/>
          <w:spacing w:val="-2"/>
        </w:rPr>
        <w:t>2008</w:t>
      </w:r>
      <w:r>
        <w:rPr>
          <w:spacing w:val="-2"/>
        </w:rPr>
        <w:t>年度第一次临时股东大会暨股权分置改革相关股东会</w:t>
      </w:r>
      <w:r>
        <w:rPr>
          <w:spacing w:val="-83"/>
        </w:rPr>
        <w:t> </w:t>
      </w:r>
      <w:r>
        <w:rPr>
          <w:spacing w:val="-2"/>
        </w:rPr>
        <w:t>议暨股权分置改革相关股东会议。大会审议通过了本次股改方案。本方案在获得了相关</w:t>
      </w:r>
      <w:r>
        <w:rPr>
          <w:spacing w:val="-96"/>
        </w:rPr>
        <w:t> </w:t>
      </w:r>
      <w:r>
        <w:rPr>
          <w:spacing w:val="-96"/>
        </w:rPr>
      </w:r>
      <w:r>
        <w:rPr/>
        <w:t>部门的批准并顺利实施后，公司股权结构的变动情况如下：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7"/>
          <w:szCs w:val="27"/>
        </w:rPr>
      </w:pPr>
    </w:p>
    <w:p>
      <w:pPr>
        <w:pStyle w:val="BodyText"/>
        <w:tabs>
          <w:tab w:pos="5089" w:val="left" w:leader="none"/>
        </w:tabs>
        <w:spacing w:line="240" w:lineRule="auto" w:before="26"/>
        <w:ind w:right="635"/>
        <w:jc w:val="left"/>
      </w:pPr>
      <w:r>
        <w:rPr/>
        <w:pict>
          <v:shape style="position:absolute;margin-left:70.919998pt;margin-top:-46.676777pt;width:480.7pt;height:162.8pt;mso-position-horizontal-relative:page;mso-position-vertical-relative:paragraph;z-index:17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87"/>
                    <w:gridCol w:w="1562"/>
                    <w:gridCol w:w="1427"/>
                    <w:gridCol w:w="2147"/>
                    <w:gridCol w:w="1290"/>
                    <w:gridCol w:w="1401"/>
                  </w:tblGrid>
                  <w:tr>
                    <w:trPr>
                      <w:trHeight w:val="412" w:hRule="exact"/>
                    </w:trPr>
                    <w:tc>
                      <w:tcPr>
                        <w:tcW w:w="1787" w:type="dxa"/>
                        <w:tcBorders>
                          <w:top w:val="nil" w:sz="6" w:space="0" w:color="auto"/>
                          <w:left w:val="nil" w:sz="6" w:space="0" w:color="auto"/>
                          <w:bottom w:val="nil" w:sz="6" w:space="0" w:color="auto"/>
                          <w:right w:val="nil" w:sz="6" w:space="0" w:color="auto"/>
                        </w:tcBorders>
                      </w:tcPr>
                      <w:p>
                        <w:pP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20" w:right="0"/>
                          <w:jc w:val="left"/>
                          <w:rPr>
                            <w:rFonts w:ascii="宋体" w:hAnsi="宋体" w:cs="宋体" w:eastAsia="宋体" w:hint="default"/>
                            <w:sz w:val="24"/>
                            <w:szCs w:val="24"/>
                          </w:rPr>
                        </w:pPr>
                        <w:r>
                          <w:rPr>
                            <w:rFonts w:ascii="宋体" w:hAnsi="宋体" w:cs="宋体" w:eastAsia="宋体" w:hint="default"/>
                            <w:sz w:val="24"/>
                            <w:szCs w:val="24"/>
                          </w:rPr>
                          <w:t>改革前</w:t>
                        </w:r>
                      </w:p>
                    </w:tc>
                    <w:tc>
                      <w:tcPr>
                        <w:tcW w:w="1427" w:type="dxa"/>
                        <w:tcBorders>
                          <w:top w:val="nil" w:sz="6" w:space="0" w:color="auto"/>
                          <w:left w:val="nil" w:sz="6" w:space="0" w:color="auto"/>
                          <w:bottom w:val="nil" w:sz="6" w:space="0" w:color="auto"/>
                          <w:right w:val="nil" w:sz="6" w:space="0" w:color="auto"/>
                        </w:tcBorders>
                      </w:tcPr>
                      <w:p>
                        <w:pPr/>
                      </w:p>
                    </w:tc>
                    <w:tc>
                      <w:tcPr>
                        <w:tcW w:w="2147" w:type="dxa"/>
                        <w:tcBorders>
                          <w:top w:val="nil" w:sz="6" w:space="0" w:color="auto"/>
                          <w:left w:val="nil" w:sz="6" w:space="0" w:color="auto"/>
                          <w:bottom w:val="nil" w:sz="6" w:space="0" w:color="auto"/>
                          <w:right w:val="nil" w:sz="6" w:space="0" w:color="auto"/>
                        </w:tcBorders>
                      </w:tcPr>
                      <w:p>
                        <w:pP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 w:right="0"/>
                          <w:jc w:val="left"/>
                          <w:rPr>
                            <w:rFonts w:ascii="宋体" w:hAnsi="宋体" w:cs="宋体" w:eastAsia="宋体" w:hint="default"/>
                            <w:sz w:val="24"/>
                            <w:szCs w:val="24"/>
                          </w:rPr>
                        </w:pPr>
                        <w:r>
                          <w:rPr>
                            <w:rFonts w:ascii="宋体" w:hAnsi="宋体" w:cs="宋体" w:eastAsia="宋体" w:hint="default"/>
                            <w:sz w:val="24"/>
                            <w:szCs w:val="24"/>
                          </w:rPr>
                          <w:t>改革后</w:t>
                        </w:r>
                      </w:p>
                    </w:tc>
                    <w:tc>
                      <w:tcPr>
                        <w:tcW w:w="1401" w:type="dxa"/>
                        <w:tcBorders>
                          <w:top w:val="nil" w:sz="6" w:space="0" w:color="auto"/>
                          <w:left w:val="nil" w:sz="6" w:space="0" w:color="auto"/>
                          <w:bottom w:val="nil" w:sz="6" w:space="0" w:color="auto"/>
                          <w:right w:val="nil" w:sz="6" w:space="0" w:color="auto"/>
                        </w:tcBorders>
                      </w:tcPr>
                      <w:p>
                        <w:pPr/>
                      </w:p>
                    </w:tc>
                  </w:tr>
                  <w:tr>
                    <w:trPr>
                      <w:trHeight w:val="275" w:hRule="exact"/>
                    </w:trPr>
                    <w:tc>
                      <w:tcPr>
                        <w:tcW w:w="8213" w:type="dxa"/>
                        <w:gridSpan w:val="5"/>
                        <w:tcBorders>
                          <w:top w:val="nil" w:sz="6" w:space="0" w:color="auto"/>
                          <w:left w:val="nil" w:sz="6" w:space="0" w:color="auto"/>
                          <w:bottom w:val="nil" w:sz="6" w:space="0" w:color="auto"/>
                          <w:right w:val="nil" w:sz="6" w:space="0" w:color="auto"/>
                        </w:tcBorders>
                      </w:tcPr>
                      <w:p>
                        <w:pPr>
                          <w:pStyle w:val="TableParagraph"/>
                          <w:tabs>
                            <w:tab w:pos="2127" w:val="left" w:leader="none"/>
                            <w:tab w:pos="3649" w:val="left" w:leader="none"/>
                            <w:tab w:pos="6987" w:val="left" w:leader="none"/>
                          </w:tabs>
                          <w:spacing w:line="315" w:lineRule="exact"/>
                          <w:ind w:left="366" w:right="0"/>
                          <w:jc w:val="left"/>
                          <w:rPr>
                            <w:rFonts w:ascii="宋体" w:hAnsi="宋体" w:cs="宋体" w:eastAsia="宋体" w:hint="default"/>
                            <w:sz w:val="24"/>
                            <w:szCs w:val="24"/>
                          </w:rPr>
                        </w:pPr>
                        <w:r>
                          <w:rPr>
                            <w:rFonts w:ascii="宋体" w:hAnsi="宋体" w:cs="宋体" w:eastAsia="宋体" w:hint="default"/>
                            <w:position w:val="-15"/>
                            <w:sz w:val="24"/>
                            <w:szCs w:val="24"/>
                          </w:rPr>
                          <w:t>股份类型</w:t>
                          <w:tab/>
                        </w:r>
                        <w:r>
                          <w:rPr>
                            <w:rFonts w:ascii="宋体" w:hAnsi="宋体" w:cs="宋体" w:eastAsia="宋体" w:hint="default"/>
                            <w:sz w:val="24"/>
                            <w:szCs w:val="24"/>
                          </w:rPr>
                          <w:t>股份数量</w:t>
                          <w:tab/>
                          <w:t>占总股本</w:t>
                          <w:tab/>
                          <w:t>股份数量</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exact"/>
                          <w:ind w:left="169" w:right="0"/>
                          <w:jc w:val="center"/>
                          <w:rPr>
                            <w:rFonts w:ascii="宋体" w:hAnsi="宋体" w:cs="宋体" w:eastAsia="宋体" w:hint="default"/>
                            <w:sz w:val="24"/>
                            <w:szCs w:val="24"/>
                          </w:rPr>
                        </w:pPr>
                        <w:r>
                          <w:rPr>
                            <w:rFonts w:ascii="宋体" w:hAnsi="宋体" w:cs="宋体" w:eastAsia="宋体" w:hint="default"/>
                            <w:sz w:val="24"/>
                            <w:szCs w:val="24"/>
                          </w:rPr>
                          <w:t>占总股本</w:t>
                        </w:r>
                      </w:p>
                    </w:tc>
                  </w:tr>
                  <w:tr>
                    <w:trPr>
                      <w:trHeight w:val="473" w:hRule="exact"/>
                    </w:trPr>
                    <w:tc>
                      <w:tcPr>
                        <w:tcW w:w="4775" w:type="dxa"/>
                        <w:gridSpan w:val="3"/>
                        <w:tcBorders>
                          <w:top w:val="nil" w:sz="6" w:space="0" w:color="auto"/>
                          <w:left w:val="nil" w:sz="6" w:space="0" w:color="auto"/>
                          <w:bottom w:val="nil" w:sz="6" w:space="0" w:color="auto"/>
                          <w:right w:val="nil" w:sz="6" w:space="0" w:color="auto"/>
                        </w:tcBorders>
                      </w:tcPr>
                      <w:p>
                        <w:pPr>
                          <w:pStyle w:val="TableParagraph"/>
                          <w:tabs>
                            <w:tab w:pos="3549" w:val="left" w:leader="none"/>
                          </w:tabs>
                          <w:spacing w:line="294" w:lineRule="exact"/>
                          <w:ind w:left="2247" w:right="0"/>
                          <w:jc w:val="left"/>
                          <w:rPr>
                            <w:rFonts w:ascii="宋体" w:hAnsi="宋体" w:cs="宋体" w:eastAsia="宋体" w:hint="default"/>
                            <w:sz w:val="24"/>
                            <w:szCs w:val="24"/>
                          </w:rPr>
                        </w:pPr>
                        <w:r>
                          <w:rPr>
                            <w:rFonts w:ascii="宋体" w:hAnsi="宋体" w:cs="宋体" w:eastAsia="宋体" w:hint="default"/>
                            <w:sz w:val="24"/>
                            <w:szCs w:val="24"/>
                          </w:rPr>
                          <w:t>（股）</w:t>
                          <w:tab/>
                          <w:t>比例（</w:t>
                        </w:r>
                        <w:r>
                          <w:rPr>
                            <w:rFonts w:ascii="Times New Roman" w:hAnsi="Times New Roman" w:cs="Times New Roman" w:eastAsia="Times New Roman" w:hint="default"/>
                            <w:sz w:val="24"/>
                            <w:szCs w:val="24"/>
                          </w:rPr>
                          <w:t>%</w:t>
                        </w:r>
                        <w:r>
                          <w:rPr>
                            <w:rFonts w:ascii="宋体" w:hAnsi="宋体" w:cs="宋体" w:eastAsia="宋体" w:hint="default"/>
                            <w:sz w:val="24"/>
                            <w:szCs w:val="24"/>
                          </w:rPr>
                          <w:t>）</w:t>
                        </w:r>
                      </w:p>
                    </w:tc>
                    <w:tc>
                      <w:tcPr>
                        <w:tcW w:w="2147" w:type="dxa"/>
                        <w:tcBorders>
                          <w:top w:val="nil" w:sz="6" w:space="0" w:color="auto"/>
                          <w:left w:val="nil" w:sz="6" w:space="0" w:color="auto"/>
                          <w:bottom w:val="nil" w:sz="6" w:space="0" w:color="auto"/>
                          <w:right w:val="nil" w:sz="6" w:space="0" w:color="auto"/>
                        </w:tcBorders>
                      </w:tcPr>
                      <w:p>
                        <w:pPr>
                          <w:pStyle w:val="TableParagraph"/>
                          <w:spacing w:line="121" w:lineRule="exact"/>
                          <w:ind w:left="496" w:right="0"/>
                          <w:jc w:val="left"/>
                          <w:rPr>
                            <w:rFonts w:ascii="宋体" w:hAnsi="宋体" w:cs="宋体" w:eastAsia="宋体" w:hint="default"/>
                            <w:sz w:val="24"/>
                            <w:szCs w:val="24"/>
                          </w:rPr>
                        </w:pPr>
                        <w:r>
                          <w:rPr>
                            <w:rFonts w:ascii="宋体" w:hAnsi="宋体" w:cs="宋体" w:eastAsia="宋体" w:hint="default"/>
                            <w:sz w:val="24"/>
                            <w:szCs w:val="24"/>
                          </w:rPr>
                          <w:t>股份类型</w:t>
                        </w:r>
                      </w:p>
                    </w:tc>
                    <w:tc>
                      <w:tcPr>
                        <w:tcW w:w="1290" w:type="dxa"/>
                        <w:tcBorders>
                          <w:top w:val="nil" w:sz="6" w:space="0" w:color="auto"/>
                          <w:left w:val="nil" w:sz="6" w:space="0" w:color="auto"/>
                          <w:bottom w:val="nil" w:sz="6" w:space="0" w:color="auto"/>
                          <w:right w:val="nil" w:sz="6" w:space="0" w:color="auto"/>
                        </w:tcBorders>
                      </w:tcPr>
                      <w:p>
                        <w:pPr>
                          <w:pStyle w:val="TableParagraph"/>
                          <w:spacing w:line="275" w:lineRule="exact"/>
                          <w:ind w:left="185" w:right="0"/>
                          <w:jc w:val="left"/>
                          <w:rPr>
                            <w:rFonts w:ascii="宋体" w:hAnsi="宋体" w:cs="宋体" w:eastAsia="宋体" w:hint="default"/>
                            <w:sz w:val="24"/>
                            <w:szCs w:val="24"/>
                          </w:rPr>
                        </w:pPr>
                        <w:r>
                          <w:rPr>
                            <w:rFonts w:ascii="宋体" w:hAnsi="宋体" w:cs="宋体" w:eastAsia="宋体" w:hint="default"/>
                            <w:sz w:val="24"/>
                            <w:szCs w:val="24"/>
                          </w:rPr>
                          <w:t>（股）</w:t>
                        </w:r>
                      </w:p>
                    </w:tc>
                    <w:tc>
                      <w:tcPr>
                        <w:tcW w:w="1401" w:type="dxa"/>
                        <w:tcBorders>
                          <w:top w:val="nil" w:sz="6" w:space="0" w:color="auto"/>
                          <w:left w:val="nil" w:sz="6" w:space="0" w:color="auto"/>
                          <w:bottom w:val="nil" w:sz="6" w:space="0" w:color="auto"/>
                          <w:right w:val="nil" w:sz="6" w:space="0" w:color="auto"/>
                        </w:tcBorders>
                      </w:tcPr>
                      <w:p>
                        <w:pPr>
                          <w:pStyle w:val="TableParagraph"/>
                          <w:spacing w:line="294" w:lineRule="exact"/>
                          <w:ind w:left="170" w:right="0"/>
                          <w:jc w:val="center"/>
                          <w:rPr>
                            <w:rFonts w:ascii="宋体" w:hAnsi="宋体" w:cs="宋体" w:eastAsia="宋体" w:hint="default"/>
                            <w:sz w:val="24"/>
                            <w:szCs w:val="24"/>
                          </w:rPr>
                        </w:pPr>
                        <w:r>
                          <w:rPr>
                            <w:rFonts w:ascii="宋体" w:hAnsi="宋体" w:cs="宋体" w:eastAsia="宋体" w:hint="default"/>
                            <w:sz w:val="24"/>
                            <w:szCs w:val="24"/>
                          </w:rPr>
                          <w:t>比例（</w:t>
                        </w:r>
                        <w:r>
                          <w:rPr>
                            <w:rFonts w:ascii="Times New Roman" w:hAnsi="Times New Roman" w:cs="Times New Roman" w:eastAsia="Times New Roman" w:hint="default"/>
                            <w:sz w:val="24"/>
                            <w:szCs w:val="24"/>
                          </w:rPr>
                          <w:t>%</w:t>
                        </w:r>
                        <w:r>
                          <w:rPr>
                            <w:rFonts w:ascii="宋体" w:hAnsi="宋体" w:cs="宋体" w:eastAsia="宋体" w:hint="default"/>
                            <w:sz w:val="24"/>
                            <w:szCs w:val="24"/>
                          </w:rPr>
                          <w:t>）</w:t>
                        </w:r>
                      </w:p>
                    </w:tc>
                  </w:tr>
                  <w:tr>
                    <w:trPr>
                      <w:trHeight w:val="460"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485" w:right="0"/>
                          <w:jc w:val="left"/>
                          <w:rPr>
                            <w:rFonts w:ascii="宋体" w:hAnsi="宋体" w:cs="宋体" w:eastAsia="宋体" w:hint="default"/>
                            <w:sz w:val="24"/>
                            <w:szCs w:val="24"/>
                          </w:rPr>
                        </w:pPr>
                        <w:r>
                          <w:rPr>
                            <w:rFonts w:ascii="宋体" w:hAnsi="宋体" w:cs="宋体" w:eastAsia="宋体" w:hint="default"/>
                            <w:sz w:val="24"/>
                            <w:szCs w:val="24"/>
                          </w:rPr>
                          <w:t>份合计</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00"/>
                          <w:jc w:val="right"/>
                          <w:rPr>
                            <w:rFonts w:ascii="Times New Roman" w:hAnsi="Times New Roman" w:cs="Times New Roman" w:eastAsia="Times New Roman" w:hint="default"/>
                            <w:sz w:val="24"/>
                            <w:szCs w:val="24"/>
                          </w:rPr>
                        </w:pPr>
                        <w:r>
                          <w:rPr>
                            <w:rFonts w:ascii="Times New Roman"/>
                            <w:sz w:val="24"/>
                          </w:rPr>
                          <w:t>71,346,000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74"/>
                          <w:jc w:val="right"/>
                          <w:rPr>
                            <w:rFonts w:ascii="Times New Roman" w:hAnsi="Times New Roman" w:cs="Times New Roman" w:eastAsia="Times New Roman" w:hint="default"/>
                            <w:sz w:val="24"/>
                            <w:szCs w:val="24"/>
                          </w:rPr>
                        </w:pPr>
                        <w:r>
                          <w:rPr>
                            <w:rFonts w:ascii="Times New Roman"/>
                            <w:sz w:val="24"/>
                          </w:rPr>
                          <w:t>78.85</w:t>
                        </w:r>
                      </w:p>
                    </w:tc>
                    <w:tc>
                      <w:tcPr>
                        <w:tcW w:w="214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570"/>
                          <w:jc w:val="right"/>
                          <w:rPr>
                            <w:rFonts w:ascii="宋体" w:hAnsi="宋体" w:cs="宋体" w:eastAsia="宋体" w:hint="default"/>
                            <w:sz w:val="24"/>
                            <w:szCs w:val="24"/>
                          </w:rPr>
                        </w:pPr>
                        <w:r>
                          <w:rPr>
                            <w:rFonts w:ascii="宋体" w:hAnsi="宋体" w:cs="宋体" w:eastAsia="宋体" w:hint="default"/>
                            <w:sz w:val="24"/>
                            <w:szCs w:val="24"/>
                          </w:rPr>
                          <w:t>流通股合计</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7"/>
                          <w:ind w:left="5" w:right="0"/>
                          <w:jc w:val="left"/>
                          <w:rPr>
                            <w:rFonts w:ascii="Times New Roman" w:hAnsi="Times New Roman" w:cs="Times New Roman" w:eastAsia="Times New Roman" w:hint="default"/>
                            <w:sz w:val="24"/>
                            <w:szCs w:val="24"/>
                          </w:rPr>
                        </w:pPr>
                        <w:r>
                          <w:rPr>
                            <w:rFonts w:ascii="Times New Roman"/>
                            <w:sz w:val="24"/>
                          </w:rPr>
                          <w:t>71,346,000</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7"/>
                          <w:ind w:left="169" w:right="0"/>
                          <w:jc w:val="center"/>
                          <w:rPr>
                            <w:rFonts w:ascii="Times New Roman" w:hAnsi="Times New Roman" w:cs="Times New Roman" w:eastAsia="Times New Roman" w:hint="default"/>
                            <w:sz w:val="24"/>
                            <w:szCs w:val="24"/>
                          </w:rPr>
                        </w:pPr>
                        <w:r>
                          <w:rPr>
                            <w:rFonts w:ascii="Times New Roman"/>
                            <w:sz w:val="24"/>
                          </w:rPr>
                          <w:t>74.14</w:t>
                        </w:r>
                      </w:p>
                    </w:tc>
                  </w:tr>
                  <w:tr>
                    <w:trPr>
                      <w:trHeight w:val="285"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75" w:lineRule="exact"/>
                          <w:ind w:left="246" w:right="0"/>
                          <w:jc w:val="left"/>
                          <w:rPr>
                            <w:rFonts w:ascii="宋体" w:hAnsi="宋体" w:cs="宋体" w:eastAsia="宋体" w:hint="default"/>
                            <w:sz w:val="24"/>
                            <w:szCs w:val="24"/>
                          </w:rPr>
                        </w:pPr>
                        <w:r>
                          <w:rPr>
                            <w:rFonts w:ascii="宋体" w:hAnsi="宋体" w:cs="宋体" w:eastAsia="宋体" w:hint="default"/>
                            <w:sz w:val="24"/>
                            <w:szCs w:val="24"/>
                          </w:rPr>
                          <w:t>境内法人股</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0"/>
                          <w:jc w:val="right"/>
                          <w:rPr>
                            <w:rFonts w:ascii="Times New Roman" w:hAnsi="Times New Roman" w:cs="Times New Roman" w:eastAsia="Times New Roman" w:hint="default"/>
                            <w:sz w:val="24"/>
                            <w:szCs w:val="24"/>
                          </w:rPr>
                        </w:pPr>
                        <w:r>
                          <w:rPr>
                            <w:rFonts w:ascii="Times New Roman"/>
                            <w:sz w:val="24"/>
                          </w:rPr>
                          <w:t>71,346,000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74"/>
                          <w:jc w:val="right"/>
                          <w:rPr>
                            <w:rFonts w:ascii="Times New Roman" w:hAnsi="Times New Roman" w:cs="Times New Roman" w:eastAsia="Times New Roman" w:hint="default"/>
                            <w:sz w:val="24"/>
                            <w:szCs w:val="24"/>
                          </w:rPr>
                        </w:pPr>
                        <w:r>
                          <w:rPr>
                            <w:rFonts w:ascii="Times New Roman"/>
                            <w:sz w:val="24"/>
                          </w:rPr>
                          <w:t>78.85</w:t>
                        </w:r>
                      </w:p>
                    </w:tc>
                    <w:tc>
                      <w:tcPr>
                        <w:tcW w:w="2147" w:type="dxa"/>
                        <w:tcBorders>
                          <w:top w:val="nil" w:sz="6" w:space="0" w:color="auto"/>
                          <w:left w:val="nil" w:sz="6" w:space="0" w:color="auto"/>
                          <w:bottom w:val="nil" w:sz="6" w:space="0" w:color="auto"/>
                          <w:right w:val="nil" w:sz="6" w:space="0" w:color="auto"/>
                        </w:tcBorders>
                      </w:tcPr>
                      <w:p>
                        <w:pPr>
                          <w:pStyle w:val="TableParagraph"/>
                          <w:spacing w:line="275" w:lineRule="exact"/>
                          <w:ind w:right="570"/>
                          <w:jc w:val="right"/>
                          <w:rPr>
                            <w:rFonts w:ascii="宋体" w:hAnsi="宋体" w:cs="宋体" w:eastAsia="宋体" w:hint="default"/>
                            <w:sz w:val="24"/>
                            <w:szCs w:val="24"/>
                          </w:rPr>
                        </w:pPr>
                        <w:r>
                          <w:rPr>
                            <w:rFonts w:ascii="宋体" w:hAnsi="宋体" w:cs="宋体" w:eastAsia="宋体" w:hint="default"/>
                            <w:sz w:val="24"/>
                            <w:szCs w:val="24"/>
                          </w:rPr>
                          <w:t>境内法人股</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5" w:right="0"/>
                          <w:jc w:val="left"/>
                          <w:rPr>
                            <w:rFonts w:ascii="Times New Roman" w:hAnsi="Times New Roman" w:cs="Times New Roman" w:eastAsia="Times New Roman" w:hint="default"/>
                            <w:sz w:val="24"/>
                            <w:szCs w:val="24"/>
                          </w:rPr>
                        </w:pPr>
                        <w:r>
                          <w:rPr>
                            <w:rFonts w:ascii="Times New Roman"/>
                            <w:sz w:val="24"/>
                          </w:rPr>
                          <w:t>71,346,000</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69" w:right="0"/>
                          <w:jc w:val="center"/>
                          <w:rPr>
                            <w:rFonts w:ascii="Times New Roman" w:hAnsi="Times New Roman" w:cs="Times New Roman" w:eastAsia="Times New Roman" w:hint="default"/>
                            <w:sz w:val="24"/>
                            <w:szCs w:val="24"/>
                          </w:rPr>
                        </w:pPr>
                        <w:r>
                          <w:rPr>
                            <w:rFonts w:ascii="Times New Roman"/>
                            <w:sz w:val="24"/>
                          </w:rPr>
                          <w:t>74.14</w:t>
                        </w:r>
                      </w:p>
                    </w:tc>
                  </w:tr>
                  <w:tr>
                    <w:trPr>
                      <w:trHeight w:val="422" w:hRule="exact"/>
                    </w:trPr>
                    <w:tc>
                      <w:tcPr>
                        <w:tcW w:w="9613" w:type="dxa"/>
                        <w:gridSpan w:val="6"/>
                        <w:tcBorders>
                          <w:top w:val="nil" w:sz="6" w:space="0" w:color="auto"/>
                          <w:left w:val="nil" w:sz="6" w:space="0" w:color="auto"/>
                          <w:bottom w:val="nil" w:sz="6" w:space="0" w:color="auto"/>
                          <w:right w:val="nil" w:sz="6" w:space="0" w:color="auto"/>
                        </w:tcBorders>
                      </w:tcPr>
                      <w:p>
                        <w:pPr>
                          <w:pStyle w:val="TableParagraph"/>
                          <w:tabs>
                            <w:tab w:pos="2067" w:val="left" w:leader="none"/>
                            <w:tab w:pos="3859" w:val="left" w:leader="none"/>
                            <w:tab w:pos="4971" w:val="left" w:leader="none"/>
                            <w:tab w:pos="6927" w:val="left" w:leader="none"/>
                            <w:tab w:pos="9267" w:val="right" w:leader="none"/>
                          </w:tabs>
                          <w:spacing w:line="462" w:lineRule="exact"/>
                          <w:ind w:right="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pacing w:val="-108"/>
                            <w:sz w:val="24"/>
                            <w:szCs w:val="24"/>
                          </w:rPr>
                          <w:t>、</w:t>
                        </w:r>
                        <w:r>
                          <w:rPr>
                            <w:rFonts w:ascii="宋体" w:hAnsi="宋体" w:cs="宋体" w:eastAsia="宋体" w:hint="default"/>
                            <w:sz w:val="24"/>
                            <w:szCs w:val="24"/>
                          </w:rPr>
                          <w:t>流通股份合计</w:t>
                          <w:tab/>
                        </w:r>
                        <w:r>
                          <w:rPr>
                            <w:rFonts w:ascii="Times New Roman" w:hAnsi="Times New Roman" w:cs="Times New Roman" w:eastAsia="Times New Roman" w:hint="default"/>
                            <w:sz w:val="24"/>
                            <w:szCs w:val="24"/>
                          </w:rPr>
                          <w:t>19,140,000</w:t>
                          <w:tab/>
                          <w:t>21.15</w:t>
                          <w:tab/>
                        </w:r>
                        <w:r>
                          <w:rPr>
                            <w:rFonts w:ascii="Times New Roman" w:hAnsi="Times New Roman" w:cs="Times New Roman" w:eastAsia="Times New Roman" w:hint="default"/>
                            <w:position w:val="16"/>
                            <w:sz w:val="24"/>
                            <w:szCs w:val="24"/>
                          </w:rPr>
                          <w:t>2</w:t>
                        </w:r>
                        <w:r>
                          <w:rPr>
                            <w:rFonts w:ascii="宋体" w:hAnsi="宋体" w:cs="宋体" w:eastAsia="宋体" w:hint="default"/>
                            <w:position w:val="16"/>
                            <w:sz w:val="24"/>
                            <w:szCs w:val="24"/>
                          </w:rPr>
                          <w:t>、无限售条件</w:t>
                          <w:tab/>
                        </w:r>
                        <w:r>
                          <w:rPr>
                            <w:rFonts w:ascii="Times New Roman" w:hAnsi="Times New Roman" w:cs="Times New Roman" w:eastAsia="Times New Roman" w:hint="default"/>
                            <w:sz w:val="24"/>
                            <w:szCs w:val="24"/>
                          </w:rPr>
                          <w:t>24,882,000 </w:t>
                          <w:tab/>
                          <w:t>25.86</w:t>
                        </w:r>
                      </w:p>
                    </w:tc>
                  </w:tr>
                  <w:tr>
                    <w:trPr>
                      <w:trHeight w:val="227" w:hRule="exact"/>
                    </w:trPr>
                    <w:tc>
                      <w:tcPr>
                        <w:tcW w:w="1787" w:type="dxa"/>
                        <w:tcBorders>
                          <w:top w:val="nil" w:sz="6" w:space="0" w:color="auto"/>
                          <w:left w:val="nil" w:sz="6" w:space="0" w:color="auto"/>
                          <w:bottom w:val="nil" w:sz="6" w:space="0" w:color="auto"/>
                          <w:right w:val="nil" w:sz="6" w:space="0" w:color="auto"/>
                        </w:tcBorders>
                      </w:tcPr>
                      <w:p>
                        <w:pPr/>
                      </w:p>
                    </w:tc>
                    <w:tc>
                      <w:tcPr>
                        <w:tcW w:w="1562" w:type="dxa"/>
                        <w:tcBorders>
                          <w:top w:val="nil" w:sz="6" w:space="0" w:color="auto"/>
                          <w:left w:val="nil" w:sz="6" w:space="0" w:color="auto"/>
                          <w:bottom w:val="nil" w:sz="6" w:space="0" w:color="auto"/>
                          <w:right w:val="nil" w:sz="6" w:space="0" w:color="auto"/>
                        </w:tcBorders>
                      </w:tcPr>
                      <w:p>
                        <w:pPr/>
                      </w:p>
                    </w:tc>
                    <w:tc>
                      <w:tcPr>
                        <w:tcW w:w="1427" w:type="dxa"/>
                        <w:tcBorders>
                          <w:top w:val="nil" w:sz="6" w:space="0" w:color="auto"/>
                          <w:left w:val="nil" w:sz="6" w:space="0" w:color="auto"/>
                          <w:bottom w:val="nil" w:sz="6" w:space="0" w:color="auto"/>
                          <w:right w:val="nil" w:sz="6" w:space="0" w:color="auto"/>
                        </w:tcBorders>
                      </w:tcPr>
                      <w:p>
                        <w:pPr/>
                      </w:p>
                    </w:tc>
                    <w:tc>
                      <w:tcPr>
                        <w:tcW w:w="2147" w:type="dxa"/>
                        <w:tcBorders>
                          <w:top w:val="nil" w:sz="6" w:space="0" w:color="auto"/>
                          <w:left w:val="nil" w:sz="6" w:space="0" w:color="auto"/>
                          <w:bottom w:val="nil" w:sz="6" w:space="0" w:color="auto"/>
                          <w:right w:val="nil" w:sz="6" w:space="0" w:color="auto"/>
                        </w:tcBorders>
                      </w:tcPr>
                      <w:p>
                        <w:pPr>
                          <w:pStyle w:val="TableParagraph"/>
                          <w:spacing w:line="191" w:lineRule="exact"/>
                          <w:ind w:right="570"/>
                          <w:jc w:val="right"/>
                          <w:rPr>
                            <w:rFonts w:ascii="宋体" w:hAnsi="宋体" w:cs="宋体" w:eastAsia="宋体" w:hint="default"/>
                            <w:sz w:val="24"/>
                            <w:szCs w:val="24"/>
                          </w:rPr>
                        </w:pPr>
                        <w:r>
                          <w:rPr>
                            <w:rFonts w:ascii="宋体" w:hAnsi="宋体" w:cs="宋体" w:eastAsia="宋体" w:hint="default"/>
                            <w:sz w:val="24"/>
                            <w:szCs w:val="24"/>
                          </w:rPr>
                          <w:t>流通股合计</w:t>
                        </w:r>
                      </w:p>
                    </w:tc>
                    <w:tc>
                      <w:tcPr>
                        <w:tcW w:w="1290" w:type="dxa"/>
                        <w:tcBorders>
                          <w:top w:val="nil" w:sz="6" w:space="0" w:color="auto"/>
                          <w:left w:val="nil" w:sz="6" w:space="0" w:color="auto"/>
                          <w:bottom w:val="nil" w:sz="6" w:space="0" w:color="auto"/>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
                    </w:tc>
                  </w:tr>
                  <w:tr>
                    <w:trPr>
                      <w:trHeight w:val="318"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94" w:lineRule="exact"/>
                          <w:ind w:left="579"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A</w:t>
                        </w:r>
                        <w:r>
                          <w:rPr>
                            <w:rFonts w:ascii="Times New Roman" w:hAnsi="Times New Roman" w:cs="Times New Roman" w:eastAsia="Times New Roman" w:hint="default"/>
                            <w:spacing w:val="58"/>
                            <w:sz w:val="24"/>
                            <w:szCs w:val="24"/>
                          </w:rPr>
                          <w:t> </w:t>
                        </w:r>
                        <w:r>
                          <w:rPr>
                            <w:rFonts w:ascii="宋体" w:hAnsi="宋体" w:cs="宋体" w:eastAsia="宋体" w:hint="default"/>
                            <w:sz w:val="24"/>
                            <w:szCs w:val="24"/>
                          </w:rPr>
                          <w:t>股</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0"/>
                          <w:jc w:val="right"/>
                          <w:rPr>
                            <w:rFonts w:ascii="Times New Roman" w:hAnsi="Times New Roman" w:cs="Times New Roman" w:eastAsia="Times New Roman" w:hint="default"/>
                            <w:sz w:val="24"/>
                            <w:szCs w:val="24"/>
                          </w:rPr>
                        </w:pPr>
                        <w:r>
                          <w:rPr>
                            <w:rFonts w:ascii="Times New Roman"/>
                            <w:sz w:val="24"/>
                          </w:rPr>
                          <w:t>19,140,000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74"/>
                          <w:jc w:val="right"/>
                          <w:rPr>
                            <w:rFonts w:ascii="Times New Roman" w:hAnsi="Times New Roman" w:cs="Times New Roman" w:eastAsia="Times New Roman" w:hint="default"/>
                            <w:sz w:val="24"/>
                            <w:szCs w:val="24"/>
                          </w:rPr>
                        </w:pPr>
                        <w:r>
                          <w:rPr>
                            <w:rFonts w:ascii="Times New Roman"/>
                            <w:sz w:val="24"/>
                          </w:rPr>
                          <w:t>21.15</w:t>
                        </w:r>
                      </w:p>
                    </w:tc>
                    <w:tc>
                      <w:tcPr>
                        <w:tcW w:w="2147" w:type="dxa"/>
                        <w:tcBorders>
                          <w:top w:val="nil" w:sz="6" w:space="0" w:color="auto"/>
                          <w:left w:val="nil" w:sz="6" w:space="0" w:color="auto"/>
                          <w:bottom w:val="nil" w:sz="6" w:space="0" w:color="auto"/>
                          <w:right w:val="nil" w:sz="6" w:space="0" w:color="auto"/>
                        </w:tcBorders>
                      </w:tcPr>
                      <w:p>
                        <w:pPr>
                          <w:pStyle w:val="TableParagraph"/>
                          <w:spacing w:line="294" w:lineRule="exact"/>
                          <w:ind w:left="709"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A</w:t>
                        </w:r>
                        <w:r>
                          <w:rPr>
                            <w:rFonts w:ascii="Times New Roman" w:hAnsi="Times New Roman" w:cs="Times New Roman" w:eastAsia="Times New Roman" w:hint="default"/>
                            <w:spacing w:val="58"/>
                            <w:sz w:val="24"/>
                            <w:szCs w:val="24"/>
                          </w:rPr>
                          <w:t> </w:t>
                        </w:r>
                        <w:r>
                          <w:rPr>
                            <w:rFonts w:ascii="宋体" w:hAnsi="宋体" w:cs="宋体" w:eastAsia="宋体" w:hint="default"/>
                            <w:sz w:val="24"/>
                            <w:szCs w:val="24"/>
                          </w:rPr>
                          <w:t>股</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5" w:right="0"/>
                          <w:jc w:val="left"/>
                          <w:rPr>
                            <w:rFonts w:ascii="Times New Roman" w:hAnsi="Times New Roman" w:cs="Times New Roman" w:eastAsia="Times New Roman" w:hint="default"/>
                            <w:sz w:val="24"/>
                            <w:szCs w:val="24"/>
                          </w:rPr>
                        </w:pPr>
                        <w:r>
                          <w:rPr>
                            <w:rFonts w:ascii="Times New Roman"/>
                            <w:sz w:val="24"/>
                          </w:rPr>
                          <w:t>24,882,000</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69" w:right="0"/>
                          <w:jc w:val="center"/>
                          <w:rPr>
                            <w:rFonts w:ascii="Times New Roman" w:hAnsi="Times New Roman" w:cs="Times New Roman" w:eastAsia="Times New Roman" w:hint="default"/>
                            <w:sz w:val="24"/>
                            <w:szCs w:val="24"/>
                          </w:rPr>
                        </w:pPr>
                        <w:r>
                          <w:rPr>
                            <w:rFonts w:ascii="Times New Roman"/>
                            <w:sz w:val="24"/>
                          </w:rPr>
                          <w:t>25.86</w:t>
                        </w:r>
                      </w:p>
                    </w:tc>
                  </w:tr>
                  <w:tr>
                    <w:trPr>
                      <w:trHeight w:val="383"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88" w:lineRule="exact"/>
                          <w:ind w:left="18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、股份总数</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00"/>
                          <w:jc w:val="right"/>
                          <w:rPr>
                            <w:rFonts w:ascii="Times New Roman" w:hAnsi="Times New Roman" w:cs="Times New Roman" w:eastAsia="Times New Roman" w:hint="default"/>
                            <w:sz w:val="24"/>
                            <w:szCs w:val="24"/>
                          </w:rPr>
                        </w:pPr>
                        <w:r>
                          <w:rPr>
                            <w:rFonts w:ascii="Times New Roman"/>
                            <w:sz w:val="24"/>
                          </w:rPr>
                          <w:t>90,486,000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14"/>
                          <w:jc w:val="right"/>
                          <w:rPr>
                            <w:rFonts w:ascii="Times New Roman" w:hAnsi="Times New Roman" w:cs="Times New Roman" w:eastAsia="Times New Roman" w:hint="default"/>
                            <w:sz w:val="24"/>
                            <w:szCs w:val="24"/>
                          </w:rPr>
                        </w:pPr>
                        <w:r>
                          <w:rPr>
                            <w:rFonts w:ascii="Times New Roman"/>
                            <w:sz w:val="24"/>
                          </w:rPr>
                          <w:t>100.00</w:t>
                        </w:r>
                      </w:p>
                    </w:tc>
                    <w:tc>
                      <w:tcPr>
                        <w:tcW w:w="2147" w:type="dxa"/>
                        <w:tcBorders>
                          <w:top w:val="nil" w:sz="6" w:space="0" w:color="auto"/>
                          <w:left w:val="nil" w:sz="6" w:space="0" w:color="auto"/>
                          <w:bottom w:val="nil" w:sz="6" w:space="0" w:color="auto"/>
                          <w:right w:val="nil" w:sz="6" w:space="0" w:color="auto"/>
                        </w:tcBorders>
                      </w:tcPr>
                      <w:p>
                        <w:pPr>
                          <w:pStyle w:val="TableParagraph"/>
                          <w:spacing w:line="288" w:lineRule="exact"/>
                          <w:ind w:right="510"/>
                          <w:jc w:val="righ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、股份总数</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8"/>
                          <w:ind w:left="5" w:right="0"/>
                          <w:jc w:val="left"/>
                          <w:rPr>
                            <w:rFonts w:ascii="Times New Roman" w:hAnsi="Times New Roman" w:cs="Times New Roman" w:eastAsia="Times New Roman" w:hint="default"/>
                            <w:sz w:val="24"/>
                            <w:szCs w:val="24"/>
                          </w:rPr>
                        </w:pPr>
                        <w:r>
                          <w:rPr>
                            <w:rFonts w:ascii="Times New Roman"/>
                            <w:sz w:val="24"/>
                          </w:rPr>
                          <w:t>96,228,000</w:t>
                        </w:r>
                      </w:p>
                    </w:tc>
                    <w:tc>
                      <w:tcPr>
                        <w:tcW w:w="1401" w:type="dxa"/>
                        <w:tcBorders>
                          <w:top w:val="nil" w:sz="6" w:space="0" w:color="auto"/>
                          <w:left w:val="nil" w:sz="6" w:space="0" w:color="auto"/>
                          <w:bottom w:val="nil" w:sz="6" w:space="0" w:color="auto"/>
                          <w:right w:val="nil" w:sz="6" w:space="0" w:color="auto"/>
                        </w:tcBorders>
                      </w:tcPr>
                      <w:p>
                        <w:pPr>
                          <w:pStyle w:val="TableParagraph"/>
                          <w:spacing w:line="288" w:lineRule="exact"/>
                          <w:ind w:left="168" w:right="0"/>
                          <w:jc w:val="center"/>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100</w:t>
                        </w:r>
                        <w:r>
                          <w:rPr>
                            <w:rFonts w:ascii="宋体" w:hAnsi="宋体" w:cs="宋体" w:eastAsia="宋体" w:hint="default"/>
                            <w:sz w:val="24"/>
                            <w:szCs w:val="24"/>
                          </w:rPr>
                          <w:t>．</w:t>
                        </w:r>
                        <w:r>
                          <w:rPr>
                            <w:rFonts w:ascii="Times New Roman" w:hAnsi="Times New Roman" w:cs="Times New Roman" w:eastAsia="Times New Roman" w:hint="default"/>
                            <w:sz w:val="24"/>
                            <w:szCs w:val="24"/>
                          </w:rPr>
                          <w:t>00</w:t>
                        </w:r>
                      </w:p>
                    </w:tc>
                  </w:tr>
                </w:tbl>
                <w:p>
                  <w:pPr/>
                </w:p>
              </w:txbxContent>
            </v:textbox>
            <w10:wrap type="none"/>
          </v:shape>
        </w:pict>
      </w:r>
      <w:r>
        <w:rPr>
          <w:rFonts w:ascii="Times New Roman" w:hAnsi="Times New Roman" w:cs="Times New Roman" w:eastAsia="Times New Roman" w:hint="default"/>
        </w:rPr>
        <w:t>1</w:t>
      </w:r>
      <w:r>
        <w:rPr>
          <w:spacing w:val="-108"/>
        </w:rPr>
        <w:t>、</w:t>
      </w:r>
      <w:r>
        <w:rPr/>
        <w:t>未上市流通股</w:t>
        <w:tab/>
      </w:r>
      <w:r>
        <w:rPr>
          <w:rFonts w:ascii="Times New Roman" w:hAnsi="Times New Roman" w:cs="Times New Roman" w:eastAsia="Times New Roman" w:hint="default"/>
        </w:rPr>
        <w:t>1</w:t>
      </w:r>
      <w:r>
        <w:rPr/>
        <w:t>、有限售条件</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0"/>
          <w:szCs w:val="20"/>
        </w:rPr>
      </w:pPr>
    </w:p>
    <w:p>
      <w:pPr>
        <w:pStyle w:val="BodyText"/>
        <w:spacing w:line="338" w:lineRule="auto" w:before="26"/>
        <w:ind w:right="706"/>
        <w:jc w:val="left"/>
      </w:pPr>
      <w:r>
        <w:rPr>
          <w:rFonts w:ascii="Times New Roman" w:hAnsi="Times New Roman" w:cs="Times New Roman" w:eastAsia="Times New Roman" w:hint="default"/>
        </w:rPr>
        <w:t>6</w:t>
      </w:r>
      <w:r>
        <w:rPr/>
        <w:t>、根据股权分置改革方案的承诺，亚星实业分别于2008年9月27日和2008年9月28日将 青岛广顺83%的股权及兖州海情90%的股权过户至本公司名下。</w:t>
      </w:r>
    </w:p>
    <w:p>
      <w:pPr>
        <w:spacing w:after="0" w:line="338" w:lineRule="auto"/>
        <w:jc w:val="left"/>
        <w:sectPr>
          <w:pgSz w:w="11910" w:h="16840"/>
          <w:pgMar w:header="0" w:footer="594" w:top="1500" w:bottom="800" w:left="1300" w:right="760"/>
        </w:sectPr>
      </w:pPr>
    </w:p>
    <w:p>
      <w:pPr>
        <w:pStyle w:val="BodyText"/>
        <w:spacing w:line="348" w:lineRule="auto" w:before="13"/>
        <w:ind w:right="111"/>
        <w:jc w:val="left"/>
      </w:pPr>
      <w:r>
        <w:rPr>
          <w:rFonts w:ascii="Times New Roman" w:hAnsi="Times New Roman" w:cs="Times New Roman" w:eastAsia="Times New Roman" w:hint="default"/>
          <w:spacing w:val="-2"/>
        </w:rPr>
        <w:t>7</w:t>
      </w:r>
      <w:r>
        <w:rPr>
          <w:spacing w:val="-2"/>
        </w:rPr>
        <w:t>、</w:t>
      </w:r>
      <w:r>
        <w:rPr>
          <w:rFonts w:ascii="Times New Roman" w:hAnsi="Times New Roman" w:cs="Times New Roman" w:eastAsia="Times New Roman" w:hint="default"/>
          <w:spacing w:val="-2"/>
        </w:rPr>
        <w:t>2009</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28</w:t>
      </w:r>
      <w:r>
        <w:rPr>
          <w:spacing w:val="-2"/>
        </w:rPr>
        <w:t>日，亚星实业取得了中国证监会《关于核准青岛亚星实业有限公司公告</w:t>
      </w:r>
      <w:r>
        <w:rPr>
          <w:spacing w:val="-87"/>
        </w:rPr>
        <w:t> </w:t>
      </w:r>
      <w:r>
        <w:rPr>
          <w:spacing w:val="-87"/>
        </w:rPr>
      </w:r>
      <w:r>
        <w:rPr/>
        <w:t>深圳大通实业股份有限公司收购报告书并豁免其要约收购义务的批复》。 </w:t>
      </w:r>
      <w:r>
        <w:rPr>
          <w:rFonts w:ascii="Times New Roman" w:hAnsi="Times New Roman" w:cs="Times New Roman" w:eastAsia="Times New Roman" w:hint="default"/>
        </w:rPr>
        <w:t>8</w:t>
      </w:r>
      <w:r>
        <w:rPr/>
        <w:t>、</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30</w:t>
      </w:r>
      <w:r>
        <w:rPr/>
        <w:t>日，本公司发布了股权分置改革实施公告，</w:t>
      </w:r>
    </w:p>
    <w:p>
      <w:pPr>
        <w:spacing w:line="240" w:lineRule="auto" w:before="0"/>
        <w:rPr>
          <w:rFonts w:ascii="宋体" w:hAnsi="宋体" w:cs="宋体" w:eastAsia="宋体" w:hint="default"/>
          <w:sz w:val="24"/>
          <w:szCs w:val="24"/>
        </w:rPr>
      </w:pPr>
    </w:p>
    <w:p>
      <w:pPr>
        <w:pStyle w:val="BodyText"/>
        <w:spacing w:line="357" w:lineRule="auto" w:before="170"/>
        <w:ind w:left="478" w:right="286" w:hanging="360"/>
        <w:jc w:val="left"/>
      </w:pPr>
      <w:r>
        <w:rPr/>
        <w:t>（十）聘任会计师事务所及支付报酬情况 报告期内，由公司第六届董事会第十一次会议提议，公司</w:t>
      </w:r>
      <w:r>
        <w:rPr>
          <w:rFonts w:ascii="Times New Roman" w:hAnsi="Times New Roman" w:cs="Times New Roman" w:eastAsia="Times New Roman" w:hint="default"/>
        </w:rPr>
        <w:t>2008</w:t>
      </w:r>
      <w:r>
        <w:rPr/>
        <w:t>年年度股东大会审议</w:t>
      </w:r>
    </w:p>
    <w:p>
      <w:pPr>
        <w:pStyle w:val="BodyText"/>
        <w:spacing w:line="357" w:lineRule="auto" w:before="5"/>
        <w:ind w:right="111"/>
        <w:jc w:val="left"/>
      </w:pPr>
      <w:r>
        <w:rPr>
          <w:spacing w:val="-2"/>
        </w:rPr>
        <w:t>通过，续聘深圳市鹏城会计师事务所有限公司为公司的审计机构。报告期内支付审计费</w:t>
      </w:r>
      <w:r>
        <w:rPr>
          <w:spacing w:val="-96"/>
        </w:rPr>
        <w:t> </w:t>
      </w:r>
      <w:r>
        <w:rPr>
          <w:spacing w:val="-96"/>
        </w:rPr>
      </w:r>
      <w:r>
        <w:rPr/>
        <w:t>用</w:t>
      </w:r>
      <w:r>
        <w:rPr>
          <w:rFonts w:ascii="Times New Roman" w:hAnsi="Times New Roman" w:cs="Times New Roman" w:eastAsia="Times New Roman" w:hint="default"/>
        </w:rPr>
        <w:t>20</w:t>
      </w:r>
      <w:r>
        <w:rPr/>
        <w:t>万元，该所已连续为公司服务</w:t>
      </w:r>
      <w:r>
        <w:rPr>
          <w:rFonts w:ascii="Times New Roman" w:hAnsi="Times New Roman" w:cs="Times New Roman" w:eastAsia="Times New Roman" w:hint="default"/>
        </w:rPr>
        <w:t>8</w:t>
      </w:r>
      <w:r>
        <w:rPr/>
        <w:t>年。</w:t>
      </w:r>
    </w:p>
    <w:p>
      <w:pPr>
        <w:pStyle w:val="BodyText"/>
        <w:spacing w:line="240" w:lineRule="auto" w:before="5"/>
        <w:ind w:right="111"/>
        <w:jc w:val="left"/>
      </w:pPr>
      <w:r>
        <w:rPr/>
        <w:t>（十一）报告期内，公司无证券投资及相关事项</w:t>
      </w:r>
    </w:p>
    <w:p>
      <w:pPr>
        <w:pStyle w:val="BodyText"/>
        <w:spacing w:line="357" w:lineRule="auto" w:before="154"/>
        <w:ind w:right="111"/>
        <w:jc w:val="left"/>
      </w:pPr>
      <w:r>
        <w:rPr>
          <w:spacing w:val="-5"/>
        </w:rPr>
        <w:t>（十二）报告期内公司、公司董事会及董事未受中国证监会稽查、中国证监会行政处罚、</w:t>
      </w:r>
      <w:r>
        <w:rPr>
          <w:spacing w:val="-96"/>
        </w:rPr>
        <w:t> </w:t>
      </w:r>
      <w:r>
        <w:rPr>
          <w:spacing w:val="-96"/>
        </w:rPr>
      </w:r>
      <w:r>
        <w:rPr/>
        <w:t>通报批评、证券交易所公开谴责。</w:t>
      </w:r>
    </w:p>
    <w:p>
      <w:pPr>
        <w:pStyle w:val="BodyText"/>
        <w:spacing w:line="240" w:lineRule="auto" w:before="36"/>
        <w:ind w:right="111"/>
        <w:jc w:val="left"/>
      </w:pPr>
      <w:r>
        <w:rPr/>
        <w:t>（十三）报告期内公司控股股东没有变更。</w:t>
      </w:r>
    </w:p>
    <w:p>
      <w:pPr>
        <w:pStyle w:val="BodyText"/>
        <w:spacing w:line="240" w:lineRule="auto" w:before="154"/>
        <w:ind w:right="111"/>
        <w:jc w:val="left"/>
      </w:pPr>
      <w:r>
        <w:rPr/>
        <w:t>（十四）报告期内公司无更改名称或股票简称的情况。</w:t>
      </w:r>
    </w:p>
    <w:p>
      <w:pPr>
        <w:pStyle w:val="BodyText"/>
        <w:spacing w:line="357" w:lineRule="auto" w:before="154"/>
        <w:ind w:left="598" w:right="111" w:hanging="480"/>
        <w:jc w:val="left"/>
      </w:pPr>
      <w:r>
        <w:rPr/>
        <w:t>（十五）公司接待调研及采访情况 报告期内，公司未接待行业研究员、基金经理、记者的采访或咨询。 </w:t>
      </w:r>
      <w:r>
        <w:rPr>
          <w:spacing w:val="-2"/>
        </w:rPr>
        <w:t>公司在中小投资者咨询时，公司及相关信息披露义务人严格遵循《上市公司公平信</w:t>
      </w:r>
    </w:p>
    <w:p>
      <w:pPr>
        <w:pStyle w:val="BodyText"/>
        <w:spacing w:line="357" w:lineRule="auto" w:before="36"/>
        <w:ind w:right="111"/>
        <w:jc w:val="left"/>
      </w:pPr>
      <w:r>
        <w:rPr>
          <w:spacing w:val="-3"/>
        </w:rPr>
        <w:t>息指引》的有关规定，未有实行差别对待政策，未有选择地、私下地提前向特定对象披</w:t>
      </w:r>
      <w:r>
        <w:rPr>
          <w:spacing w:val="-88"/>
        </w:rPr>
        <w:t> </w:t>
      </w:r>
      <w:r>
        <w:rPr>
          <w:spacing w:val="-88"/>
        </w:rPr>
      </w:r>
      <w:r>
        <w:rPr/>
        <w:t>露、透露或泄露非公开信息的情形。</w:t>
      </w:r>
    </w:p>
    <w:p>
      <w:pPr>
        <w:pStyle w:val="BodyText"/>
        <w:spacing w:line="240" w:lineRule="auto" w:before="36"/>
        <w:ind w:right="111"/>
        <w:jc w:val="left"/>
      </w:pPr>
      <w:r>
        <w:rPr/>
        <w:t>（十六）报告期内公司履行社会责任情况</w:t>
      </w:r>
    </w:p>
    <w:p>
      <w:pPr>
        <w:pStyle w:val="BodyText"/>
        <w:spacing w:line="338" w:lineRule="auto" w:before="154"/>
        <w:ind w:left="718" w:right="286" w:hanging="180"/>
        <w:jc w:val="left"/>
      </w:pPr>
      <w:r>
        <w:rPr>
          <w:rFonts w:ascii="Times New Roman" w:hAnsi="Times New Roman" w:cs="Times New Roman" w:eastAsia="Times New Roman" w:hint="default"/>
        </w:rPr>
        <w:t>1</w:t>
      </w:r>
      <w:r>
        <w:rPr/>
        <w:t>、股东和债权人权益保护 公司注重规范公司运作，不断完善治理结构，董事会负责公司的决策和方向，经</w:t>
      </w:r>
    </w:p>
    <w:p>
      <w:pPr>
        <w:pStyle w:val="BodyText"/>
        <w:spacing w:line="357" w:lineRule="auto" w:before="55"/>
        <w:ind w:right="232"/>
        <w:jc w:val="both"/>
      </w:pPr>
      <w:r>
        <w:rPr>
          <w:spacing w:val="-2"/>
        </w:rPr>
        <w:t>理层负责公司的生产经营日常管理；根据上市公司的管理要求，成立了监事会，履行管</w:t>
      </w:r>
      <w:r>
        <w:rPr>
          <w:spacing w:val="-95"/>
        </w:rPr>
        <w:t> </w:t>
      </w:r>
      <w:r>
        <w:rPr>
          <w:spacing w:val="-95"/>
        </w:rPr>
      </w:r>
      <w:r>
        <w:rPr>
          <w:spacing w:val="-2"/>
        </w:rPr>
        <w:t>理监督职责；公司设立审计委员会，对公司的经营管行使监督权，并不断从管理体系上</w:t>
      </w:r>
      <w:r>
        <w:rPr>
          <w:spacing w:val="-95"/>
        </w:rPr>
        <w:t> </w:t>
      </w:r>
      <w:r>
        <w:rPr>
          <w:spacing w:val="-95"/>
        </w:rPr>
      </w:r>
      <w:r>
        <w:rPr>
          <w:spacing w:val="-2"/>
        </w:rPr>
        <w:t>完善对公司经营运行的监督管理；公司严格执行独立审计，积极保护股东和相关方的利</w:t>
      </w:r>
      <w:r>
        <w:rPr>
          <w:spacing w:val="-96"/>
        </w:rPr>
        <w:t> </w:t>
      </w:r>
      <w:r>
        <w:rPr>
          <w:spacing w:val="-96"/>
        </w:rPr>
      </w:r>
      <w:r>
        <w:rPr>
          <w:spacing w:val="-3"/>
        </w:rPr>
        <w:t>益。并通过多种方式保障所有股东享有法律、法规、规章所规定的各项合法权益。公司</w:t>
      </w:r>
      <w:r>
        <w:rPr>
          <w:spacing w:val="-88"/>
        </w:rPr>
        <w:t> </w:t>
      </w:r>
      <w:r>
        <w:rPr>
          <w:spacing w:val="-88"/>
        </w:rPr>
      </w:r>
      <w:r>
        <w:rPr>
          <w:spacing w:val="-2"/>
        </w:rPr>
        <w:t>依据《上市公司股东大会议事规则》的要求制定了公司的《股东大会议事规则》，并依</w:t>
      </w:r>
      <w:r>
        <w:rPr>
          <w:spacing w:val="-96"/>
        </w:rPr>
        <w:t> </w:t>
      </w:r>
      <w:r>
        <w:rPr>
          <w:spacing w:val="-96"/>
        </w:rPr>
      </w:r>
      <w:r>
        <w:rPr>
          <w:spacing w:val="-3"/>
        </w:rPr>
        <w:t>据相关法律、法规和公司章程的有关规定，制定了《信息披露管理制度》。公司依法召</w:t>
      </w:r>
      <w:r>
        <w:rPr>
          <w:spacing w:val="-88"/>
        </w:rPr>
        <w:t> </w:t>
      </w:r>
      <w:r>
        <w:rPr>
          <w:spacing w:val="-88"/>
        </w:rPr>
      </w:r>
      <w:r>
        <w:rPr>
          <w:spacing w:val="-3"/>
        </w:rPr>
        <w:t>集、召开股东大会，有效规范公司信息披露行为，确保信息披露的公平性，保护投资者</w:t>
      </w:r>
      <w:r>
        <w:rPr>
          <w:spacing w:val="-88"/>
        </w:rPr>
        <w:t> </w:t>
      </w:r>
      <w:r>
        <w:rPr>
          <w:spacing w:val="-88"/>
        </w:rPr>
      </w:r>
      <w:r>
        <w:rPr/>
        <w:t>的合法权益；公平对待所有股东，平等对待所有股东，保障股东能够充分行使权利。</w:t>
      </w:r>
    </w:p>
    <w:p>
      <w:pPr>
        <w:spacing w:after="0" w:line="357" w:lineRule="auto"/>
        <w:jc w:val="both"/>
        <w:sectPr>
          <w:pgSz w:w="11910" w:h="16840"/>
          <w:pgMar w:header="0" w:footer="594" w:top="1500" w:bottom="800" w:left="1300" w:right="1180"/>
        </w:sectPr>
      </w:pPr>
    </w:p>
    <w:p>
      <w:pPr>
        <w:pStyle w:val="BodyText"/>
        <w:spacing w:line="357" w:lineRule="auto" w:before="13"/>
        <w:ind w:left="438" w:right="434" w:firstLine="360"/>
        <w:jc w:val="both"/>
      </w:pPr>
      <w:r>
        <w:rPr/>
        <w:t>公司通过多种有效措施或途径确保公司财务稳健与公司资产、资金安全，在追求股 </w:t>
      </w:r>
      <w:r>
        <w:rPr>
          <w:spacing w:val="-2"/>
        </w:rPr>
        <w:t>东利益最大化的同时兼顾债权人的利益，在公司的各项重大经营决策过程中充分考虑了</w:t>
      </w:r>
      <w:r>
        <w:rPr>
          <w:spacing w:val="-95"/>
        </w:rPr>
        <w:t> </w:t>
      </w:r>
      <w:r>
        <w:rPr>
          <w:spacing w:val="-95"/>
        </w:rPr>
      </w:r>
      <w:r>
        <w:rPr/>
        <w:t>债权人的合法权益。</w:t>
      </w:r>
    </w:p>
    <w:p>
      <w:pPr>
        <w:pStyle w:val="BodyText"/>
        <w:spacing w:line="338" w:lineRule="auto" w:before="36"/>
        <w:ind w:left="798" w:right="486" w:hanging="360"/>
        <w:jc w:val="left"/>
      </w:pPr>
      <w:r>
        <w:rPr>
          <w:rFonts w:ascii="Times New Roman" w:hAnsi="Times New Roman" w:cs="Times New Roman" w:eastAsia="Times New Roman" w:hint="default"/>
        </w:rPr>
        <w:t>2</w:t>
      </w:r>
      <w:r>
        <w:rPr/>
        <w:t>、职工权益保护 公司一直以来关注保护员工的合法权益，严格按照劳动法规定在员工入职时与新员</w:t>
      </w:r>
    </w:p>
    <w:p>
      <w:pPr>
        <w:pStyle w:val="BodyText"/>
        <w:spacing w:line="350" w:lineRule="auto" w:before="55"/>
        <w:ind w:left="438" w:right="357"/>
        <w:jc w:val="left"/>
      </w:pPr>
      <w:r>
        <w:rPr>
          <w:spacing w:val="-2"/>
        </w:rPr>
        <w:t>工建立劳动关系、签订劳动合同，并到深圳市相关劳动部门办理用工登记手续。为了维</w:t>
      </w:r>
      <w:r>
        <w:rPr>
          <w:spacing w:val="-95"/>
        </w:rPr>
        <w:t> </w:t>
      </w:r>
      <w:r>
        <w:rPr>
          <w:spacing w:val="-95"/>
        </w:rPr>
      </w:r>
      <w:r>
        <w:rPr/>
        <w:t>护员工权益。公司还依照《劳动法》，为员工交纳社会保险。 </w:t>
      </w:r>
      <w:r>
        <w:rPr>
          <w:rFonts w:ascii="Times New Roman" w:hAnsi="Times New Roman" w:cs="Times New Roman" w:eastAsia="Times New Roman" w:hint="default"/>
        </w:rPr>
        <w:t>3</w:t>
      </w:r>
      <w:r>
        <w:rPr/>
        <w:t>、鉴于报告期内公司处于重组的过渡期内，公司无法作出更多的社会贡献，但随着公 司的重组成功，公司将努力承担更多的社会责任，为社会作出更大的贡献。</w:t>
      </w:r>
    </w:p>
    <w:p>
      <w:pPr>
        <w:spacing w:line="240" w:lineRule="auto" w:before="0"/>
        <w:rPr>
          <w:rFonts w:ascii="宋体" w:hAnsi="宋体" w:cs="宋体" w:eastAsia="宋体" w:hint="default"/>
          <w:sz w:val="24"/>
          <w:szCs w:val="24"/>
        </w:rPr>
      </w:pPr>
    </w:p>
    <w:p>
      <w:pPr>
        <w:pStyle w:val="BodyText"/>
        <w:spacing w:line="240" w:lineRule="auto" w:before="197"/>
        <w:ind w:left="438" w:right="486"/>
        <w:jc w:val="left"/>
      </w:pPr>
      <w:r>
        <w:rPr/>
        <w:t>（十七）报告期内临时公告信息披露索引</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tbl>
      <w:tblPr>
        <w:tblW w:w="0" w:type="auto"/>
        <w:jc w:val="left"/>
        <w:tblInd w:w="119" w:type="dxa"/>
        <w:tblLayout w:type="fixed"/>
        <w:tblCellMar>
          <w:top w:w="0" w:type="dxa"/>
          <w:left w:w="0" w:type="dxa"/>
          <w:bottom w:w="0" w:type="dxa"/>
          <w:right w:w="0" w:type="dxa"/>
        </w:tblCellMar>
        <w:tblLook w:val="01E0"/>
      </w:tblPr>
      <w:tblGrid>
        <w:gridCol w:w="1176"/>
        <w:gridCol w:w="1336"/>
        <w:gridCol w:w="2528"/>
        <w:gridCol w:w="1784"/>
        <w:gridCol w:w="2874"/>
      </w:tblGrid>
      <w:tr>
        <w:trPr>
          <w:trHeight w:val="947"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408" w:lineRule="auto" w:before="63"/>
              <w:ind w:left="371" w:right="372"/>
              <w:jc w:val="left"/>
              <w:rPr>
                <w:rFonts w:ascii="宋体" w:hAnsi="宋体" w:cs="宋体" w:eastAsia="宋体" w:hint="default"/>
                <w:sz w:val="21"/>
                <w:szCs w:val="21"/>
              </w:rPr>
            </w:pPr>
            <w:r>
              <w:rPr>
                <w:rFonts w:ascii="宋体" w:hAnsi="宋体" w:cs="宋体" w:eastAsia="宋体" w:hint="default"/>
                <w:sz w:val="21"/>
                <w:szCs w:val="21"/>
              </w:rPr>
              <w:t>公告 编号</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242" w:right="0"/>
              <w:jc w:val="left"/>
              <w:rPr>
                <w:rFonts w:ascii="宋体" w:hAnsi="宋体" w:cs="宋体" w:eastAsia="宋体" w:hint="default"/>
                <w:sz w:val="21"/>
                <w:szCs w:val="21"/>
              </w:rPr>
            </w:pPr>
            <w:r>
              <w:rPr>
                <w:rFonts w:ascii="宋体" w:hAnsi="宋体" w:cs="宋体" w:eastAsia="宋体" w:hint="default"/>
                <w:sz w:val="21"/>
                <w:szCs w:val="21"/>
              </w:rPr>
              <w:t>公告日期</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838" w:right="0"/>
              <w:jc w:val="left"/>
              <w:rPr>
                <w:rFonts w:ascii="宋体" w:hAnsi="宋体" w:cs="宋体" w:eastAsia="宋体" w:hint="default"/>
                <w:sz w:val="21"/>
                <w:szCs w:val="21"/>
              </w:rPr>
            </w:pPr>
            <w:r>
              <w:rPr>
                <w:rFonts w:ascii="宋体" w:hAnsi="宋体" w:cs="宋体" w:eastAsia="宋体" w:hint="default"/>
                <w:sz w:val="21"/>
                <w:szCs w:val="21"/>
              </w:rPr>
              <w:t>公告内容</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466" w:right="0"/>
              <w:jc w:val="left"/>
              <w:rPr>
                <w:rFonts w:ascii="宋体" w:hAnsi="宋体" w:cs="宋体" w:eastAsia="宋体" w:hint="default"/>
                <w:sz w:val="21"/>
                <w:szCs w:val="21"/>
              </w:rPr>
            </w:pPr>
            <w:r>
              <w:rPr>
                <w:rFonts w:ascii="宋体" w:hAnsi="宋体" w:cs="宋体" w:eastAsia="宋体" w:hint="default"/>
                <w:sz w:val="21"/>
                <w:szCs w:val="21"/>
              </w:rPr>
              <w:t>披露报刊</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披露网站</w:t>
            </w:r>
          </w:p>
        </w:tc>
      </w:tr>
      <w:tr>
        <w:trPr>
          <w:trHeight w:val="739"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2008-001</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2008-1-7</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股改进展的风险提示性公</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告</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947"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2008-002</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hanging="1"/>
              <w:jc w:val="left"/>
              <w:rPr>
                <w:rFonts w:ascii="宋体" w:hAnsi="宋体" w:cs="宋体" w:eastAsia="宋体" w:hint="default"/>
                <w:sz w:val="21"/>
                <w:szCs w:val="21"/>
              </w:rPr>
            </w:pPr>
            <w:r>
              <w:rPr>
                <w:rFonts w:ascii="宋体" w:hAnsi="宋体" w:cs="宋体" w:eastAsia="宋体" w:hint="default"/>
                <w:sz w:val="21"/>
                <w:szCs w:val="21"/>
              </w:rPr>
              <w:t>关于召开 </w:t>
            </w:r>
            <w:r>
              <w:rPr>
                <w:rFonts w:ascii="Times New Roman" w:hAnsi="Times New Roman" w:cs="Times New Roman" w:eastAsia="Times New Roman" w:hint="default"/>
                <w:sz w:val="21"/>
                <w:szCs w:val="21"/>
              </w:rPr>
              <w:t>2008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年度第一</w:t>
            </w:r>
          </w:p>
          <w:p>
            <w:pPr>
              <w:pStyle w:val="TableParagraph"/>
              <w:spacing w:line="273" w:lineRule="auto" w:before="21"/>
              <w:ind w:left="103" w:right="101"/>
              <w:jc w:val="left"/>
              <w:rPr>
                <w:rFonts w:ascii="宋体" w:hAnsi="宋体" w:cs="宋体" w:eastAsia="宋体" w:hint="default"/>
                <w:sz w:val="21"/>
                <w:szCs w:val="21"/>
              </w:rPr>
            </w:pPr>
            <w:r>
              <w:rPr>
                <w:rFonts w:ascii="宋体" w:hAnsi="宋体" w:cs="宋体" w:eastAsia="宋体" w:hint="default"/>
                <w:sz w:val="21"/>
                <w:szCs w:val="21"/>
              </w:rPr>
              <w:t>次临时股东大会暨股权分 置相关股东会议通知公告</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946"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2008-003</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关于公司为恢复股票上市</w:t>
            </w:r>
          </w:p>
          <w:p>
            <w:pPr>
              <w:pStyle w:val="TableParagraph"/>
              <w:spacing w:line="273" w:lineRule="auto" w:before="37"/>
              <w:ind w:left="103" w:right="103"/>
              <w:jc w:val="left"/>
              <w:rPr>
                <w:rFonts w:ascii="宋体" w:hAnsi="宋体" w:cs="宋体" w:eastAsia="宋体" w:hint="default"/>
                <w:sz w:val="21"/>
                <w:szCs w:val="21"/>
              </w:rPr>
            </w:pPr>
            <w:r>
              <w:rPr>
                <w:rFonts w:ascii="宋体" w:hAnsi="宋体" w:cs="宋体" w:eastAsia="宋体" w:hint="default"/>
                <w:sz w:val="21"/>
                <w:szCs w:val="21"/>
              </w:rPr>
              <w:t>所采取的措施及有关工作 的进展情况</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2008-004</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董事会关于股权分置改革</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的投票委托征集函</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857"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2008-005</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关联交易公告</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856"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2008-006</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95"/>
              <w:ind w:left="103" w:right="103"/>
              <w:jc w:val="left"/>
              <w:rPr>
                <w:rFonts w:ascii="宋体" w:hAnsi="宋体" w:cs="宋体" w:eastAsia="宋体" w:hint="default"/>
                <w:sz w:val="21"/>
                <w:szCs w:val="21"/>
              </w:rPr>
            </w:pPr>
            <w:r>
              <w:rPr>
                <w:rFonts w:ascii="宋体" w:hAnsi="宋体" w:cs="宋体" w:eastAsia="宋体" w:hint="default"/>
                <w:sz w:val="21"/>
                <w:szCs w:val="21"/>
              </w:rPr>
              <w:t>第六届董事会第八次会议 决议公告</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1258"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both"/>
              <w:rPr>
                <w:rFonts w:ascii="宋体" w:hAnsi="宋体" w:cs="宋体" w:eastAsia="宋体" w:hint="default"/>
                <w:sz w:val="21"/>
                <w:szCs w:val="21"/>
              </w:rPr>
            </w:pPr>
            <w:r>
              <w:rPr>
                <w:rFonts w:ascii="宋体" w:hAnsi="宋体" w:cs="宋体" w:eastAsia="宋体" w:hint="default"/>
                <w:sz w:val="21"/>
                <w:szCs w:val="21"/>
              </w:rPr>
              <w:t>青岛亚星实业有限公司提</w:t>
            </w:r>
          </w:p>
          <w:p>
            <w:pPr>
              <w:pStyle w:val="TableParagraph"/>
              <w:spacing w:line="273" w:lineRule="auto" w:before="37"/>
              <w:ind w:left="103" w:right="103"/>
              <w:jc w:val="both"/>
              <w:rPr>
                <w:rFonts w:ascii="宋体" w:hAnsi="宋体" w:cs="宋体" w:eastAsia="宋体" w:hint="default"/>
                <w:sz w:val="21"/>
                <w:szCs w:val="21"/>
              </w:rPr>
            </w:pPr>
            <w:r>
              <w:rPr>
                <w:rFonts w:ascii="宋体" w:hAnsi="宋体" w:cs="宋体" w:eastAsia="宋体" w:hint="default"/>
                <w:sz w:val="21"/>
                <w:szCs w:val="21"/>
              </w:rPr>
              <w:t>出的关于挽救深圳大通实 业股份有限公司严重财务 困难的方案</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857"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95"/>
              <w:ind w:left="103" w:right="103"/>
              <w:jc w:val="left"/>
              <w:rPr>
                <w:rFonts w:ascii="宋体" w:hAnsi="宋体" w:cs="宋体" w:eastAsia="宋体" w:hint="default"/>
                <w:sz w:val="21"/>
                <w:szCs w:val="21"/>
              </w:rPr>
            </w:pPr>
            <w:r>
              <w:rPr>
                <w:rFonts w:ascii="宋体" w:hAnsi="宋体" w:cs="宋体" w:eastAsia="宋体" w:hint="default"/>
                <w:sz w:val="21"/>
                <w:szCs w:val="21"/>
              </w:rPr>
              <w:t>独立董事关于公司股权分 置改革的意见</w:t>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bl>
    <w:p>
      <w:pPr>
        <w:spacing w:after="0" w:line="240" w:lineRule="auto"/>
        <w:jc w:val="left"/>
        <w:rPr>
          <w:rFonts w:ascii="Times New Roman" w:hAnsi="Times New Roman" w:cs="Times New Roman" w:eastAsia="Times New Roman" w:hint="default"/>
          <w:sz w:val="21"/>
          <w:szCs w:val="21"/>
        </w:rPr>
        <w:sectPr>
          <w:pgSz w:w="11910" w:h="16840"/>
          <w:pgMar w:header="0" w:footer="594" w:top="1500" w:bottom="800" w:left="980" w:right="980"/>
        </w:sectPr>
      </w:pPr>
    </w:p>
    <w:p>
      <w:pPr>
        <w:spacing w:line="240" w:lineRule="auto" w:before="5"/>
        <w:rPr>
          <w:rFonts w:ascii="Times New Roman" w:hAnsi="Times New Roman" w:cs="Times New Roman" w:eastAsia="Times New Roman" w:hint="default"/>
          <w:sz w:val="6"/>
          <w:szCs w:val="6"/>
        </w:rPr>
      </w:pPr>
    </w:p>
    <w:tbl>
      <w:tblPr>
        <w:tblW w:w="0" w:type="auto"/>
        <w:jc w:val="left"/>
        <w:tblInd w:w="119" w:type="dxa"/>
        <w:tblLayout w:type="fixed"/>
        <w:tblCellMar>
          <w:top w:w="0" w:type="dxa"/>
          <w:left w:w="0" w:type="dxa"/>
          <w:bottom w:w="0" w:type="dxa"/>
          <w:right w:w="0" w:type="dxa"/>
        </w:tblCellMar>
        <w:tblLook w:val="01E0"/>
      </w:tblPr>
      <w:tblGrid>
        <w:gridCol w:w="1176"/>
        <w:gridCol w:w="1336"/>
        <w:gridCol w:w="2528"/>
        <w:gridCol w:w="1784"/>
        <w:gridCol w:w="2874"/>
      </w:tblGrid>
      <w:tr>
        <w:trPr>
          <w:trHeight w:val="1259"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股权分置改革的法律意见</w:t>
            </w:r>
          </w:p>
          <w:p>
            <w:pPr>
              <w:pStyle w:val="TableParagraph"/>
              <w:spacing w:line="273" w:lineRule="auto" w:before="37"/>
              <w:ind w:left="103" w:right="103"/>
              <w:jc w:val="left"/>
              <w:rPr>
                <w:rFonts w:ascii="宋体" w:hAnsi="宋体" w:cs="宋体" w:eastAsia="宋体" w:hint="default"/>
                <w:sz w:val="21"/>
                <w:szCs w:val="21"/>
              </w:rPr>
            </w:pPr>
            <w:r>
              <w:rPr>
                <w:rFonts w:ascii="宋体" w:hAnsi="宋体" w:cs="宋体" w:eastAsia="宋体" w:hint="default"/>
                <w:sz w:val="21"/>
                <w:szCs w:val="21"/>
              </w:rPr>
              <w:t>书 股权分置改革之保荐意见 书</w:t>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856"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95"/>
              <w:ind w:left="103" w:right="103"/>
              <w:jc w:val="left"/>
              <w:rPr>
                <w:rFonts w:ascii="宋体" w:hAnsi="宋体" w:cs="宋体" w:eastAsia="宋体" w:hint="default"/>
                <w:sz w:val="21"/>
                <w:szCs w:val="21"/>
              </w:rPr>
            </w:pPr>
            <w:r>
              <w:rPr>
                <w:rFonts w:ascii="宋体" w:hAnsi="宋体" w:cs="宋体" w:eastAsia="宋体" w:hint="default"/>
                <w:sz w:val="21"/>
                <w:szCs w:val="21"/>
              </w:rPr>
              <w:t>股权分置改革说明书（摘 要）</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856"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股权分置改革说明书</w:t>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857"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信息披露事务管理制度</w:t>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1570"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both"/>
              <w:rPr>
                <w:rFonts w:ascii="宋体" w:hAnsi="宋体" w:cs="宋体" w:eastAsia="宋体" w:hint="default"/>
                <w:sz w:val="21"/>
                <w:szCs w:val="21"/>
              </w:rPr>
            </w:pPr>
            <w:r>
              <w:rPr>
                <w:rFonts w:ascii="宋体" w:hAnsi="宋体" w:cs="宋体" w:eastAsia="宋体" w:hint="default"/>
                <w:sz w:val="21"/>
                <w:szCs w:val="21"/>
              </w:rPr>
              <w:t>青岛亚星实业有限公司拟</w:t>
            </w:r>
          </w:p>
          <w:p>
            <w:pPr>
              <w:pStyle w:val="TableParagraph"/>
              <w:spacing w:line="273" w:lineRule="auto" w:before="37"/>
              <w:ind w:left="103" w:right="103"/>
              <w:jc w:val="both"/>
              <w:rPr>
                <w:rFonts w:ascii="宋体" w:hAnsi="宋体" w:cs="宋体" w:eastAsia="宋体" w:hint="default"/>
                <w:sz w:val="21"/>
                <w:szCs w:val="21"/>
              </w:rPr>
            </w:pPr>
            <w:r>
              <w:rPr>
                <w:rFonts w:ascii="宋体" w:hAnsi="宋体" w:cs="宋体" w:eastAsia="宋体" w:hint="default"/>
                <w:sz w:val="21"/>
                <w:szCs w:val="21"/>
              </w:rPr>
              <w:t>向深圳大通实业股份有限 公司赠与兖州海情置业有 限公司股权项目资产评估 报告书</w:t>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856"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资产评估报告书</w:t>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947"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2008-1-28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青岛广顺房地产有限公司</w:t>
            </w:r>
          </w:p>
          <w:p>
            <w:pPr>
              <w:pStyle w:val="TableParagraph"/>
              <w:spacing w:line="240" w:lineRule="auto" w:before="37"/>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年至</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z w:val="21"/>
                <w:szCs w:val="21"/>
              </w:rPr>
              <w:t>财务报表的审计报告</w:t>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946"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2008-1-28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兖州海情置业有限公司</w:t>
            </w:r>
          </w:p>
          <w:p>
            <w:pPr>
              <w:pStyle w:val="TableParagraph"/>
              <w:spacing w:line="240" w:lineRule="auto" w:before="37"/>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年至</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z w:val="21"/>
                <w:szCs w:val="21"/>
              </w:rPr>
              <w:t>财务报告</w:t>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856"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56" w:lineRule="auto" w:before="95"/>
              <w:ind w:left="103" w:right="10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11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日财务报 表审计报告</w:t>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2008-007</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第六届监事会第三次会议</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决议公告</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2008-008</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2008-2-4</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延期公布股改方案协商结</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果</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2008-009</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2008-2-18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股改进展的公告</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2008-010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2008-2-18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关于举行股权分置改革网</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上路演的通知</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2008-011</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2008-2-20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关于股改沟通结果延期通</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知的公告</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946"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2008-012</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2008-3-10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关于公司为恢复股票上市</w:t>
            </w:r>
          </w:p>
          <w:p>
            <w:pPr>
              <w:pStyle w:val="TableParagraph"/>
              <w:spacing w:line="273" w:lineRule="auto" w:before="37"/>
              <w:ind w:left="103" w:right="103"/>
              <w:jc w:val="left"/>
              <w:rPr>
                <w:rFonts w:ascii="宋体" w:hAnsi="宋体" w:cs="宋体" w:eastAsia="宋体" w:hint="default"/>
                <w:sz w:val="21"/>
                <w:szCs w:val="21"/>
              </w:rPr>
            </w:pPr>
            <w:r>
              <w:rPr>
                <w:rFonts w:ascii="宋体" w:hAnsi="宋体" w:cs="宋体" w:eastAsia="宋体" w:hint="default"/>
                <w:sz w:val="21"/>
                <w:szCs w:val="21"/>
              </w:rPr>
              <w:t>所采取的措施及有关工作 的进展情况</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2008-013</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2008-3-17</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股改进展的公告</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bl>
    <w:p>
      <w:pPr>
        <w:spacing w:after="0" w:line="240" w:lineRule="auto"/>
        <w:jc w:val="left"/>
        <w:rPr>
          <w:rFonts w:ascii="Times New Roman" w:hAnsi="Times New Roman" w:cs="Times New Roman" w:eastAsia="Times New Roman" w:hint="default"/>
          <w:sz w:val="21"/>
          <w:szCs w:val="21"/>
        </w:rPr>
        <w:sectPr>
          <w:pgSz w:w="11910" w:h="16840"/>
          <w:pgMar w:header="0" w:footer="594" w:top="1400" w:bottom="780" w:left="980" w:right="980"/>
        </w:sectPr>
      </w:pPr>
    </w:p>
    <w:p>
      <w:pPr>
        <w:spacing w:line="240" w:lineRule="auto" w:before="8"/>
        <w:rPr>
          <w:rFonts w:ascii="Times New Roman" w:hAnsi="Times New Roman" w:cs="Times New Roman" w:eastAsia="Times New Roman"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1176"/>
        <w:gridCol w:w="1336"/>
        <w:gridCol w:w="2528"/>
        <w:gridCol w:w="1784"/>
        <w:gridCol w:w="2874"/>
      </w:tblGrid>
      <w:tr>
        <w:trPr>
          <w:trHeight w:val="629" w:hRule="exact"/>
        </w:trPr>
        <w:tc>
          <w:tcPr>
            <w:tcW w:w="11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2008-014</w:t>
            </w:r>
          </w:p>
        </w:tc>
        <w:tc>
          <w:tcPr>
            <w:tcW w:w="13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2008-3-27</w:t>
            </w:r>
          </w:p>
        </w:tc>
        <w:tc>
          <w:tcPr>
            <w:tcW w:w="2528" w:type="dxa"/>
            <w:tcBorders>
              <w:top w:val="nil" w:sz="6" w:space="0" w:color="auto"/>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关于董事会秘书辞职的公</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告</w:t>
            </w:r>
          </w:p>
        </w:tc>
        <w:tc>
          <w:tcPr>
            <w:tcW w:w="1784" w:type="dxa"/>
            <w:tcBorders>
              <w:top w:val="nil" w:sz="6" w:space="0" w:color="auto"/>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947"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2008-015</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2008-4-2</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关于股权分置改革方案沟</w:t>
            </w:r>
            <w:r>
              <w:rPr>
                <w:rFonts w:ascii="宋体" w:hAnsi="宋体" w:cs="宋体" w:eastAsia="宋体" w:hint="default"/>
                <w:sz w:val="21"/>
                <w:szCs w:val="21"/>
              </w:rPr>
            </w:r>
          </w:p>
          <w:p>
            <w:pPr>
              <w:pStyle w:val="TableParagraph"/>
              <w:spacing w:line="273" w:lineRule="auto" w:before="37"/>
              <w:ind w:left="103" w:right="235"/>
              <w:jc w:val="left"/>
              <w:rPr>
                <w:rFonts w:ascii="宋体" w:hAnsi="宋体" w:cs="宋体" w:eastAsia="宋体" w:hint="default"/>
                <w:sz w:val="21"/>
                <w:szCs w:val="21"/>
              </w:rPr>
            </w:pPr>
            <w:r>
              <w:rPr>
                <w:rFonts w:ascii="宋体" w:hAnsi="宋体" w:cs="宋体" w:eastAsia="宋体" w:hint="default"/>
                <w:spacing w:val="-12"/>
                <w:sz w:val="21"/>
                <w:szCs w:val="21"/>
              </w:rPr>
              <w:t>通情况暨调整股权分置改 革方案的公告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1258"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2008-016</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2008-4-2</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第六届第九次董事会决议</w:t>
            </w:r>
          </w:p>
          <w:p>
            <w:pPr>
              <w:pStyle w:val="TableParagraph"/>
              <w:spacing w:line="264" w:lineRule="auto" w:before="37"/>
              <w:ind w:left="103" w:right="103"/>
              <w:jc w:val="left"/>
              <w:rPr>
                <w:rFonts w:ascii="宋体" w:hAnsi="宋体" w:cs="宋体" w:eastAsia="宋体" w:hint="default"/>
                <w:sz w:val="21"/>
                <w:szCs w:val="21"/>
              </w:rPr>
            </w:pPr>
            <w:r>
              <w:rPr>
                <w:rFonts w:ascii="宋体" w:hAnsi="宋体" w:cs="宋体" w:eastAsia="宋体" w:hint="default"/>
                <w:sz w:val="21"/>
                <w:szCs w:val="21"/>
              </w:rPr>
              <w:t>暨召开</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年第一次临 时股东大会暨相关股东会 议通知的公告</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2008-017</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2008-4-2</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年第二次临时股东</w:t>
            </w:r>
          </w:p>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z w:val="21"/>
                <w:szCs w:val="21"/>
              </w:rPr>
              <w:t>大会通知公告</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2008-4-2</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股权分置改革调整方案之</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独立董事意见函</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2008-4-2</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股权分置改革的补充法律</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意见书</w:t>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2008-4-2</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股权分置改革之补充保荐</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意见书</w:t>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2008-4-2</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股权分置改革说明书（修</w:t>
            </w:r>
          </w:p>
          <w:p>
            <w:pPr>
              <w:pStyle w:val="TableParagraph"/>
              <w:spacing w:line="240" w:lineRule="auto" w:before="37"/>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订稿摘要</w:t>
            </w:r>
            <w:r>
              <w:rPr>
                <w:rFonts w:ascii="Times New Roman" w:hAnsi="Times New Roman" w:cs="Times New Roman" w:eastAsia="Times New Roman" w:hint="default"/>
                <w:sz w:val="21"/>
                <w:szCs w:val="21"/>
              </w:rPr>
              <w:t>)</w:t>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2008-4-2</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股权分置改革说明书（修</w:t>
            </w:r>
          </w:p>
          <w:p>
            <w:pPr>
              <w:pStyle w:val="TableParagraph"/>
              <w:spacing w:line="240" w:lineRule="auto" w:before="37"/>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订稿全文</w:t>
            </w:r>
            <w:r>
              <w:rPr>
                <w:rFonts w:ascii="Times New Roman" w:hAnsi="Times New Roman" w:cs="Times New Roman" w:eastAsia="Times New Roman" w:hint="default"/>
                <w:sz w:val="21"/>
                <w:szCs w:val="21"/>
              </w:rPr>
              <w:t>)</w:t>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1258"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2008-018</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2008-4-10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both"/>
              <w:rPr>
                <w:rFonts w:ascii="宋体" w:hAnsi="宋体" w:cs="宋体" w:eastAsia="宋体" w:hint="default"/>
                <w:sz w:val="21"/>
                <w:szCs w:val="21"/>
              </w:rPr>
            </w:pPr>
            <w:r>
              <w:rPr>
                <w:rFonts w:ascii="宋体" w:hAnsi="宋体" w:cs="宋体" w:eastAsia="宋体" w:hint="default"/>
                <w:spacing w:val="-9"/>
                <w:sz w:val="21"/>
                <w:szCs w:val="21"/>
              </w:rPr>
              <w:t>关于召开</w:t>
            </w:r>
            <w:r>
              <w:rPr>
                <w:rFonts w:ascii="宋体" w:hAnsi="宋体" w:cs="宋体" w:eastAsia="宋体" w:hint="default"/>
                <w:spacing w:val="-68"/>
                <w:sz w:val="21"/>
                <w:szCs w:val="21"/>
              </w:rPr>
              <w:t> </w:t>
            </w:r>
            <w:r>
              <w:rPr>
                <w:rFonts w:ascii="Times New Roman" w:hAnsi="Times New Roman" w:cs="Times New Roman" w:eastAsia="Times New Roman" w:hint="default"/>
                <w:spacing w:val="-5"/>
                <w:sz w:val="21"/>
                <w:szCs w:val="21"/>
              </w:rPr>
              <w:t>2008</w:t>
            </w:r>
            <w:r>
              <w:rPr>
                <w:rFonts w:ascii="Times New Roman" w:hAnsi="Times New Roman" w:cs="Times New Roman" w:eastAsia="Times New Roman" w:hint="default"/>
                <w:spacing w:val="-9"/>
                <w:sz w:val="21"/>
                <w:szCs w:val="21"/>
              </w:rPr>
              <w:t> </w:t>
            </w:r>
            <w:r>
              <w:rPr>
                <w:rFonts w:ascii="宋体" w:hAnsi="宋体" w:cs="宋体" w:eastAsia="宋体" w:hint="default"/>
                <w:spacing w:val="-12"/>
                <w:sz w:val="21"/>
                <w:szCs w:val="21"/>
              </w:rPr>
              <w:t>年度第一次</w:t>
            </w:r>
            <w:r>
              <w:rPr>
                <w:rFonts w:ascii="宋体" w:hAnsi="宋体" w:cs="宋体" w:eastAsia="宋体" w:hint="default"/>
                <w:sz w:val="21"/>
                <w:szCs w:val="21"/>
              </w:rPr>
            </w:r>
          </w:p>
          <w:p>
            <w:pPr>
              <w:pStyle w:val="TableParagraph"/>
              <w:spacing w:line="273" w:lineRule="auto" w:before="21"/>
              <w:ind w:left="103" w:right="235"/>
              <w:jc w:val="both"/>
              <w:rPr>
                <w:rFonts w:ascii="宋体" w:hAnsi="宋体" w:cs="宋体" w:eastAsia="宋体" w:hint="default"/>
                <w:sz w:val="21"/>
                <w:szCs w:val="21"/>
              </w:rPr>
            </w:pPr>
            <w:r>
              <w:rPr>
                <w:rFonts w:ascii="宋体" w:hAnsi="宋体" w:cs="宋体" w:eastAsia="宋体" w:hint="default"/>
                <w:spacing w:val="-12"/>
                <w:sz w:val="21"/>
                <w:szCs w:val="21"/>
              </w:rPr>
              <w:t>临时股东大会暨股权分置 相关股东会议的第一次提 示性公告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2008-019</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2008-4-11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关于公司股票退市风险的</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提示性公告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1570"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2008-020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2008-4-11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both"/>
              <w:rPr>
                <w:rFonts w:ascii="宋体" w:hAnsi="宋体" w:cs="宋体" w:eastAsia="宋体" w:hint="default"/>
                <w:sz w:val="21"/>
                <w:szCs w:val="21"/>
              </w:rPr>
            </w:pPr>
            <w:r>
              <w:rPr>
                <w:rFonts w:ascii="宋体" w:hAnsi="宋体" w:cs="宋体" w:eastAsia="宋体" w:hint="default"/>
                <w:spacing w:val="-12"/>
                <w:sz w:val="21"/>
                <w:szCs w:val="21"/>
              </w:rPr>
              <w:t>关于股权分置改革方案所</w:t>
            </w:r>
            <w:r>
              <w:rPr>
                <w:rFonts w:ascii="宋体" w:hAnsi="宋体" w:cs="宋体" w:eastAsia="宋体" w:hint="default"/>
                <w:sz w:val="21"/>
                <w:szCs w:val="21"/>
              </w:rPr>
            </w:r>
          </w:p>
          <w:p>
            <w:pPr>
              <w:pStyle w:val="TableParagraph"/>
              <w:spacing w:line="273" w:lineRule="auto" w:before="37"/>
              <w:ind w:left="103" w:right="235"/>
              <w:jc w:val="both"/>
              <w:rPr>
                <w:rFonts w:ascii="宋体" w:hAnsi="宋体" w:cs="宋体" w:eastAsia="宋体" w:hint="default"/>
                <w:sz w:val="21"/>
                <w:szCs w:val="21"/>
              </w:rPr>
            </w:pPr>
            <w:r>
              <w:rPr>
                <w:rFonts w:ascii="宋体" w:hAnsi="宋体" w:cs="宋体" w:eastAsia="宋体" w:hint="default"/>
                <w:spacing w:val="-12"/>
                <w:sz w:val="21"/>
                <w:szCs w:val="21"/>
              </w:rPr>
              <w:t>涉及赠与资产相关的兖州 海情置业有限公司房地产 项目国有土地使用证办理 进展的公告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2008-021</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2008-4-16</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第六届董事会第十次会议</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决议的公告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2008-022</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2008-4-17</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pacing w:val="-13"/>
                <w:sz w:val="21"/>
                <w:szCs w:val="21"/>
              </w:rPr>
              <w:t>年第三次临时股东大</w:t>
            </w:r>
            <w:r>
              <w:rPr>
                <w:rFonts w:ascii="宋体" w:hAnsi="宋体" w:cs="宋体" w:eastAsia="宋体" w:hint="default"/>
                <w:sz w:val="21"/>
                <w:szCs w:val="21"/>
              </w:rPr>
            </w:r>
          </w:p>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pacing w:val="-12"/>
                <w:sz w:val="21"/>
                <w:szCs w:val="21"/>
              </w:rPr>
              <w:t>会通知公告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2008-023</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2008-4-18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宋体" w:hAnsi="宋体" w:cs="宋体" w:eastAsia="宋体" w:hint="default"/>
                <w:spacing w:val="-6"/>
                <w:sz w:val="21"/>
                <w:szCs w:val="21"/>
              </w:rPr>
              <w:t>关于</w:t>
            </w:r>
            <w:r>
              <w:rPr>
                <w:rFonts w:ascii="宋体" w:hAnsi="宋体" w:cs="宋体" w:eastAsia="宋体" w:hint="default"/>
                <w:spacing w:val="-66"/>
                <w:sz w:val="21"/>
                <w:szCs w:val="21"/>
              </w:rPr>
              <w:t> </w:t>
            </w:r>
            <w:r>
              <w:rPr>
                <w:rFonts w:ascii="Times New Roman" w:hAnsi="Times New Roman" w:cs="Times New Roman" w:eastAsia="Times New Roman" w:hint="default"/>
                <w:spacing w:val="-5"/>
                <w:sz w:val="21"/>
                <w:szCs w:val="21"/>
              </w:rPr>
              <w:t>2008</w:t>
            </w:r>
            <w:r>
              <w:rPr>
                <w:rFonts w:ascii="Times New Roman" w:hAnsi="Times New Roman" w:cs="Times New Roman" w:eastAsia="Times New Roman" w:hint="default"/>
                <w:spacing w:val="-6"/>
                <w:sz w:val="21"/>
                <w:szCs w:val="21"/>
              </w:rPr>
              <w:t> </w:t>
            </w:r>
            <w:r>
              <w:rPr>
                <w:rFonts w:ascii="宋体" w:hAnsi="宋体" w:cs="宋体" w:eastAsia="宋体" w:hint="default"/>
                <w:spacing w:val="-13"/>
                <w:sz w:val="21"/>
                <w:szCs w:val="21"/>
              </w:rPr>
              <w:t>年第一季度业绩</w:t>
            </w:r>
            <w:r>
              <w:rPr>
                <w:rFonts w:ascii="宋体" w:hAnsi="宋体" w:cs="宋体" w:eastAsia="宋体" w:hint="default"/>
                <w:sz w:val="21"/>
                <w:szCs w:val="21"/>
              </w:rPr>
            </w:r>
          </w:p>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pacing w:val="-12"/>
                <w:sz w:val="21"/>
                <w:szCs w:val="21"/>
              </w:rPr>
              <w:t>亏损的预告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946"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2008-024</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2008-4-18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关于公司恢复上市进展及</w:t>
            </w:r>
            <w:r>
              <w:rPr>
                <w:rFonts w:ascii="宋体" w:hAnsi="宋体" w:cs="宋体" w:eastAsia="宋体" w:hint="default"/>
                <w:sz w:val="21"/>
                <w:szCs w:val="21"/>
              </w:rPr>
            </w:r>
          </w:p>
          <w:p>
            <w:pPr>
              <w:pStyle w:val="TableParagraph"/>
              <w:spacing w:line="273" w:lineRule="auto" w:before="37"/>
              <w:ind w:left="103" w:right="235"/>
              <w:jc w:val="left"/>
              <w:rPr>
                <w:rFonts w:ascii="宋体" w:hAnsi="宋体" w:cs="宋体" w:eastAsia="宋体" w:hint="default"/>
                <w:sz w:val="21"/>
                <w:szCs w:val="21"/>
              </w:rPr>
            </w:pPr>
            <w:r>
              <w:rPr>
                <w:rFonts w:ascii="宋体" w:hAnsi="宋体" w:cs="宋体" w:eastAsia="宋体" w:hint="default"/>
                <w:spacing w:val="-12"/>
                <w:sz w:val="21"/>
                <w:szCs w:val="21"/>
              </w:rPr>
              <w:t>公司股票退市风险的提示 性公告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947"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2008-025</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2008-4-18</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宋体" w:hAnsi="宋体" w:cs="宋体" w:eastAsia="宋体" w:hint="default"/>
                <w:spacing w:val="-9"/>
                <w:sz w:val="21"/>
                <w:szCs w:val="21"/>
              </w:rPr>
              <w:t>关于召开</w:t>
            </w:r>
            <w:r>
              <w:rPr>
                <w:rFonts w:ascii="宋体" w:hAnsi="宋体" w:cs="宋体" w:eastAsia="宋体" w:hint="default"/>
                <w:spacing w:val="-68"/>
                <w:sz w:val="21"/>
                <w:szCs w:val="21"/>
              </w:rPr>
              <w:t> </w:t>
            </w:r>
            <w:r>
              <w:rPr>
                <w:rFonts w:ascii="Times New Roman" w:hAnsi="Times New Roman" w:cs="Times New Roman" w:eastAsia="Times New Roman" w:hint="default"/>
                <w:spacing w:val="-5"/>
                <w:sz w:val="21"/>
                <w:szCs w:val="21"/>
              </w:rPr>
              <w:t>2008</w:t>
            </w:r>
            <w:r>
              <w:rPr>
                <w:rFonts w:ascii="Times New Roman" w:hAnsi="Times New Roman" w:cs="Times New Roman" w:eastAsia="Times New Roman" w:hint="default"/>
                <w:spacing w:val="-9"/>
                <w:sz w:val="21"/>
                <w:szCs w:val="21"/>
              </w:rPr>
              <w:t> </w:t>
            </w:r>
            <w:r>
              <w:rPr>
                <w:rFonts w:ascii="宋体" w:hAnsi="宋体" w:cs="宋体" w:eastAsia="宋体" w:hint="default"/>
                <w:spacing w:val="-12"/>
                <w:sz w:val="21"/>
                <w:szCs w:val="21"/>
              </w:rPr>
              <w:t>年度第一次</w:t>
            </w:r>
            <w:r>
              <w:rPr>
                <w:rFonts w:ascii="宋体" w:hAnsi="宋体" w:cs="宋体" w:eastAsia="宋体" w:hint="default"/>
                <w:sz w:val="21"/>
                <w:szCs w:val="21"/>
              </w:rPr>
            </w:r>
          </w:p>
          <w:p>
            <w:pPr>
              <w:pStyle w:val="TableParagraph"/>
              <w:spacing w:line="273" w:lineRule="auto" w:before="21"/>
              <w:ind w:left="103" w:right="235"/>
              <w:jc w:val="left"/>
              <w:rPr>
                <w:rFonts w:ascii="宋体" w:hAnsi="宋体" w:cs="宋体" w:eastAsia="宋体" w:hint="default"/>
                <w:sz w:val="21"/>
                <w:szCs w:val="21"/>
              </w:rPr>
            </w:pPr>
            <w:r>
              <w:rPr>
                <w:rFonts w:ascii="宋体" w:hAnsi="宋体" w:cs="宋体" w:eastAsia="宋体" w:hint="default"/>
                <w:spacing w:val="-12"/>
                <w:sz w:val="21"/>
                <w:szCs w:val="21"/>
              </w:rPr>
              <w:t>临时股东大会暨股权分置 相关股东会议的第二次提</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bl>
    <w:p>
      <w:pPr>
        <w:spacing w:after="0" w:line="240" w:lineRule="auto"/>
        <w:jc w:val="left"/>
        <w:rPr>
          <w:rFonts w:ascii="Times New Roman" w:hAnsi="Times New Roman" w:cs="Times New Roman" w:eastAsia="Times New Roman" w:hint="default"/>
          <w:sz w:val="21"/>
          <w:szCs w:val="21"/>
        </w:rPr>
        <w:sectPr>
          <w:pgSz w:w="11910" w:h="16840"/>
          <w:pgMar w:header="0" w:footer="594" w:top="1380" w:bottom="780" w:left="980" w:right="980"/>
        </w:sectPr>
      </w:pPr>
    </w:p>
    <w:p>
      <w:pPr>
        <w:spacing w:line="240" w:lineRule="auto" w:before="8"/>
        <w:rPr>
          <w:rFonts w:ascii="Times New Roman" w:hAnsi="Times New Roman" w:cs="Times New Roman" w:eastAsia="Times New Roman"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1176"/>
        <w:gridCol w:w="1336"/>
        <w:gridCol w:w="2528"/>
        <w:gridCol w:w="1784"/>
        <w:gridCol w:w="2874"/>
      </w:tblGrid>
      <w:tr>
        <w:trPr>
          <w:trHeight w:val="575" w:hRule="exact"/>
        </w:trPr>
        <w:tc>
          <w:tcPr>
            <w:tcW w:w="1176" w:type="dxa"/>
            <w:tcBorders>
              <w:top w:val="nil" w:sz="6" w:space="0" w:color="auto"/>
              <w:left w:val="single" w:sz="4" w:space="0" w:color="000000"/>
              <w:bottom w:val="single" w:sz="4" w:space="0" w:color="000000"/>
              <w:right w:val="single" w:sz="4" w:space="0" w:color="000000"/>
            </w:tcBorders>
          </w:tcPr>
          <w:p>
            <w:pPr/>
          </w:p>
        </w:tc>
        <w:tc>
          <w:tcPr>
            <w:tcW w:w="1336" w:type="dxa"/>
            <w:tcBorders>
              <w:top w:val="nil" w:sz="6" w:space="0" w:color="auto"/>
              <w:left w:val="single" w:sz="4" w:space="0" w:color="000000"/>
              <w:bottom w:val="single" w:sz="4" w:space="0" w:color="000000"/>
              <w:right w:val="single" w:sz="4" w:space="0" w:color="000000"/>
            </w:tcBorders>
          </w:tcPr>
          <w:p>
            <w:pPr/>
          </w:p>
        </w:tc>
        <w:tc>
          <w:tcPr>
            <w:tcW w:w="2528" w:type="dxa"/>
            <w:tcBorders>
              <w:top w:val="nil" w:sz="6" w:space="0" w:color="auto"/>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示性公告</w:t>
            </w:r>
            <w:r>
              <w:rPr>
                <w:rFonts w:ascii="宋体" w:hAnsi="宋体" w:cs="宋体" w:eastAsia="宋体" w:hint="default"/>
                <w:sz w:val="21"/>
                <w:szCs w:val="21"/>
              </w:rPr>
            </w:r>
          </w:p>
        </w:tc>
        <w:tc>
          <w:tcPr>
            <w:tcW w:w="1784" w:type="dxa"/>
            <w:tcBorders>
              <w:top w:val="nil" w:sz="6" w:space="0" w:color="auto"/>
              <w:left w:val="single" w:sz="4" w:space="0" w:color="000000"/>
              <w:bottom w:val="single" w:sz="4" w:space="0" w:color="000000"/>
              <w:right w:val="single" w:sz="4" w:space="0" w:color="000000"/>
            </w:tcBorders>
          </w:tcPr>
          <w:p>
            <w:pPr/>
          </w:p>
        </w:tc>
        <w:tc>
          <w:tcPr>
            <w:tcW w:w="2874" w:type="dxa"/>
            <w:tcBorders>
              <w:top w:val="nil" w:sz="6" w:space="0" w:color="auto"/>
              <w:left w:val="single" w:sz="4" w:space="0" w:color="000000"/>
              <w:bottom w:val="single" w:sz="4" w:space="0" w:color="000000"/>
              <w:right w:val="single" w:sz="4" w:space="0" w:color="000000"/>
            </w:tcBorders>
          </w:tcPr>
          <w:p>
            <w:pPr/>
          </w:p>
        </w:tc>
      </w:tr>
      <w:tr>
        <w:trPr>
          <w:trHeight w:val="947"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2008-026</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2008-4-24</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pacing w:val="-13"/>
                <w:sz w:val="21"/>
                <w:szCs w:val="21"/>
              </w:rPr>
              <w:t>年第一次临时股东大</w:t>
            </w:r>
            <w:r>
              <w:rPr>
                <w:rFonts w:ascii="宋体" w:hAnsi="宋体" w:cs="宋体" w:eastAsia="宋体" w:hint="default"/>
                <w:sz w:val="21"/>
                <w:szCs w:val="21"/>
              </w:rPr>
            </w:r>
          </w:p>
          <w:p>
            <w:pPr>
              <w:pStyle w:val="TableParagraph"/>
              <w:spacing w:line="273" w:lineRule="auto" w:before="21"/>
              <w:ind w:left="103" w:right="235"/>
              <w:jc w:val="left"/>
              <w:rPr>
                <w:rFonts w:ascii="宋体" w:hAnsi="宋体" w:cs="宋体" w:eastAsia="宋体" w:hint="default"/>
                <w:sz w:val="21"/>
                <w:szCs w:val="21"/>
              </w:rPr>
            </w:pPr>
            <w:r>
              <w:rPr>
                <w:rFonts w:ascii="宋体" w:hAnsi="宋体" w:cs="宋体" w:eastAsia="宋体" w:hint="default"/>
                <w:spacing w:val="-12"/>
                <w:sz w:val="21"/>
                <w:szCs w:val="21"/>
              </w:rPr>
              <w:t>会暨股权分置改革相关股 东会议决议的公告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946"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2008-4-24</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pacing w:val="-13"/>
                <w:sz w:val="21"/>
                <w:szCs w:val="21"/>
              </w:rPr>
              <w:t>年第一次临时股东大</w:t>
            </w:r>
            <w:r>
              <w:rPr>
                <w:rFonts w:ascii="宋体" w:hAnsi="宋体" w:cs="宋体" w:eastAsia="宋体" w:hint="default"/>
                <w:sz w:val="21"/>
                <w:szCs w:val="21"/>
              </w:rPr>
            </w:r>
          </w:p>
          <w:p>
            <w:pPr>
              <w:pStyle w:val="TableParagraph"/>
              <w:spacing w:line="273" w:lineRule="auto" w:before="21"/>
              <w:ind w:left="103" w:right="235"/>
              <w:jc w:val="left"/>
              <w:rPr>
                <w:rFonts w:ascii="宋体" w:hAnsi="宋体" w:cs="宋体" w:eastAsia="宋体" w:hint="default"/>
                <w:sz w:val="21"/>
                <w:szCs w:val="21"/>
              </w:rPr>
            </w:pPr>
            <w:r>
              <w:rPr>
                <w:rFonts w:ascii="宋体" w:hAnsi="宋体" w:cs="宋体" w:eastAsia="宋体" w:hint="default"/>
                <w:spacing w:val="-12"/>
                <w:sz w:val="21"/>
                <w:szCs w:val="21"/>
              </w:rPr>
              <w:t>会暨股权分置改革相关股 东会议的法律意见书</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2008-027</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2008-4-24</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宋体" w:hAnsi="宋体" w:cs="宋体" w:eastAsia="宋体" w:hint="default"/>
                <w:spacing w:val="-6"/>
                <w:sz w:val="21"/>
                <w:szCs w:val="21"/>
              </w:rPr>
              <w:t>关于</w:t>
            </w:r>
            <w:r>
              <w:rPr>
                <w:rFonts w:ascii="宋体" w:hAnsi="宋体" w:cs="宋体" w:eastAsia="宋体" w:hint="default"/>
                <w:spacing w:val="-66"/>
                <w:sz w:val="21"/>
                <w:szCs w:val="21"/>
              </w:rPr>
              <w:t> </w:t>
            </w:r>
            <w:r>
              <w:rPr>
                <w:rFonts w:ascii="Times New Roman" w:hAnsi="Times New Roman" w:cs="Times New Roman" w:eastAsia="Times New Roman" w:hint="default"/>
                <w:spacing w:val="-5"/>
                <w:sz w:val="21"/>
                <w:szCs w:val="21"/>
              </w:rPr>
              <w:t>2008</w:t>
            </w:r>
            <w:r>
              <w:rPr>
                <w:rFonts w:ascii="Times New Roman" w:hAnsi="Times New Roman" w:cs="Times New Roman" w:eastAsia="Times New Roman" w:hint="default"/>
                <w:spacing w:val="-6"/>
                <w:sz w:val="21"/>
                <w:szCs w:val="21"/>
              </w:rPr>
              <w:t> </w:t>
            </w:r>
            <w:r>
              <w:rPr>
                <w:rFonts w:ascii="宋体" w:hAnsi="宋体" w:cs="宋体" w:eastAsia="宋体" w:hint="default"/>
                <w:spacing w:val="-13"/>
                <w:sz w:val="21"/>
                <w:szCs w:val="21"/>
              </w:rPr>
              <w:t>年第二次临时股</w:t>
            </w:r>
            <w:r>
              <w:rPr>
                <w:rFonts w:ascii="宋体" w:hAnsi="宋体" w:cs="宋体" w:eastAsia="宋体" w:hint="default"/>
                <w:sz w:val="21"/>
                <w:szCs w:val="21"/>
              </w:rPr>
            </w:r>
          </w:p>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pacing w:val="-12"/>
                <w:sz w:val="21"/>
                <w:szCs w:val="21"/>
              </w:rPr>
              <w:t>东大会决议的公告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spacing w:val="-113"/>
                <w:sz w:val="21"/>
                <w:szCs w:val="21"/>
              </w:rPr>
              <w:t>》</w:t>
            </w:r>
            <w:r>
              <w:rPr>
                <w:rFonts w:ascii="宋体" w:hAnsi="宋体" w:cs="宋体" w:eastAsia="宋体" w:hint="default"/>
                <w:sz w:val="21"/>
                <w:szCs w:val="21"/>
              </w:rPr>
              <w:t>《中</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2008-4-24</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pacing w:val="-13"/>
                <w:sz w:val="21"/>
                <w:szCs w:val="21"/>
              </w:rPr>
              <w:t>年第二次临时股东大</w:t>
            </w:r>
            <w:r>
              <w:rPr>
                <w:rFonts w:ascii="宋体" w:hAnsi="宋体" w:cs="宋体" w:eastAsia="宋体" w:hint="default"/>
                <w:sz w:val="21"/>
                <w:szCs w:val="21"/>
              </w:rPr>
            </w:r>
          </w:p>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pacing w:val="-12"/>
                <w:sz w:val="21"/>
                <w:szCs w:val="21"/>
              </w:rPr>
              <w:t>会法律意见书</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2008-028</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2008-4-30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pacing w:val="-13"/>
                <w:sz w:val="21"/>
                <w:szCs w:val="21"/>
              </w:rPr>
              <w:t>年第一季度报告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2008-029</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2008-4-30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第六届监事会第四次会议</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决议公告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2008-030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2008-4-30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2007</w:t>
            </w:r>
            <w:r>
              <w:rPr>
                <w:rFonts w:ascii="Times New Roman" w:hAnsi="Times New Roman" w:cs="Times New Roman" w:eastAsia="Times New Roman" w:hint="default"/>
                <w:spacing w:val="-4"/>
                <w:sz w:val="21"/>
                <w:szCs w:val="21"/>
              </w:rPr>
              <w:t> </w:t>
            </w:r>
            <w:r>
              <w:rPr>
                <w:rFonts w:ascii="宋体" w:hAnsi="宋体" w:cs="宋体" w:eastAsia="宋体" w:hint="default"/>
                <w:spacing w:val="-13"/>
                <w:sz w:val="21"/>
                <w:szCs w:val="21"/>
              </w:rPr>
              <w:t>年年度报告摘要</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580"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103" w:right="0"/>
              <w:jc w:val="left"/>
              <w:rPr>
                <w:rFonts w:ascii="Times New Roman" w:hAnsi="Times New Roman" w:cs="Times New Roman" w:eastAsia="Times New Roman" w:hint="default"/>
                <w:sz w:val="21"/>
                <w:szCs w:val="21"/>
              </w:rPr>
            </w:pPr>
            <w:r>
              <w:rPr>
                <w:rFonts w:ascii="Times New Roman"/>
                <w:sz w:val="21"/>
              </w:rPr>
              <w:t>2008-4-30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2007 </w:t>
            </w:r>
            <w:r>
              <w:rPr>
                <w:rFonts w:ascii="宋体" w:hAnsi="宋体" w:cs="宋体" w:eastAsia="宋体" w:hint="default"/>
                <w:spacing w:val="-13"/>
                <w:sz w:val="21"/>
                <w:szCs w:val="21"/>
              </w:rPr>
              <w:t>年年度报告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946"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2008-4-30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pacing w:val="-17"/>
                <w:sz w:val="21"/>
                <w:szCs w:val="21"/>
              </w:rPr>
              <w:t>董事会关于</w:t>
            </w:r>
            <w:r>
              <w:rPr>
                <w:rFonts w:ascii="宋体" w:hAnsi="宋体" w:cs="宋体" w:eastAsia="宋体" w:hint="default"/>
                <w:spacing w:val="-81"/>
                <w:sz w:val="21"/>
                <w:szCs w:val="21"/>
              </w:rPr>
              <w:t> </w:t>
            </w:r>
            <w:r>
              <w:rPr>
                <w:rFonts w:ascii="Times New Roman" w:hAnsi="Times New Roman" w:cs="Times New Roman" w:eastAsia="Times New Roman" w:hint="default"/>
                <w:spacing w:val="-9"/>
                <w:sz w:val="21"/>
                <w:szCs w:val="21"/>
              </w:rPr>
              <w:t>2007</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年</w:t>
            </w:r>
            <w:r>
              <w:rPr>
                <w:rFonts w:ascii="宋体" w:hAnsi="宋体" w:cs="宋体" w:eastAsia="宋体" w:hint="default"/>
                <w:spacing w:val="-80"/>
                <w:sz w:val="21"/>
                <w:szCs w:val="21"/>
              </w:rPr>
              <w:t> </w:t>
            </w:r>
            <w:r>
              <w:rPr>
                <w:rFonts w:ascii="Times New Roman" w:hAnsi="Times New Roman" w:cs="Times New Roman" w:eastAsia="Times New Roman" w:hint="default"/>
                <w:spacing w:val="-6"/>
                <w:sz w:val="21"/>
                <w:szCs w:val="21"/>
              </w:rPr>
              <w:t>12</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月</w:t>
            </w:r>
            <w:r>
              <w:rPr>
                <w:rFonts w:ascii="宋体" w:hAnsi="宋体" w:cs="宋体" w:eastAsia="宋体" w:hint="default"/>
                <w:spacing w:val="-80"/>
                <w:sz w:val="21"/>
                <w:szCs w:val="21"/>
              </w:rPr>
              <w:t> </w:t>
            </w:r>
            <w:r>
              <w:rPr>
                <w:rFonts w:ascii="Times New Roman" w:hAnsi="Times New Roman" w:cs="Times New Roman" w:eastAsia="Times New Roman" w:hint="default"/>
                <w:spacing w:val="-11"/>
                <w:sz w:val="21"/>
                <w:szCs w:val="21"/>
              </w:rPr>
              <w:t>31</w:t>
            </w:r>
            <w:r>
              <w:rPr>
                <w:rFonts w:ascii="Times New Roman" w:hAnsi="Times New Roman" w:cs="Times New Roman" w:eastAsia="Times New Roman" w:hint="default"/>
                <w:sz w:val="21"/>
                <w:szCs w:val="21"/>
              </w:rPr>
            </w:r>
          </w:p>
          <w:p>
            <w:pPr>
              <w:pStyle w:val="TableParagraph"/>
              <w:spacing w:line="273" w:lineRule="auto" w:before="21"/>
              <w:ind w:left="103" w:right="133"/>
              <w:jc w:val="left"/>
              <w:rPr>
                <w:rFonts w:ascii="宋体" w:hAnsi="宋体" w:cs="宋体" w:eastAsia="宋体" w:hint="default"/>
                <w:sz w:val="21"/>
                <w:szCs w:val="21"/>
              </w:rPr>
            </w:pPr>
            <w:r>
              <w:rPr>
                <w:rFonts w:ascii="宋体" w:hAnsi="宋体" w:cs="宋体" w:eastAsia="宋体" w:hint="default"/>
                <w:spacing w:val="-21"/>
                <w:sz w:val="21"/>
                <w:szCs w:val="21"/>
              </w:rPr>
              <w:t>日财务报表审计报告涉及事</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1"/>
                <w:sz w:val="21"/>
                <w:szCs w:val="21"/>
              </w:rPr>
              <w:t>项的专项说明</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947"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2008-4-30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hanging="1"/>
              <w:jc w:val="left"/>
              <w:rPr>
                <w:rFonts w:ascii="宋体" w:hAnsi="宋体" w:cs="宋体" w:eastAsia="宋体" w:hint="default"/>
                <w:sz w:val="21"/>
                <w:szCs w:val="21"/>
              </w:rPr>
            </w:pPr>
            <w:r>
              <w:rPr>
                <w:rFonts w:ascii="宋体" w:hAnsi="宋体" w:cs="宋体" w:eastAsia="宋体" w:hint="default"/>
                <w:spacing w:val="-10"/>
                <w:sz w:val="21"/>
                <w:szCs w:val="21"/>
              </w:rPr>
              <w:t>关于对公司</w:t>
            </w:r>
            <w:r>
              <w:rPr>
                <w:rFonts w:ascii="宋体" w:hAnsi="宋体" w:cs="宋体" w:eastAsia="宋体" w:hint="default"/>
                <w:spacing w:val="-84"/>
                <w:sz w:val="21"/>
                <w:szCs w:val="21"/>
              </w:rPr>
              <w:t> </w:t>
            </w:r>
            <w:r>
              <w:rPr>
                <w:rFonts w:ascii="Times New Roman" w:hAnsi="Times New Roman" w:cs="Times New Roman" w:eastAsia="Times New Roman" w:hint="default"/>
                <w:spacing w:val="-5"/>
                <w:sz w:val="21"/>
                <w:szCs w:val="21"/>
              </w:rPr>
              <w:t>2007</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年</w:t>
            </w:r>
            <w:r>
              <w:rPr>
                <w:rFonts w:ascii="宋体" w:hAnsi="宋体" w:cs="宋体" w:eastAsia="宋体" w:hint="default"/>
                <w:spacing w:val="-84"/>
                <w:sz w:val="21"/>
                <w:szCs w:val="21"/>
              </w:rPr>
              <w:t> </w:t>
            </w:r>
            <w:r>
              <w:rPr>
                <w:rFonts w:ascii="Times New Roman" w:hAnsi="Times New Roman" w:cs="Times New Roman" w:eastAsia="Times New Roman" w:hint="default"/>
                <w:spacing w:val="-4"/>
                <w:sz w:val="21"/>
                <w:szCs w:val="21"/>
              </w:rPr>
              <w:t>12</w:t>
            </w:r>
            <w:r>
              <w:rPr>
                <w:rFonts w:ascii="Times New Roman" w:hAnsi="Times New Roman" w:cs="Times New Roman" w:eastAsia="Times New Roman" w:hint="default"/>
                <w:spacing w:val="-24"/>
                <w:sz w:val="21"/>
                <w:szCs w:val="21"/>
              </w:rPr>
              <w:t> </w:t>
            </w:r>
            <w:r>
              <w:rPr>
                <w:rFonts w:ascii="宋体" w:hAnsi="宋体" w:cs="宋体" w:eastAsia="宋体" w:hint="default"/>
                <w:spacing w:val="-12"/>
                <w:sz w:val="21"/>
                <w:szCs w:val="21"/>
              </w:rPr>
              <w:t>月财</w:t>
            </w:r>
            <w:r>
              <w:rPr>
                <w:rFonts w:ascii="宋体" w:hAnsi="宋体" w:cs="宋体" w:eastAsia="宋体" w:hint="default"/>
                <w:sz w:val="21"/>
                <w:szCs w:val="21"/>
              </w:rPr>
            </w:r>
          </w:p>
          <w:p>
            <w:pPr>
              <w:pStyle w:val="TableParagraph"/>
              <w:spacing w:line="273" w:lineRule="auto" w:before="21"/>
              <w:ind w:left="103" w:right="235"/>
              <w:jc w:val="left"/>
              <w:rPr>
                <w:rFonts w:ascii="宋体" w:hAnsi="宋体" w:cs="宋体" w:eastAsia="宋体" w:hint="default"/>
                <w:sz w:val="21"/>
                <w:szCs w:val="21"/>
              </w:rPr>
            </w:pPr>
            <w:r>
              <w:rPr>
                <w:rFonts w:ascii="宋体" w:hAnsi="宋体" w:cs="宋体" w:eastAsia="宋体" w:hint="default"/>
                <w:spacing w:val="-12"/>
                <w:sz w:val="21"/>
                <w:szCs w:val="21"/>
              </w:rPr>
              <w:t>务报表加强调事项段的说 </w:t>
            </w:r>
            <w:r>
              <w:rPr>
                <w:rFonts w:ascii="宋体" w:hAnsi="宋体" w:cs="宋体" w:eastAsia="宋体" w:hint="default"/>
                <w:sz w:val="21"/>
                <w:szCs w:val="21"/>
              </w:rPr>
              <w:t>明</w:t>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2008-4-30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董事会审计委员会年报工</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作规程</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580"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103" w:right="0"/>
              <w:jc w:val="left"/>
              <w:rPr>
                <w:rFonts w:ascii="Times New Roman" w:hAnsi="Times New Roman" w:cs="Times New Roman" w:eastAsia="Times New Roman" w:hint="default"/>
                <w:sz w:val="21"/>
                <w:szCs w:val="21"/>
              </w:rPr>
            </w:pPr>
            <w:r>
              <w:rPr>
                <w:rFonts w:ascii="Times New Roman"/>
                <w:sz w:val="21"/>
              </w:rPr>
              <w:t>2008-4-30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03" w:right="0"/>
              <w:jc w:val="left"/>
              <w:rPr>
                <w:rFonts w:ascii="宋体" w:hAnsi="宋体" w:cs="宋体" w:eastAsia="宋体" w:hint="default"/>
                <w:sz w:val="21"/>
                <w:szCs w:val="21"/>
              </w:rPr>
            </w:pPr>
            <w:r>
              <w:rPr>
                <w:rFonts w:ascii="宋体" w:hAnsi="宋体" w:cs="宋体" w:eastAsia="宋体" w:hint="default"/>
                <w:spacing w:val="-12"/>
                <w:sz w:val="21"/>
                <w:szCs w:val="21"/>
              </w:rPr>
              <w:t>独立董事年报工作制度</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2008-4-30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pacing w:val="-13"/>
                <w:sz w:val="21"/>
                <w:szCs w:val="21"/>
              </w:rPr>
              <w:t>年年度财务报告之审</w:t>
            </w:r>
            <w:r>
              <w:rPr>
                <w:rFonts w:ascii="宋体" w:hAnsi="宋体" w:cs="宋体" w:eastAsia="宋体" w:hint="default"/>
                <w:sz w:val="21"/>
                <w:szCs w:val="21"/>
              </w:rPr>
            </w:r>
          </w:p>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pacing w:val="-12"/>
                <w:sz w:val="21"/>
                <w:szCs w:val="21"/>
              </w:rPr>
              <w:t>计报告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2008-031</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2008-4-30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第六届第十一次董事会决</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议公告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86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2008-032</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2008-5-6</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56" w:lineRule="auto" w:before="100"/>
              <w:ind w:left="103" w:right="186"/>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2008 </w:t>
            </w:r>
            <w:r>
              <w:rPr>
                <w:rFonts w:ascii="宋体" w:hAnsi="宋体" w:cs="宋体" w:eastAsia="宋体" w:hint="default"/>
                <w:spacing w:val="-13"/>
                <w:sz w:val="21"/>
                <w:szCs w:val="21"/>
              </w:rPr>
              <w:t>年第三次临时股东大</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12"/>
                <w:sz w:val="21"/>
                <w:szCs w:val="21"/>
              </w:rPr>
              <w:t>会决议公告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hyperlink r:id="rId9">
              <w:r>
                <w:rPr>
                  <w:rFonts w:ascii="Times New Roman"/>
                  <w:sz w:val="21"/>
                </w:rPr>
                <w:t>http://www.cninfo.com.cn</w:t>
              </w:r>
            </w:hyperlink>
          </w:p>
        </w:tc>
      </w:tr>
      <w:tr>
        <w:trPr>
          <w:trHeight w:val="86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2008-5-6</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56" w:lineRule="auto" w:before="100"/>
              <w:ind w:left="103" w:right="186"/>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2008 </w:t>
            </w:r>
            <w:r>
              <w:rPr>
                <w:rFonts w:ascii="宋体" w:hAnsi="宋体" w:cs="宋体" w:eastAsia="宋体" w:hint="default"/>
                <w:spacing w:val="-13"/>
                <w:sz w:val="21"/>
                <w:szCs w:val="21"/>
              </w:rPr>
              <w:t>年第三次临时股东大</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12"/>
                <w:sz w:val="21"/>
                <w:szCs w:val="21"/>
              </w:rPr>
              <w:t>会法律意见书</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hyperlink r:id="rId9">
              <w:r>
                <w:rPr>
                  <w:rFonts w:ascii="Times New Roman"/>
                  <w:sz w:val="21"/>
                </w:rPr>
                <w:t>http://www.cninfo.com.cn</w:t>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2008-033</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2008-5-9</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关于向深圳证券交易所提</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出恢复上市的公告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947"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2008-034</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2008-5-16</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关于深圳证券交易所同意</w:t>
            </w:r>
            <w:r>
              <w:rPr>
                <w:rFonts w:ascii="宋体" w:hAnsi="宋体" w:cs="宋体" w:eastAsia="宋体" w:hint="default"/>
                <w:sz w:val="21"/>
                <w:szCs w:val="21"/>
              </w:rPr>
            </w:r>
          </w:p>
          <w:p>
            <w:pPr>
              <w:pStyle w:val="TableParagraph"/>
              <w:spacing w:line="273" w:lineRule="auto" w:before="37"/>
              <w:ind w:left="103" w:right="235"/>
              <w:jc w:val="left"/>
              <w:rPr>
                <w:rFonts w:ascii="宋体" w:hAnsi="宋体" w:cs="宋体" w:eastAsia="宋体" w:hint="default"/>
                <w:sz w:val="21"/>
                <w:szCs w:val="21"/>
              </w:rPr>
            </w:pPr>
            <w:r>
              <w:rPr>
                <w:rFonts w:ascii="宋体" w:hAnsi="宋体" w:cs="宋体" w:eastAsia="宋体" w:hint="default"/>
                <w:spacing w:val="-12"/>
                <w:sz w:val="21"/>
                <w:szCs w:val="21"/>
              </w:rPr>
              <w:t>受理公司恢复上市申请的 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bl>
    <w:p>
      <w:pPr>
        <w:spacing w:after="0" w:line="240" w:lineRule="auto"/>
        <w:jc w:val="left"/>
        <w:rPr>
          <w:rFonts w:ascii="Times New Roman" w:hAnsi="Times New Roman" w:cs="Times New Roman" w:eastAsia="Times New Roman" w:hint="default"/>
          <w:sz w:val="21"/>
          <w:szCs w:val="21"/>
        </w:rPr>
        <w:sectPr>
          <w:pgSz w:w="11910" w:h="16840"/>
          <w:pgMar w:header="0" w:footer="594" w:top="1380" w:bottom="780" w:left="980" w:right="980"/>
        </w:sectPr>
      </w:pPr>
    </w:p>
    <w:p>
      <w:pPr>
        <w:spacing w:line="240" w:lineRule="auto" w:before="8"/>
        <w:rPr>
          <w:rFonts w:ascii="Times New Roman" w:hAnsi="Times New Roman" w:cs="Times New Roman" w:eastAsia="Times New Roman"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1176"/>
        <w:gridCol w:w="1336"/>
        <w:gridCol w:w="2528"/>
        <w:gridCol w:w="1784"/>
        <w:gridCol w:w="2874"/>
      </w:tblGrid>
      <w:tr>
        <w:trPr>
          <w:trHeight w:val="629" w:hRule="exact"/>
        </w:trPr>
        <w:tc>
          <w:tcPr>
            <w:tcW w:w="11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2008-035</w:t>
            </w:r>
          </w:p>
        </w:tc>
        <w:tc>
          <w:tcPr>
            <w:tcW w:w="13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2008-6-4</w:t>
            </w:r>
          </w:p>
        </w:tc>
        <w:tc>
          <w:tcPr>
            <w:tcW w:w="2528" w:type="dxa"/>
            <w:tcBorders>
              <w:top w:val="nil" w:sz="6" w:space="0" w:color="auto"/>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股权分置改革实施进展公</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告</w:t>
            </w:r>
          </w:p>
        </w:tc>
        <w:tc>
          <w:tcPr>
            <w:tcW w:w="1784" w:type="dxa"/>
            <w:tcBorders>
              <w:top w:val="nil" w:sz="6" w:space="0" w:color="auto"/>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947"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2008-036</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t>2008-6-4</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关于公司为恢复股票上市</w:t>
            </w:r>
            <w:r>
              <w:rPr>
                <w:rFonts w:ascii="宋体" w:hAnsi="宋体" w:cs="宋体" w:eastAsia="宋体" w:hint="default"/>
                <w:sz w:val="21"/>
                <w:szCs w:val="21"/>
              </w:rPr>
            </w:r>
          </w:p>
          <w:p>
            <w:pPr>
              <w:pStyle w:val="TableParagraph"/>
              <w:spacing w:line="273" w:lineRule="auto" w:before="37"/>
              <w:ind w:left="103" w:right="235"/>
              <w:jc w:val="left"/>
              <w:rPr>
                <w:rFonts w:ascii="宋体" w:hAnsi="宋体" w:cs="宋体" w:eastAsia="宋体" w:hint="default"/>
                <w:sz w:val="21"/>
                <w:szCs w:val="21"/>
              </w:rPr>
            </w:pPr>
            <w:r>
              <w:rPr>
                <w:rFonts w:ascii="宋体" w:hAnsi="宋体" w:cs="宋体" w:eastAsia="宋体" w:hint="default"/>
                <w:spacing w:val="-12"/>
                <w:sz w:val="21"/>
                <w:szCs w:val="21"/>
              </w:rPr>
              <w:t>所采取的措施及有关工作 的进展情况</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2008-037</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2008-6-10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宋体" w:hAnsi="宋体" w:cs="宋体" w:eastAsia="宋体" w:hint="default"/>
                <w:spacing w:val="-9"/>
                <w:sz w:val="21"/>
                <w:szCs w:val="21"/>
              </w:rPr>
              <w:t>关于召开</w:t>
            </w:r>
            <w:r>
              <w:rPr>
                <w:rFonts w:ascii="宋体" w:hAnsi="宋体" w:cs="宋体" w:eastAsia="宋体" w:hint="default"/>
                <w:spacing w:val="-68"/>
                <w:sz w:val="21"/>
                <w:szCs w:val="21"/>
              </w:rPr>
              <w:t> </w:t>
            </w:r>
            <w:r>
              <w:rPr>
                <w:rFonts w:ascii="Times New Roman" w:hAnsi="Times New Roman" w:cs="Times New Roman" w:eastAsia="Times New Roman" w:hint="default"/>
                <w:spacing w:val="-5"/>
                <w:sz w:val="21"/>
                <w:szCs w:val="21"/>
              </w:rPr>
              <w:t>2007</w:t>
            </w:r>
            <w:r>
              <w:rPr>
                <w:rFonts w:ascii="Times New Roman" w:hAnsi="Times New Roman" w:cs="Times New Roman" w:eastAsia="Times New Roman" w:hint="default"/>
                <w:spacing w:val="-9"/>
                <w:sz w:val="21"/>
                <w:szCs w:val="21"/>
              </w:rPr>
              <w:t> </w:t>
            </w:r>
            <w:r>
              <w:rPr>
                <w:rFonts w:ascii="宋体" w:hAnsi="宋体" w:cs="宋体" w:eastAsia="宋体" w:hint="default"/>
                <w:spacing w:val="-12"/>
                <w:sz w:val="21"/>
                <w:szCs w:val="21"/>
              </w:rPr>
              <w:t>年年度股东</w:t>
            </w:r>
            <w:r>
              <w:rPr>
                <w:rFonts w:ascii="宋体" w:hAnsi="宋体" w:cs="宋体" w:eastAsia="宋体" w:hint="default"/>
                <w:sz w:val="21"/>
                <w:szCs w:val="21"/>
              </w:rPr>
            </w:r>
          </w:p>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pacing w:val="-12"/>
                <w:sz w:val="21"/>
                <w:szCs w:val="21"/>
              </w:rPr>
              <w:t>大会的会议通知</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2008-038</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2008-7-1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pacing w:val="-13"/>
                <w:sz w:val="21"/>
                <w:szCs w:val="21"/>
              </w:rPr>
              <w:t>年年度股东大会决议</w:t>
            </w:r>
            <w:r>
              <w:rPr>
                <w:rFonts w:ascii="宋体" w:hAnsi="宋体" w:cs="宋体" w:eastAsia="宋体" w:hint="default"/>
                <w:sz w:val="21"/>
                <w:szCs w:val="21"/>
              </w:rPr>
            </w:r>
          </w:p>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pacing w:val="-12"/>
                <w:sz w:val="21"/>
                <w:szCs w:val="21"/>
              </w:rPr>
              <w:t>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2008-7-1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pacing w:val="-13"/>
                <w:sz w:val="21"/>
                <w:szCs w:val="21"/>
              </w:rPr>
              <w:t>年年度股东大会法律</w:t>
            </w:r>
            <w:r>
              <w:rPr>
                <w:rFonts w:ascii="宋体" w:hAnsi="宋体" w:cs="宋体" w:eastAsia="宋体" w:hint="default"/>
                <w:sz w:val="21"/>
                <w:szCs w:val="21"/>
              </w:rPr>
            </w:r>
          </w:p>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pacing w:val="-12"/>
                <w:sz w:val="21"/>
                <w:szCs w:val="21"/>
              </w:rPr>
              <w:t>意见书</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2008-039</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2008-7-4</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股权分置改革进展的提示</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性公告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86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2008-040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2008-7-4</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0"/>
              <w:ind w:left="103" w:right="235"/>
              <w:jc w:val="left"/>
              <w:rPr>
                <w:rFonts w:ascii="宋体" w:hAnsi="宋体" w:cs="宋体" w:eastAsia="宋体" w:hint="default"/>
                <w:sz w:val="21"/>
                <w:szCs w:val="21"/>
              </w:rPr>
            </w:pPr>
            <w:r>
              <w:rPr>
                <w:rFonts w:ascii="宋体" w:hAnsi="宋体" w:cs="宋体" w:eastAsia="宋体" w:hint="default"/>
                <w:spacing w:val="-12"/>
                <w:sz w:val="21"/>
                <w:szCs w:val="21"/>
              </w:rPr>
              <w:t>关于公司恢复股票上市进 展情况的提示性公告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2008-041</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2008-7-19</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pacing w:val="-13"/>
                <w:sz w:val="21"/>
                <w:szCs w:val="21"/>
              </w:rPr>
              <w:t>年中期业绩预亏公告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2008-042</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2008-7-19</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第六届第十二次董事会决</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议公告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2008-043</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2008-7-30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第六届第十三次董事会决</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议公告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2008-7-30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关于大股东及关联方资金</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占用情况的自查报告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2008-044</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2008-8-5</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股权分置改革进展的提示</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性公告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2008-045</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2008-8-5</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关于公司恢复股票上市进</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展情况的提示性公告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2008-046</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2008-8-21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第六届第十四次董事会决</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议公告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580"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103" w:right="0"/>
              <w:jc w:val="left"/>
              <w:rPr>
                <w:rFonts w:ascii="Times New Roman" w:hAnsi="Times New Roman" w:cs="Times New Roman" w:eastAsia="Times New Roman" w:hint="default"/>
                <w:sz w:val="21"/>
                <w:szCs w:val="21"/>
              </w:rPr>
            </w:pPr>
            <w:r>
              <w:rPr>
                <w:rFonts w:ascii="Times New Roman"/>
                <w:sz w:val="21"/>
              </w:rPr>
              <w:t>2008-8-21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pacing w:val="-13"/>
                <w:sz w:val="21"/>
                <w:szCs w:val="21"/>
              </w:rPr>
              <w:t>年半年度报告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2008-8-21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pacing w:val="-13"/>
                <w:sz w:val="21"/>
                <w:szCs w:val="21"/>
              </w:rPr>
              <w:t>年半年度报告摘要</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2008-047</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2008-8-21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pacing w:val="-12"/>
                <w:sz w:val="21"/>
                <w:szCs w:val="21"/>
              </w:rPr>
              <w:t>业绩预亏公告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580"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103" w:right="0"/>
              <w:jc w:val="left"/>
              <w:rPr>
                <w:rFonts w:ascii="Times New Roman" w:hAnsi="Times New Roman" w:cs="Times New Roman" w:eastAsia="Times New Roman" w:hint="default"/>
                <w:sz w:val="21"/>
                <w:szCs w:val="21"/>
              </w:rPr>
            </w:pPr>
            <w:r>
              <w:rPr>
                <w:rFonts w:ascii="Times New Roman"/>
                <w:sz w:val="21"/>
              </w:rPr>
              <w:t>2008-048</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103" w:right="0"/>
              <w:jc w:val="left"/>
              <w:rPr>
                <w:rFonts w:ascii="Times New Roman" w:hAnsi="Times New Roman" w:cs="Times New Roman" w:eastAsia="Times New Roman" w:hint="default"/>
                <w:sz w:val="21"/>
                <w:szCs w:val="21"/>
              </w:rPr>
            </w:pPr>
            <w:r>
              <w:rPr>
                <w:rFonts w:ascii="Times New Roman"/>
                <w:sz w:val="21"/>
              </w:rPr>
              <w:t>2008-8-21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0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年半年度财务报告</w:t>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103" w:right="0"/>
              <w:jc w:val="left"/>
              <w:rPr>
                <w:rFonts w:ascii="Times New Roman" w:hAnsi="Times New Roman" w:cs="Times New Roman" w:eastAsia="Times New Roman" w:hint="default"/>
                <w:sz w:val="21"/>
                <w:szCs w:val="21"/>
              </w:rPr>
            </w:pPr>
            <w:hyperlink r:id="rId9">
              <w:r>
                <w:rPr>
                  <w:rFonts w:ascii="Times New Roman"/>
                  <w:sz w:val="21"/>
                </w:rPr>
                <w:t>http://www.cninfo.com.cn</w:t>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2008-049</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2008-9-3</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关于公司恢复股票上市进</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展情况的提示性公告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2008-050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2008-9-3</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股权分置改革进展的提示</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性公告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2008-051</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2008-9-4</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pacing w:val="-13"/>
                <w:sz w:val="21"/>
                <w:szCs w:val="21"/>
              </w:rPr>
              <w:t>年第四次临时股东大</w:t>
            </w:r>
            <w:r>
              <w:rPr>
                <w:rFonts w:ascii="宋体" w:hAnsi="宋体" w:cs="宋体" w:eastAsia="宋体" w:hint="default"/>
                <w:sz w:val="21"/>
                <w:szCs w:val="21"/>
              </w:rPr>
            </w:r>
          </w:p>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pacing w:val="-12"/>
                <w:sz w:val="21"/>
                <w:szCs w:val="21"/>
              </w:rPr>
              <w:t>会通知公告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bl>
    <w:p>
      <w:pPr>
        <w:spacing w:after="0" w:line="240" w:lineRule="auto"/>
        <w:jc w:val="left"/>
        <w:rPr>
          <w:rFonts w:ascii="Times New Roman" w:hAnsi="Times New Roman" w:cs="Times New Roman" w:eastAsia="Times New Roman" w:hint="default"/>
          <w:sz w:val="21"/>
          <w:szCs w:val="21"/>
        </w:rPr>
        <w:sectPr>
          <w:pgSz w:w="11910" w:h="16840"/>
          <w:pgMar w:header="0" w:footer="594" w:top="1380" w:bottom="780" w:left="980" w:right="980"/>
        </w:sectPr>
      </w:pPr>
    </w:p>
    <w:p>
      <w:pPr>
        <w:spacing w:line="240" w:lineRule="auto" w:before="8"/>
        <w:rPr>
          <w:rFonts w:ascii="Times New Roman" w:hAnsi="Times New Roman" w:cs="Times New Roman" w:eastAsia="Times New Roman"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1176"/>
        <w:gridCol w:w="1336"/>
        <w:gridCol w:w="2528"/>
        <w:gridCol w:w="1784"/>
        <w:gridCol w:w="2874"/>
      </w:tblGrid>
      <w:tr>
        <w:trPr>
          <w:trHeight w:val="629" w:hRule="exact"/>
        </w:trPr>
        <w:tc>
          <w:tcPr>
            <w:tcW w:w="11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2008-052</w:t>
            </w:r>
          </w:p>
        </w:tc>
        <w:tc>
          <w:tcPr>
            <w:tcW w:w="13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2008-9-22</w:t>
            </w:r>
          </w:p>
        </w:tc>
        <w:tc>
          <w:tcPr>
            <w:tcW w:w="2528" w:type="dxa"/>
            <w:tcBorders>
              <w:top w:val="nil" w:sz="6" w:space="0" w:color="auto"/>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pacing w:val="-13"/>
                <w:sz w:val="21"/>
                <w:szCs w:val="21"/>
              </w:rPr>
              <w:t>年第四次临时股东大</w:t>
            </w:r>
            <w:r>
              <w:rPr>
                <w:rFonts w:ascii="宋体" w:hAnsi="宋体" w:cs="宋体" w:eastAsia="宋体" w:hint="default"/>
                <w:sz w:val="21"/>
                <w:szCs w:val="21"/>
              </w:rPr>
            </w:r>
          </w:p>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pacing w:val="-12"/>
                <w:sz w:val="21"/>
                <w:szCs w:val="21"/>
              </w:rPr>
              <w:t>会决议公告</w:t>
            </w:r>
            <w:r>
              <w:rPr>
                <w:rFonts w:ascii="宋体" w:hAnsi="宋体" w:cs="宋体" w:eastAsia="宋体" w:hint="default"/>
                <w:sz w:val="21"/>
                <w:szCs w:val="21"/>
              </w:rPr>
            </w:r>
          </w:p>
        </w:tc>
        <w:tc>
          <w:tcPr>
            <w:tcW w:w="1784" w:type="dxa"/>
            <w:tcBorders>
              <w:top w:val="nil" w:sz="6" w:space="0" w:color="auto"/>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2008-9-22</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pacing w:val="-13"/>
                <w:sz w:val="21"/>
                <w:szCs w:val="21"/>
              </w:rPr>
              <w:t>年第四次临时股东大</w:t>
            </w:r>
            <w:r>
              <w:rPr>
                <w:rFonts w:ascii="宋体" w:hAnsi="宋体" w:cs="宋体" w:eastAsia="宋体" w:hint="default"/>
                <w:sz w:val="21"/>
                <w:szCs w:val="21"/>
              </w:rPr>
            </w:r>
          </w:p>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pacing w:val="-12"/>
                <w:sz w:val="21"/>
                <w:szCs w:val="21"/>
              </w:rPr>
              <w:t>会法律意见书</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2008-053</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2008-10-11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第六届第十五次董事会决</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议公告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2008-10-11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拟转让资产项目资产评估</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报告书</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2008-10-11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拟转让资产项目资产评估</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说明</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2008-10-11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关于进行资产评估有关事</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项的说明</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2008-054</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2008-10-9</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宋体" w:hAnsi="宋体" w:cs="宋体" w:eastAsia="宋体" w:hint="default"/>
                <w:spacing w:val="-6"/>
                <w:sz w:val="21"/>
                <w:szCs w:val="21"/>
              </w:rPr>
              <w:t>关于</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9"/>
                <w:sz w:val="21"/>
                <w:szCs w:val="21"/>
              </w:rPr>
              <w:t> </w:t>
            </w:r>
            <w:r>
              <w:rPr>
                <w:rFonts w:ascii="宋体" w:hAnsi="宋体" w:cs="宋体" w:eastAsia="宋体" w:hint="default"/>
                <w:spacing w:val="-12"/>
                <w:sz w:val="21"/>
                <w:szCs w:val="21"/>
              </w:rPr>
              <w:t>号厂房及大通食品</w:t>
            </w:r>
            <w:r>
              <w:rPr>
                <w:rFonts w:ascii="宋体" w:hAnsi="宋体" w:cs="宋体" w:eastAsia="宋体" w:hint="default"/>
                <w:sz w:val="21"/>
                <w:szCs w:val="21"/>
              </w:rPr>
            </w:r>
          </w:p>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pacing w:val="-12"/>
                <w:sz w:val="21"/>
                <w:szCs w:val="21"/>
              </w:rPr>
              <w:t>的公告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2008-055</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2008-10-13</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股权分置改革进展的提示</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性公告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52"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2008-056</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2008-10-13</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235"/>
              <w:jc w:val="left"/>
              <w:rPr>
                <w:rFonts w:ascii="宋体" w:hAnsi="宋体" w:cs="宋体" w:eastAsia="宋体" w:hint="default"/>
                <w:sz w:val="21"/>
                <w:szCs w:val="21"/>
              </w:rPr>
            </w:pPr>
            <w:r>
              <w:rPr>
                <w:rFonts w:ascii="宋体" w:hAnsi="宋体" w:cs="宋体" w:eastAsia="宋体" w:hint="default"/>
                <w:spacing w:val="-12"/>
                <w:sz w:val="21"/>
                <w:szCs w:val="21"/>
              </w:rPr>
              <w:t>关于公司恢复股票上市进 展情况的提示性公告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2008-057</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2008-10-11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pacing w:val="-12"/>
                <w:sz w:val="21"/>
                <w:szCs w:val="21"/>
              </w:rPr>
              <w:t>关联交易公告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2008-058</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2008-10-22</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第六届第十六次董事会决</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议公告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2008-059</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2008-10-29</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第六届第十七次董事会决</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议公告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2008-060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2008-10-29</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2008 </w:t>
            </w:r>
            <w:r>
              <w:rPr>
                <w:rFonts w:ascii="宋体" w:hAnsi="宋体" w:cs="宋体" w:eastAsia="宋体" w:hint="default"/>
                <w:spacing w:val="-13"/>
                <w:sz w:val="21"/>
                <w:szCs w:val="21"/>
              </w:rPr>
              <w:t>第三季度报告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2008-061</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2008-11-14</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关于公司恢复股票上市进</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展情况的提示性公告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2008-062</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2008-11-14</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股权分置改革进展的提示</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性公告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2008-063</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2008-12-10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第六届董事会第十八次会</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议决议公告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86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2008-064</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2008-12-10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0"/>
              <w:ind w:left="103" w:right="235"/>
              <w:jc w:val="left"/>
              <w:rPr>
                <w:rFonts w:ascii="宋体" w:hAnsi="宋体" w:cs="宋体" w:eastAsia="宋体" w:hint="default"/>
                <w:sz w:val="21"/>
                <w:szCs w:val="21"/>
              </w:rPr>
            </w:pPr>
            <w:r>
              <w:rPr>
                <w:rFonts w:ascii="宋体" w:hAnsi="宋体" w:cs="宋体" w:eastAsia="宋体" w:hint="default"/>
                <w:spacing w:val="-12"/>
                <w:sz w:val="21"/>
                <w:szCs w:val="21"/>
              </w:rPr>
              <w:t>股权分置改革进展的提示 性公告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2008-065</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2008-12-10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关于公司恢复股票上市进</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展情况的提示性公告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2008-12-10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独立董事候选人声明（王</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洪）</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2008-12-10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8"/>
                <w:sz w:val="21"/>
                <w:szCs w:val="21"/>
              </w:rPr>
              <w:t>独立董事候选人声明（舒强</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兴）</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2008-12-10</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独立董事提名人声明（王</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洪）</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bl>
    <w:p>
      <w:pPr>
        <w:spacing w:after="0" w:line="240" w:lineRule="auto"/>
        <w:jc w:val="left"/>
        <w:rPr>
          <w:rFonts w:ascii="Times New Roman" w:hAnsi="Times New Roman" w:cs="Times New Roman" w:eastAsia="Times New Roman" w:hint="default"/>
          <w:sz w:val="21"/>
          <w:szCs w:val="21"/>
        </w:rPr>
        <w:sectPr>
          <w:pgSz w:w="11910" w:h="16840"/>
          <w:pgMar w:header="0" w:footer="594" w:top="1380" w:bottom="780" w:left="980" w:right="980"/>
        </w:sectPr>
      </w:pPr>
    </w:p>
    <w:p>
      <w:pPr>
        <w:spacing w:line="240" w:lineRule="auto" w:before="8"/>
        <w:rPr>
          <w:rFonts w:ascii="Times New Roman" w:hAnsi="Times New Roman" w:cs="Times New Roman" w:eastAsia="Times New Roman"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1176"/>
        <w:gridCol w:w="1336"/>
        <w:gridCol w:w="2528"/>
        <w:gridCol w:w="1784"/>
        <w:gridCol w:w="2874"/>
      </w:tblGrid>
      <w:tr>
        <w:trPr>
          <w:trHeight w:val="629" w:hRule="exact"/>
        </w:trPr>
        <w:tc>
          <w:tcPr>
            <w:tcW w:w="11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2008-12-10</w:t>
            </w:r>
          </w:p>
        </w:tc>
        <w:tc>
          <w:tcPr>
            <w:tcW w:w="2528" w:type="dxa"/>
            <w:tcBorders>
              <w:top w:val="nil" w:sz="6" w:space="0" w:color="auto"/>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8"/>
                <w:sz w:val="21"/>
                <w:szCs w:val="21"/>
              </w:rPr>
              <w:t>独立董事提名人声明（舒强</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兴）</w:t>
            </w:r>
            <w:r>
              <w:rPr>
                <w:rFonts w:ascii="宋体" w:hAnsi="宋体" w:cs="宋体" w:eastAsia="宋体" w:hint="default"/>
                <w:sz w:val="21"/>
                <w:szCs w:val="21"/>
              </w:rPr>
            </w:r>
          </w:p>
        </w:tc>
        <w:tc>
          <w:tcPr>
            <w:tcW w:w="1784" w:type="dxa"/>
            <w:tcBorders>
              <w:top w:val="nil" w:sz="6" w:space="0" w:color="auto"/>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2008-066</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2008-12-13</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pacing w:val="-12"/>
                <w:sz w:val="21"/>
                <w:szCs w:val="21"/>
              </w:rPr>
              <w:t>收购报告书</w:t>
            </w:r>
            <w:r>
              <w:rPr>
                <w:rFonts w:ascii="Times New Roman" w:hAnsi="Times New Roman" w:cs="Times New Roman" w:eastAsia="Times New Roman" w:hint="default"/>
                <w:spacing w:val="-12"/>
                <w:sz w:val="21"/>
                <w:szCs w:val="21"/>
              </w:rPr>
              <w:t>(</w:t>
            </w:r>
            <w:r>
              <w:rPr>
                <w:rFonts w:ascii="宋体" w:hAnsi="宋体" w:cs="宋体" w:eastAsia="宋体" w:hint="default"/>
                <w:spacing w:val="-12"/>
                <w:sz w:val="21"/>
                <w:szCs w:val="21"/>
              </w:rPr>
              <w:t>摘要</w:t>
            </w:r>
            <w:r>
              <w:rPr>
                <w:rFonts w:ascii="Times New Roman" w:hAnsi="Times New Roman" w:cs="Times New Roman" w:eastAsia="Times New Roman" w:hint="default"/>
                <w:spacing w:val="-12"/>
                <w:sz w:val="21"/>
                <w:szCs w:val="21"/>
              </w:rPr>
              <w:t>)</w:t>
            </w:r>
            <w:r>
              <w:rPr>
                <w:rFonts w:ascii="宋体" w:hAnsi="宋体" w:cs="宋体" w:eastAsia="宋体" w:hint="default"/>
                <w:spacing w:val="-12"/>
                <w:sz w:val="21"/>
                <w:szCs w:val="21"/>
              </w:rPr>
              <w:t>的公告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4"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2008-067</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2008-12-31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第六届第十九次董事会决</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12"/>
                <w:sz w:val="21"/>
                <w:szCs w:val="21"/>
              </w:rPr>
              <w:t>议公告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580"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103"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103" w:right="0"/>
              <w:jc w:val="left"/>
              <w:rPr>
                <w:rFonts w:ascii="Times New Roman" w:hAnsi="Times New Roman" w:cs="Times New Roman" w:eastAsia="Times New Roman" w:hint="default"/>
                <w:sz w:val="21"/>
                <w:szCs w:val="21"/>
              </w:rPr>
            </w:pPr>
            <w:r>
              <w:rPr>
                <w:rFonts w:ascii="Times New Roman"/>
                <w:sz w:val="21"/>
              </w:rPr>
              <w:t>2008-12-31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03" w:right="0"/>
              <w:jc w:val="left"/>
              <w:rPr>
                <w:rFonts w:ascii="宋体" w:hAnsi="宋体" w:cs="宋体" w:eastAsia="宋体" w:hint="default"/>
                <w:sz w:val="21"/>
                <w:szCs w:val="21"/>
              </w:rPr>
            </w:pPr>
            <w:r>
              <w:rPr>
                <w:rFonts w:ascii="宋体" w:hAnsi="宋体" w:cs="宋体" w:eastAsia="宋体" w:hint="default"/>
                <w:spacing w:val="-12"/>
                <w:sz w:val="21"/>
                <w:szCs w:val="21"/>
              </w:rPr>
              <w:t>债务承担及担保协议</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r>
        <w:trPr>
          <w:trHeight w:val="635" w:hRule="exact"/>
        </w:trPr>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2008-068</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2008-12-31</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pacing w:val="-12"/>
                <w:sz w:val="21"/>
                <w:szCs w:val="21"/>
              </w:rPr>
              <w:t>关联交易公告</w:t>
            </w:r>
            <w:r>
              <w:rPr>
                <w:rFonts w:ascii="宋体" w:hAnsi="宋体" w:cs="宋体" w:eastAsia="宋体" w:hint="default"/>
                <w:sz w:val="21"/>
                <w:szCs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r>
            <w:hyperlink r:id="rId9">
              <w:r>
                <w:rPr>
                  <w:rFonts w:ascii="Times New Roman"/>
                  <w:sz w:val="21"/>
                  <w:u w:val="single" w:color="000000"/>
                </w:rPr>
                <w:t>http://www.cninfo.com.cn</w:t>
              </w:r>
              <w:r>
                <w:rPr>
                  <w:rFonts w:ascii="Times New Roman"/>
                  <w:sz w:val="21"/>
                </w:rPr>
              </w:r>
            </w:hyperlink>
          </w:p>
        </w:tc>
      </w:tr>
    </w:tbl>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tabs>
          <w:tab w:pos="1204" w:val="left" w:leader="none"/>
        </w:tabs>
        <w:spacing w:before="7"/>
        <w:ind w:left="0" w:right="34" w:firstLine="0"/>
        <w:jc w:val="center"/>
        <w:rPr>
          <w:rFonts w:ascii="宋体" w:hAnsi="宋体" w:cs="宋体" w:eastAsia="宋体" w:hint="default"/>
          <w:sz w:val="30"/>
          <w:szCs w:val="30"/>
        </w:rPr>
      </w:pPr>
      <w:bookmarkStart w:name="_TOC_250001" w:id="10"/>
      <w:r>
        <w:rPr>
          <w:rFonts w:ascii="宋体" w:hAnsi="宋体" w:cs="宋体" w:eastAsia="宋体" w:hint="default"/>
          <w:b/>
          <w:bCs/>
          <w:w w:val="95"/>
          <w:sz w:val="30"/>
          <w:szCs w:val="30"/>
        </w:rPr>
        <w:t>第十章</w:t>
        <w:tab/>
      </w:r>
      <w:r>
        <w:rPr>
          <w:rFonts w:ascii="宋体" w:hAnsi="宋体" w:cs="宋体" w:eastAsia="宋体" w:hint="default"/>
          <w:b/>
          <w:bCs/>
          <w:sz w:val="30"/>
          <w:szCs w:val="30"/>
        </w:rPr>
        <w:t>财务报告</w:t>
      </w:r>
      <w:bookmarkEnd w:id="10"/>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spacing w:before="247"/>
        <w:ind w:left="313" w:right="34" w:firstLine="0"/>
        <w:jc w:val="center"/>
        <w:rPr>
          <w:rFonts w:ascii="宋体" w:hAnsi="宋体" w:cs="宋体" w:eastAsia="宋体" w:hint="default"/>
          <w:sz w:val="28"/>
          <w:szCs w:val="28"/>
        </w:rPr>
      </w:pPr>
      <w:r>
        <w:rPr>
          <w:rFonts w:ascii="宋体" w:hAnsi="宋体" w:cs="宋体" w:eastAsia="宋体" w:hint="default"/>
          <w:b/>
          <w:bCs/>
          <w:sz w:val="28"/>
          <w:szCs w:val="28"/>
        </w:rPr>
        <w:t>审计报告</w:t>
      </w:r>
      <w:r>
        <w:rPr>
          <w:rFonts w:ascii="宋体" w:hAnsi="宋体" w:cs="宋体" w:eastAsia="宋体" w:hint="default"/>
          <w:sz w:val="28"/>
          <w:szCs w:val="28"/>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5"/>
          <w:szCs w:val="15"/>
        </w:rPr>
      </w:pPr>
    </w:p>
    <w:p>
      <w:pPr>
        <w:spacing w:before="0"/>
        <w:ind w:left="0" w:right="472" w:firstLine="0"/>
        <w:jc w:val="right"/>
        <w:rPr>
          <w:rFonts w:ascii="宋体" w:hAnsi="宋体" w:cs="宋体" w:eastAsia="宋体" w:hint="default"/>
          <w:sz w:val="21"/>
          <w:szCs w:val="21"/>
        </w:rPr>
      </w:pPr>
      <w:r>
        <w:rPr>
          <w:rFonts w:ascii="宋体" w:hAnsi="宋体" w:cs="宋体" w:eastAsia="宋体" w:hint="default"/>
          <w:sz w:val="21"/>
          <w:szCs w:val="21"/>
        </w:rPr>
        <w:t>深鹏所股审字</w:t>
      </w:r>
      <w:r>
        <w:rPr>
          <w:rFonts w:ascii="Times New Roman" w:hAnsi="Times New Roman" w:cs="Times New Roman" w:eastAsia="Times New Roman" w:hint="default"/>
          <w:sz w:val="21"/>
          <w:szCs w:val="21"/>
        </w:rPr>
        <w:t>[2009]000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w:t>
      </w:r>
    </w:p>
    <w:p>
      <w:pPr>
        <w:spacing w:line="240" w:lineRule="auto" w:before="3"/>
        <w:rPr>
          <w:rFonts w:ascii="宋体" w:hAnsi="宋体" w:cs="宋体" w:eastAsia="宋体" w:hint="default"/>
          <w:sz w:val="13"/>
          <w:szCs w:val="13"/>
        </w:rPr>
      </w:pPr>
    </w:p>
    <w:p>
      <w:pPr>
        <w:spacing w:line="436" w:lineRule="auto" w:before="35"/>
        <w:ind w:left="918" w:right="459" w:hanging="480"/>
        <w:jc w:val="left"/>
        <w:rPr>
          <w:rFonts w:ascii="Times New Roman" w:hAnsi="Times New Roman" w:cs="Times New Roman" w:eastAsia="Times New Roman" w:hint="default"/>
          <w:sz w:val="21"/>
          <w:szCs w:val="21"/>
        </w:rPr>
      </w:pPr>
      <w:r>
        <w:rPr>
          <w:rFonts w:ascii="宋体" w:hAnsi="宋体" w:cs="宋体" w:eastAsia="宋体" w:hint="default"/>
          <w:sz w:val="21"/>
          <w:szCs w:val="21"/>
        </w:rPr>
        <w:t>深圳大通实业股份有限公司全体股东： </w:t>
      </w:r>
      <w:r>
        <w:rPr>
          <w:rFonts w:ascii="宋体" w:hAnsi="宋体" w:cs="宋体" w:eastAsia="宋体" w:hint="default"/>
          <w:spacing w:val="-8"/>
          <w:sz w:val="21"/>
          <w:szCs w:val="21"/>
        </w:rPr>
        <w:t>我们审计了后附的深圳大通实业股份有限公司（以下简称</w:t>
      </w:r>
      <w:r>
        <w:rPr>
          <w:rFonts w:ascii="Times New Roman" w:hAnsi="Times New Roman" w:cs="Times New Roman" w:eastAsia="Times New Roman" w:hint="default"/>
          <w:spacing w:val="-8"/>
          <w:sz w:val="21"/>
          <w:szCs w:val="21"/>
        </w:rPr>
        <w:t>“</w:t>
      </w:r>
      <w:r>
        <w:rPr>
          <w:rFonts w:ascii="宋体" w:hAnsi="宋体" w:cs="宋体" w:eastAsia="宋体" w:hint="default"/>
          <w:spacing w:val="-8"/>
          <w:sz w:val="21"/>
          <w:szCs w:val="21"/>
        </w:rPr>
        <w:t>深大通公司</w:t>
      </w:r>
      <w:r>
        <w:rPr>
          <w:rFonts w:ascii="Times New Roman" w:hAnsi="Times New Roman" w:cs="Times New Roman" w:eastAsia="Times New Roman" w:hint="default"/>
          <w:spacing w:val="-8"/>
          <w:sz w:val="21"/>
          <w:szCs w:val="21"/>
        </w:rPr>
        <w:t>”</w:t>
      </w:r>
      <w:r>
        <w:rPr>
          <w:rFonts w:ascii="宋体" w:hAnsi="宋体" w:cs="宋体" w:eastAsia="宋体" w:hint="default"/>
          <w:spacing w:val="-8"/>
          <w:sz w:val="21"/>
          <w:szCs w:val="21"/>
        </w:rPr>
        <w:t>）的财务报表，包括</w:t>
      </w:r>
      <w:r>
        <w:rPr>
          <w:rFonts w:ascii="宋体" w:hAnsi="宋体" w:cs="宋体" w:eastAsia="宋体" w:hint="default"/>
          <w:spacing w:val="-22"/>
          <w:sz w:val="21"/>
          <w:szCs w:val="21"/>
        </w:rPr>
        <w:t> </w:t>
      </w:r>
      <w:r>
        <w:rPr>
          <w:rFonts w:ascii="Times New Roman" w:hAnsi="Times New Roman" w:cs="Times New Roman" w:eastAsia="Times New Roman" w:hint="default"/>
          <w:spacing w:val="-1"/>
          <w:sz w:val="21"/>
          <w:szCs w:val="21"/>
        </w:rPr>
        <w:t>2008</w:t>
      </w:r>
    </w:p>
    <w:p>
      <w:pPr>
        <w:spacing w:line="412" w:lineRule="auto" w:before="19"/>
        <w:ind w:left="438" w:right="461"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日的公司及合并资产负债表，</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年度的公司及合并利润表、公司及合并股东权益变动 表和公司及合并现金流量表以及财务报表附注。</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before="0"/>
        <w:ind w:left="918" w:right="486" w:firstLine="0"/>
        <w:jc w:val="left"/>
        <w:rPr>
          <w:rFonts w:ascii="黑体" w:hAnsi="黑体" w:cs="黑体" w:eastAsia="黑体" w:hint="default"/>
          <w:sz w:val="21"/>
          <w:szCs w:val="21"/>
        </w:rPr>
      </w:pPr>
      <w:r>
        <w:rPr>
          <w:rFonts w:ascii="黑体" w:hAnsi="黑体" w:cs="黑体" w:eastAsia="黑体" w:hint="default"/>
          <w:sz w:val="21"/>
          <w:szCs w:val="21"/>
        </w:rPr>
        <w:t>一、管理层对财务报表的责任</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5"/>
          <w:szCs w:val="15"/>
        </w:rPr>
      </w:pPr>
    </w:p>
    <w:p>
      <w:pPr>
        <w:spacing w:line="424" w:lineRule="auto" w:before="0"/>
        <w:ind w:left="438" w:right="357" w:firstLine="419"/>
        <w:jc w:val="left"/>
        <w:rPr>
          <w:rFonts w:ascii="宋体" w:hAnsi="宋体" w:cs="宋体" w:eastAsia="宋体" w:hint="default"/>
          <w:sz w:val="21"/>
          <w:szCs w:val="21"/>
        </w:rPr>
      </w:pPr>
      <w:r>
        <w:rPr>
          <w:rFonts w:ascii="宋体" w:hAnsi="宋体" w:cs="宋体" w:eastAsia="宋体" w:hint="default"/>
          <w:spacing w:val="-5"/>
          <w:sz w:val="21"/>
          <w:szCs w:val="21"/>
        </w:rPr>
        <w:t>按照企业会计准则的规定编制财务报表是深大通公司管理层的责任。这种责任包括：（</w:t>
      </w:r>
      <w:r>
        <w:rPr>
          <w:rFonts w:ascii="Times New Roman" w:hAnsi="Times New Roman" w:cs="Times New Roman" w:eastAsia="Times New Roman" w:hint="default"/>
          <w:spacing w:val="-5"/>
          <w:sz w:val="21"/>
          <w:szCs w:val="21"/>
        </w:rPr>
        <w:t>1</w:t>
      </w:r>
      <w:r>
        <w:rPr>
          <w:rFonts w:ascii="宋体" w:hAnsi="宋体" w:cs="宋体" w:eastAsia="宋体" w:hint="default"/>
          <w:spacing w:val="-5"/>
          <w:sz w:val="21"/>
          <w:szCs w:val="21"/>
        </w:rPr>
        <w:t>）设计、</w:t>
      </w:r>
      <w:r>
        <w:rPr>
          <w:rFonts w:ascii="宋体" w:hAnsi="宋体" w:cs="宋体" w:eastAsia="宋体" w:hint="default"/>
          <w:sz w:val="21"/>
          <w:szCs w:val="21"/>
        </w:rPr>
        <w:t> 实施和维护与财务报表编制相关的内部控制，以使财务报表不存在由于舞弊或错误而导致的重大错 报；（</w:t>
      </w:r>
      <w:r>
        <w:rPr>
          <w:rFonts w:ascii="Times New Roman" w:hAnsi="Times New Roman" w:cs="Times New Roman" w:eastAsia="Times New Roman" w:hint="default"/>
          <w:sz w:val="21"/>
          <w:szCs w:val="21"/>
        </w:rPr>
        <w:t>2</w:t>
      </w:r>
      <w:r>
        <w:rPr>
          <w:rFonts w:ascii="宋体" w:hAnsi="宋体" w:cs="宋体" w:eastAsia="宋体" w:hint="default"/>
          <w:sz w:val="21"/>
          <w:szCs w:val="21"/>
        </w:rPr>
        <w:t>）选择和运用恰当的会计政策；（</w:t>
      </w:r>
      <w:r>
        <w:rPr>
          <w:rFonts w:ascii="Times New Roman" w:hAnsi="Times New Roman" w:cs="Times New Roman" w:eastAsia="Times New Roman" w:hint="default"/>
          <w:sz w:val="21"/>
          <w:szCs w:val="21"/>
        </w:rPr>
        <w:t>3</w:t>
      </w:r>
      <w:r>
        <w:rPr>
          <w:rFonts w:ascii="宋体" w:hAnsi="宋体" w:cs="宋体" w:eastAsia="宋体" w:hint="default"/>
          <w:sz w:val="21"/>
          <w:szCs w:val="21"/>
        </w:rPr>
        <w:t>）作出合理的会计估计。</w:t>
      </w: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18"/>
          <w:szCs w:val="18"/>
        </w:rPr>
      </w:pPr>
    </w:p>
    <w:p>
      <w:pPr>
        <w:spacing w:before="0"/>
        <w:ind w:left="858" w:right="486" w:firstLine="0"/>
        <w:jc w:val="left"/>
        <w:rPr>
          <w:rFonts w:ascii="黑体" w:hAnsi="黑体" w:cs="黑体" w:eastAsia="黑体" w:hint="default"/>
          <w:sz w:val="21"/>
          <w:szCs w:val="21"/>
        </w:rPr>
      </w:pPr>
      <w:r>
        <w:rPr>
          <w:rFonts w:ascii="黑体" w:hAnsi="黑体" w:cs="黑体" w:eastAsia="黑体" w:hint="default"/>
          <w:sz w:val="21"/>
          <w:szCs w:val="21"/>
        </w:rPr>
        <w:t>二、注册会计师的责任</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5"/>
          <w:szCs w:val="15"/>
        </w:rPr>
      </w:pPr>
    </w:p>
    <w:p>
      <w:pPr>
        <w:spacing w:line="436" w:lineRule="auto" w:before="0"/>
        <w:ind w:left="438" w:right="474" w:firstLine="420"/>
        <w:jc w:val="both"/>
        <w:rPr>
          <w:rFonts w:ascii="宋体" w:hAnsi="宋体" w:cs="宋体" w:eastAsia="宋体" w:hint="default"/>
          <w:sz w:val="21"/>
          <w:szCs w:val="21"/>
        </w:rPr>
      </w:pPr>
      <w:r>
        <w:rPr>
          <w:rFonts w:ascii="宋体" w:hAnsi="宋体" w:cs="宋体" w:eastAsia="宋体" w:hint="default"/>
          <w:sz w:val="21"/>
          <w:szCs w:val="21"/>
        </w:rPr>
        <w:t>我们的责任是在实施审计工作的基础上对财务报表发表审计意见。我们按照中国注册会计师审 计准则的规定执行了审计工作。中国注册会计师审计准则要求我们遵守职业道德规范，计划和实施 审计工作以对财务报表是否不存在重大错报获取合理保证。</w:t>
      </w:r>
    </w:p>
    <w:p>
      <w:pPr>
        <w:spacing w:after="0" w:line="436" w:lineRule="auto"/>
        <w:jc w:val="both"/>
        <w:rPr>
          <w:rFonts w:ascii="宋体" w:hAnsi="宋体" w:cs="宋体" w:eastAsia="宋体" w:hint="default"/>
          <w:sz w:val="21"/>
          <w:szCs w:val="21"/>
        </w:rPr>
        <w:sectPr>
          <w:pgSz w:w="11910" w:h="16840"/>
          <w:pgMar w:header="0" w:footer="594" w:top="1380" w:bottom="780" w:left="980" w:right="980"/>
        </w:sectPr>
      </w:pPr>
    </w:p>
    <w:p>
      <w:pPr>
        <w:spacing w:line="436" w:lineRule="auto" w:before="66"/>
        <w:ind w:left="118" w:right="0" w:firstLine="420"/>
        <w:jc w:val="left"/>
        <w:rPr>
          <w:rFonts w:ascii="宋体" w:hAnsi="宋体" w:cs="宋体" w:eastAsia="宋体" w:hint="default"/>
          <w:sz w:val="21"/>
          <w:szCs w:val="21"/>
        </w:rPr>
      </w:pPr>
      <w:r>
        <w:rPr>
          <w:rFonts w:ascii="宋体" w:hAnsi="宋体" w:cs="宋体" w:eastAsia="宋体" w:hint="default"/>
          <w:sz w:val="21"/>
          <w:szCs w:val="21"/>
        </w:rPr>
        <w:t>审计工作涉及实施审计程序，以获取有关财务报表金额和披露的审计证据。选择的审计程序取 决于注册会计师的判断，包括对由于舞弊或错误导致的财务报表重大错报风险的评估。在进行风险 评估时，我们考虑与财务报表编制相关的内部控制，以设计恰当的审计程序，但目的并非对内部控 </w:t>
      </w:r>
      <w:r>
        <w:rPr>
          <w:rFonts w:ascii="宋体" w:hAnsi="宋体" w:cs="宋体" w:eastAsia="宋体" w:hint="default"/>
          <w:spacing w:val="-3"/>
          <w:sz w:val="21"/>
          <w:szCs w:val="21"/>
        </w:rPr>
        <w:t>制的有效性发表意见。审计工作还包括评价管理层选用会计政策的恰当性和作出会计估计的合理性，</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以及评价财务报表的总体列报。</w:t>
      </w:r>
    </w:p>
    <w:p>
      <w:pPr>
        <w:spacing w:before="53"/>
        <w:ind w:left="538" w:right="0" w:firstLine="0"/>
        <w:jc w:val="left"/>
        <w:rPr>
          <w:rFonts w:ascii="宋体" w:hAnsi="宋体" w:cs="宋体" w:eastAsia="宋体" w:hint="default"/>
          <w:sz w:val="21"/>
          <w:szCs w:val="21"/>
        </w:rPr>
      </w:pPr>
      <w:r>
        <w:rPr>
          <w:rFonts w:ascii="宋体" w:hAnsi="宋体" w:cs="宋体" w:eastAsia="宋体" w:hint="default"/>
          <w:sz w:val="21"/>
          <w:szCs w:val="21"/>
        </w:rPr>
        <w:t>我们相信，我们获取的审计证据是充分、适当的，为发表审计意见提供了基础。</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before="0"/>
        <w:ind w:left="538" w:right="0" w:firstLine="0"/>
        <w:jc w:val="left"/>
        <w:rPr>
          <w:rFonts w:ascii="黑体" w:hAnsi="黑体" w:cs="黑体" w:eastAsia="黑体" w:hint="default"/>
          <w:sz w:val="21"/>
          <w:szCs w:val="21"/>
        </w:rPr>
      </w:pPr>
      <w:r>
        <w:rPr>
          <w:rFonts w:ascii="黑体" w:hAnsi="黑体" w:cs="黑体" w:eastAsia="黑体" w:hint="default"/>
          <w:sz w:val="21"/>
          <w:szCs w:val="21"/>
        </w:rPr>
        <w:t>三、审计意见</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5"/>
          <w:szCs w:val="15"/>
        </w:rPr>
      </w:pPr>
    </w:p>
    <w:p>
      <w:pPr>
        <w:spacing w:line="436" w:lineRule="auto" w:before="0"/>
        <w:ind w:left="118" w:right="205" w:firstLine="411"/>
        <w:jc w:val="left"/>
        <w:rPr>
          <w:rFonts w:ascii="宋体" w:hAnsi="宋体" w:cs="宋体" w:eastAsia="宋体" w:hint="default"/>
          <w:sz w:val="21"/>
          <w:szCs w:val="21"/>
        </w:rPr>
      </w:pPr>
      <w:r>
        <w:rPr>
          <w:rFonts w:ascii="宋体" w:hAnsi="宋体" w:cs="宋体" w:eastAsia="宋体" w:hint="default"/>
          <w:sz w:val="21"/>
          <w:szCs w:val="21"/>
        </w:rPr>
        <w:t>我们认为，深大通公司财务报表已经按照企业会计准则的规定编制，在所有重大方面公允反映 了深大通公司及合并</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日的财务状况以及</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年度的经营成果和现金流量。</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30"/>
          <w:szCs w:val="30"/>
        </w:rPr>
      </w:pPr>
    </w:p>
    <w:p>
      <w:pPr>
        <w:tabs>
          <w:tab w:pos="7205" w:val="left" w:leader="none"/>
        </w:tabs>
        <w:spacing w:line="559" w:lineRule="auto" w:before="0"/>
        <w:ind w:left="959" w:right="686" w:hanging="842"/>
        <w:jc w:val="left"/>
        <w:rPr>
          <w:rFonts w:ascii="宋体" w:hAnsi="宋体" w:cs="宋体" w:eastAsia="宋体" w:hint="default"/>
          <w:sz w:val="21"/>
          <w:szCs w:val="21"/>
        </w:rPr>
      </w:pPr>
      <w:r>
        <w:rPr>
          <w:rFonts w:ascii="宋体" w:hAnsi="宋体" w:cs="宋体" w:eastAsia="宋体" w:hint="default"/>
          <w:sz w:val="21"/>
          <w:szCs w:val="21"/>
        </w:rPr>
        <w:t>深圳市鹏城会计师事务所有限公司</w:t>
        <w:tab/>
        <w:t>中国注册会计师 中国 </w:t>
      </w:r>
      <w:r>
        <w:rPr>
          <w:rFonts w:ascii="Wingdings" w:hAnsi="Wingdings" w:cs="Wingdings" w:eastAsia="Wingdings" w:hint="default"/>
          <w:sz w:val="21"/>
          <w:szCs w:val="21"/>
        </w:rPr>
        <w:t></w:t>
      </w:r>
      <w:r>
        <w:rPr>
          <w:rFonts w:ascii="Wingdings" w:hAnsi="Wingdings" w:cs="Wingdings" w:eastAsia="Wingdings" w:hint="default"/>
          <w:spacing w:val="-168"/>
          <w:sz w:val="21"/>
          <w:szCs w:val="21"/>
        </w:rPr>
        <w:t></w:t>
      </w:r>
      <w:r>
        <w:rPr>
          <w:rFonts w:ascii="Times New Roman" w:hAnsi="Times New Roman" w:cs="Times New Roman" w:eastAsia="Times New Roman" w:hint="default"/>
          <w:spacing w:val="-168"/>
          <w:sz w:val="21"/>
          <w:szCs w:val="21"/>
        </w:rPr>
      </w:r>
      <w:r>
        <w:rPr>
          <w:rFonts w:ascii="宋体" w:hAnsi="宋体" w:cs="宋体" w:eastAsia="宋体" w:hint="default"/>
          <w:sz w:val="21"/>
          <w:szCs w:val="21"/>
        </w:rPr>
        <w:t>深圳</w:t>
      </w:r>
    </w:p>
    <w:p>
      <w:pPr>
        <w:spacing w:before="40"/>
        <w:ind w:left="74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p>
      <w:pPr>
        <w:spacing w:line="20" w:lineRule="exact"/>
        <w:ind w:left="6722" w:right="0" w:firstLine="0"/>
        <w:rPr>
          <w:rFonts w:ascii="宋体" w:hAnsi="宋体" w:cs="宋体" w:eastAsia="宋体" w:hint="default"/>
          <w:sz w:val="2"/>
          <w:szCs w:val="2"/>
        </w:rPr>
      </w:pPr>
      <w:r>
        <w:rPr>
          <w:rFonts w:ascii="宋体" w:hAnsi="宋体" w:cs="宋体" w:eastAsia="宋体" w:hint="default"/>
          <w:sz w:val="2"/>
          <w:szCs w:val="2"/>
        </w:rPr>
        <w:pict>
          <v:group style="width:121.2pt;height:.5pt;mso-position-horizontal-relative:char;mso-position-vertical-relative:line" coordorigin="0,0" coordsize="2424,10">
            <v:group style="position:absolute;left:5;top:5;width:2415;height:2" coordorigin="5,5" coordsize="2415,2">
              <v:shape style="position:absolute;left:5;top:5;width:2415;height:2" coordorigin="5,5" coordsize="2415,0" path="m5,5l2419,5e" filled="false" stroked="true" strokeweight=".48pt" strokecolor="#000000">
                <v:path arrowok="t"/>
              </v:shape>
            </v:group>
          </v:group>
        </w:pict>
      </w:r>
      <w:r>
        <w:rPr>
          <w:rFonts w:ascii="宋体" w:hAnsi="宋体" w:cs="宋体" w:eastAsia="宋体" w:hint="default"/>
          <w:sz w:val="2"/>
          <w:szCs w:val="2"/>
        </w:rPr>
      </w:r>
    </w:p>
    <w:p>
      <w:pPr>
        <w:spacing w:before="19"/>
        <w:ind w:left="0" w:right="1106" w:firstLine="0"/>
        <w:jc w:val="right"/>
        <w:rPr>
          <w:rFonts w:ascii="宋体" w:hAnsi="宋体" w:cs="宋体" w:eastAsia="宋体" w:hint="default"/>
          <w:sz w:val="21"/>
          <w:szCs w:val="21"/>
        </w:rPr>
      </w:pPr>
      <w:r>
        <w:rPr>
          <w:rFonts w:ascii="宋体" w:hAnsi="宋体" w:cs="宋体" w:eastAsia="宋体" w:hint="default"/>
          <w:sz w:val="21"/>
          <w:szCs w:val="21"/>
        </w:rPr>
        <w:t>管盛春</w:t>
      </w:r>
    </w:p>
    <w:p>
      <w:pPr>
        <w:spacing w:line="240" w:lineRule="auto" w:before="2"/>
        <w:rPr>
          <w:rFonts w:ascii="宋体" w:hAnsi="宋体" w:cs="宋体" w:eastAsia="宋体" w:hint="default"/>
          <w:sz w:val="25"/>
          <w:szCs w:val="25"/>
        </w:rPr>
      </w:pPr>
    </w:p>
    <w:p>
      <w:pPr>
        <w:spacing w:before="35"/>
        <w:ind w:left="7185" w:right="669" w:firstLine="0"/>
        <w:jc w:val="center"/>
        <w:rPr>
          <w:rFonts w:ascii="宋体" w:hAnsi="宋体" w:cs="宋体" w:eastAsia="宋体" w:hint="default"/>
          <w:sz w:val="21"/>
          <w:szCs w:val="21"/>
        </w:rPr>
      </w:pPr>
      <w:r>
        <w:rPr>
          <w:rFonts w:ascii="宋体" w:hAnsi="宋体" w:cs="宋体" w:eastAsia="宋体" w:hint="default"/>
          <w:sz w:val="21"/>
          <w:szCs w:val="21"/>
        </w:rPr>
        <w:t>中国注册会计师</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p>
      <w:pPr>
        <w:spacing w:line="20" w:lineRule="exact"/>
        <w:ind w:left="6722" w:right="0" w:firstLine="0"/>
        <w:rPr>
          <w:rFonts w:ascii="宋体" w:hAnsi="宋体" w:cs="宋体" w:eastAsia="宋体" w:hint="default"/>
          <w:sz w:val="2"/>
          <w:szCs w:val="2"/>
        </w:rPr>
      </w:pPr>
      <w:r>
        <w:rPr>
          <w:rFonts w:ascii="宋体" w:hAnsi="宋体" w:cs="宋体" w:eastAsia="宋体" w:hint="default"/>
          <w:sz w:val="2"/>
          <w:szCs w:val="2"/>
        </w:rPr>
        <w:pict>
          <v:group style="width:121.2pt;height:.5pt;mso-position-horizontal-relative:char;mso-position-vertical-relative:line" coordorigin="0,0" coordsize="2424,10">
            <v:group style="position:absolute;left:5;top:5;width:2415;height:2" coordorigin="5,5" coordsize="2415,2">
              <v:shape style="position:absolute;left:5;top:5;width:2415;height:2" coordorigin="5,5" coordsize="2415,0" path="m5,5l2419,5e" filled="false" stroked="true" strokeweight=".48pt" strokecolor="#000000">
                <v:path arrowok="t"/>
              </v:shape>
            </v:group>
          </v:group>
        </w:pict>
      </w:r>
      <w:r>
        <w:rPr>
          <w:rFonts w:ascii="宋体" w:hAnsi="宋体" w:cs="宋体" w:eastAsia="宋体" w:hint="default"/>
          <w:sz w:val="2"/>
          <w:szCs w:val="2"/>
        </w:rPr>
      </w:r>
    </w:p>
    <w:p>
      <w:pPr>
        <w:spacing w:before="2"/>
        <w:ind w:left="0" w:right="1106" w:firstLine="0"/>
        <w:jc w:val="right"/>
        <w:rPr>
          <w:rFonts w:ascii="宋体" w:hAnsi="宋体" w:cs="宋体" w:eastAsia="宋体" w:hint="default"/>
          <w:sz w:val="21"/>
          <w:szCs w:val="21"/>
        </w:rPr>
      </w:pPr>
      <w:r>
        <w:rPr>
          <w:rFonts w:ascii="宋体" w:hAnsi="宋体" w:cs="宋体" w:eastAsia="宋体" w:hint="default"/>
          <w:sz w:val="21"/>
          <w:szCs w:val="21"/>
        </w:rPr>
        <w:t>杨盛巧</w:t>
      </w:r>
    </w:p>
    <w:p>
      <w:pPr>
        <w:spacing w:after="0"/>
        <w:jc w:val="right"/>
        <w:rPr>
          <w:rFonts w:ascii="宋体" w:hAnsi="宋体" w:cs="宋体" w:eastAsia="宋体" w:hint="default"/>
          <w:sz w:val="21"/>
          <w:szCs w:val="21"/>
        </w:rPr>
        <w:sectPr>
          <w:pgSz w:w="11910" w:h="16840"/>
          <w:pgMar w:header="0" w:footer="594" w:top="1600" w:bottom="780" w:left="1300" w:right="1240"/>
        </w:sectPr>
      </w:pPr>
    </w:p>
    <w:p>
      <w:pPr>
        <w:spacing w:line="240" w:lineRule="auto" w:before="9"/>
        <w:rPr>
          <w:rFonts w:ascii="宋体" w:hAnsi="宋体" w:cs="宋体" w:eastAsia="宋体" w:hint="default"/>
          <w:sz w:val="6"/>
          <w:szCs w:val="6"/>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9;height:2" coordorigin="7,7" coordsize="9699,2">
              <v:shape style="position:absolute;left:7;top:7;width:9699;height:2" coordorigin="7,7" coordsize="9699,0" path="m7,7l9706,7e" filled="false" stroked="true" strokeweight=".72003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92"/>
        <w:ind w:left="154"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、资产负债表</w:t>
      </w:r>
      <w:r>
        <w:rPr>
          <w:rFonts w:ascii="宋体" w:hAnsi="宋体" w:cs="宋体" w:eastAsia="宋体" w:hint="default"/>
          <w:sz w:val="21"/>
          <w:szCs w:val="21"/>
        </w:rPr>
      </w:r>
    </w:p>
    <w:p>
      <w:pPr>
        <w:spacing w:line="240" w:lineRule="auto" w:before="8"/>
        <w:rPr>
          <w:rFonts w:ascii="宋体" w:hAnsi="宋体" w:cs="宋体" w:eastAsia="宋体" w:hint="default"/>
          <w:b/>
          <w:bCs/>
          <w:sz w:val="21"/>
          <w:szCs w:val="21"/>
        </w:rPr>
      </w:pPr>
    </w:p>
    <w:p>
      <w:pPr>
        <w:tabs>
          <w:tab w:pos="4773" w:val="left" w:leader="none"/>
          <w:tab w:pos="7765" w:val="left" w:leader="none"/>
        </w:tabs>
        <w:spacing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编制单位：深圳大通实业股份有限公司</w:t>
        <w:tab/>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8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2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w:t>
        <w:tab/>
      </w:r>
      <w:r>
        <w:rPr>
          <w:rFonts w:ascii="宋体" w:hAnsi="宋体" w:cs="宋体" w:eastAsia="宋体" w:hint="default"/>
          <w:spacing w:val="-2"/>
          <w:sz w:val="21"/>
          <w:szCs w:val="21"/>
        </w:rPr>
        <w:t>单</w:t>
      </w:r>
      <w:r>
        <w:rPr>
          <w:rFonts w:ascii="宋体" w:hAnsi="宋体" w:cs="宋体" w:eastAsia="宋体" w:hint="default"/>
          <w:sz w:val="21"/>
          <w:szCs w:val="21"/>
        </w:rPr>
        <w:t>位</w:t>
      </w:r>
      <w:r>
        <w:rPr>
          <w:rFonts w:ascii="宋体" w:hAnsi="宋体" w:cs="宋体" w:eastAsia="宋体" w:hint="default"/>
          <w:spacing w:val="-105"/>
          <w:sz w:val="21"/>
          <w:szCs w:val="21"/>
        </w:rPr>
        <w:t>：</w:t>
      </w:r>
      <w:r>
        <w:rPr>
          <w:rFonts w:ascii="宋体" w:hAnsi="宋体" w:cs="宋体" w:eastAsia="宋体" w:hint="default"/>
          <w:sz w:val="21"/>
          <w:szCs w:val="21"/>
        </w:rPr>
        <w:t>（人民</w:t>
      </w:r>
      <w:r>
        <w:rPr>
          <w:rFonts w:ascii="宋体" w:hAnsi="宋体" w:cs="宋体" w:eastAsia="宋体" w:hint="default"/>
          <w:spacing w:val="-2"/>
          <w:sz w:val="21"/>
          <w:szCs w:val="21"/>
        </w:rPr>
        <w:t>币</w:t>
      </w:r>
      <w:r>
        <w:rPr>
          <w:rFonts w:ascii="宋体" w:hAnsi="宋体" w:cs="宋体" w:eastAsia="宋体" w:hint="default"/>
          <w:sz w:val="21"/>
          <w:szCs w:val="21"/>
        </w:rPr>
        <w:t>）元</w:t>
      </w:r>
    </w:p>
    <w:tbl>
      <w:tblPr>
        <w:tblW w:w="0" w:type="auto"/>
        <w:jc w:val="left"/>
        <w:tblInd w:w="160" w:type="dxa"/>
        <w:tblLayout w:type="fixed"/>
        <w:tblCellMar>
          <w:top w:w="0" w:type="dxa"/>
          <w:left w:w="0" w:type="dxa"/>
          <w:bottom w:w="0" w:type="dxa"/>
          <w:right w:w="0" w:type="dxa"/>
        </w:tblCellMar>
        <w:tblLook w:val="01E0"/>
      </w:tblPr>
      <w:tblGrid>
        <w:gridCol w:w="2520"/>
        <w:gridCol w:w="1837"/>
        <w:gridCol w:w="1820"/>
        <w:gridCol w:w="1819"/>
        <w:gridCol w:w="1820"/>
      </w:tblGrid>
      <w:tr>
        <w:trPr>
          <w:trHeight w:val="140" w:hRule="exact"/>
        </w:trPr>
        <w:tc>
          <w:tcPr>
            <w:tcW w:w="2520" w:type="dxa"/>
            <w:tcBorders>
              <w:top w:val="single" w:sz="4" w:space="0" w:color="000000"/>
              <w:left w:val="single" w:sz="4" w:space="0" w:color="000000"/>
              <w:bottom w:val="nil" w:sz="6" w:space="0" w:color="auto"/>
              <w:right w:val="single" w:sz="4" w:space="0" w:color="000000"/>
            </w:tcBorders>
            <w:shd w:val="clear" w:color="auto" w:fill="DCDCDC"/>
          </w:tcPr>
          <w:p>
            <w:pPr/>
          </w:p>
        </w:tc>
        <w:tc>
          <w:tcPr>
            <w:tcW w:w="3657"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16"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64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142" w:hRule="exact"/>
        </w:trPr>
        <w:tc>
          <w:tcPr>
            <w:tcW w:w="252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3"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657" w:type="dxa"/>
            <w:gridSpan w:val="2"/>
            <w:vMerge/>
            <w:tcBorders>
              <w:left w:val="single" w:sz="4" w:space="0" w:color="000000"/>
              <w:bottom w:val="single" w:sz="4" w:space="0" w:color="000000"/>
              <w:right w:val="single" w:sz="4" w:space="0" w:color="000000"/>
            </w:tcBorders>
            <w:shd w:val="clear" w:color="auto" w:fill="DCDCDC"/>
          </w:tcPr>
          <w:p>
            <w:pPr/>
          </w:p>
        </w:tc>
        <w:tc>
          <w:tcPr>
            <w:tcW w:w="3640" w:type="dxa"/>
            <w:gridSpan w:val="2"/>
            <w:vMerge/>
            <w:tcBorders>
              <w:left w:val="single" w:sz="4" w:space="0" w:color="000000"/>
              <w:bottom w:val="single" w:sz="4" w:space="0" w:color="000000"/>
              <w:right w:val="single" w:sz="4" w:space="0" w:color="000000"/>
            </w:tcBorders>
            <w:shd w:val="clear" w:color="auto" w:fill="DCDCDC"/>
          </w:tcPr>
          <w:p>
            <w:pPr/>
          </w:p>
        </w:tc>
      </w:tr>
      <w:tr>
        <w:trPr>
          <w:trHeight w:val="130" w:hRule="exact"/>
        </w:trPr>
        <w:tc>
          <w:tcPr>
            <w:tcW w:w="2520" w:type="dxa"/>
            <w:vMerge/>
            <w:tcBorders>
              <w:left w:val="single" w:sz="4" w:space="0" w:color="000000"/>
              <w:bottom w:val="nil" w:sz="6" w:space="0" w:color="auto"/>
              <w:right w:val="single" w:sz="4" w:space="0" w:color="000000"/>
            </w:tcBorders>
            <w:shd w:val="clear" w:color="auto" w:fill="DCDCDC"/>
          </w:tcPr>
          <w:p>
            <w:pPr/>
          </w:p>
        </w:tc>
        <w:tc>
          <w:tcPr>
            <w:tcW w:w="1837"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17" w:right="0"/>
              <w:jc w:val="center"/>
              <w:rPr>
                <w:rFonts w:ascii="宋体" w:hAnsi="宋体" w:cs="宋体" w:eastAsia="宋体" w:hint="default"/>
                <w:sz w:val="21"/>
                <w:szCs w:val="21"/>
              </w:rPr>
            </w:pPr>
            <w:r>
              <w:rPr>
                <w:rFonts w:ascii="宋体" w:hAnsi="宋体" w:cs="宋体" w:eastAsia="宋体" w:hint="default"/>
                <w:sz w:val="21"/>
                <w:szCs w:val="21"/>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589" w:right="0"/>
              <w:jc w:val="left"/>
              <w:rPr>
                <w:rFonts w:ascii="宋体" w:hAnsi="宋体" w:cs="宋体" w:eastAsia="宋体" w:hint="default"/>
                <w:sz w:val="21"/>
                <w:szCs w:val="21"/>
              </w:rPr>
            </w:pPr>
            <w:r>
              <w:rPr>
                <w:rFonts w:ascii="宋体" w:hAnsi="宋体" w:cs="宋体" w:eastAsia="宋体" w:hint="default"/>
                <w:sz w:val="21"/>
                <w:szCs w:val="21"/>
              </w:rPr>
              <w:t>母公司</w:t>
            </w:r>
          </w:p>
        </w:tc>
        <w:tc>
          <w:tcPr>
            <w:tcW w:w="181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590" w:right="0"/>
              <w:jc w:val="left"/>
              <w:rPr>
                <w:rFonts w:ascii="宋体" w:hAnsi="宋体" w:cs="宋体" w:eastAsia="宋体" w:hint="default"/>
                <w:sz w:val="21"/>
                <w:szCs w:val="21"/>
              </w:rPr>
            </w:pPr>
            <w:r>
              <w:rPr>
                <w:rFonts w:ascii="宋体" w:hAnsi="宋体" w:cs="宋体" w:eastAsia="宋体" w:hint="default"/>
                <w:sz w:val="21"/>
                <w:szCs w:val="21"/>
              </w:rPr>
              <w:t>母公司</w:t>
            </w:r>
          </w:p>
        </w:tc>
      </w:tr>
      <w:tr>
        <w:trPr>
          <w:trHeight w:val="161" w:hRule="exact"/>
        </w:trPr>
        <w:tc>
          <w:tcPr>
            <w:tcW w:w="2520" w:type="dxa"/>
            <w:tcBorders>
              <w:top w:val="nil" w:sz="6" w:space="0" w:color="auto"/>
              <w:left w:val="single" w:sz="4" w:space="0" w:color="000000"/>
              <w:bottom w:val="single" w:sz="4" w:space="0" w:color="000000"/>
              <w:right w:val="single" w:sz="4" w:space="0" w:color="000000"/>
            </w:tcBorders>
            <w:shd w:val="clear" w:color="auto" w:fill="DCDCDC"/>
          </w:tcPr>
          <w:p>
            <w:pPr/>
          </w:p>
        </w:tc>
        <w:tc>
          <w:tcPr>
            <w:tcW w:w="1837"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c>
          <w:tcPr>
            <w:tcW w:w="1819"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r>
      <w:tr>
        <w:trPr>
          <w:trHeight w:val="266"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ind w:left="11"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183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9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8" w:lineRule="exact"/>
              <w:ind w:left="222"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837" w:type="dxa"/>
            <w:tcBorders>
              <w:top w:val="single" w:sz="10" w:space="0" w:color="DCDCDC"/>
              <w:left w:val="single" w:sz="13"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32,530,614.74</w:t>
            </w:r>
          </w:p>
        </w:tc>
        <w:tc>
          <w:tcPr>
            <w:tcW w:w="1820" w:type="dxa"/>
            <w:tcBorders>
              <w:top w:val="single" w:sz="10" w:space="0" w:color="DCDCDC"/>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56,213.56</w:t>
            </w:r>
          </w:p>
        </w:tc>
        <w:tc>
          <w:tcPr>
            <w:tcW w:w="1819" w:type="dxa"/>
            <w:tcBorders>
              <w:top w:val="single" w:sz="10" w:space="0" w:color="DCDCDC"/>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202,246.44</w:t>
            </w:r>
          </w:p>
        </w:tc>
        <w:tc>
          <w:tcPr>
            <w:tcW w:w="1820" w:type="dxa"/>
            <w:tcBorders>
              <w:top w:val="single" w:sz="10" w:space="0" w:color="DCDCDC"/>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202,246.44</w:t>
            </w:r>
          </w:p>
        </w:tc>
      </w:tr>
      <w:tr>
        <w:trPr>
          <w:trHeight w:val="28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结算备付金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拆出资金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4,967,905.96</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应收保费</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应收分保账款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应收分保合同准备金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10,430,603.32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87,404.24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1,076,299.14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1,076,299.14</w:t>
            </w: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买入返售金融资产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258,037,804.47</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222" w:right="0"/>
              <w:jc w:val="left"/>
              <w:rPr>
                <w:rFonts w:ascii="宋体" w:hAnsi="宋体" w:cs="宋体" w:eastAsia="宋体" w:hint="default"/>
                <w:sz w:val="21"/>
                <w:szCs w:val="21"/>
              </w:rPr>
            </w:pPr>
            <w:r>
              <w:rPr>
                <w:rFonts w:ascii="宋体" w:hAnsi="宋体" w:cs="宋体" w:eastAsia="宋体" w:hint="default"/>
                <w:sz w:val="21"/>
                <w:szCs w:val="21"/>
              </w:rPr>
              <w:t>一年内到期的非流动资</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流动资产合计</w:t>
            </w:r>
          </w:p>
        </w:tc>
        <w:tc>
          <w:tcPr>
            <w:tcW w:w="1837" w:type="dxa"/>
            <w:tcBorders>
              <w:top w:val="single" w:sz="4" w:space="0" w:color="000000"/>
              <w:left w:val="single" w:sz="13" w:space="0" w:color="DCDCDC"/>
              <w:bottom w:val="single" w:sz="6" w:space="0" w:color="DCDCDC"/>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305,966,928.49</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143,617.80</w:t>
            </w:r>
          </w:p>
        </w:tc>
        <w:tc>
          <w:tcPr>
            <w:tcW w:w="1819"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1,278,545.58</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1,278,545.58</w:t>
            </w:r>
          </w:p>
        </w:tc>
      </w:tr>
      <w:tr>
        <w:trPr>
          <w:trHeight w:val="267"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ind w:left="11"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183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91"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exact"/>
              <w:ind w:left="222" w:right="0"/>
              <w:jc w:val="left"/>
              <w:rPr>
                <w:rFonts w:ascii="宋体" w:hAnsi="宋体" w:cs="宋体" w:eastAsia="宋体" w:hint="default"/>
                <w:sz w:val="21"/>
                <w:szCs w:val="21"/>
              </w:rPr>
            </w:pPr>
            <w:r>
              <w:rPr>
                <w:rFonts w:ascii="宋体" w:hAnsi="宋体" w:cs="宋体" w:eastAsia="宋体" w:hint="default"/>
                <w:sz w:val="21"/>
                <w:szCs w:val="21"/>
              </w:rPr>
              <w:t>发放贷款及垫款</w:t>
            </w:r>
          </w:p>
        </w:tc>
        <w:tc>
          <w:tcPr>
            <w:tcW w:w="1837" w:type="dxa"/>
            <w:tcBorders>
              <w:top w:val="single" w:sz="10" w:space="0" w:color="DCDCDC"/>
              <w:left w:val="single" w:sz="13" w:space="0" w:color="DCDCDC"/>
              <w:bottom w:val="single" w:sz="4" w:space="0" w:color="000000"/>
              <w:right w:val="single" w:sz="4" w:space="0" w:color="000000"/>
            </w:tcBorders>
          </w:tcPr>
          <w:p>
            <w:pPr/>
          </w:p>
        </w:tc>
        <w:tc>
          <w:tcPr>
            <w:tcW w:w="1820" w:type="dxa"/>
            <w:tcBorders>
              <w:top w:val="single" w:sz="10" w:space="0" w:color="DCDCDC"/>
              <w:left w:val="single" w:sz="4" w:space="0" w:color="000000"/>
              <w:bottom w:val="single" w:sz="4" w:space="0" w:color="000000"/>
              <w:right w:val="single" w:sz="4" w:space="0" w:color="000000"/>
            </w:tcBorders>
          </w:tcPr>
          <w:p>
            <w:pPr/>
          </w:p>
        </w:tc>
        <w:tc>
          <w:tcPr>
            <w:tcW w:w="1819" w:type="dxa"/>
            <w:tcBorders>
              <w:top w:val="single" w:sz="10" w:space="0" w:color="DCDCDC"/>
              <w:left w:val="single" w:sz="4" w:space="0" w:color="000000"/>
              <w:bottom w:val="single" w:sz="4" w:space="0" w:color="000000"/>
              <w:right w:val="single" w:sz="4" w:space="0" w:color="000000"/>
            </w:tcBorders>
          </w:tcPr>
          <w:p>
            <w:pPr/>
          </w:p>
        </w:tc>
        <w:tc>
          <w:tcPr>
            <w:tcW w:w="1820" w:type="dxa"/>
            <w:tcBorders>
              <w:top w:val="single" w:sz="10" w:space="0" w:color="DCDCDC"/>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208,562,237.00</w:t>
            </w:r>
            <w:r>
              <w:rPr>
                <w:rFonts w:ascii="Times New Roman"/>
                <w:sz w:val="21"/>
              </w:rPr>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234,285.71</w:t>
            </w:r>
            <w:r>
              <w:rPr>
                <w:rFonts w:ascii="Times New Roman"/>
                <w:sz w:val="21"/>
              </w:rPr>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234,285.71</w:t>
            </w:r>
            <w:r>
              <w:rPr>
                <w:rFonts w:ascii="Times New Roman"/>
                <w:sz w:val="21"/>
              </w:rPr>
            </w: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467,236.25</w:t>
            </w:r>
            <w:r>
              <w:rPr>
                <w:rFonts w:ascii="Times New Roman"/>
                <w:sz w:val="21"/>
              </w:rPr>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308,134.78</w:t>
            </w:r>
            <w:r>
              <w:rPr>
                <w:rFonts w:ascii="Times New Roman"/>
                <w:sz w:val="21"/>
              </w:rPr>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7,450,924.23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7,450,924.23</w:t>
            </w:r>
          </w:p>
        </w:tc>
      </w:tr>
      <w:tr>
        <w:trPr>
          <w:trHeight w:val="28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非流动资产合计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467,236.25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208,870,371.78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7,685,209.94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7,685,209.94</w:t>
            </w:r>
          </w:p>
        </w:tc>
      </w:tr>
      <w:tr>
        <w:trPr>
          <w:trHeight w:val="29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1837" w:type="dxa"/>
            <w:tcBorders>
              <w:top w:val="single" w:sz="4" w:space="0" w:color="000000"/>
              <w:left w:val="single" w:sz="13" w:space="0" w:color="DCDCDC"/>
              <w:bottom w:val="single" w:sz="10" w:space="0" w:color="DCDCDC"/>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306,434,164.74</w:t>
            </w:r>
          </w:p>
        </w:tc>
        <w:tc>
          <w:tcPr>
            <w:tcW w:w="1820"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209,013,989.58</w:t>
            </w:r>
          </w:p>
        </w:tc>
        <w:tc>
          <w:tcPr>
            <w:tcW w:w="1819"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8,963,755.52</w:t>
            </w:r>
          </w:p>
        </w:tc>
        <w:tc>
          <w:tcPr>
            <w:tcW w:w="1820"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8,963,755.52</w:t>
            </w:r>
          </w:p>
        </w:tc>
      </w:tr>
      <w:tr>
        <w:trPr>
          <w:trHeight w:val="266"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1" w:lineRule="exact"/>
              <w:ind w:left="11"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183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bl>
    <w:p>
      <w:pPr>
        <w:spacing w:after="0"/>
        <w:sectPr>
          <w:footerReference w:type="default" r:id="rId13"/>
          <w:pgSz w:w="11910" w:h="16840"/>
          <w:pgMar w:footer="691" w:header="0" w:top="860" w:bottom="880" w:left="980" w:right="820"/>
          <w:pgNumType w:start="53"/>
        </w:sectPr>
      </w:pPr>
    </w:p>
    <w:p>
      <w:pPr>
        <w:spacing w:line="240" w:lineRule="auto" w:before="8"/>
        <w:rPr>
          <w:rFonts w:ascii="Times New Roman" w:hAnsi="Times New Roman" w:cs="Times New Roman" w:eastAsia="Times New Roman" w:hint="default"/>
          <w:sz w:val="7"/>
          <w:szCs w:val="7"/>
        </w:rPr>
      </w:pPr>
    </w:p>
    <w:p>
      <w:pPr>
        <w:spacing w:line="20" w:lineRule="exact"/>
        <w:ind w:left="11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65pt;height:.75pt;mso-position-horizontal-relative:char;mso-position-vertical-relative:line" coordorigin="0,0" coordsize="9713,15">
            <v:group style="position:absolute;left:7;top:7;width:9699;height:2" coordorigin="7,7" coordsize="9699,2">
              <v:shape style="position:absolute;left:7;top:7;width:9699;height:2" coordorigin="7,7" coordsize="9699,0" path="m7,7l9706,7e" filled="false" stroked="true" strokeweight=".72003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1"/>
          <w:szCs w:val="21"/>
        </w:rPr>
      </w:pPr>
    </w:p>
    <w:tbl>
      <w:tblPr>
        <w:tblW w:w="0" w:type="auto"/>
        <w:jc w:val="left"/>
        <w:tblInd w:w="160" w:type="dxa"/>
        <w:tblLayout w:type="fixed"/>
        <w:tblCellMar>
          <w:top w:w="0" w:type="dxa"/>
          <w:left w:w="0" w:type="dxa"/>
          <w:bottom w:w="0" w:type="dxa"/>
          <w:right w:w="0" w:type="dxa"/>
        </w:tblCellMar>
        <w:tblLook w:val="01E0"/>
      </w:tblPr>
      <w:tblGrid>
        <w:gridCol w:w="2525"/>
        <w:gridCol w:w="1832"/>
        <w:gridCol w:w="1820"/>
        <w:gridCol w:w="1819"/>
        <w:gridCol w:w="1820"/>
      </w:tblGrid>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46,370,842.28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46,370,842.28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46,370,842.28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46,370,842.28</w:t>
            </w:r>
          </w:p>
        </w:tc>
      </w:tr>
      <w:tr>
        <w:trPr>
          <w:trHeight w:val="28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向中央银行借款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吸收存款及同业存放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拆入资金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8,215,291.21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8,215,291.21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8,219,736.95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8,219,736.95</w:t>
            </w: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875,431.15</w:t>
            </w:r>
            <w:r>
              <w:rPr>
                <w:rFonts w:ascii="Times New Roman"/>
                <w:sz w:val="21"/>
              </w:rPr>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875,431.15</w:t>
            </w:r>
            <w:r>
              <w:rPr>
                <w:rFonts w:ascii="Times New Roman"/>
                <w:sz w:val="21"/>
              </w:rPr>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879,367.01</w:t>
            </w:r>
            <w:r>
              <w:rPr>
                <w:rFonts w:ascii="Times New Roman"/>
                <w:sz w:val="21"/>
              </w:rPr>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879,367.01</w:t>
            </w:r>
            <w:r>
              <w:rPr>
                <w:rFonts w:ascii="Times New Roman"/>
                <w:sz w:val="21"/>
              </w:rPr>
            </w:r>
          </w:p>
        </w:tc>
      </w:tr>
      <w:tr>
        <w:trPr>
          <w:trHeight w:val="28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卖出回购金融资产款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应付手续费及佣金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1,812.43</w:t>
            </w:r>
            <w:r>
              <w:rPr>
                <w:rFonts w:ascii="Times New Roman"/>
                <w:sz w:val="21"/>
              </w:rPr>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45,176,340.36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44,907,660.23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4,675,551.60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4,675,551.60</w:t>
            </w:r>
          </w:p>
        </w:tc>
      </w:tr>
      <w:tr>
        <w:trPr>
          <w:trHeight w:val="28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14,036,500.00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14,036,500.00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10,616,500.00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10,616,500.00</w:t>
            </w: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206,029.02</w:t>
            </w:r>
            <w:r>
              <w:rPr>
                <w:rFonts w:ascii="Times New Roman"/>
                <w:sz w:val="21"/>
              </w:rPr>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206,029.02</w:t>
            </w:r>
            <w:r>
              <w:rPr>
                <w:rFonts w:ascii="Times New Roman"/>
                <w:sz w:val="21"/>
              </w:rPr>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206,029.02</w:t>
            </w:r>
            <w:r>
              <w:rPr>
                <w:rFonts w:ascii="Times New Roman"/>
                <w:sz w:val="21"/>
              </w:rPr>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3"/>
              <w:jc w:val="right"/>
              <w:rPr>
                <w:rFonts w:ascii="Times New Roman" w:hAnsi="Times New Roman" w:cs="Times New Roman" w:eastAsia="Times New Roman" w:hint="default"/>
                <w:sz w:val="21"/>
                <w:szCs w:val="21"/>
              </w:rPr>
            </w:pPr>
            <w:r>
              <w:rPr>
                <w:rFonts w:ascii="Times New Roman"/>
                <w:spacing w:val="-1"/>
                <w:sz w:val="21"/>
              </w:rPr>
              <w:t>206,029.02</w:t>
            </w:r>
            <w:r>
              <w:rPr>
                <w:rFonts w:ascii="Times New Roman"/>
                <w:sz w:val="21"/>
              </w:rPr>
            </w: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94,625,283.95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23,443,991.87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22,503,385.64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22,503,385.64</w:t>
            </w:r>
          </w:p>
        </w:tc>
      </w:tr>
      <w:tr>
        <w:trPr>
          <w:trHeight w:val="28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应付分保账款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保险合同准备金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代理买卖证券款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代理承销证券款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6"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222" w:right="0"/>
              <w:jc w:val="left"/>
              <w:rPr>
                <w:rFonts w:ascii="宋体" w:hAnsi="宋体" w:cs="宋体" w:eastAsia="宋体" w:hint="default"/>
                <w:sz w:val="21"/>
                <w:szCs w:val="21"/>
              </w:rPr>
            </w:pPr>
            <w:r>
              <w:rPr>
                <w:rFonts w:ascii="宋体" w:hAnsi="宋体" w:cs="宋体" w:eastAsia="宋体" w:hint="default"/>
                <w:sz w:val="21"/>
                <w:szCs w:val="21"/>
              </w:rPr>
              <w:t>一年内到期的非流动负</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流动负债合计</w:t>
            </w:r>
          </w:p>
        </w:tc>
        <w:tc>
          <w:tcPr>
            <w:tcW w:w="1832" w:type="dxa"/>
            <w:tcBorders>
              <w:top w:val="single" w:sz="4" w:space="0" w:color="000000"/>
              <w:left w:val="single" w:sz="13" w:space="0" w:color="DCDCDC"/>
              <w:bottom w:val="single" w:sz="10" w:space="0" w:color="DCDCDC"/>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209,507,530.40</w:t>
            </w:r>
          </w:p>
        </w:tc>
        <w:tc>
          <w:tcPr>
            <w:tcW w:w="1820"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138,055,745.76</w:t>
            </w:r>
          </w:p>
        </w:tc>
        <w:tc>
          <w:tcPr>
            <w:tcW w:w="1819"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93,471,412.50</w:t>
            </w:r>
          </w:p>
        </w:tc>
        <w:tc>
          <w:tcPr>
            <w:tcW w:w="1820"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93,471,412.50</w:t>
            </w:r>
          </w:p>
        </w:tc>
      </w:tr>
      <w:tr>
        <w:trPr>
          <w:trHeight w:val="26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ind w:left="11"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8" w:lineRule="exact"/>
              <w:ind w:left="222"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832" w:type="dxa"/>
            <w:tcBorders>
              <w:top w:val="single" w:sz="11" w:space="0" w:color="DCDCDC"/>
              <w:left w:val="single" w:sz="13" w:space="0" w:color="DCDCDC"/>
              <w:bottom w:val="single" w:sz="4" w:space="0" w:color="000000"/>
              <w:right w:val="single" w:sz="4" w:space="0" w:color="000000"/>
            </w:tcBorders>
          </w:tcPr>
          <w:p>
            <w:pPr/>
          </w:p>
        </w:tc>
        <w:tc>
          <w:tcPr>
            <w:tcW w:w="1820" w:type="dxa"/>
            <w:tcBorders>
              <w:top w:val="single" w:sz="11" w:space="0" w:color="DCDCDC"/>
              <w:left w:val="single" w:sz="4" w:space="0" w:color="000000"/>
              <w:bottom w:val="single" w:sz="4" w:space="0" w:color="000000"/>
              <w:right w:val="single" w:sz="4" w:space="0" w:color="000000"/>
            </w:tcBorders>
          </w:tcPr>
          <w:p>
            <w:pPr/>
          </w:p>
        </w:tc>
        <w:tc>
          <w:tcPr>
            <w:tcW w:w="1819" w:type="dxa"/>
            <w:tcBorders>
              <w:top w:val="single" w:sz="11" w:space="0" w:color="DCDCDC"/>
              <w:left w:val="single" w:sz="4" w:space="0" w:color="000000"/>
              <w:bottom w:val="single" w:sz="4" w:space="0" w:color="000000"/>
              <w:right w:val="single" w:sz="4" w:space="0" w:color="000000"/>
            </w:tcBorders>
          </w:tcPr>
          <w:p>
            <w:pPr/>
          </w:p>
        </w:tc>
        <w:tc>
          <w:tcPr>
            <w:tcW w:w="1820" w:type="dxa"/>
            <w:tcBorders>
              <w:top w:val="single" w:sz="11" w:space="0" w:color="DCDCDC"/>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非流动负债合计</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832" w:type="dxa"/>
            <w:tcBorders>
              <w:top w:val="single" w:sz="4" w:space="0" w:color="000000"/>
              <w:left w:val="single" w:sz="13" w:space="0" w:color="DCDCDC"/>
              <w:bottom w:val="single" w:sz="6" w:space="0" w:color="DCDCDC"/>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209,507,530.40</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138,055,745.76</w:t>
            </w:r>
          </w:p>
        </w:tc>
        <w:tc>
          <w:tcPr>
            <w:tcW w:w="1819"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93,471,412.50</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93,471,412.50</w:t>
            </w:r>
          </w:p>
        </w:tc>
      </w:tr>
      <w:tr>
        <w:trPr>
          <w:trHeight w:val="26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ind w:left="11" w:right="0"/>
              <w:jc w:val="left"/>
              <w:rPr>
                <w:rFonts w:ascii="宋体" w:hAnsi="宋体" w:cs="宋体" w:eastAsia="宋体" w:hint="default"/>
                <w:sz w:val="21"/>
                <w:szCs w:val="21"/>
              </w:rPr>
            </w:pPr>
            <w:r>
              <w:rPr>
                <w:rFonts w:ascii="宋体" w:hAnsi="宋体" w:cs="宋体" w:eastAsia="宋体" w:hint="default"/>
                <w:sz w:val="21"/>
                <w:szCs w:val="21"/>
              </w:rPr>
              <w:t>所有者权</w:t>
            </w:r>
            <w:r>
              <w:rPr>
                <w:rFonts w:ascii="宋体" w:hAnsi="宋体" w:cs="宋体" w:eastAsia="宋体" w:hint="default"/>
                <w:spacing w:val="-28"/>
                <w:sz w:val="21"/>
                <w:szCs w:val="21"/>
              </w:rPr>
              <w:t>益</w:t>
            </w:r>
            <w:r>
              <w:rPr>
                <w:rFonts w:ascii="宋体" w:hAnsi="宋体" w:cs="宋体" w:eastAsia="宋体" w:hint="default"/>
                <w:sz w:val="21"/>
                <w:szCs w:val="21"/>
              </w:rPr>
              <w:t>（或股东权益</w:t>
            </w:r>
            <w:r>
              <w:rPr>
                <w:rFonts w:ascii="宋体" w:hAnsi="宋体" w:cs="宋体" w:eastAsia="宋体" w:hint="default"/>
                <w:spacing w:val="-105"/>
                <w:sz w:val="21"/>
                <w:szCs w:val="21"/>
              </w:rPr>
              <w:t>）</w:t>
            </w:r>
            <w:r>
              <w:rPr>
                <w:rFonts w:ascii="宋体" w:hAnsi="宋体" w:cs="宋体" w:eastAsia="宋体" w:hint="default"/>
                <w:sz w:val="21"/>
                <w:szCs w:val="21"/>
              </w:rPr>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ind w:left="-126" w:right="0"/>
              <w:jc w:val="left"/>
              <w:rPr>
                <w:rFonts w:ascii="宋体" w:hAnsi="宋体" w:cs="宋体" w:eastAsia="宋体" w:hint="default"/>
                <w:sz w:val="21"/>
                <w:szCs w:val="21"/>
              </w:rPr>
            </w:pPr>
            <w:r>
              <w:rPr>
                <w:rFonts w:ascii="宋体" w:hAnsi="宋体" w:cs="宋体" w:eastAsia="宋体" w:hint="default"/>
                <w:sz w:val="21"/>
                <w:szCs w:val="21"/>
              </w:rPr>
              <w:t>：</w:t>
            </w: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9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exact"/>
              <w:ind w:left="222" w:right="0"/>
              <w:jc w:val="left"/>
              <w:rPr>
                <w:rFonts w:ascii="宋体" w:hAnsi="宋体" w:cs="宋体" w:eastAsia="宋体" w:hint="default"/>
                <w:sz w:val="21"/>
                <w:szCs w:val="21"/>
              </w:rPr>
            </w:pPr>
            <w:r>
              <w:rPr>
                <w:rFonts w:ascii="宋体" w:hAnsi="宋体" w:cs="宋体" w:eastAsia="宋体" w:hint="default"/>
                <w:sz w:val="21"/>
                <w:szCs w:val="21"/>
              </w:rPr>
              <w:t>实收资本（或股本）</w:t>
            </w:r>
          </w:p>
        </w:tc>
        <w:tc>
          <w:tcPr>
            <w:tcW w:w="1832" w:type="dxa"/>
            <w:tcBorders>
              <w:top w:val="single" w:sz="6" w:space="0" w:color="DCDCDC"/>
              <w:left w:val="single" w:sz="13" w:space="0" w:color="DCDCDC"/>
              <w:bottom w:val="single" w:sz="4" w:space="0" w:color="000000"/>
              <w:right w:val="single" w:sz="4" w:space="0" w:color="000000"/>
            </w:tcBorders>
          </w:tcPr>
          <w:p>
            <w:pPr>
              <w:pStyle w:val="TableParagraph"/>
              <w:spacing w:line="240" w:lineRule="auto" w:before="18"/>
              <w:ind w:right="20"/>
              <w:jc w:val="right"/>
              <w:rPr>
                <w:rFonts w:ascii="Times New Roman" w:hAnsi="Times New Roman" w:cs="Times New Roman" w:eastAsia="Times New Roman" w:hint="default"/>
                <w:sz w:val="21"/>
                <w:szCs w:val="21"/>
              </w:rPr>
            </w:pPr>
            <w:r>
              <w:rPr>
                <w:rFonts w:ascii="Times New Roman"/>
                <w:spacing w:val="-1"/>
                <w:sz w:val="21"/>
              </w:rPr>
              <w:t>90,486,000.00</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18"/>
              <w:ind w:right="21"/>
              <w:jc w:val="right"/>
              <w:rPr>
                <w:rFonts w:ascii="Times New Roman" w:hAnsi="Times New Roman" w:cs="Times New Roman" w:eastAsia="Times New Roman" w:hint="default"/>
                <w:sz w:val="21"/>
                <w:szCs w:val="21"/>
              </w:rPr>
            </w:pPr>
            <w:r>
              <w:rPr>
                <w:rFonts w:ascii="Times New Roman"/>
                <w:spacing w:val="-1"/>
                <w:sz w:val="21"/>
              </w:rPr>
              <w:t>90,486,000.00</w:t>
            </w:r>
          </w:p>
        </w:tc>
        <w:tc>
          <w:tcPr>
            <w:tcW w:w="1819"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18"/>
              <w:ind w:right="19"/>
              <w:jc w:val="right"/>
              <w:rPr>
                <w:rFonts w:ascii="Times New Roman" w:hAnsi="Times New Roman" w:cs="Times New Roman" w:eastAsia="Times New Roman" w:hint="default"/>
                <w:sz w:val="21"/>
                <w:szCs w:val="21"/>
              </w:rPr>
            </w:pPr>
            <w:r>
              <w:rPr>
                <w:rFonts w:ascii="Times New Roman"/>
                <w:spacing w:val="-1"/>
                <w:sz w:val="21"/>
              </w:rPr>
              <w:t>90,486,000.00</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18"/>
              <w:ind w:right="19"/>
              <w:jc w:val="right"/>
              <w:rPr>
                <w:rFonts w:ascii="Times New Roman" w:hAnsi="Times New Roman" w:cs="Times New Roman" w:eastAsia="Times New Roman" w:hint="default"/>
                <w:sz w:val="21"/>
                <w:szCs w:val="21"/>
              </w:rPr>
            </w:pPr>
            <w:r>
              <w:rPr>
                <w:rFonts w:ascii="Times New Roman"/>
                <w:spacing w:val="-1"/>
                <w:sz w:val="21"/>
              </w:rPr>
              <w:t>90,486,000.00</w:t>
            </w: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26,599,043.81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26,599,043.81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26,599,043.81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26,599,043.81</w:t>
            </w: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5,887,067.95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5,887,067.95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5,887,067.95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5,887,067.95</w:t>
            </w: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-53,283,504.49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-52,013,867.94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-207,479,768.74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-207,479,768.74</w:t>
            </w: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2" w:right="0"/>
              <w:jc w:val="left"/>
              <w:rPr>
                <w:rFonts w:ascii="宋体" w:hAnsi="宋体" w:cs="宋体" w:eastAsia="宋体" w:hint="default"/>
                <w:sz w:val="21"/>
                <w:szCs w:val="21"/>
              </w:rPr>
            </w:pPr>
            <w:r>
              <w:rPr>
                <w:rFonts w:ascii="宋体" w:hAnsi="宋体" w:cs="宋体" w:eastAsia="宋体" w:hint="default"/>
                <w:sz w:val="21"/>
                <w:szCs w:val="21"/>
              </w:rPr>
              <w:t>外币报表折算差额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6"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1" w:right="0"/>
              <w:jc w:val="left"/>
              <w:rPr>
                <w:rFonts w:ascii="宋体" w:hAnsi="宋体" w:cs="宋体" w:eastAsia="宋体" w:hint="default"/>
                <w:sz w:val="21"/>
                <w:szCs w:val="21"/>
              </w:rPr>
            </w:pPr>
            <w:r>
              <w:rPr>
                <w:rFonts w:ascii="宋体" w:hAnsi="宋体" w:cs="宋体" w:eastAsia="宋体" w:hint="default"/>
                <w:sz w:val="21"/>
                <w:szCs w:val="21"/>
              </w:rPr>
              <w:t>归属于母公司所有者权益</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69,688,607.27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70,958,243.82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-84,507,656.98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-84,507,656.98</w:t>
            </w: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27,238,027.07</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所有者权益合计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96,926,634.34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70,958,243.82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-84,507,656.98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-84,507,656.98</w:t>
            </w:r>
          </w:p>
        </w:tc>
      </w:tr>
      <w:tr>
        <w:trPr>
          <w:trHeight w:val="28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负债和所有者权益总计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306,434,164.74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209,013,989.58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8,963,755.52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8,963,755.52</w:t>
            </w:r>
          </w:p>
        </w:tc>
      </w:tr>
    </w:tbl>
    <w:p>
      <w:pPr>
        <w:spacing w:after="0" w:line="240" w:lineRule="auto"/>
        <w:jc w:val="right"/>
        <w:rPr>
          <w:rFonts w:ascii="Times New Roman" w:hAnsi="Times New Roman" w:cs="Times New Roman" w:eastAsia="Times New Roman" w:hint="default"/>
          <w:sz w:val="21"/>
          <w:szCs w:val="21"/>
        </w:rPr>
        <w:sectPr>
          <w:pgSz w:w="11910" w:h="16840"/>
          <w:pgMar w:header="0" w:footer="691" w:top="860" w:bottom="880" w:left="980" w:right="820"/>
        </w:sectPr>
      </w:pPr>
    </w:p>
    <w:p>
      <w:pPr>
        <w:spacing w:line="240" w:lineRule="auto" w:before="8"/>
        <w:rPr>
          <w:rFonts w:ascii="Times New Roman" w:hAnsi="Times New Roman" w:cs="Times New Roman" w:eastAsia="Times New Roman" w:hint="default"/>
          <w:sz w:val="7"/>
          <w:szCs w:val="7"/>
        </w:rPr>
      </w:pPr>
      <w:r>
        <w:rPr/>
        <w:pict>
          <v:group style="position:absolute;margin-left:56.219978pt;margin-top:114.060013pt;width:492.4pt;height:645.4pt;mso-position-horizontal-relative:page;mso-position-vertical-relative:page;z-index:-454840" coordorigin="1124,2281" coordsize="9848,12908">
            <v:group style="position:absolute;left:3698;top:2296;width:2;height:273" coordorigin="3698,2296" coordsize="2,273">
              <v:shape style="position:absolute;left:3698;top:2296;width:2;height:273" coordorigin="3698,2296" coordsize="0,273" path="m3698,2296l3698,2568e" filled="false" stroked="true" strokeweight="1.2pt" strokecolor="#dcdcdc">
                <v:path arrowok="t"/>
              </v:shape>
            </v:group>
            <v:group style="position:absolute;left:7306;top:2296;width:2;height:273" coordorigin="7306,2296" coordsize="2,273">
              <v:shape style="position:absolute;left:7306;top:2296;width:2;height:273" coordorigin="7306,2296" coordsize="0,273" path="m7306,2296l7306,2568e" filled="false" stroked="true" strokeweight="1.140pt" strokecolor="#dcdcdc">
                <v:path arrowok="t"/>
              </v:shape>
            </v:group>
            <v:group style="position:absolute;left:3710;top:2296;width:3585;height:273" coordorigin="3710,2296" coordsize="3585,273">
              <v:shape style="position:absolute;left:3710;top:2296;width:3585;height:273" coordorigin="3710,2296" coordsize="3585,273" path="m3710,2568l7295,2568,7295,2296,3710,2296,3710,2568xe" filled="true" fillcolor="#dcdcdc" stroked="false">
                <v:path arrowok="t"/>
                <v:fill type="solid"/>
              </v:shape>
            </v:group>
            <v:group style="position:absolute;left:7339;top:2296;width:2;height:273" coordorigin="7339,2296" coordsize="2,273">
              <v:shape style="position:absolute;left:7339;top:2296;width:2;height:273" coordorigin="7339,2296" coordsize="0,273" path="m7339,2296l7339,2568e" filled="false" stroked="true" strokeweight="1.140pt" strokecolor="#dcdcdc">
                <v:path arrowok="t"/>
              </v:shape>
            </v:group>
            <v:group style="position:absolute;left:10946;top:2296;width:2;height:273" coordorigin="10946,2296" coordsize="2,273">
              <v:shape style="position:absolute;left:10946;top:2296;width:2;height:273" coordorigin="10946,2296" coordsize="0,273" path="m10946,2296l10946,2568e" filled="false" stroked="true" strokeweight="1.139985pt" strokecolor="#dcdcdc">
                <v:path arrowok="t"/>
              </v:shape>
            </v:group>
            <v:group style="position:absolute;left:7350;top:2296;width:3585;height:273" coordorigin="7350,2296" coordsize="3585,273">
              <v:shape style="position:absolute;left:7350;top:2296;width:3585;height:273" coordorigin="7350,2296" coordsize="3585,273" path="m7350,2568l10934,2568,10934,2296,7350,2296,7350,2568xe" filled="true" fillcolor="#dcdcdc" stroked="false">
                <v:path arrowok="t"/>
                <v:fill type="solid"/>
              </v:shape>
            </v:group>
            <v:group style="position:absolute;left:1129;top:2291;width:6198;height:2" coordorigin="1129,2291" coordsize="6198,2">
              <v:shape style="position:absolute;left:1129;top:2291;width:6198;height:2" coordorigin="1129,2291" coordsize="6198,0" path="m1129,2291l7327,2291e" filled="false" stroked="true" strokeweight=".47998pt" strokecolor="#000000">
                <v:path arrowok="t"/>
              </v:shape>
            </v:group>
            <v:group style="position:absolute;left:7327;top:2291;width:3630;height:2" coordorigin="7327,2291" coordsize="3630,2">
              <v:shape style="position:absolute;left:7327;top:2291;width:3630;height:2" coordorigin="7327,2291" coordsize="3630,0" path="m7327,2291l10957,2291e" filled="false" stroked="true" strokeweight=".48pt" strokecolor="#000000">
                <v:path arrowok="t"/>
              </v:shape>
            </v:group>
            <v:group style="position:absolute;left:3682;top:2296;width:2;height:273" coordorigin="3682,2296" coordsize="2,273">
              <v:shape style="position:absolute;left:3682;top:2296;width:2;height:273" coordorigin="3682,2296" coordsize="0,273" path="m3682,2296l3682,2568e" filled="false" stroked="true" strokeweight=".47998pt" strokecolor="#000000">
                <v:path arrowok="t"/>
              </v:shape>
            </v:group>
            <v:group style="position:absolute;left:7322;top:2296;width:2;height:273" coordorigin="7322,2296" coordsize="2,273">
              <v:shape style="position:absolute;left:7322;top:2296;width:2;height:273" coordorigin="7322,2296" coordsize="0,273" path="m7322,2296l7322,2568e" filled="false" stroked="true" strokeweight=".48001pt" strokecolor="#000000">
                <v:path arrowok="t"/>
              </v:shape>
            </v:group>
            <v:group style="position:absolute;left:1139;top:2704;width:2538;height:146" coordorigin="1139,2704" coordsize="2538,146">
              <v:shape style="position:absolute;left:1139;top:2704;width:2538;height:146" coordorigin="1139,2704" coordsize="2538,146" path="m1139,2850l3677,2850,3677,2704,1139,2704,1139,2850xe" filled="true" fillcolor="#dcdcdc" stroked="false">
                <v:path arrowok="t"/>
                <v:fill type="solid"/>
              </v:shape>
            </v:group>
            <v:group style="position:absolute;left:1150;top:2432;width:2;height:272" coordorigin="1150,2432" coordsize="2,272">
              <v:shape style="position:absolute;left:1150;top:2432;width:2;height:272" coordorigin="1150,2432" coordsize="0,272" path="m1150,2432l1150,2704e" filled="false" stroked="true" strokeweight="1.140pt" strokecolor="#dcdcdc">
                <v:path arrowok="t"/>
              </v:shape>
            </v:group>
            <v:group style="position:absolute;left:1139;top:2296;width:2538;height:136" coordorigin="1139,2296" coordsize="2538,136">
              <v:shape style="position:absolute;left:1139;top:2296;width:2538;height:136" coordorigin="1139,2296" coordsize="2538,136" path="m1139,2432l3677,2432,3677,2296,1139,2296,1139,2432xe" filled="true" fillcolor="#dcdcdc" stroked="false">
                <v:path arrowok="t"/>
                <v:fill type="solid"/>
              </v:shape>
            </v:group>
            <v:group style="position:absolute;left:3665;top:2431;width:2;height:273" coordorigin="3665,2431" coordsize="2,273">
              <v:shape style="position:absolute;left:3665;top:2431;width:2;height:273" coordorigin="3665,2431" coordsize="0,273" path="m3665,2431l3665,2704e" filled="false" stroked="true" strokeweight="1.140pt" strokecolor="#dcdcdc">
                <v:path arrowok="t"/>
              </v:shape>
            </v:group>
            <v:group style="position:absolute;left:1162;top:2431;width:2493;height:273" coordorigin="1162,2431" coordsize="2493,273">
              <v:shape style="position:absolute;left:1162;top:2431;width:2493;height:273" coordorigin="1162,2431" coordsize="2493,273" path="m1162,2704l3654,2704,3654,2431,1162,2431,1162,2704xe" filled="true" fillcolor="#dcdcdc" stroked="false">
                <v:path arrowok="t"/>
                <v:fill type="solid"/>
              </v:shape>
            </v:group>
            <v:group style="position:absolute;left:3698;top:2578;width:2;height:273" coordorigin="3698,2578" coordsize="2,273">
              <v:shape style="position:absolute;left:3698;top:2578;width:2;height:273" coordorigin="3698,2578" coordsize="0,273" path="m3698,2578l3698,2850e" filled="false" stroked="true" strokeweight="1.2pt" strokecolor="#dcdcdc">
                <v:path arrowok="t"/>
              </v:shape>
            </v:group>
            <v:group style="position:absolute;left:5486;top:2578;width:2;height:273" coordorigin="5486,2578" coordsize="2,273">
              <v:shape style="position:absolute;left:5486;top:2578;width:2;height:273" coordorigin="5486,2578" coordsize="0,273" path="m5486,2578l5486,2850e" filled="false" stroked="true" strokeweight="1.140pt" strokecolor="#dcdcdc">
                <v:path arrowok="t"/>
              </v:shape>
            </v:group>
            <v:group style="position:absolute;left:3710;top:2578;width:1764;height:273" coordorigin="3710,2578" coordsize="1764,273">
              <v:shape style="position:absolute;left:3710;top:2578;width:1764;height:273" coordorigin="3710,2578" coordsize="1764,273" path="m3710,2850l5474,2850,5474,2578,3710,2578,3710,2850xe" filled="true" fillcolor="#dcdcdc" stroked="false">
                <v:path arrowok="t"/>
                <v:fill type="solid"/>
              </v:shape>
            </v:group>
            <v:group style="position:absolute;left:5518;top:2578;width:2;height:273" coordorigin="5518,2578" coordsize="2,273">
              <v:shape style="position:absolute;left:5518;top:2578;width:2;height:273" coordorigin="5518,2578" coordsize="0,273" path="m5518,2578l5518,2850e" filled="false" stroked="true" strokeweight="1.140pt" strokecolor="#dcdcdc">
                <v:path arrowok="t"/>
              </v:shape>
            </v:group>
            <v:group style="position:absolute;left:7306;top:2578;width:2;height:273" coordorigin="7306,2578" coordsize="2,273">
              <v:shape style="position:absolute;left:7306;top:2578;width:2;height:273" coordorigin="7306,2578" coordsize="0,273" path="m7306,2578l7306,2850e" filled="false" stroked="true" strokeweight="1.2pt" strokecolor="#dcdcdc">
                <v:path arrowok="t"/>
              </v:shape>
            </v:group>
            <v:group style="position:absolute;left:5530;top:2578;width:1764;height:273" coordorigin="5530,2578" coordsize="1764,273">
              <v:shape style="position:absolute;left:5530;top:2578;width:1764;height:273" coordorigin="5530,2578" coordsize="1764,273" path="m5530,2850l7294,2850,7294,2578,5530,2578,5530,2850xe" filled="true" fillcolor="#dcdcdc" stroked="false">
                <v:path arrowok="t"/>
                <v:fill type="solid"/>
              </v:shape>
            </v:group>
            <v:group style="position:absolute;left:7339;top:2578;width:2;height:273" coordorigin="7339,2578" coordsize="2,273">
              <v:shape style="position:absolute;left:7339;top:2578;width:2;height:273" coordorigin="7339,2578" coordsize="0,273" path="m7339,2578l7339,2850e" filled="false" stroked="true" strokeweight="1.140pt" strokecolor="#dcdcdc">
                <v:path arrowok="t"/>
              </v:shape>
            </v:group>
            <v:group style="position:absolute;left:9125;top:2578;width:2;height:273" coordorigin="9125,2578" coordsize="2,273">
              <v:shape style="position:absolute;left:9125;top:2578;width:2;height:273" coordorigin="9125,2578" coordsize="0,273" path="m9125,2578l9125,2850e" filled="false" stroked="true" strokeweight="1.140pt" strokecolor="#dcdcdc">
                <v:path arrowok="t"/>
              </v:shape>
            </v:group>
            <v:group style="position:absolute;left:7350;top:2578;width:1764;height:273" coordorigin="7350,2578" coordsize="1764,273">
              <v:shape style="position:absolute;left:7350;top:2578;width:1764;height:273" coordorigin="7350,2578" coordsize="1764,273" path="m7350,2578l9114,2578,9114,2850,7350,2850,7350,2578xe" filled="true" fillcolor="#dcdcdc" stroked="false">
                <v:path arrowok="t"/>
                <v:fill type="solid"/>
              </v:shape>
            </v:group>
            <v:group style="position:absolute;left:9158;top:2578;width:2;height:273" coordorigin="9158,2578" coordsize="2,273">
              <v:shape style="position:absolute;left:9158;top:2578;width:2;height:273" coordorigin="9158,2578" coordsize="0,273" path="m9158,2578l9158,2850e" filled="false" stroked="true" strokeweight="1.2pt" strokecolor="#dcdcdc">
                <v:path arrowok="t"/>
              </v:shape>
            </v:group>
            <v:group style="position:absolute;left:10946;top:2578;width:2;height:273" coordorigin="10946,2578" coordsize="2,273">
              <v:shape style="position:absolute;left:10946;top:2578;width:2;height:273" coordorigin="10946,2578" coordsize="0,273" path="m10946,2578l10946,2850e" filled="false" stroked="true" strokeweight="1.140pt" strokecolor="#dcdcdc">
                <v:path arrowok="t"/>
              </v:shape>
            </v:group>
            <v:group style="position:absolute;left:9170;top:2578;width:1764;height:273" coordorigin="9170,2578" coordsize="1764,273">
              <v:shape style="position:absolute;left:9170;top:2578;width:1764;height:273" coordorigin="9170,2578" coordsize="1764,273" path="m9170,2850l10934,2850,10934,2578,9170,2578,9170,2850xe" filled="true" fillcolor="#dcdcdc" stroked="false">
                <v:path arrowok="t"/>
                <v:fill type="solid"/>
              </v:shape>
            </v:group>
            <v:group style="position:absolute;left:3677;top:2573;width:7290;height:2" coordorigin="3677,2573" coordsize="7290,2">
              <v:shape style="position:absolute;left:3677;top:2573;width:7290;height:2" coordorigin="3677,2573" coordsize="7290,0" path="m3677,2573l10967,2573e" filled="false" stroked="true" strokeweight=".48004pt" strokecolor="#000000">
                <v:path arrowok="t"/>
              </v:shape>
            </v:group>
            <v:group style="position:absolute;left:3682;top:2578;width:2;height:273" coordorigin="3682,2578" coordsize="2,273">
              <v:shape style="position:absolute;left:3682;top:2578;width:2;height:273" coordorigin="3682,2578" coordsize="0,273" path="m3682,2578l3682,2850e" filled="false" stroked="true" strokeweight=".47998pt" strokecolor="#000000">
                <v:path arrowok="t"/>
              </v:shape>
            </v:group>
            <v:group style="position:absolute;left:5502;top:2578;width:2;height:273" coordorigin="5502,2578" coordsize="2,273">
              <v:shape style="position:absolute;left:5502;top:2578;width:2;height:273" coordorigin="5502,2578" coordsize="0,273" path="m5502,2578l5502,2850e" filled="false" stroked="true" strokeweight=".47998pt" strokecolor="#000000">
                <v:path arrowok="t"/>
              </v:shape>
            </v:group>
            <v:group style="position:absolute;left:7322;top:2578;width:2;height:273" coordorigin="7322,2578" coordsize="2,273">
              <v:shape style="position:absolute;left:7322;top:2578;width:2;height:273" coordorigin="7322,2578" coordsize="0,273" path="m7322,2578l7322,2850e" filled="false" stroked="true" strokeweight=".48001pt" strokecolor="#000000">
                <v:path arrowok="t"/>
              </v:shape>
            </v:group>
            <v:group style="position:absolute;left:9142;top:2578;width:2;height:273" coordorigin="9142,2578" coordsize="2,273">
              <v:shape style="position:absolute;left:9142;top:2578;width:2;height:273" coordorigin="9142,2578" coordsize="0,273" path="m9142,2578l9142,2850e" filled="false" stroked="true" strokeweight=".48001pt" strokecolor="#000000">
                <v:path arrowok="t"/>
              </v:shape>
            </v:group>
            <v:group style="position:absolute;left:1139;top:3133;width:2538;height:2" coordorigin="1139,3133" coordsize="2538,2">
              <v:shape style="position:absolute;left:1139;top:3133;width:2538;height:2" coordorigin="1139,3133" coordsize="2538,0" path="m1139,3133l3677,3133e" filled="false" stroked="true" strokeweight=".1pt" strokecolor="#dcdcdc">
                <v:path arrowok="t"/>
              </v:shape>
            </v:group>
            <v:group style="position:absolute;left:1150;top:2860;width:2;height:272" coordorigin="1150,2860" coordsize="2,272">
              <v:shape style="position:absolute;left:1150;top:2860;width:2;height:272" coordorigin="1150,2860" coordsize="0,272" path="m1150,2860l1150,3132e" filled="false" stroked="true" strokeweight="1.140pt" strokecolor="#dcdcdc">
                <v:path arrowok="t"/>
              </v:shape>
            </v:group>
            <v:group style="position:absolute;left:3665;top:2861;width:2;height:272" coordorigin="3665,2861" coordsize="2,272">
              <v:shape style="position:absolute;left:3665;top:2861;width:2;height:272" coordorigin="3665,2861" coordsize="0,272" path="m3665,2861l3665,3132e" filled="false" stroked="true" strokeweight="1.140pt" strokecolor="#dcdcdc">
                <v:path arrowok="t"/>
              </v:shape>
            </v:group>
            <v:group style="position:absolute;left:1162;top:2860;width:2493;height:273" coordorigin="1162,2860" coordsize="2493,273">
              <v:shape style="position:absolute;left:1162;top:2860;width:2493;height:273" coordorigin="1162,2860" coordsize="2493,273" path="m1162,3132l3654,3132,3654,2860,1162,2860,1162,3132xe" filled="true" fillcolor="#dcdcdc" stroked="false">
                <v:path arrowok="t"/>
                <v:fill type="solid"/>
              </v:shape>
            </v:group>
            <v:group style="position:absolute;left:1129;top:2855;width:9838;height:2" coordorigin="1129,2855" coordsize="9838,2">
              <v:shape style="position:absolute;left:1129;top:2855;width:9838;height:2" coordorigin="1129,2855" coordsize="9838,0" path="m1129,2855l10967,2855e" filled="false" stroked="true" strokeweight=".48004pt" strokecolor="#000000">
                <v:path arrowok="t"/>
              </v:shape>
            </v:group>
            <v:group style="position:absolute;left:3682;top:2860;width:2;height:274" coordorigin="3682,2860" coordsize="2,274">
              <v:shape style="position:absolute;left:3682;top:2860;width:2;height:274" coordorigin="3682,2860" coordsize="0,274" path="m3682,2860l3682,3133e" filled="false" stroked="true" strokeweight=".47998pt" strokecolor="#000000">
                <v:path arrowok="t"/>
              </v:shape>
            </v:group>
            <v:group style="position:absolute;left:5502;top:2860;width:2;height:274" coordorigin="5502,2860" coordsize="2,274">
              <v:shape style="position:absolute;left:5502;top:2860;width:2;height:274" coordorigin="5502,2860" coordsize="0,274" path="m5502,2860l5502,3133e" filled="false" stroked="true" strokeweight=".47998pt" strokecolor="#000000">
                <v:path arrowok="t"/>
              </v:shape>
            </v:group>
            <v:group style="position:absolute;left:7322;top:2860;width:2;height:274" coordorigin="7322,2860" coordsize="2,274">
              <v:shape style="position:absolute;left:7322;top:2860;width:2;height:274" coordorigin="7322,2860" coordsize="0,274" path="m7322,2860l7322,3133e" filled="false" stroked="true" strokeweight=".48001pt" strokecolor="#000000">
                <v:path arrowok="t"/>
              </v:shape>
            </v:group>
            <v:group style="position:absolute;left:9142;top:2860;width:2;height:274" coordorigin="9142,2860" coordsize="2,274">
              <v:shape style="position:absolute;left:9142;top:2860;width:2;height:274" coordorigin="9142,2860" coordsize="0,274" path="m9142,2860l9142,3133e" filled="false" stroked="true" strokeweight=".48001pt" strokecolor="#000000">
                <v:path arrowok="t"/>
              </v:shape>
            </v:group>
            <v:group style="position:absolute;left:1150;top:3143;width:2;height:273" coordorigin="1150,3143" coordsize="2,273">
              <v:shape style="position:absolute;left:1150;top:3143;width:2;height:273" coordorigin="1150,3143" coordsize="0,273" path="m1150,3143l1150,3415e" filled="false" stroked="true" strokeweight="1.140pt" strokecolor="#dcdcdc">
                <v:path arrowok="t"/>
              </v:shape>
            </v:group>
            <v:group style="position:absolute;left:3665;top:3143;width:2;height:273" coordorigin="3665,3143" coordsize="2,273">
              <v:shape style="position:absolute;left:3665;top:3143;width:2;height:273" coordorigin="3665,3143" coordsize="0,273" path="m3665,3143l3665,3415e" filled="false" stroked="true" strokeweight="1.140pt" strokecolor="#dcdcdc">
                <v:path arrowok="t"/>
              </v:shape>
            </v:group>
            <v:group style="position:absolute;left:1162;top:3143;width:2493;height:273" coordorigin="1162,3143" coordsize="2493,273">
              <v:shape style="position:absolute;left:1162;top:3143;width:2493;height:273" coordorigin="1162,3143" coordsize="2493,273" path="m1162,3415l3654,3415,3654,3143,1162,3143,1162,3415xe" filled="true" fillcolor="#dcdcdc" stroked="false">
                <v:path arrowok="t"/>
                <v:fill type="solid"/>
              </v:shape>
            </v:group>
            <v:group style="position:absolute;left:1129;top:3138;width:9838;height:2" coordorigin="1129,3138" coordsize="9838,2">
              <v:shape style="position:absolute;left:1129;top:3138;width:9838;height:2" coordorigin="1129,3138" coordsize="9838,0" path="m1129,3138l10967,3138e" filled="false" stroked="true" strokeweight=".48004pt" strokecolor="#000000">
                <v:path arrowok="t"/>
              </v:shape>
            </v:group>
            <v:group style="position:absolute;left:3682;top:3143;width:2;height:273" coordorigin="3682,3143" coordsize="2,273">
              <v:shape style="position:absolute;left:3682;top:3143;width:2;height:273" coordorigin="3682,3143" coordsize="0,273" path="m3682,3143l3682,3415e" filled="false" stroked="true" strokeweight=".47998pt" strokecolor="#000000">
                <v:path arrowok="t"/>
              </v:shape>
            </v:group>
            <v:group style="position:absolute;left:5502;top:3143;width:2;height:273" coordorigin="5502,3143" coordsize="2,273">
              <v:shape style="position:absolute;left:5502;top:3143;width:2;height:273" coordorigin="5502,3143" coordsize="0,273" path="m5502,3143l5502,3415e" filled="false" stroked="true" strokeweight=".47998pt" strokecolor="#000000">
                <v:path arrowok="t"/>
              </v:shape>
            </v:group>
            <v:group style="position:absolute;left:7322;top:3143;width:2;height:273" coordorigin="7322,3143" coordsize="2,273">
              <v:shape style="position:absolute;left:7322;top:3143;width:2;height:273" coordorigin="7322,3143" coordsize="0,273" path="m7322,3143l7322,3415e" filled="false" stroked="true" strokeweight=".48001pt" strokecolor="#000000">
                <v:path arrowok="t"/>
              </v:shape>
            </v:group>
            <v:group style="position:absolute;left:9142;top:3143;width:2;height:273" coordorigin="9142,3143" coordsize="2,273">
              <v:shape style="position:absolute;left:9142;top:3143;width:2;height:273" coordorigin="9142,3143" coordsize="0,273" path="m9142,3143l9142,3415e" filled="false" stroked="true" strokeweight=".48001pt" strokecolor="#000000">
                <v:path arrowok="t"/>
              </v:shape>
            </v:group>
            <v:group style="position:absolute;left:1150;top:3425;width:2;height:273" coordorigin="1150,3425" coordsize="2,273">
              <v:shape style="position:absolute;left:1150;top:3425;width:2;height:273" coordorigin="1150,3425" coordsize="0,273" path="m1150,3425l1150,3697e" filled="false" stroked="true" strokeweight="1.140pt" strokecolor="#dcdcdc">
                <v:path arrowok="t"/>
              </v:shape>
            </v:group>
            <v:group style="position:absolute;left:3665;top:3425;width:2;height:273" coordorigin="3665,3425" coordsize="2,273">
              <v:shape style="position:absolute;left:3665;top:3425;width:2;height:273" coordorigin="3665,3425" coordsize="0,273" path="m3665,3425l3665,3697e" filled="false" stroked="true" strokeweight="1.140pt" strokecolor="#dcdcdc">
                <v:path arrowok="t"/>
              </v:shape>
            </v:group>
            <v:group style="position:absolute;left:1162;top:3425;width:2493;height:273" coordorigin="1162,3425" coordsize="2493,273">
              <v:shape style="position:absolute;left:1162;top:3425;width:2493;height:273" coordorigin="1162,3425" coordsize="2493,273" path="m1162,3697l3654,3697,3654,3425,1162,3425,1162,3697xe" filled="true" fillcolor="#dcdcdc" stroked="false">
                <v:path arrowok="t"/>
                <v:fill type="solid"/>
              </v:shape>
            </v:group>
            <v:group style="position:absolute;left:1129;top:3420;width:9838;height:2" coordorigin="1129,3420" coordsize="9838,2">
              <v:shape style="position:absolute;left:1129;top:3420;width:9838;height:2" coordorigin="1129,3420" coordsize="9838,0" path="m1129,3420l10967,3420e" filled="false" stroked="true" strokeweight=".47998pt" strokecolor="#000000">
                <v:path arrowok="t"/>
              </v:shape>
            </v:group>
            <v:group style="position:absolute;left:3682;top:3425;width:2;height:273" coordorigin="3682,3425" coordsize="2,273">
              <v:shape style="position:absolute;left:3682;top:3425;width:2;height:273" coordorigin="3682,3425" coordsize="0,273" path="m3682,3425l3682,3697e" filled="false" stroked="true" strokeweight=".47998pt" strokecolor="#000000">
                <v:path arrowok="t"/>
              </v:shape>
            </v:group>
            <v:group style="position:absolute;left:5502;top:3425;width:2;height:273" coordorigin="5502,3425" coordsize="2,273">
              <v:shape style="position:absolute;left:5502;top:3425;width:2;height:273" coordorigin="5502,3425" coordsize="0,273" path="m5502,3425l5502,3697e" filled="false" stroked="true" strokeweight=".47998pt" strokecolor="#000000">
                <v:path arrowok="t"/>
              </v:shape>
            </v:group>
            <v:group style="position:absolute;left:7322;top:3425;width:2;height:273" coordorigin="7322,3425" coordsize="2,273">
              <v:shape style="position:absolute;left:7322;top:3425;width:2;height:273" coordorigin="7322,3425" coordsize="0,273" path="m7322,3425l7322,3697e" filled="false" stroked="true" strokeweight=".48001pt" strokecolor="#000000">
                <v:path arrowok="t"/>
              </v:shape>
            </v:group>
            <v:group style="position:absolute;left:9142;top:3425;width:2;height:273" coordorigin="9142,3425" coordsize="2,273">
              <v:shape style="position:absolute;left:9142;top:3425;width:2;height:273" coordorigin="9142,3425" coordsize="0,273" path="m9142,3425l9142,3697e" filled="false" stroked="true" strokeweight=".48001pt" strokecolor="#000000">
                <v:path arrowok="t"/>
              </v:shape>
            </v:group>
            <v:group style="position:absolute;left:1150;top:3708;width:2;height:272" coordorigin="1150,3708" coordsize="2,272">
              <v:shape style="position:absolute;left:1150;top:3708;width:2;height:272" coordorigin="1150,3708" coordsize="0,272" path="m1150,3708l1150,3980e" filled="false" stroked="true" strokeweight="1.140pt" strokecolor="#dcdcdc">
                <v:path arrowok="t"/>
              </v:shape>
            </v:group>
            <v:group style="position:absolute;left:3665;top:3708;width:2;height:272" coordorigin="3665,3708" coordsize="2,272">
              <v:shape style="position:absolute;left:3665;top:3708;width:2;height:272" coordorigin="3665,3708" coordsize="0,272" path="m3665,3708l3665,3979e" filled="false" stroked="true" strokeweight="1.140pt" strokecolor="#dcdcdc">
                <v:path arrowok="t"/>
              </v:shape>
            </v:group>
            <v:group style="position:absolute;left:1162;top:3707;width:2493;height:273" coordorigin="1162,3707" coordsize="2493,273">
              <v:shape style="position:absolute;left:1162;top:3707;width:2493;height:273" coordorigin="1162,3707" coordsize="2493,273" path="m1162,3979l3654,3979,3654,3707,1162,3707,1162,3979xe" filled="true" fillcolor="#dcdcdc" stroked="false">
                <v:path arrowok="t"/>
                <v:fill type="solid"/>
              </v:shape>
            </v:group>
            <v:group style="position:absolute;left:1129;top:3702;width:9838;height:2" coordorigin="1129,3702" coordsize="9838,2">
              <v:shape style="position:absolute;left:1129;top:3702;width:9838;height:2" coordorigin="1129,3702" coordsize="9838,0" path="m1129,3702l10967,3702e" filled="false" stroked="true" strokeweight=".47998pt" strokecolor="#000000">
                <v:path arrowok="t"/>
              </v:shape>
            </v:group>
            <v:group style="position:absolute;left:3682;top:3707;width:2;height:274" coordorigin="3682,3707" coordsize="2,274">
              <v:shape style="position:absolute;left:3682;top:3707;width:2;height:274" coordorigin="3682,3707" coordsize="0,274" path="m3682,3707l3682,3980e" filled="false" stroked="true" strokeweight=".47998pt" strokecolor="#000000">
                <v:path arrowok="t"/>
              </v:shape>
            </v:group>
            <v:group style="position:absolute;left:5502;top:3707;width:2;height:274" coordorigin="5502,3707" coordsize="2,274">
              <v:shape style="position:absolute;left:5502;top:3707;width:2;height:274" coordorigin="5502,3707" coordsize="0,274" path="m5502,3707l5502,3980e" filled="false" stroked="true" strokeweight=".47998pt" strokecolor="#000000">
                <v:path arrowok="t"/>
              </v:shape>
            </v:group>
            <v:group style="position:absolute;left:7322;top:3707;width:2;height:274" coordorigin="7322,3707" coordsize="2,274">
              <v:shape style="position:absolute;left:7322;top:3707;width:2;height:274" coordorigin="7322,3707" coordsize="0,274" path="m7322,3707l7322,3980e" filled="false" stroked="true" strokeweight=".48001pt" strokecolor="#000000">
                <v:path arrowok="t"/>
              </v:shape>
            </v:group>
            <v:group style="position:absolute;left:9142;top:3707;width:2;height:274" coordorigin="9142,3707" coordsize="2,274">
              <v:shape style="position:absolute;left:9142;top:3707;width:2;height:274" coordorigin="9142,3707" coordsize="0,274" path="m9142,3707l9142,3980e" filled="false" stroked="true" strokeweight=".48001pt" strokecolor="#000000">
                <v:path arrowok="t"/>
              </v:shape>
            </v:group>
            <v:group style="position:absolute;left:1150;top:3990;width:2;height:273" coordorigin="1150,3990" coordsize="2,273">
              <v:shape style="position:absolute;left:1150;top:3990;width:2;height:273" coordorigin="1150,3990" coordsize="0,273" path="m1150,3990l1150,4262e" filled="false" stroked="true" strokeweight="1.140pt" strokecolor="#dcdcdc">
                <v:path arrowok="t"/>
              </v:shape>
            </v:group>
            <v:group style="position:absolute;left:3665;top:3990;width:2;height:273" coordorigin="3665,3990" coordsize="2,273">
              <v:shape style="position:absolute;left:3665;top:3990;width:2;height:273" coordorigin="3665,3990" coordsize="0,273" path="m3665,3990l3665,4262e" filled="false" stroked="true" strokeweight="1.140pt" strokecolor="#dcdcdc">
                <v:path arrowok="t"/>
              </v:shape>
            </v:group>
            <v:group style="position:absolute;left:1162;top:3990;width:2493;height:273" coordorigin="1162,3990" coordsize="2493,273">
              <v:shape style="position:absolute;left:1162;top:3990;width:2493;height:273" coordorigin="1162,3990" coordsize="2493,273" path="m1162,4262l3654,4262,3654,3990,1162,3990,1162,4262xe" filled="true" fillcolor="#dcdcdc" stroked="false">
                <v:path arrowok="t"/>
                <v:fill type="solid"/>
              </v:shape>
            </v:group>
            <v:group style="position:absolute;left:1129;top:3985;width:9838;height:2" coordorigin="1129,3985" coordsize="9838,2">
              <v:shape style="position:absolute;left:1129;top:3985;width:9838;height:2" coordorigin="1129,3985" coordsize="9838,0" path="m1129,3985l10967,3985e" filled="false" stroked="true" strokeweight=".48004pt" strokecolor="#000000">
                <v:path arrowok="t"/>
              </v:shape>
            </v:group>
            <v:group style="position:absolute;left:3682;top:3990;width:2;height:273" coordorigin="3682,3990" coordsize="2,273">
              <v:shape style="position:absolute;left:3682;top:3990;width:2;height:273" coordorigin="3682,3990" coordsize="0,273" path="m3682,3990l3682,4262e" filled="false" stroked="true" strokeweight=".47998pt" strokecolor="#000000">
                <v:path arrowok="t"/>
              </v:shape>
            </v:group>
            <v:group style="position:absolute;left:5502;top:3990;width:2;height:273" coordorigin="5502,3990" coordsize="2,273">
              <v:shape style="position:absolute;left:5502;top:3990;width:2;height:273" coordorigin="5502,3990" coordsize="0,273" path="m5502,3990l5502,4262e" filled="false" stroked="true" strokeweight=".47998pt" strokecolor="#000000">
                <v:path arrowok="t"/>
              </v:shape>
            </v:group>
            <v:group style="position:absolute;left:7322;top:3990;width:2;height:273" coordorigin="7322,3990" coordsize="2,273">
              <v:shape style="position:absolute;left:7322;top:3990;width:2;height:273" coordorigin="7322,3990" coordsize="0,273" path="m7322,3990l7322,4262e" filled="false" stroked="true" strokeweight=".48001pt" strokecolor="#000000">
                <v:path arrowok="t"/>
              </v:shape>
            </v:group>
            <v:group style="position:absolute;left:9142;top:3990;width:2;height:273" coordorigin="9142,3990" coordsize="2,273">
              <v:shape style="position:absolute;left:9142;top:3990;width:2;height:273" coordorigin="9142,3990" coordsize="0,273" path="m9142,3990l9142,4262e" filled="false" stroked="true" strokeweight=".48001pt" strokecolor="#000000">
                <v:path arrowok="t"/>
              </v:shape>
            </v:group>
            <v:group style="position:absolute;left:1150;top:4272;width:2;height:273" coordorigin="1150,4272" coordsize="2,273">
              <v:shape style="position:absolute;left:1150;top:4272;width:2;height:273" coordorigin="1150,4272" coordsize="0,273" path="m1150,4272l1150,4544e" filled="false" stroked="true" strokeweight="1.140pt" strokecolor="#dcdcdc">
                <v:path arrowok="t"/>
              </v:shape>
            </v:group>
            <v:group style="position:absolute;left:3665;top:4272;width:2;height:273" coordorigin="3665,4272" coordsize="2,273">
              <v:shape style="position:absolute;left:3665;top:4272;width:2;height:273" coordorigin="3665,4272" coordsize="0,273" path="m3665,4272l3665,4544e" filled="false" stroked="true" strokeweight="1.140pt" strokecolor="#dcdcdc">
                <v:path arrowok="t"/>
              </v:shape>
            </v:group>
            <v:group style="position:absolute;left:1162;top:4272;width:2493;height:273" coordorigin="1162,4272" coordsize="2493,273">
              <v:shape style="position:absolute;left:1162;top:4272;width:2493;height:273" coordorigin="1162,4272" coordsize="2493,273" path="m1162,4544l3654,4544,3654,4272,1162,4272,1162,4544xe" filled="true" fillcolor="#dcdcdc" stroked="false">
                <v:path arrowok="t"/>
                <v:fill type="solid"/>
              </v:shape>
            </v:group>
            <v:group style="position:absolute;left:1129;top:4267;width:9838;height:2" coordorigin="1129,4267" coordsize="9838,2">
              <v:shape style="position:absolute;left:1129;top:4267;width:9838;height:2" coordorigin="1129,4267" coordsize="9838,0" path="m1129,4267l10967,4267e" filled="false" stroked="true" strokeweight=".47998pt" strokecolor="#000000">
                <v:path arrowok="t"/>
              </v:shape>
            </v:group>
            <v:group style="position:absolute;left:3682;top:4272;width:2;height:273" coordorigin="3682,4272" coordsize="2,273">
              <v:shape style="position:absolute;left:3682;top:4272;width:2;height:273" coordorigin="3682,4272" coordsize="0,273" path="m3682,4272l3682,4544e" filled="false" stroked="true" strokeweight=".47998pt" strokecolor="#000000">
                <v:path arrowok="t"/>
              </v:shape>
            </v:group>
            <v:group style="position:absolute;left:5502;top:4272;width:2;height:273" coordorigin="5502,4272" coordsize="2,273">
              <v:shape style="position:absolute;left:5502;top:4272;width:2;height:273" coordorigin="5502,4272" coordsize="0,273" path="m5502,4272l5502,4544e" filled="false" stroked="true" strokeweight=".47998pt" strokecolor="#000000">
                <v:path arrowok="t"/>
              </v:shape>
            </v:group>
            <v:group style="position:absolute;left:7322;top:4272;width:2;height:273" coordorigin="7322,4272" coordsize="2,273">
              <v:shape style="position:absolute;left:7322;top:4272;width:2;height:273" coordorigin="7322,4272" coordsize="0,273" path="m7322,4272l7322,4544e" filled="false" stroked="true" strokeweight=".48001pt" strokecolor="#000000">
                <v:path arrowok="t"/>
              </v:shape>
            </v:group>
            <v:group style="position:absolute;left:9142;top:4272;width:2;height:273" coordorigin="9142,4272" coordsize="2,273">
              <v:shape style="position:absolute;left:9142;top:4272;width:2;height:273" coordorigin="9142,4272" coordsize="0,273" path="m9142,4272l9142,4544e" filled="false" stroked="true" strokeweight=".48001pt" strokecolor="#000000">
                <v:path arrowok="t"/>
              </v:shape>
            </v:group>
            <v:group style="position:absolute;left:1150;top:4554;width:2;height:273" coordorigin="1150,4554" coordsize="2,273">
              <v:shape style="position:absolute;left:1150;top:4554;width:2;height:273" coordorigin="1150,4554" coordsize="0,273" path="m1150,4554l1150,4826e" filled="false" stroked="true" strokeweight="1.140pt" strokecolor="#dcdcdc">
                <v:path arrowok="t"/>
              </v:shape>
            </v:group>
            <v:group style="position:absolute;left:3665;top:4554;width:2;height:273" coordorigin="3665,4554" coordsize="2,273">
              <v:shape style="position:absolute;left:3665;top:4554;width:2;height:273" coordorigin="3665,4554" coordsize="0,273" path="m3665,4554l3665,4826e" filled="false" stroked="true" strokeweight="1.140pt" strokecolor="#dcdcdc">
                <v:path arrowok="t"/>
              </v:shape>
            </v:group>
            <v:group style="position:absolute;left:1162;top:4554;width:2493;height:273" coordorigin="1162,4554" coordsize="2493,273">
              <v:shape style="position:absolute;left:1162;top:4554;width:2493;height:273" coordorigin="1162,4554" coordsize="2493,273" path="m1162,4826l3654,4826,3654,4554,1162,4554,1162,4826xe" filled="true" fillcolor="#dcdcdc" stroked="false">
                <v:path arrowok="t"/>
                <v:fill type="solid"/>
              </v:shape>
            </v:group>
            <v:group style="position:absolute;left:1129;top:4549;width:9838;height:2" coordorigin="1129,4549" coordsize="9838,2">
              <v:shape style="position:absolute;left:1129;top:4549;width:9838;height:2" coordorigin="1129,4549" coordsize="9838,0" path="m1129,4549l10967,4549e" filled="false" stroked="true" strokeweight=".48004pt" strokecolor="#000000">
                <v:path arrowok="t"/>
              </v:shape>
            </v:group>
            <v:group style="position:absolute;left:3682;top:4554;width:2;height:273" coordorigin="3682,4554" coordsize="2,273">
              <v:shape style="position:absolute;left:3682;top:4554;width:2;height:273" coordorigin="3682,4554" coordsize="0,273" path="m3682,4554l3682,4826e" filled="false" stroked="true" strokeweight=".47998pt" strokecolor="#000000">
                <v:path arrowok="t"/>
              </v:shape>
            </v:group>
            <v:group style="position:absolute;left:5502;top:4554;width:2;height:273" coordorigin="5502,4554" coordsize="2,273">
              <v:shape style="position:absolute;left:5502;top:4554;width:2;height:273" coordorigin="5502,4554" coordsize="0,273" path="m5502,4554l5502,4826e" filled="false" stroked="true" strokeweight=".47998pt" strokecolor="#000000">
                <v:path arrowok="t"/>
              </v:shape>
            </v:group>
            <v:group style="position:absolute;left:7322;top:4554;width:2;height:273" coordorigin="7322,4554" coordsize="2,273">
              <v:shape style="position:absolute;left:7322;top:4554;width:2;height:273" coordorigin="7322,4554" coordsize="0,273" path="m7322,4554l7322,4826e" filled="false" stroked="true" strokeweight=".48001pt" strokecolor="#000000">
                <v:path arrowok="t"/>
              </v:shape>
            </v:group>
            <v:group style="position:absolute;left:9142;top:4554;width:2;height:273" coordorigin="9142,4554" coordsize="2,273">
              <v:shape style="position:absolute;left:9142;top:4554;width:2;height:273" coordorigin="9142,4554" coordsize="0,273" path="m9142,4554l9142,4826e" filled="false" stroked="true" strokeweight=".48001pt" strokecolor="#000000">
                <v:path arrowok="t"/>
              </v:shape>
            </v:group>
            <v:group style="position:absolute;left:1139;top:5109;width:2538;height:2" coordorigin="1139,5109" coordsize="2538,2">
              <v:shape style="position:absolute;left:1139;top:5109;width:2538;height:2" coordorigin="1139,5109" coordsize="2538,0" path="m1139,5109l3677,5109e" filled="false" stroked="true" strokeweight=".1pt" strokecolor="#dcdcdc">
                <v:path arrowok="t"/>
              </v:shape>
            </v:group>
            <v:group style="position:absolute;left:1150;top:4838;width:2;height:270" coordorigin="1150,4838" coordsize="2,270">
              <v:shape style="position:absolute;left:1150;top:4838;width:2;height:270" coordorigin="1150,4838" coordsize="0,270" path="m1150,4838l1150,5108e" filled="false" stroked="true" strokeweight="1.140pt" strokecolor="#dcdcdc">
                <v:path arrowok="t"/>
              </v:shape>
            </v:group>
            <v:group style="position:absolute;left:3665;top:4837;width:2;height:272" coordorigin="3665,4837" coordsize="2,272">
              <v:shape style="position:absolute;left:3665;top:4837;width:2;height:272" coordorigin="3665,4837" coordsize="0,272" path="m3665,4837l3665,5108e" filled="false" stroked="true" strokeweight="1.140pt" strokecolor="#dcdcdc">
                <v:path arrowok="t"/>
              </v:shape>
            </v:group>
            <v:group style="position:absolute;left:1162;top:4836;width:2493;height:273" coordorigin="1162,4836" coordsize="2493,273">
              <v:shape style="position:absolute;left:1162;top:4836;width:2493;height:273" coordorigin="1162,4836" coordsize="2493,273" path="m1162,5108l3654,5108,3654,4836,1162,4836,1162,5108xe" filled="true" fillcolor="#dcdcdc" stroked="false">
                <v:path arrowok="t"/>
                <v:fill type="solid"/>
              </v:shape>
            </v:group>
            <v:group style="position:absolute;left:1129;top:4831;width:9838;height:2" coordorigin="1129,4831" coordsize="9838,2">
              <v:shape style="position:absolute;left:1129;top:4831;width:9838;height:2" coordorigin="1129,4831" coordsize="9838,0" path="m1129,4831l10967,4831e" filled="false" stroked="true" strokeweight=".47998pt" strokecolor="#000000">
                <v:path arrowok="t"/>
              </v:shape>
            </v:group>
            <v:group style="position:absolute;left:3682;top:4836;width:2;height:274" coordorigin="3682,4836" coordsize="2,274">
              <v:shape style="position:absolute;left:3682;top:4836;width:2;height:274" coordorigin="3682,4836" coordsize="0,274" path="m3682,4836l3682,5110e" filled="false" stroked="true" strokeweight=".47998pt" strokecolor="#000000">
                <v:path arrowok="t"/>
              </v:shape>
            </v:group>
            <v:group style="position:absolute;left:5502;top:4836;width:2;height:274" coordorigin="5502,4836" coordsize="2,274">
              <v:shape style="position:absolute;left:5502;top:4836;width:2;height:274" coordorigin="5502,4836" coordsize="0,274" path="m5502,4836l5502,5110e" filled="false" stroked="true" strokeweight=".47998pt" strokecolor="#000000">
                <v:path arrowok="t"/>
              </v:shape>
            </v:group>
            <v:group style="position:absolute;left:7322;top:4836;width:2;height:274" coordorigin="7322,4836" coordsize="2,274">
              <v:shape style="position:absolute;left:7322;top:4836;width:2;height:274" coordorigin="7322,4836" coordsize="0,274" path="m7322,4836l7322,5110e" filled="false" stroked="true" strokeweight=".48001pt" strokecolor="#000000">
                <v:path arrowok="t"/>
              </v:shape>
            </v:group>
            <v:group style="position:absolute;left:9142;top:4836;width:2;height:274" coordorigin="9142,4836" coordsize="2,274">
              <v:shape style="position:absolute;left:9142;top:4836;width:2;height:274" coordorigin="9142,4836" coordsize="0,274" path="m9142,4836l9142,5110e" filled="false" stroked="true" strokeweight=".48001pt" strokecolor="#000000">
                <v:path arrowok="t"/>
              </v:shape>
            </v:group>
            <v:group style="position:absolute;left:1150;top:5119;width:2;height:273" coordorigin="1150,5119" coordsize="2,273">
              <v:shape style="position:absolute;left:1150;top:5119;width:2;height:273" coordorigin="1150,5119" coordsize="0,273" path="m1150,5119l1150,5392e" filled="false" stroked="true" strokeweight="1.140pt" strokecolor="#dcdcdc">
                <v:path arrowok="t"/>
              </v:shape>
            </v:group>
            <v:group style="position:absolute;left:3665;top:5119;width:2;height:273" coordorigin="3665,5119" coordsize="2,273">
              <v:shape style="position:absolute;left:3665;top:5119;width:2;height:273" coordorigin="3665,5119" coordsize="0,273" path="m3665,5119l3665,5392e" filled="false" stroked="true" strokeweight="1.140pt" strokecolor="#dcdcdc">
                <v:path arrowok="t"/>
              </v:shape>
            </v:group>
            <v:group style="position:absolute;left:1162;top:5119;width:2493;height:273" coordorigin="1162,5119" coordsize="2493,273">
              <v:shape style="position:absolute;left:1162;top:5119;width:2493;height:273" coordorigin="1162,5119" coordsize="2493,273" path="m1162,5392l3654,5392,3654,5119,1162,5119,1162,5392xe" filled="true" fillcolor="#dcdcdc" stroked="false">
                <v:path arrowok="t"/>
                <v:fill type="solid"/>
              </v:shape>
            </v:group>
            <v:group style="position:absolute;left:1129;top:5114;width:9838;height:2" coordorigin="1129,5114" coordsize="9838,2">
              <v:shape style="position:absolute;left:1129;top:5114;width:9838;height:2" coordorigin="1129,5114" coordsize="9838,0" path="m1129,5114l10967,5114e" filled="false" stroked="true" strokeweight=".47998pt" strokecolor="#000000">
                <v:path arrowok="t"/>
              </v:shape>
            </v:group>
            <v:group style="position:absolute;left:3682;top:5119;width:2;height:273" coordorigin="3682,5119" coordsize="2,273">
              <v:shape style="position:absolute;left:3682;top:5119;width:2;height:273" coordorigin="3682,5119" coordsize="0,273" path="m3682,5119l3682,5392e" filled="false" stroked="true" strokeweight=".47998pt" strokecolor="#000000">
                <v:path arrowok="t"/>
              </v:shape>
            </v:group>
            <v:group style="position:absolute;left:5502;top:5119;width:2;height:273" coordorigin="5502,5119" coordsize="2,273">
              <v:shape style="position:absolute;left:5502;top:5119;width:2;height:273" coordorigin="5502,5119" coordsize="0,273" path="m5502,5119l5502,5392e" filled="false" stroked="true" strokeweight=".47998pt" strokecolor="#000000">
                <v:path arrowok="t"/>
              </v:shape>
            </v:group>
            <v:group style="position:absolute;left:7322;top:5119;width:2;height:273" coordorigin="7322,5119" coordsize="2,273">
              <v:shape style="position:absolute;left:7322;top:5119;width:2;height:273" coordorigin="7322,5119" coordsize="0,273" path="m7322,5119l7322,5392e" filled="false" stroked="true" strokeweight=".48001pt" strokecolor="#000000">
                <v:path arrowok="t"/>
              </v:shape>
            </v:group>
            <v:group style="position:absolute;left:9142;top:5119;width:2;height:273" coordorigin="9142,5119" coordsize="2,273">
              <v:shape style="position:absolute;left:9142;top:5119;width:2;height:273" coordorigin="9142,5119" coordsize="0,273" path="m9142,5119l9142,5392e" filled="false" stroked="true" strokeweight=".48001pt" strokecolor="#000000">
                <v:path arrowok="t"/>
              </v:shape>
            </v:group>
            <v:group style="position:absolute;left:1150;top:5401;width:2;height:273" coordorigin="1150,5401" coordsize="2,273">
              <v:shape style="position:absolute;left:1150;top:5401;width:2;height:273" coordorigin="1150,5401" coordsize="0,273" path="m1150,5401l1150,5674e" filled="false" stroked="true" strokeweight="1.140pt" strokecolor="#dcdcdc">
                <v:path arrowok="t"/>
              </v:shape>
            </v:group>
            <v:group style="position:absolute;left:3665;top:5401;width:2;height:273" coordorigin="3665,5401" coordsize="2,273">
              <v:shape style="position:absolute;left:3665;top:5401;width:2;height:273" coordorigin="3665,5401" coordsize="0,273" path="m3665,5401l3665,5674e" filled="false" stroked="true" strokeweight="1.140pt" strokecolor="#dcdcdc">
                <v:path arrowok="t"/>
              </v:shape>
            </v:group>
            <v:group style="position:absolute;left:1162;top:5401;width:2493;height:273" coordorigin="1162,5401" coordsize="2493,273">
              <v:shape style="position:absolute;left:1162;top:5401;width:2493;height:273" coordorigin="1162,5401" coordsize="2493,273" path="m1162,5674l3654,5674,3654,5401,1162,5401,1162,5674xe" filled="true" fillcolor="#dcdcdc" stroked="false">
                <v:path arrowok="t"/>
                <v:fill type="solid"/>
              </v:shape>
            </v:group>
            <v:group style="position:absolute;left:1129;top:5396;width:9838;height:2" coordorigin="1129,5396" coordsize="9838,2">
              <v:shape style="position:absolute;left:1129;top:5396;width:9838;height:2" coordorigin="1129,5396" coordsize="9838,0" path="m1129,5396l10967,5396e" filled="false" stroked="true" strokeweight=".48004pt" strokecolor="#000000">
                <v:path arrowok="t"/>
              </v:shape>
            </v:group>
            <v:group style="position:absolute;left:3682;top:5401;width:2;height:273" coordorigin="3682,5401" coordsize="2,273">
              <v:shape style="position:absolute;left:3682;top:5401;width:2;height:273" coordorigin="3682,5401" coordsize="0,273" path="m3682,5401l3682,5674e" filled="false" stroked="true" strokeweight=".47998pt" strokecolor="#000000">
                <v:path arrowok="t"/>
              </v:shape>
            </v:group>
            <v:group style="position:absolute;left:5502;top:5401;width:2;height:273" coordorigin="5502,5401" coordsize="2,273">
              <v:shape style="position:absolute;left:5502;top:5401;width:2;height:273" coordorigin="5502,5401" coordsize="0,273" path="m5502,5401l5502,5674e" filled="false" stroked="true" strokeweight=".47998pt" strokecolor="#000000">
                <v:path arrowok="t"/>
              </v:shape>
            </v:group>
            <v:group style="position:absolute;left:7322;top:5401;width:2;height:273" coordorigin="7322,5401" coordsize="2,273">
              <v:shape style="position:absolute;left:7322;top:5401;width:2;height:273" coordorigin="7322,5401" coordsize="0,273" path="m7322,5401l7322,5674e" filled="false" stroked="true" strokeweight=".48001pt" strokecolor="#000000">
                <v:path arrowok="t"/>
              </v:shape>
            </v:group>
            <v:group style="position:absolute;left:9142;top:5401;width:2;height:273" coordorigin="9142,5401" coordsize="2,273">
              <v:shape style="position:absolute;left:9142;top:5401;width:2;height:273" coordorigin="9142,5401" coordsize="0,273" path="m9142,5401l9142,5674e" filled="false" stroked="true" strokeweight=".48001pt" strokecolor="#000000">
                <v:path arrowok="t"/>
              </v:shape>
            </v:group>
            <v:group style="position:absolute;left:1150;top:5684;width:2;height:272" coordorigin="1150,5684" coordsize="2,272">
              <v:shape style="position:absolute;left:1150;top:5684;width:2;height:272" coordorigin="1150,5684" coordsize="0,272" path="m1150,5684l1150,5956e" filled="false" stroked="true" strokeweight="1.140pt" strokecolor="#dcdcdc">
                <v:path arrowok="t"/>
              </v:shape>
            </v:group>
            <v:group style="position:absolute;left:3665;top:5684;width:2;height:272" coordorigin="3665,5684" coordsize="2,272">
              <v:shape style="position:absolute;left:3665;top:5684;width:2;height:272" coordorigin="3665,5684" coordsize="0,272" path="m3665,5684l3665,5956e" filled="false" stroked="true" strokeweight="1.140pt" strokecolor="#dcdcdc">
                <v:path arrowok="t"/>
              </v:shape>
            </v:group>
            <v:group style="position:absolute;left:1162;top:5683;width:2493;height:273" coordorigin="1162,5683" coordsize="2493,273">
              <v:shape style="position:absolute;left:1162;top:5683;width:2493;height:273" coordorigin="1162,5683" coordsize="2493,273" path="m1162,5956l3654,5956,3654,5683,1162,5683,1162,5956xe" filled="true" fillcolor="#dcdcdc" stroked="false">
                <v:path arrowok="t"/>
                <v:fill type="solid"/>
              </v:shape>
            </v:group>
            <v:group style="position:absolute;left:1129;top:5678;width:9838;height:2" coordorigin="1129,5678" coordsize="9838,2">
              <v:shape style="position:absolute;left:1129;top:5678;width:9838;height:2" coordorigin="1129,5678" coordsize="9838,0" path="m1129,5678l10967,5678e" filled="false" stroked="true" strokeweight=".47998pt" strokecolor="#000000">
                <v:path arrowok="t"/>
              </v:shape>
            </v:group>
            <v:group style="position:absolute;left:3682;top:5683;width:2;height:274" coordorigin="3682,5683" coordsize="2,274">
              <v:shape style="position:absolute;left:3682;top:5683;width:2;height:274" coordorigin="3682,5683" coordsize="0,274" path="m3682,5683l3682,5957e" filled="false" stroked="true" strokeweight=".47998pt" strokecolor="#000000">
                <v:path arrowok="t"/>
              </v:shape>
            </v:group>
            <v:group style="position:absolute;left:5502;top:5683;width:2;height:274" coordorigin="5502,5683" coordsize="2,274">
              <v:shape style="position:absolute;left:5502;top:5683;width:2;height:274" coordorigin="5502,5683" coordsize="0,274" path="m5502,5683l5502,5957e" filled="false" stroked="true" strokeweight=".47998pt" strokecolor="#000000">
                <v:path arrowok="t"/>
              </v:shape>
            </v:group>
            <v:group style="position:absolute;left:7322;top:5683;width:2;height:274" coordorigin="7322,5683" coordsize="2,274">
              <v:shape style="position:absolute;left:7322;top:5683;width:2;height:274" coordorigin="7322,5683" coordsize="0,274" path="m7322,5683l7322,5957e" filled="false" stroked="true" strokeweight=".48001pt" strokecolor="#000000">
                <v:path arrowok="t"/>
              </v:shape>
            </v:group>
            <v:group style="position:absolute;left:9142;top:5683;width:2;height:274" coordorigin="9142,5683" coordsize="2,274">
              <v:shape style="position:absolute;left:9142;top:5683;width:2;height:274" coordorigin="9142,5683" coordsize="0,274" path="m9142,5683l9142,5957e" filled="false" stroked="true" strokeweight=".48001pt" strokecolor="#000000">
                <v:path arrowok="t"/>
              </v:shape>
            </v:group>
            <v:group style="position:absolute;left:1139;top:6511;width:2538;height:2" coordorigin="1139,6511" coordsize="2538,2">
              <v:shape style="position:absolute;left:1139;top:6511;width:2538;height:2" coordorigin="1139,6511" coordsize="2538,0" path="m1139,6511l3677,6511e" filled="false" stroked="true" strokeweight=".1pt" strokecolor="#dcdcdc">
                <v:path arrowok="t"/>
              </v:shape>
            </v:group>
            <v:group style="position:absolute;left:1150;top:5966;width:2;height:544" coordorigin="1150,5966" coordsize="2,544">
              <v:shape style="position:absolute;left:1150;top:5966;width:2;height:544" coordorigin="1150,5966" coordsize="0,544" path="m1150,5966l1150,6510e" filled="false" stroked="true" strokeweight="1.140pt" strokecolor="#dcdcdc">
                <v:path arrowok="t"/>
              </v:shape>
            </v:group>
            <v:group style="position:absolute;left:3665;top:5966;width:2;height:544" coordorigin="3665,5966" coordsize="2,544">
              <v:shape style="position:absolute;left:3665;top:5966;width:2;height:544" coordorigin="3665,5966" coordsize="0,544" path="m3665,5966l3665,6510e" filled="false" stroked="true" strokeweight="1.140pt" strokecolor="#dcdcdc">
                <v:path arrowok="t"/>
              </v:shape>
            </v:group>
            <v:group style="position:absolute;left:1162;top:5966;width:2493;height:273" coordorigin="1162,5966" coordsize="2493,273">
              <v:shape style="position:absolute;left:1162;top:5966;width:2493;height:273" coordorigin="1162,5966" coordsize="2493,273" path="m1162,6239l3654,6239,3654,5966,1162,5966,1162,6239xe" filled="true" fillcolor="#dcdcdc" stroked="false">
                <v:path arrowok="t"/>
                <v:fill type="solid"/>
              </v:shape>
            </v:group>
            <v:group style="position:absolute;left:1162;top:6239;width:2493;height:272" coordorigin="1162,6239" coordsize="2493,272">
              <v:shape style="position:absolute;left:1162;top:6239;width:2493;height:272" coordorigin="1162,6239" coordsize="2493,272" path="m1162,6510l3654,6510,3654,6239,1162,6239,1162,6510xe" filled="true" fillcolor="#dcdcdc" stroked="false">
                <v:path arrowok="t"/>
                <v:fill type="solid"/>
              </v:shape>
            </v:group>
            <v:group style="position:absolute;left:1129;top:5962;width:9838;height:2" coordorigin="1129,5962" coordsize="9838,2">
              <v:shape style="position:absolute;left:1129;top:5962;width:9838;height:2" coordorigin="1129,5962" coordsize="9838,0" path="m1129,5962l10967,5962e" filled="false" stroked="true" strokeweight=".48004pt" strokecolor="#000000">
                <v:path arrowok="t"/>
              </v:shape>
            </v:group>
            <v:group style="position:absolute;left:3682;top:5966;width:2;height:545" coordorigin="3682,5966" coordsize="2,545">
              <v:shape style="position:absolute;left:3682;top:5966;width:2;height:545" coordorigin="3682,5966" coordsize="0,545" path="m3682,5966l3682,6511e" filled="false" stroked="true" strokeweight=".47998pt" strokecolor="#000000">
                <v:path arrowok="t"/>
              </v:shape>
            </v:group>
            <v:group style="position:absolute;left:5502;top:5966;width:2;height:545" coordorigin="5502,5966" coordsize="2,545">
              <v:shape style="position:absolute;left:5502;top:5966;width:2;height:545" coordorigin="5502,5966" coordsize="0,545" path="m5502,5966l5502,6511e" filled="false" stroked="true" strokeweight=".47998pt" strokecolor="#000000">
                <v:path arrowok="t"/>
              </v:shape>
            </v:group>
            <v:group style="position:absolute;left:7322;top:5966;width:2;height:545" coordorigin="7322,5966" coordsize="2,545">
              <v:shape style="position:absolute;left:7322;top:5966;width:2;height:545" coordorigin="7322,5966" coordsize="0,545" path="m7322,5966l7322,6511e" filled="false" stroked="true" strokeweight=".48001pt" strokecolor="#000000">
                <v:path arrowok="t"/>
              </v:shape>
            </v:group>
            <v:group style="position:absolute;left:9142;top:5966;width:2;height:545" coordorigin="9142,5966" coordsize="2,545">
              <v:shape style="position:absolute;left:9142;top:5966;width:2;height:545" coordorigin="9142,5966" coordsize="0,545" path="m9142,5966l9142,6511e" filled="false" stroked="true" strokeweight=".48001pt" strokecolor="#000000">
                <v:path arrowok="t"/>
              </v:shape>
            </v:group>
            <v:group style="position:absolute;left:1150;top:6521;width:2;height:273" coordorigin="1150,6521" coordsize="2,273">
              <v:shape style="position:absolute;left:1150;top:6521;width:2;height:273" coordorigin="1150,6521" coordsize="0,273" path="m1150,6521l1150,6793e" filled="false" stroked="true" strokeweight="1.140pt" strokecolor="#dcdcdc">
                <v:path arrowok="t"/>
              </v:shape>
            </v:group>
            <v:group style="position:absolute;left:3665;top:6521;width:2;height:273" coordorigin="3665,6521" coordsize="2,273">
              <v:shape style="position:absolute;left:3665;top:6521;width:2;height:273" coordorigin="3665,6521" coordsize="0,273" path="m3665,6521l3665,6793e" filled="false" stroked="true" strokeweight="1.140pt" strokecolor="#dcdcdc">
                <v:path arrowok="t"/>
              </v:shape>
            </v:group>
            <v:group style="position:absolute;left:1162;top:6521;width:2493;height:273" coordorigin="1162,6521" coordsize="2493,273">
              <v:shape style="position:absolute;left:1162;top:6521;width:2493;height:273" coordorigin="1162,6521" coordsize="2493,273" path="m1162,6793l3654,6793,3654,6521,1162,6521,1162,6793xe" filled="true" fillcolor="#dcdcdc" stroked="false">
                <v:path arrowok="t"/>
                <v:fill type="solid"/>
              </v:shape>
            </v:group>
            <v:group style="position:absolute;left:1129;top:6516;width:9838;height:2" coordorigin="1129,6516" coordsize="9838,2">
              <v:shape style="position:absolute;left:1129;top:6516;width:9838;height:2" coordorigin="1129,6516" coordsize="9838,0" path="m1129,6516l10967,6516e" filled="false" stroked="true" strokeweight=".47998pt" strokecolor="#000000">
                <v:path arrowok="t"/>
              </v:shape>
            </v:group>
            <v:group style="position:absolute;left:3682;top:6521;width:2;height:273" coordorigin="3682,6521" coordsize="2,273">
              <v:shape style="position:absolute;left:3682;top:6521;width:2;height:273" coordorigin="3682,6521" coordsize="0,273" path="m3682,6521l3682,6793e" filled="false" stroked="true" strokeweight=".47998pt" strokecolor="#000000">
                <v:path arrowok="t"/>
              </v:shape>
            </v:group>
            <v:group style="position:absolute;left:5502;top:6521;width:2;height:273" coordorigin="5502,6521" coordsize="2,273">
              <v:shape style="position:absolute;left:5502;top:6521;width:2;height:273" coordorigin="5502,6521" coordsize="0,273" path="m5502,6521l5502,6793e" filled="false" stroked="true" strokeweight=".47998pt" strokecolor="#000000">
                <v:path arrowok="t"/>
              </v:shape>
            </v:group>
            <v:group style="position:absolute;left:7322;top:6521;width:2;height:273" coordorigin="7322,6521" coordsize="2,273">
              <v:shape style="position:absolute;left:7322;top:6521;width:2;height:273" coordorigin="7322,6521" coordsize="0,273" path="m7322,6521l7322,6793e" filled="false" stroked="true" strokeweight=".48001pt" strokecolor="#000000">
                <v:path arrowok="t"/>
              </v:shape>
            </v:group>
            <v:group style="position:absolute;left:9142;top:6521;width:2;height:273" coordorigin="9142,6521" coordsize="2,273">
              <v:shape style="position:absolute;left:9142;top:6521;width:2;height:273" coordorigin="9142,6521" coordsize="0,273" path="m9142,6521l9142,6793e" filled="false" stroked="true" strokeweight=".48001pt" strokecolor="#000000">
                <v:path arrowok="t"/>
              </v:shape>
            </v:group>
            <v:group style="position:absolute;left:1150;top:6803;width:2;height:273" coordorigin="1150,6803" coordsize="2,273">
              <v:shape style="position:absolute;left:1150;top:6803;width:2;height:273" coordorigin="1150,6803" coordsize="0,273" path="m1150,6803l1150,7075e" filled="false" stroked="true" strokeweight="1.140pt" strokecolor="#dcdcdc">
                <v:path arrowok="t"/>
              </v:shape>
            </v:group>
            <v:group style="position:absolute;left:3665;top:6803;width:2;height:273" coordorigin="3665,6803" coordsize="2,273">
              <v:shape style="position:absolute;left:3665;top:6803;width:2;height:273" coordorigin="3665,6803" coordsize="0,273" path="m3665,6803l3665,7075e" filled="false" stroked="true" strokeweight="1.140pt" strokecolor="#dcdcdc">
                <v:path arrowok="t"/>
              </v:shape>
            </v:group>
            <v:group style="position:absolute;left:1162;top:6803;width:2493;height:273" coordorigin="1162,6803" coordsize="2493,273">
              <v:shape style="position:absolute;left:1162;top:6803;width:2493;height:273" coordorigin="1162,6803" coordsize="2493,273" path="m1162,7075l3654,7075,3654,6803,1162,6803,1162,7075xe" filled="true" fillcolor="#dcdcdc" stroked="false">
                <v:path arrowok="t"/>
                <v:fill type="solid"/>
              </v:shape>
            </v:group>
            <v:group style="position:absolute;left:1129;top:6798;width:9838;height:2" coordorigin="1129,6798" coordsize="9838,2">
              <v:shape style="position:absolute;left:1129;top:6798;width:9838;height:2" coordorigin="1129,6798" coordsize="9838,0" path="m1129,6798l10967,6798e" filled="false" stroked="true" strokeweight=".48001pt" strokecolor="#000000">
                <v:path arrowok="t"/>
              </v:shape>
            </v:group>
            <v:group style="position:absolute;left:3682;top:6803;width:2;height:273" coordorigin="3682,6803" coordsize="2,273">
              <v:shape style="position:absolute;left:3682;top:6803;width:2;height:273" coordorigin="3682,6803" coordsize="0,273" path="m3682,6803l3682,7075e" filled="false" stroked="true" strokeweight=".47998pt" strokecolor="#000000">
                <v:path arrowok="t"/>
              </v:shape>
            </v:group>
            <v:group style="position:absolute;left:5502;top:6803;width:2;height:273" coordorigin="5502,6803" coordsize="2,273">
              <v:shape style="position:absolute;left:5502;top:6803;width:2;height:273" coordorigin="5502,6803" coordsize="0,273" path="m5502,6803l5502,7075e" filled="false" stroked="true" strokeweight=".47998pt" strokecolor="#000000">
                <v:path arrowok="t"/>
              </v:shape>
            </v:group>
            <v:group style="position:absolute;left:7322;top:6803;width:2;height:273" coordorigin="7322,6803" coordsize="2,273">
              <v:shape style="position:absolute;left:7322;top:6803;width:2;height:273" coordorigin="7322,6803" coordsize="0,273" path="m7322,6803l7322,7075e" filled="false" stroked="true" strokeweight=".48001pt" strokecolor="#000000">
                <v:path arrowok="t"/>
              </v:shape>
            </v:group>
            <v:group style="position:absolute;left:9142;top:6803;width:2;height:273" coordorigin="9142,6803" coordsize="2,273">
              <v:shape style="position:absolute;left:9142;top:6803;width:2;height:273" coordorigin="9142,6803" coordsize="0,273" path="m9142,6803l9142,7075e" filled="false" stroked="true" strokeweight=".48001pt" strokecolor="#000000">
                <v:path arrowok="t"/>
              </v:shape>
            </v:group>
            <v:group style="position:absolute;left:1150;top:7086;width:2;height:272" coordorigin="1150,7086" coordsize="2,272">
              <v:shape style="position:absolute;left:1150;top:7086;width:2;height:272" coordorigin="1150,7086" coordsize="0,272" path="m1150,7086l1150,7358e" filled="false" stroked="true" strokeweight="1.140pt" strokecolor="#dcdcdc">
                <v:path arrowok="t"/>
              </v:shape>
            </v:group>
            <v:group style="position:absolute;left:3665;top:7086;width:2;height:272" coordorigin="3665,7086" coordsize="2,272">
              <v:shape style="position:absolute;left:3665;top:7086;width:2;height:272" coordorigin="3665,7086" coordsize="0,272" path="m3665,7086l3665,7357e" filled="false" stroked="true" strokeweight="1.140pt" strokecolor="#dcdcdc">
                <v:path arrowok="t"/>
              </v:shape>
            </v:group>
            <v:group style="position:absolute;left:1162;top:7085;width:2493;height:273" coordorigin="1162,7085" coordsize="2493,273">
              <v:shape style="position:absolute;left:1162;top:7085;width:2493;height:273" coordorigin="1162,7085" coordsize="2493,273" path="m1162,7357l3654,7357,3654,7085,1162,7085,1162,7357xe" filled="true" fillcolor="#dcdcdc" stroked="false">
                <v:path arrowok="t"/>
                <v:fill type="solid"/>
              </v:shape>
            </v:group>
            <v:group style="position:absolute;left:1129;top:7080;width:9838;height:2" coordorigin="1129,7080" coordsize="9838,2">
              <v:shape style="position:absolute;left:1129;top:7080;width:9838;height:2" coordorigin="1129,7080" coordsize="9838,0" path="m1129,7080l10967,7080e" filled="false" stroked="true" strokeweight=".48001pt" strokecolor="#000000">
                <v:path arrowok="t"/>
              </v:shape>
            </v:group>
            <v:group style="position:absolute;left:3682;top:7085;width:2;height:274" coordorigin="3682,7085" coordsize="2,274">
              <v:shape style="position:absolute;left:3682;top:7085;width:2;height:274" coordorigin="3682,7085" coordsize="0,274" path="m3682,7085l3682,7358e" filled="false" stroked="true" strokeweight=".47998pt" strokecolor="#000000">
                <v:path arrowok="t"/>
              </v:shape>
            </v:group>
            <v:group style="position:absolute;left:5502;top:7085;width:2;height:274" coordorigin="5502,7085" coordsize="2,274">
              <v:shape style="position:absolute;left:5502;top:7085;width:2;height:274" coordorigin="5502,7085" coordsize="0,274" path="m5502,7085l5502,7358e" filled="false" stroked="true" strokeweight=".47998pt" strokecolor="#000000">
                <v:path arrowok="t"/>
              </v:shape>
            </v:group>
            <v:group style="position:absolute;left:7322;top:7085;width:2;height:274" coordorigin="7322,7085" coordsize="2,274">
              <v:shape style="position:absolute;left:7322;top:7085;width:2;height:274" coordorigin="7322,7085" coordsize="0,274" path="m7322,7085l7322,7358e" filled="false" stroked="true" strokeweight=".48001pt" strokecolor="#000000">
                <v:path arrowok="t"/>
              </v:shape>
            </v:group>
            <v:group style="position:absolute;left:9142;top:7085;width:2;height:274" coordorigin="9142,7085" coordsize="2,274">
              <v:shape style="position:absolute;left:9142;top:7085;width:2;height:274" coordorigin="9142,7085" coordsize="0,274" path="m9142,7085l9142,7358e" filled="false" stroked="true" strokeweight=".48001pt" strokecolor="#000000">
                <v:path arrowok="t"/>
              </v:shape>
            </v:group>
            <v:group style="position:absolute;left:1150;top:7368;width:2;height:273" coordorigin="1150,7368" coordsize="2,273">
              <v:shape style="position:absolute;left:1150;top:7368;width:2;height:273" coordorigin="1150,7368" coordsize="0,273" path="m1150,7368l1150,7640e" filled="false" stroked="true" strokeweight="1.140pt" strokecolor="#dcdcdc">
                <v:path arrowok="t"/>
              </v:shape>
            </v:group>
            <v:group style="position:absolute;left:3665;top:7368;width:2;height:273" coordorigin="3665,7368" coordsize="2,273">
              <v:shape style="position:absolute;left:3665;top:7368;width:2;height:273" coordorigin="3665,7368" coordsize="0,273" path="m3665,7368l3665,7640e" filled="false" stroked="true" strokeweight="1.140pt" strokecolor="#dcdcdc">
                <v:path arrowok="t"/>
              </v:shape>
            </v:group>
            <v:group style="position:absolute;left:1162;top:7368;width:2493;height:273" coordorigin="1162,7368" coordsize="2493,273">
              <v:shape style="position:absolute;left:1162;top:7368;width:2493;height:273" coordorigin="1162,7368" coordsize="2493,273" path="m1162,7640l3654,7640,3654,7368,1162,7368,1162,7640xe" filled="true" fillcolor="#dcdcdc" stroked="false">
                <v:path arrowok="t"/>
                <v:fill type="solid"/>
              </v:shape>
            </v:group>
            <v:group style="position:absolute;left:1129;top:7363;width:9838;height:2" coordorigin="1129,7363" coordsize="9838,2">
              <v:shape style="position:absolute;left:1129;top:7363;width:9838;height:2" coordorigin="1129,7363" coordsize="9838,0" path="m1129,7363l10967,7363e" filled="false" stroked="true" strokeweight=".48001pt" strokecolor="#000000">
                <v:path arrowok="t"/>
              </v:shape>
            </v:group>
            <v:group style="position:absolute;left:3682;top:7368;width:2;height:273" coordorigin="3682,7368" coordsize="2,273">
              <v:shape style="position:absolute;left:3682;top:7368;width:2;height:273" coordorigin="3682,7368" coordsize="0,273" path="m3682,7368l3682,7640e" filled="false" stroked="true" strokeweight=".47998pt" strokecolor="#000000">
                <v:path arrowok="t"/>
              </v:shape>
            </v:group>
            <v:group style="position:absolute;left:5502;top:7368;width:2;height:273" coordorigin="5502,7368" coordsize="2,273">
              <v:shape style="position:absolute;left:5502;top:7368;width:2;height:273" coordorigin="5502,7368" coordsize="0,273" path="m5502,7368l5502,7640e" filled="false" stroked="true" strokeweight=".47998pt" strokecolor="#000000">
                <v:path arrowok="t"/>
              </v:shape>
            </v:group>
            <v:group style="position:absolute;left:7322;top:7368;width:2;height:273" coordorigin="7322,7368" coordsize="2,273">
              <v:shape style="position:absolute;left:7322;top:7368;width:2;height:273" coordorigin="7322,7368" coordsize="0,273" path="m7322,7368l7322,7640e" filled="false" stroked="true" strokeweight=".48001pt" strokecolor="#000000">
                <v:path arrowok="t"/>
              </v:shape>
            </v:group>
            <v:group style="position:absolute;left:9142;top:7368;width:2;height:273" coordorigin="9142,7368" coordsize="2,273">
              <v:shape style="position:absolute;left:9142;top:7368;width:2;height:273" coordorigin="9142,7368" coordsize="0,273" path="m9142,7368l9142,7640e" filled="false" stroked="true" strokeweight=".48001pt" strokecolor="#000000">
                <v:path arrowok="t"/>
              </v:shape>
            </v:group>
            <v:group style="position:absolute;left:1150;top:7650;width:2;height:273" coordorigin="1150,7650" coordsize="2,273">
              <v:shape style="position:absolute;left:1150;top:7650;width:2;height:273" coordorigin="1150,7650" coordsize="0,273" path="m1150,7650l1150,7922e" filled="false" stroked="true" strokeweight="1.140pt" strokecolor="#dcdcdc">
                <v:path arrowok="t"/>
              </v:shape>
            </v:group>
            <v:group style="position:absolute;left:3665;top:7650;width:2;height:273" coordorigin="3665,7650" coordsize="2,273">
              <v:shape style="position:absolute;left:3665;top:7650;width:2;height:273" coordorigin="3665,7650" coordsize="0,273" path="m3665,7650l3665,7922e" filled="false" stroked="true" strokeweight="1.140pt" strokecolor="#dcdcdc">
                <v:path arrowok="t"/>
              </v:shape>
            </v:group>
            <v:group style="position:absolute;left:1162;top:7650;width:2493;height:273" coordorigin="1162,7650" coordsize="2493,273">
              <v:shape style="position:absolute;left:1162;top:7650;width:2493;height:273" coordorigin="1162,7650" coordsize="2493,273" path="m1162,7922l3654,7922,3654,7650,1162,7650,1162,7922xe" filled="true" fillcolor="#dcdcdc" stroked="false">
                <v:path arrowok="t"/>
                <v:fill type="solid"/>
              </v:shape>
            </v:group>
            <v:group style="position:absolute;left:1129;top:7645;width:9838;height:2" coordorigin="1129,7645" coordsize="9838,2">
              <v:shape style="position:absolute;left:1129;top:7645;width:9838;height:2" coordorigin="1129,7645" coordsize="9838,0" path="m1129,7645l10967,7645e" filled="false" stroked="true" strokeweight=".47998pt" strokecolor="#000000">
                <v:path arrowok="t"/>
              </v:shape>
            </v:group>
            <v:group style="position:absolute;left:3682;top:7650;width:2;height:273" coordorigin="3682,7650" coordsize="2,273">
              <v:shape style="position:absolute;left:3682;top:7650;width:2;height:273" coordorigin="3682,7650" coordsize="0,273" path="m3682,7650l3682,7922e" filled="false" stroked="true" strokeweight=".47998pt" strokecolor="#000000">
                <v:path arrowok="t"/>
              </v:shape>
            </v:group>
            <v:group style="position:absolute;left:5502;top:7650;width:2;height:273" coordorigin="5502,7650" coordsize="2,273">
              <v:shape style="position:absolute;left:5502;top:7650;width:2;height:273" coordorigin="5502,7650" coordsize="0,273" path="m5502,7650l5502,7922e" filled="false" stroked="true" strokeweight=".47998pt" strokecolor="#000000">
                <v:path arrowok="t"/>
              </v:shape>
            </v:group>
            <v:group style="position:absolute;left:7322;top:7650;width:2;height:273" coordorigin="7322,7650" coordsize="2,273">
              <v:shape style="position:absolute;left:7322;top:7650;width:2;height:273" coordorigin="7322,7650" coordsize="0,273" path="m7322,7650l7322,7922e" filled="false" stroked="true" strokeweight=".48001pt" strokecolor="#000000">
                <v:path arrowok="t"/>
              </v:shape>
            </v:group>
            <v:group style="position:absolute;left:9142;top:7650;width:2;height:273" coordorigin="9142,7650" coordsize="2,273">
              <v:shape style="position:absolute;left:9142;top:7650;width:2;height:273" coordorigin="9142,7650" coordsize="0,273" path="m9142,7650l9142,7922e" filled="false" stroked="true" strokeweight=".48001pt" strokecolor="#000000">
                <v:path arrowok="t"/>
              </v:shape>
            </v:group>
            <v:group style="position:absolute;left:1139;top:8205;width:2538;height:2" coordorigin="1139,8205" coordsize="2538,2">
              <v:shape style="position:absolute;left:1139;top:8205;width:2538;height:2" coordorigin="1139,8205" coordsize="2538,0" path="m1139,8205l3677,8205e" filled="false" stroked="true" strokeweight=".1pt" strokecolor="#dcdcdc">
                <v:path arrowok="t"/>
              </v:shape>
            </v:group>
            <v:group style="position:absolute;left:1150;top:7934;width:2;height:270" coordorigin="1150,7934" coordsize="2,270">
              <v:shape style="position:absolute;left:1150;top:7934;width:2;height:270" coordorigin="1150,7934" coordsize="0,270" path="m1150,7934l1150,8204e" filled="false" stroked="true" strokeweight="1.140pt" strokecolor="#dcdcdc">
                <v:path arrowok="t"/>
              </v:shape>
            </v:group>
            <v:group style="position:absolute;left:3665;top:7933;width:2;height:272" coordorigin="3665,7933" coordsize="2,272">
              <v:shape style="position:absolute;left:3665;top:7933;width:2;height:272" coordorigin="3665,7933" coordsize="0,272" path="m3665,7933l3665,8204e" filled="false" stroked="true" strokeweight="1.140pt" strokecolor="#dcdcdc">
                <v:path arrowok="t"/>
              </v:shape>
            </v:group>
            <v:group style="position:absolute;left:1162;top:7932;width:2493;height:273" coordorigin="1162,7932" coordsize="2493,273">
              <v:shape style="position:absolute;left:1162;top:7932;width:2493;height:273" coordorigin="1162,7932" coordsize="2493,273" path="m1162,8204l3654,8204,3654,7932,1162,7932,1162,8204xe" filled="true" fillcolor="#dcdcdc" stroked="false">
                <v:path arrowok="t"/>
                <v:fill type="solid"/>
              </v:shape>
            </v:group>
            <v:group style="position:absolute;left:1129;top:7927;width:9838;height:2" coordorigin="1129,7927" coordsize="9838,2">
              <v:shape style="position:absolute;left:1129;top:7927;width:9838;height:2" coordorigin="1129,7927" coordsize="9838,0" path="m1129,7927l10967,7927e" filled="false" stroked="true" strokeweight=".47998pt" strokecolor="#000000">
                <v:path arrowok="t"/>
              </v:shape>
            </v:group>
            <v:group style="position:absolute;left:3682;top:7932;width:2;height:274" coordorigin="3682,7932" coordsize="2,274">
              <v:shape style="position:absolute;left:3682;top:7932;width:2;height:274" coordorigin="3682,7932" coordsize="0,274" path="m3682,7932l3682,8206e" filled="false" stroked="true" strokeweight=".47998pt" strokecolor="#000000">
                <v:path arrowok="t"/>
              </v:shape>
            </v:group>
            <v:group style="position:absolute;left:5502;top:7932;width:2;height:274" coordorigin="5502,7932" coordsize="2,274">
              <v:shape style="position:absolute;left:5502;top:7932;width:2;height:274" coordorigin="5502,7932" coordsize="0,274" path="m5502,7932l5502,8206e" filled="false" stroked="true" strokeweight=".47998pt" strokecolor="#000000">
                <v:path arrowok="t"/>
              </v:shape>
            </v:group>
            <v:group style="position:absolute;left:7322;top:7932;width:2;height:274" coordorigin="7322,7932" coordsize="2,274">
              <v:shape style="position:absolute;left:7322;top:7932;width:2;height:274" coordorigin="7322,7932" coordsize="0,274" path="m7322,7932l7322,8206e" filled="false" stroked="true" strokeweight=".48001pt" strokecolor="#000000">
                <v:path arrowok="t"/>
              </v:shape>
            </v:group>
            <v:group style="position:absolute;left:9142;top:7932;width:2;height:274" coordorigin="9142,7932" coordsize="2,274">
              <v:shape style="position:absolute;left:9142;top:7932;width:2;height:274" coordorigin="9142,7932" coordsize="0,274" path="m9142,7932l9142,8206e" filled="false" stroked="true" strokeweight=".48001pt" strokecolor="#000000">
                <v:path arrowok="t"/>
              </v:shape>
            </v:group>
            <v:group style="position:absolute;left:1139;top:8487;width:2538;height:2" coordorigin="1139,8487" coordsize="2538,2">
              <v:shape style="position:absolute;left:1139;top:8487;width:2538;height:2" coordorigin="1139,8487" coordsize="2538,0" path="m1139,8487l3677,8487e" filled="false" stroked="true" strokeweight=".1pt" strokecolor="#dcdcdc">
                <v:path arrowok="t"/>
              </v:shape>
            </v:group>
            <v:group style="position:absolute;left:1150;top:8216;width:2;height:270" coordorigin="1150,8216" coordsize="2,270">
              <v:shape style="position:absolute;left:1150;top:8216;width:2;height:270" coordorigin="1150,8216" coordsize="0,270" path="m1150,8216l1150,8486e" filled="false" stroked="true" strokeweight="1.140pt" strokecolor="#dcdcdc">
                <v:path arrowok="t"/>
              </v:shape>
            </v:group>
            <v:group style="position:absolute;left:3665;top:8215;width:2;height:272" coordorigin="3665,8215" coordsize="2,272">
              <v:shape style="position:absolute;left:3665;top:8215;width:2;height:272" coordorigin="3665,8215" coordsize="0,272" path="m3665,8215l3665,8486e" filled="false" stroked="true" strokeweight="1.140pt" strokecolor="#dcdcdc">
                <v:path arrowok="t"/>
              </v:shape>
            </v:group>
            <v:group style="position:absolute;left:1162;top:8215;width:2493;height:272" coordorigin="1162,8215" coordsize="2493,272">
              <v:shape style="position:absolute;left:1162;top:8215;width:2493;height:272" coordorigin="1162,8215" coordsize="2493,272" path="m1162,8486l3654,8486,3654,8215,1162,8215,1162,8486xe" filled="true" fillcolor="#dcdcdc" stroked="false">
                <v:path arrowok="t"/>
                <v:fill type="solid"/>
              </v:shape>
            </v:group>
            <v:group style="position:absolute;left:1129;top:8210;width:9838;height:2" coordorigin="1129,8210" coordsize="9838,2">
              <v:shape style="position:absolute;left:1129;top:8210;width:9838;height:2" coordorigin="1129,8210" coordsize="9838,0" path="m1129,8210l10967,8210e" filled="false" stroked="true" strokeweight=".48001pt" strokecolor="#000000">
                <v:path arrowok="t"/>
              </v:shape>
            </v:group>
            <v:group style="position:absolute;left:3682;top:8215;width:2;height:273" coordorigin="3682,8215" coordsize="2,273">
              <v:shape style="position:absolute;left:3682;top:8215;width:2;height:273" coordorigin="3682,8215" coordsize="0,273" path="m3682,8215l3682,8488e" filled="false" stroked="true" strokeweight=".47998pt" strokecolor="#000000">
                <v:path arrowok="t"/>
              </v:shape>
            </v:group>
            <v:group style="position:absolute;left:5502;top:8215;width:2;height:273" coordorigin="5502,8215" coordsize="2,273">
              <v:shape style="position:absolute;left:5502;top:8215;width:2;height:273" coordorigin="5502,8215" coordsize="0,273" path="m5502,8215l5502,8488e" filled="false" stroked="true" strokeweight=".47998pt" strokecolor="#000000">
                <v:path arrowok="t"/>
              </v:shape>
            </v:group>
            <v:group style="position:absolute;left:7322;top:8215;width:2;height:273" coordorigin="7322,8215" coordsize="2,273">
              <v:shape style="position:absolute;left:7322;top:8215;width:2;height:273" coordorigin="7322,8215" coordsize="0,273" path="m7322,8215l7322,8488e" filled="false" stroked="true" strokeweight=".48001pt" strokecolor="#000000">
                <v:path arrowok="t"/>
              </v:shape>
            </v:group>
            <v:group style="position:absolute;left:9142;top:8215;width:2;height:273" coordorigin="9142,8215" coordsize="2,273">
              <v:shape style="position:absolute;left:9142;top:8215;width:2;height:273" coordorigin="9142,8215" coordsize="0,273" path="m9142,8215l9142,8488e" filled="false" stroked="true" strokeweight=".48001pt" strokecolor="#000000">
                <v:path arrowok="t"/>
              </v:shape>
            </v:group>
            <v:group style="position:absolute;left:1150;top:8497;width:2;height:545" coordorigin="1150,8497" coordsize="2,545">
              <v:shape style="position:absolute;left:1150;top:8497;width:2;height:545" coordorigin="1150,8497" coordsize="0,545" path="m1150,8497l1150,9042e" filled="false" stroked="true" strokeweight="1.140pt" strokecolor="#dcdcdc">
                <v:path arrowok="t"/>
              </v:shape>
            </v:group>
            <v:group style="position:absolute;left:3665;top:8497;width:2;height:545" coordorigin="3665,8497" coordsize="2,545">
              <v:shape style="position:absolute;left:3665;top:8497;width:2;height:545" coordorigin="3665,8497" coordsize="0,545" path="m3665,8497l3665,9042e" filled="false" stroked="true" strokeweight="1.140pt" strokecolor="#dcdcdc">
                <v:path arrowok="t"/>
              </v:shape>
            </v:group>
            <v:group style="position:absolute;left:1162;top:8497;width:2493;height:273" coordorigin="1162,8497" coordsize="2493,273">
              <v:shape style="position:absolute;left:1162;top:8497;width:2493;height:273" coordorigin="1162,8497" coordsize="2493,273" path="m1162,8770l3654,8770,3654,8497,1162,8497,1162,8770xe" filled="true" fillcolor="#dcdcdc" stroked="false">
                <v:path arrowok="t"/>
                <v:fill type="solid"/>
              </v:shape>
            </v:group>
            <v:group style="position:absolute;left:1162;top:8770;width:2493;height:273" coordorigin="1162,8770" coordsize="2493,273">
              <v:shape style="position:absolute;left:1162;top:8770;width:2493;height:273" coordorigin="1162,8770" coordsize="2493,273" path="m1162,9042l3654,9042,3654,8770,1162,8770,1162,9042xe" filled="true" fillcolor="#dcdcdc" stroked="false">
                <v:path arrowok="t"/>
                <v:fill type="solid"/>
              </v:shape>
            </v:group>
            <v:group style="position:absolute;left:1129;top:8492;width:9838;height:2" coordorigin="1129,8492" coordsize="9838,2">
              <v:shape style="position:absolute;left:1129;top:8492;width:9838;height:2" coordorigin="1129,8492" coordsize="9838,0" path="m1129,8492l10967,8492e" filled="false" stroked="true" strokeweight=".48001pt" strokecolor="#000000">
                <v:path arrowok="t"/>
              </v:shape>
            </v:group>
            <v:group style="position:absolute;left:3682;top:8497;width:2;height:545" coordorigin="3682,8497" coordsize="2,545">
              <v:shape style="position:absolute;left:3682;top:8497;width:2;height:545" coordorigin="3682,8497" coordsize="0,545" path="m3682,8497l3682,9042e" filled="false" stroked="true" strokeweight=".47998pt" strokecolor="#000000">
                <v:path arrowok="t"/>
              </v:shape>
            </v:group>
            <v:group style="position:absolute;left:5502;top:8497;width:2;height:545" coordorigin="5502,8497" coordsize="2,545">
              <v:shape style="position:absolute;left:5502;top:8497;width:2;height:545" coordorigin="5502,8497" coordsize="0,545" path="m5502,8497l5502,9042e" filled="false" stroked="true" strokeweight=".47998pt" strokecolor="#000000">
                <v:path arrowok="t"/>
              </v:shape>
            </v:group>
            <v:group style="position:absolute;left:7322;top:8497;width:2;height:545" coordorigin="7322,8497" coordsize="2,545">
              <v:shape style="position:absolute;left:7322;top:8497;width:2;height:545" coordorigin="7322,8497" coordsize="0,545" path="m7322,8497l7322,9042e" filled="false" stroked="true" strokeweight=".48001pt" strokecolor="#000000">
                <v:path arrowok="t"/>
              </v:shape>
            </v:group>
            <v:group style="position:absolute;left:9142;top:8497;width:2;height:545" coordorigin="9142,8497" coordsize="2,545">
              <v:shape style="position:absolute;left:9142;top:8497;width:2;height:545" coordorigin="9142,8497" coordsize="0,545" path="m9142,8497l9142,9042e" filled="false" stroked="true" strokeweight=".48001pt" strokecolor="#000000">
                <v:path arrowok="t"/>
              </v:shape>
            </v:group>
            <v:group style="position:absolute;left:1150;top:9052;width:2;height:545" coordorigin="1150,9052" coordsize="2,545">
              <v:shape style="position:absolute;left:1150;top:9052;width:2;height:545" coordorigin="1150,9052" coordsize="0,545" path="m1150,9052l1150,9596e" filled="false" stroked="true" strokeweight="1.140pt" strokecolor="#dcdcdc">
                <v:path arrowok="t"/>
              </v:shape>
            </v:group>
            <v:group style="position:absolute;left:3665;top:9052;width:2;height:545" coordorigin="3665,9052" coordsize="2,545">
              <v:shape style="position:absolute;left:3665;top:9052;width:2;height:545" coordorigin="3665,9052" coordsize="0,545" path="m3665,9052l3665,9596e" filled="false" stroked="true" strokeweight="1.140pt" strokecolor="#dcdcdc">
                <v:path arrowok="t"/>
              </v:shape>
            </v:group>
            <v:group style="position:absolute;left:1162;top:9052;width:2493;height:273" coordorigin="1162,9052" coordsize="2493,273">
              <v:shape style="position:absolute;left:1162;top:9052;width:2493;height:273" coordorigin="1162,9052" coordsize="2493,273" path="m1162,9324l3654,9324,3654,9052,1162,9052,1162,9324xe" filled="true" fillcolor="#dcdcdc" stroked="false">
                <v:path arrowok="t"/>
                <v:fill type="solid"/>
              </v:shape>
            </v:group>
            <v:group style="position:absolute;left:1162;top:9324;width:2493;height:273" coordorigin="1162,9324" coordsize="2493,273">
              <v:shape style="position:absolute;left:1162;top:9324;width:2493;height:273" coordorigin="1162,9324" coordsize="2493,273" path="m1162,9596l3654,9596,3654,9324,1162,9324,1162,9596xe" filled="true" fillcolor="#dcdcdc" stroked="false">
                <v:path arrowok="t"/>
                <v:fill type="solid"/>
              </v:shape>
            </v:group>
            <v:group style="position:absolute;left:1129;top:9047;width:9838;height:2" coordorigin="1129,9047" coordsize="9838,2">
              <v:shape style="position:absolute;left:1129;top:9047;width:9838;height:2" coordorigin="1129,9047" coordsize="9838,0" path="m1129,9047l10967,9047e" filled="false" stroked="true" strokeweight=".48001pt" strokecolor="#000000">
                <v:path arrowok="t"/>
              </v:shape>
            </v:group>
            <v:group style="position:absolute;left:3682;top:9052;width:2;height:545" coordorigin="3682,9052" coordsize="2,545">
              <v:shape style="position:absolute;left:3682;top:9052;width:2;height:545" coordorigin="3682,9052" coordsize="0,545" path="m3682,9052l3682,9596e" filled="false" stroked="true" strokeweight=".47998pt" strokecolor="#000000">
                <v:path arrowok="t"/>
              </v:shape>
            </v:group>
            <v:group style="position:absolute;left:5502;top:9052;width:2;height:545" coordorigin="5502,9052" coordsize="2,545">
              <v:shape style="position:absolute;left:5502;top:9052;width:2;height:545" coordorigin="5502,9052" coordsize="0,545" path="m5502,9052l5502,9596e" filled="false" stroked="true" strokeweight=".47998pt" strokecolor="#000000">
                <v:path arrowok="t"/>
              </v:shape>
            </v:group>
            <v:group style="position:absolute;left:7322;top:9052;width:2;height:545" coordorigin="7322,9052" coordsize="2,545">
              <v:shape style="position:absolute;left:7322;top:9052;width:2;height:545" coordorigin="7322,9052" coordsize="0,545" path="m7322,9052l7322,9596e" filled="false" stroked="true" strokeweight=".48001pt" strokecolor="#000000">
                <v:path arrowok="t"/>
              </v:shape>
            </v:group>
            <v:group style="position:absolute;left:9142;top:9052;width:2;height:545" coordorigin="9142,9052" coordsize="2,545">
              <v:shape style="position:absolute;left:9142;top:9052;width:2;height:545" coordorigin="9142,9052" coordsize="0,545" path="m9142,9052l9142,9596e" filled="false" stroked="true" strokeweight=".48001pt" strokecolor="#000000">
                <v:path arrowok="t"/>
              </v:shape>
            </v:group>
            <v:group style="position:absolute;left:1139;top:10151;width:2538;height:2" coordorigin="1139,10151" coordsize="2538,2">
              <v:shape style="position:absolute;left:1139;top:10151;width:2538;height:2" coordorigin="1139,10151" coordsize="2538,0" path="m1139,10151l3677,10151e" filled="false" stroked="true" strokeweight=".1pt" strokecolor="#dcdcdc">
                <v:path arrowok="t"/>
              </v:shape>
            </v:group>
            <v:group style="position:absolute;left:1150;top:9608;width:2;height:542" coordorigin="1150,9608" coordsize="2,542">
              <v:shape style="position:absolute;left:1150;top:9608;width:2;height:542" coordorigin="1150,9608" coordsize="0,542" path="m1150,9608l1150,10150e" filled="false" stroked="true" strokeweight="1.140pt" strokecolor="#dcdcdc">
                <v:path arrowok="t"/>
              </v:shape>
            </v:group>
            <v:group style="position:absolute;left:3665;top:9607;width:2;height:544" coordorigin="3665,9607" coordsize="2,544">
              <v:shape style="position:absolute;left:3665;top:9607;width:2;height:544" coordorigin="3665,9607" coordsize="0,544" path="m3665,9607l3665,10151e" filled="false" stroked="true" strokeweight="1.140pt" strokecolor="#dcdcdc">
                <v:path arrowok="t"/>
              </v:shape>
            </v:group>
            <v:group style="position:absolute;left:1162;top:9606;width:2493;height:273" coordorigin="1162,9606" coordsize="2493,273">
              <v:shape style="position:absolute;left:1162;top:9606;width:2493;height:273" coordorigin="1162,9606" coordsize="2493,273" path="m1162,9878l3654,9878,3654,9606,1162,9606,1162,9878xe" filled="true" fillcolor="#dcdcdc" stroked="false">
                <v:path arrowok="t"/>
                <v:fill type="solid"/>
              </v:shape>
            </v:group>
            <v:group style="position:absolute;left:1162;top:9878;width:2493;height:273" coordorigin="1162,9878" coordsize="2493,273">
              <v:shape style="position:absolute;left:1162;top:9878;width:2493;height:273" coordorigin="1162,9878" coordsize="2493,273" path="m1162,10151l3654,10151,3654,9878,1162,9878,1162,10151xe" filled="true" fillcolor="#dcdcdc" stroked="false">
                <v:path arrowok="t"/>
                <v:fill type="solid"/>
              </v:shape>
            </v:group>
            <v:group style="position:absolute;left:1129;top:9601;width:9838;height:2" coordorigin="1129,9601" coordsize="9838,2">
              <v:shape style="position:absolute;left:1129;top:9601;width:9838;height:2" coordorigin="1129,9601" coordsize="9838,0" path="m1129,9601l10967,9601e" filled="false" stroked="true" strokeweight=".48001pt" strokecolor="#000000">
                <v:path arrowok="t"/>
              </v:shape>
            </v:group>
            <v:group style="position:absolute;left:3682;top:9606;width:2;height:546" coordorigin="3682,9606" coordsize="2,546">
              <v:shape style="position:absolute;left:3682;top:9606;width:2;height:546" coordorigin="3682,9606" coordsize="0,546" path="m3682,9606l3682,10152e" filled="false" stroked="true" strokeweight=".47998pt" strokecolor="#000000">
                <v:path arrowok="t"/>
              </v:shape>
            </v:group>
            <v:group style="position:absolute;left:5502;top:9606;width:2;height:546" coordorigin="5502,9606" coordsize="2,546">
              <v:shape style="position:absolute;left:5502;top:9606;width:2;height:546" coordorigin="5502,9606" coordsize="0,546" path="m5502,9606l5502,10152e" filled="false" stroked="true" strokeweight=".47998pt" strokecolor="#000000">
                <v:path arrowok="t"/>
              </v:shape>
            </v:group>
            <v:group style="position:absolute;left:7322;top:9606;width:2;height:546" coordorigin="7322,9606" coordsize="2,546">
              <v:shape style="position:absolute;left:7322;top:9606;width:2;height:546" coordorigin="7322,9606" coordsize="0,546" path="m7322,9606l7322,10152e" filled="false" stroked="true" strokeweight=".48001pt" strokecolor="#000000">
                <v:path arrowok="t"/>
              </v:shape>
            </v:group>
            <v:group style="position:absolute;left:9142;top:9606;width:2;height:546" coordorigin="9142,9606" coordsize="2,546">
              <v:shape style="position:absolute;left:9142;top:9606;width:2;height:546" coordorigin="9142,9606" coordsize="0,546" path="m9142,9606l9142,10152e" filled="false" stroked="true" strokeweight=".48001pt" strokecolor="#000000">
                <v:path arrowok="t"/>
              </v:shape>
            </v:group>
            <v:group style="position:absolute;left:1150;top:10162;width:2;height:544" coordorigin="1150,10162" coordsize="2,544">
              <v:shape style="position:absolute;left:1150;top:10162;width:2;height:544" coordorigin="1150,10162" coordsize="0,544" path="m1150,10162l1150,10706e" filled="false" stroked="true" strokeweight="1.140pt" strokecolor="#dcdcdc">
                <v:path arrowok="t"/>
              </v:shape>
            </v:group>
            <v:group style="position:absolute;left:3665;top:10162;width:2;height:544" coordorigin="3665,10162" coordsize="2,544">
              <v:shape style="position:absolute;left:3665;top:10162;width:2;height:544" coordorigin="3665,10162" coordsize="0,544" path="m3665,10162l3665,10705e" filled="false" stroked="true" strokeweight="1.140pt" strokecolor="#dcdcdc">
                <v:path arrowok="t"/>
              </v:shape>
            </v:group>
            <v:group style="position:absolute;left:1162;top:10162;width:2493;height:272" coordorigin="1162,10162" coordsize="2493,272">
              <v:shape style="position:absolute;left:1162;top:10162;width:2493;height:272" coordorigin="1162,10162" coordsize="2493,272" path="m1162,10433l3654,10433,3654,10162,1162,10162,1162,10433xe" filled="true" fillcolor="#dcdcdc" stroked="false">
                <v:path arrowok="t"/>
                <v:fill type="solid"/>
              </v:shape>
            </v:group>
            <v:group style="position:absolute;left:1162;top:10433;width:2493;height:273" coordorigin="1162,10433" coordsize="2493,273">
              <v:shape style="position:absolute;left:1162;top:10433;width:2493;height:273" coordorigin="1162,10433" coordsize="2493,273" path="m1162,10705l3654,10705,3654,10433,1162,10433,1162,10705xe" filled="true" fillcolor="#dcdcdc" stroked="false">
                <v:path arrowok="t"/>
                <v:fill type="solid"/>
              </v:shape>
            </v:group>
            <v:group style="position:absolute;left:1129;top:10157;width:9838;height:2" coordorigin="1129,10157" coordsize="9838,2">
              <v:shape style="position:absolute;left:1129;top:10157;width:9838;height:2" coordorigin="1129,10157" coordsize="9838,0" path="m1129,10157l10967,10157e" filled="false" stroked="true" strokeweight=".47998pt" strokecolor="#000000">
                <v:path arrowok="t"/>
              </v:shape>
            </v:group>
            <v:group style="position:absolute;left:3682;top:10162;width:2;height:545" coordorigin="3682,10162" coordsize="2,545">
              <v:shape style="position:absolute;left:3682;top:10162;width:2;height:545" coordorigin="3682,10162" coordsize="0,545" path="m3682,10162l3682,10706e" filled="false" stroked="true" strokeweight=".47998pt" strokecolor="#000000">
                <v:path arrowok="t"/>
              </v:shape>
            </v:group>
            <v:group style="position:absolute;left:5502;top:10162;width:2;height:545" coordorigin="5502,10162" coordsize="2,545">
              <v:shape style="position:absolute;left:5502;top:10162;width:2;height:545" coordorigin="5502,10162" coordsize="0,545" path="m5502,10162l5502,10706e" filled="false" stroked="true" strokeweight=".47998pt" strokecolor="#000000">
                <v:path arrowok="t"/>
              </v:shape>
            </v:group>
            <v:group style="position:absolute;left:7322;top:10162;width:2;height:545" coordorigin="7322,10162" coordsize="2,545">
              <v:shape style="position:absolute;left:7322;top:10162;width:2;height:545" coordorigin="7322,10162" coordsize="0,545" path="m7322,10162l7322,10706e" filled="false" stroked="true" strokeweight=".48001pt" strokecolor="#000000">
                <v:path arrowok="t"/>
              </v:shape>
            </v:group>
            <v:group style="position:absolute;left:9142;top:10162;width:2;height:545" coordorigin="9142,10162" coordsize="2,545">
              <v:shape style="position:absolute;left:9142;top:10162;width:2;height:545" coordorigin="9142,10162" coordsize="0,545" path="m9142,10162l9142,10706e" filled="false" stroked="true" strokeweight=".48001pt" strokecolor="#000000">
                <v:path arrowok="t"/>
              </v:shape>
            </v:group>
            <v:group style="position:absolute;left:1150;top:10716;width:2;height:545" coordorigin="1150,10716" coordsize="2,545">
              <v:shape style="position:absolute;left:1150;top:10716;width:2;height:545" coordorigin="1150,10716" coordsize="0,545" path="m1150,10716l1150,11261e" filled="false" stroked="true" strokeweight="1.140pt" strokecolor="#dcdcdc">
                <v:path arrowok="t"/>
              </v:shape>
            </v:group>
            <v:group style="position:absolute;left:3665;top:10716;width:2;height:545" coordorigin="3665,10716" coordsize="2,545">
              <v:shape style="position:absolute;left:3665;top:10716;width:2;height:545" coordorigin="3665,10716" coordsize="0,545" path="m3665,10716l3665,11261e" filled="false" stroked="true" strokeweight="1.140pt" strokecolor="#dcdcdc">
                <v:path arrowok="t"/>
              </v:shape>
            </v:group>
            <v:group style="position:absolute;left:1162;top:10716;width:2493;height:273" coordorigin="1162,10716" coordsize="2493,273">
              <v:shape style="position:absolute;left:1162;top:10716;width:2493;height:273" coordorigin="1162,10716" coordsize="2493,273" path="m1162,10988l3654,10988,3654,10716,1162,10716,1162,10988xe" filled="true" fillcolor="#dcdcdc" stroked="false">
                <v:path arrowok="t"/>
                <v:fill type="solid"/>
              </v:shape>
            </v:group>
            <v:group style="position:absolute;left:1162;top:10988;width:2493;height:273" coordorigin="1162,10988" coordsize="2493,273">
              <v:shape style="position:absolute;left:1162;top:10988;width:2493;height:273" coordorigin="1162,10988" coordsize="2493,273" path="m1162,11261l3654,11261,3654,10988,1162,10988,1162,11261xe" filled="true" fillcolor="#dcdcdc" stroked="false">
                <v:path arrowok="t"/>
                <v:fill type="solid"/>
              </v:shape>
            </v:group>
            <v:group style="position:absolute;left:1129;top:10711;width:9838;height:2" coordorigin="1129,10711" coordsize="9838,2">
              <v:shape style="position:absolute;left:1129;top:10711;width:9838;height:2" coordorigin="1129,10711" coordsize="9838,0" path="m1129,10711l10967,10711e" filled="false" stroked="true" strokeweight=".48001pt" strokecolor="#000000">
                <v:path arrowok="t"/>
              </v:shape>
            </v:group>
            <v:group style="position:absolute;left:3682;top:10716;width:2;height:545" coordorigin="3682,10716" coordsize="2,545">
              <v:shape style="position:absolute;left:3682;top:10716;width:2;height:545" coordorigin="3682,10716" coordsize="0,545" path="m3682,10716l3682,11261e" filled="false" stroked="true" strokeweight=".47998pt" strokecolor="#000000">
                <v:path arrowok="t"/>
              </v:shape>
            </v:group>
            <v:group style="position:absolute;left:5502;top:10716;width:2;height:545" coordorigin="5502,10716" coordsize="2,545">
              <v:shape style="position:absolute;left:5502;top:10716;width:2;height:545" coordorigin="5502,10716" coordsize="0,545" path="m5502,10716l5502,11261e" filled="false" stroked="true" strokeweight=".47998pt" strokecolor="#000000">
                <v:path arrowok="t"/>
              </v:shape>
            </v:group>
            <v:group style="position:absolute;left:7322;top:10716;width:2;height:545" coordorigin="7322,10716" coordsize="2,545">
              <v:shape style="position:absolute;left:7322;top:10716;width:2;height:545" coordorigin="7322,10716" coordsize="0,545" path="m7322,10716l7322,11261e" filled="false" stroked="true" strokeweight=".48001pt" strokecolor="#000000">
                <v:path arrowok="t"/>
              </v:shape>
            </v:group>
            <v:group style="position:absolute;left:9142;top:10716;width:2;height:545" coordorigin="9142,10716" coordsize="2,545">
              <v:shape style="position:absolute;left:9142;top:10716;width:2;height:545" coordorigin="9142,10716" coordsize="0,545" path="m9142,10716l9142,11261e" filled="false" stroked="true" strokeweight=".48001pt" strokecolor="#000000">
                <v:path arrowok="t"/>
              </v:shape>
            </v:group>
            <v:group style="position:absolute;left:1150;top:11270;width:2;height:273" coordorigin="1150,11270" coordsize="2,273">
              <v:shape style="position:absolute;left:1150;top:11270;width:2;height:273" coordorigin="1150,11270" coordsize="0,273" path="m1150,11270l1150,11543e" filled="false" stroked="true" strokeweight="1.140pt" strokecolor="#dcdcdc">
                <v:path arrowok="t"/>
              </v:shape>
            </v:group>
            <v:group style="position:absolute;left:3665;top:11270;width:2;height:273" coordorigin="3665,11270" coordsize="2,273">
              <v:shape style="position:absolute;left:3665;top:11270;width:2;height:273" coordorigin="3665,11270" coordsize="0,273" path="m3665,11270l3665,11543e" filled="false" stroked="true" strokeweight="1.140pt" strokecolor="#dcdcdc">
                <v:path arrowok="t"/>
              </v:shape>
            </v:group>
            <v:group style="position:absolute;left:1162;top:11270;width:2493;height:273" coordorigin="1162,11270" coordsize="2493,273">
              <v:shape style="position:absolute;left:1162;top:11270;width:2493;height:273" coordorigin="1162,11270" coordsize="2493,273" path="m1162,11543l3654,11543,3654,11270,1162,11270,1162,11543xe" filled="true" fillcolor="#dcdcdc" stroked="false">
                <v:path arrowok="t"/>
                <v:fill type="solid"/>
              </v:shape>
            </v:group>
            <v:group style="position:absolute;left:1129;top:11266;width:9838;height:2" coordorigin="1129,11266" coordsize="9838,2">
              <v:shape style="position:absolute;left:1129;top:11266;width:9838;height:2" coordorigin="1129,11266" coordsize="9838,0" path="m1129,11266l10967,11266e" filled="false" stroked="true" strokeweight=".47998pt" strokecolor="#000000">
                <v:path arrowok="t"/>
              </v:shape>
            </v:group>
            <v:group style="position:absolute;left:3682;top:11270;width:2;height:273" coordorigin="3682,11270" coordsize="2,273">
              <v:shape style="position:absolute;left:3682;top:11270;width:2;height:273" coordorigin="3682,11270" coordsize="0,273" path="m3682,11270l3682,11543e" filled="false" stroked="true" strokeweight=".47998pt" strokecolor="#000000">
                <v:path arrowok="t"/>
              </v:shape>
            </v:group>
            <v:group style="position:absolute;left:5502;top:11270;width:2;height:273" coordorigin="5502,11270" coordsize="2,273">
              <v:shape style="position:absolute;left:5502;top:11270;width:2;height:273" coordorigin="5502,11270" coordsize="0,273" path="m5502,11270l5502,11543e" filled="false" stroked="true" strokeweight=".47998pt" strokecolor="#000000">
                <v:path arrowok="t"/>
              </v:shape>
            </v:group>
            <v:group style="position:absolute;left:7322;top:11270;width:2;height:273" coordorigin="7322,11270" coordsize="2,273">
              <v:shape style="position:absolute;left:7322;top:11270;width:2;height:273" coordorigin="7322,11270" coordsize="0,273" path="m7322,11270l7322,11543e" filled="false" stroked="true" strokeweight=".48001pt" strokecolor="#000000">
                <v:path arrowok="t"/>
              </v:shape>
            </v:group>
            <v:group style="position:absolute;left:9142;top:11270;width:2;height:273" coordorigin="9142,11270" coordsize="2,273">
              <v:shape style="position:absolute;left:9142;top:11270;width:2;height:273" coordorigin="9142,11270" coordsize="0,273" path="m9142,11270l9142,11543e" filled="false" stroked="true" strokeweight=".48001pt" strokecolor="#000000">
                <v:path arrowok="t"/>
              </v:shape>
            </v:group>
            <v:group style="position:absolute;left:1139;top:11825;width:2538;height:2" coordorigin="1139,11825" coordsize="2538,2">
              <v:shape style="position:absolute;left:1139;top:11825;width:2538;height:2" coordorigin="1139,11825" coordsize="2538,0" path="m1139,11825l3677,11825e" filled="false" stroked="true" strokeweight=".1pt" strokecolor="#dcdcdc">
                <v:path arrowok="t"/>
              </v:shape>
            </v:group>
            <v:group style="position:absolute;left:1150;top:11554;width:2;height:270" coordorigin="1150,11554" coordsize="2,270">
              <v:shape style="position:absolute;left:1150;top:11554;width:2;height:270" coordorigin="1150,11554" coordsize="0,270" path="m1150,11554l1150,11824e" filled="false" stroked="true" strokeweight="1.140pt" strokecolor="#dcdcdc">
                <v:path arrowok="t"/>
              </v:shape>
            </v:group>
            <v:group style="position:absolute;left:3665;top:11554;width:2;height:272" coordorigin="3665,11554" coordsize="2,272">
              <v:shape style="position:absolute;left:3665;top:11554;width:2;height:272" coordorigin="3665,11554" coordsize="0,272" path="m3665,11554l3665,11825e" filled="false" stroked="true" strokeweight="1.140pt" strokecolor="#dcdcdc">
                <v:path arrowok="t"/>
              </v:shape>
            </v:group>
            <v:group style="position:absolute;left:1162;top:11552;width:2493;height:273" coordorigin="1162,11552" coordsize="2493,273">
              <v:shape style="position:absolute;left:1162;top:11552;width:2493;height:273" coordorigin="1162,11552" coordsize="2493,273" path="m1162,11825l3654,11825,3654,11552,1162,11552,1162,11825xe" filled="true" fillcolor="#dcdcdc" stroked="false">
                <v:path arrowok="t"/>
                <v:fill type="solid"/>
              </v:shape>
            </v:group>
            <v:group style="position:absolute;left:1129;top:11548;width:9838;height:2" coordorigin="1129,11548" coordsize="9838,2">
              <v:shape style="position:absolute;left:1129;top:11548;width:9838;height:2" coordorigin="1129,11548" coordsize="9838,0" path="m1129,11548l10967,11548e" filled="false" stroked="true" strokeweight=".48001pt" strokecolor="#000000">
                <v:path arrowok="t"/>
              </v:shape>
            </v:group>
            <v:group style="position:absolute;left:3682;top:11552;width:2;height:274" coordorigin="3682,11552" coordsize="2,274">
              <v:shape style="position:absolute;left:3682;top:11552;width:2;height:274" coordorigin="3682,11552" coordsize="0,274" path="m3682,11552l3682,11826e" filled="false" stroked="true" strokeweight=".47998pt" strokecolor="#000000">
                <v:path arrowok="t"/>
              </v:shape>
            </v:group>
            <v:group style="position:absolute;left:5502;top:11552;width:2;height:274" coordorigin="5502,11552" coordsize="2,274">
              <v:shape style="position:absolute;left:5502;top:11552;width:2;height:274" coordorigin="5502,11552" coordsize="0,274" path="m5502,11552l5502,11826e" filled="false" stroked="true" strokeweight=".47998pt" strokecolor="#000000">
                <v:path arrowok="t"/>
              </v:shape>
            </v:group>
            <v:group style="position:absolute;left:7322;top:11552;width:2;height:274" coordorigin="7322,11552" coordsize="2,274">
              <v:shape style="position:absolute;left:7322;top:11552;width:2;height:274" coordorigin="7322,11552" coordsize="0,274" path="m7322,11552l7322,11826e" filled="false" stroked="true" strokeweight=".48001pt" strokecolor="#000000">
                <v:path arrowok="t"/>
              </v:shape>
            </v:group>
            <v:group style="position:absolute;left:9142;top:11552;width:2;height:274" coordorigin="9142,11552" coordsize="2,274">
              <v:shape style="position:absolute;left:9142;top:11552;width:2;height:274" coordorigin="9142,11552" coordsize="0,274" path="m9142,11552l9142,11826e" filled="false" stroked="true" strokeweight=".48001pt" strokecolor="#000000">
                <v:path arrowok="t"/>
              </v:shape>
            </v:group>
            <v:group style="position:absolute;left:1150;top:11836;width:2;height:544" coordorigin="1150,11836" coordsize="2,544">
              <v:shape style="position:absolute;left:1150;top:11836;width:2;height:544" coordorigin="1150,11836" coordsize="0,544" path="m1150,11836l1150,12380e" filled="false" stroked="true" strokeweight="1.140pt" strokecolor="#dcdcdc">
                <v:path arrowok="t"/>
              </v:shape>
            </v:group>
            <v:group style="position:absolute;left:3665;top:11836;width:2;height:544" coordorigin="3665,11836" coordsize="2,544">
              <v:shape style="position:absolute;left:3665;top:11836;width:2;height:544" coordorigin="3665,11836" coordsize="0,544" path="m3665,11836l3665,12379e" filled="false" stroked="true" strokeweight="1.140pt" strokecolor="#dcdcdc">
                <v:path arrowok="t"/>
              </v:shape>
            </v:group>
            <v:group style="position:absolute;left:1162;top:11836;width:2493;height:273" coordorigin="1162,11836" coordsize="2493,273">
              <v:shape style="position:absolute;left:1162;top:11836;width:2493;height:273" coordorigin="1162,11836" coordsize="2493,273" path="m1162,12108l3654,12108,3654,11836,1162,11836,1162,12108xe" filled="true" fillcolor="#dcdcdc" stroked="false">
                <v:path arrowok="t"/>
                <v:fill type="solid"/>
              </v:shape>
            </v:group>
            <v:group style="position:absolute;left:1162;top:12108;width:2493;height:272" coordorigin="1162,12108" coordsize="2493,272">
              <v:shape style="position:absolute;left:1162;top:12108;width:2493;height:272" coordorigin="1162,12108" coordsize="2493,272" path="m1162,12379l3654,12379,3654,12108,1162,12108,1162,12379xe" filled="true" fillcolor="#dcdcdc" stroked="false">
                <v:path arrowok="t"/>
                <v:fill type="solid"/>
              </v:shape>
            </v:group>
            <v:group style="position:absolute;left:1129;top:11831;width:9838;height:2" coordorigin="1129,11831" coordsize="9838,2">
              <v:shape style="position:absolute;left:1129;top:11831;width:9838;height:2" coordorigin="1129,11831" coordsize="9838,0" path="m1129,11831l10967,11831e" filled="false" stroked="true" strokeweight=".48pt" strokecolor="#000000">
                <v:path arrowok="t"/>
              </v:shape>
            </v:group>
            <v:group style="position:absolute;left:3682;top:11836;width:2;height:545" coordorigin="3682,11836" coordsize="2,545">
              <v:shape style="position:absolute;left:3682;top:11836;width:2;height:545" coordorigin="3682,11836" coordsize="0,545" path="m3682,11836l3682,12380e" filled="false" stroked="true" strokeweight=".47998pt" strokecolor="#000000">
                <v:path arrowok="t"/>
              </v:shape>
            </v:group>
            <v:group style="position:absolute;left:5502;top:11836;width:2;height:545" coordorigin="5502,11836" coordsize="2,545">
              <v:shape style="position:absolute;left:5502;top:11836;width:2;height:545" coordorigin="5502,11836" coordsize="0,545" path="m5502,11836l5502,12380e" filled="false" stroked="true" strokeweight=".47998pt" strokecolor="#000000">
                <v:path arrowok="t"/>
              </v:shape>
            </v:group>
            <v:group style="position:absolute;left:7322;top:11836;width:2;height:545" coordorigin="7322,11836" coordsize="2,545">
              <v:shape style="position:absolute;left:7322;top:11836;width:2;height:545" coordorigin="7322,11836" coordsize="0,545" path="m7322,11836l7322,12380e" filled="false" stroked="true" strokeweight=".48001pt" strokecolor="#000000">
                <v:path arrowok="t"/>
              </v:shape>
            </v:group>
            <v:group style="position:absolute;left:9142;top:11836;width:2;height:545" coordorigin="9142,11836" coordsize="2,545">
              <v:shape style="position:absolute;left:9142;top:11836;width:2;height:545" coordorigin="9142,11836" coordsize="0,545" path="m9142,11836l9142,12380e" filled="false" stroked="true" strokeweight=".48001pt" strokecolor="#000000">
                <v:path arrowok="t"/>
              </v:shape>
            </v:group>
            <v:group style="position:absolute;left:1150;top:12390;width:2;height:545" coordorigin="1150,12390" coordsize="2,545">
              <v:shape style="position:absolute;left:1150;top:12390;width:2;height:545" coordorigin="1150,12390" coordsize="0,545" path="m1150,12390l1150,12935e" filled="false" stroked="true" strokeweight="1.140pt" strokecolor="#dcdcdc">
                <v:path arrowok="t"/>
              </v:shape>
            </v:group>
            <v:group style="position:absolute;left:3665;top:12390;width:2;height:545" coordorigin="3665,12390" coordsize="2,545">
              <v:shape style="position:absolute;left:3665;top:12390;width:2;height:545" coordorigin="3665,12390" coordsize="0,545" path="m3665,12390l3665,12935e" filled="false" stroked="true" strokeweight="1.140pt" strokecolor="#dcdcdc">
                <v:path arrowok="t"/>
              </v:shape>
            </v:group>
            <v:group style="position:absolute;left:1162;top:12390;width:2493;height:273" coordorigin="1162,12390" coordsize="2493,273">
              <v:shape style="position:absolute;left:1162;top:12390;width:2493;height:273" coordorigin="1162,12390" coordsize="2493,273" path="m1162,12662l3654,12662,3654,12390,1162,12390,1162,12662xe" filled="true" fillcolor="#dcdcdc" stroked="false">
                <v:path arrowok="t"/>
                <v:fill type="solid"/>
              </v:shape>
            </v:group>
            <v:group style="position:absolute;left:1162;top:12662;width:2493;height:273" coordorigin="1162,12662" coordsize="2493,273">
              <v:shape style="position:absolute;left:1162;top:12662;width:2493;height:273" coordorigin="1162,12662" coordsize="2493,273" path="m1162,12935l3654,12935,3654,12662,1162,12662,1162,12935xe" filled="true" fillcolor="#dcdcdc" stroked="false">
                <v:path arrowok="t"/>
                <v:fill type="solid"/>
              </v:shape>
            </v:group>
            <v:group style="position:absolute;left:1129;top:12385;width:9838;height:2" coordorigin="1129,12385" coordsize="9838,2">
              <v:shape style="position:absolute;left:1129;top:12385;width:9838;height:2" coordorigin="1129,12385" coordsize="9838,0" path="m1129,12385l10967,12385e" filled="false" stroked="true" strokeweight=".48pt" strokecolor="#000000">
                <v:path arrowok="t"/>
              </v:shape>
            </v:group>
            <v:group style="position:absolute;left:3682;top:12390;width:2;height:545" coordorigin="3682,12390" coordsize="2,545">
              <v:shape style="position:absolute;left:3682;top:12390;width:2;height:545" coordorigin="3682,12390" coordsize="0,545" path="m3682,12390l3682,12935e" filled="false" stroked="true" strokeweight=".47998pt" strokecolor="#000000">
                <v:path arrowok="t"/>
              </v:shape>
            </v:group>
            <v:group style="position:absolute;left:5502;top:12390;width:2;height:545" coordorigin="5502,12390" coordsize="2,545">
              <v:shape style="position:absolute;left:5502;top:12390;width:2;height:545" coordorigin="5502,12390" coordsize="0,545" path="m5502,12390l5502,12935e" filled="false" stroked="true" strokeweight=".47998pt" strokecolor="#000000">
                <v:path arrowok="t"/>
              </v:shape>
            </v:group>
            <v:group style="position:absolute;left:7322;top:12390;width:2;height:545" coordorigin="7322,12390" coordsize="2,545">
              <v:shape style="position:absolute;left:7322;top:12390;width:2;height:545" coordorigin="7322,12390" coordsize="0,545" path="m7322,12390l7322,12935e" filled="false" stroked="true" strokeweight=".48001pt" strokecolor="#000000">
                <v:path arrowok="t"/>
              </v:shape>
            </v:group>
            <v:group style="position:absolute;left:9142;top:12390;width:2;height:545" coordorigin="9142,12390" coordsize="2,545">
              <v:shape style="position:absolute;left:9142;top:12390;width:2;height:545" coordorigin="9142,12390" coordsize="0,545" path="m9142,12390l9142,12935e" filled="false" stroked="true" strokeweight=".48001pt" strokecolor="#000000">
                <v:path arrowok="t"/>
              </v:shape>
            </v:group>
            <v:group style="position:absolute;left:1150;top:12944;width:2;height:273" coordorigin="1150,12944" coordsize="2,273">
              <v:shape style="position:absolute;left:1150;top:12944;width:2;height:273" coordorigin="1150,12944" coordsize="0,273" path="m1150,12944l1150,13217e" filled="false" stroked="true" strokeweight="1.140pt" strokecolor="#dcdcdc">
                <v:path arrowok="t"/>
              </v:shape>
            </v:group>
            <v:group style="position:absolute;left:3665;top:12944;width:2;height:273" coordorigin="3665,12944" coordsize="2,273">
              <v:shape style="position:absolute;left:3665;top:12944;width:2;height:273" coordorigin="3665,12944" coordsize="0,273" path="m3665,12944l3665,13217e" filled="false" stroked="true" strokeweight="1.140pt" strokecolor="#dcdcdc">
                <v:path arrowok="t"/>
              </v:shape>
            </v:group>
            <v:group style="position:absolute;left:1162;top:12944;width:2493;height:273" coordorigin="1162,12944" coordsize="2493,273">
              <v:shape style="position:absolute;left:1162;top:12944;width:2493;height:273" coordorigin="1162,12944" coordsize="2493,273" path="m1162,13217l3654,13217,3654,12944,1162,12944,1162,13217xe" filled="true" fillcolor="#dcdcdc" stroked="false">
                <v:path arrowok="t"/>
                <v:fill type="solid"/>
              </v:shape>
            </v:group>
            <v:group style="position:absolute;left:1129;top:12940;width:9838;height:2" coordorigin="1129,12940" coordsize="9838,2">
              <v:shape style="position:absolute;left:1129;top:12940;width:9838;height:2" coordorigin="1129,12940" coordsize="9838,0" path="m1129,12940l10967,12940e" filled="false" stroked="true" strokeweight=".48pt" strokecolor="#000000">
                <v:path arrowok="t"/>
              </v:shape>
            </v:group>
            <v:group style="position:absolute;left:3682;top:12944;width:2;height:273" coordorigin="3682,12944" coordsize="2,273">
              <v:shape style="position:absolute;left:3682;top:12944;width:2;height:273" coordorigin="3682,12944" coordsize="0,273" path="m3682,12944l3682,13217e" filled="false" stroked="true" strokeweight=".47998pt" strokecolor="#000000">
                <v:path arrowok="t"/>
              </v:shape>
            </v:group>
            <v:group style="position:absolute;left:5502;top:12944;width:2;height:273" coordorigin="5502,12944" coordsize="2,273">
              <v:shape style="position:absolute;left:5502;top:12944;width:2;height:273" coordorigin="5502,12944" coordsize="0,273" path="m5502,12944l5502,13217e" filled="false" stroked="true" strokeweight=".47998pt" strokecolor="#000000">
                <v:path arrowok="t"/>
              </v:shape>
            </v:group>
            <v:group style="position:absolute;left:7322;top:12944;width:2;height:273" coordorigin="7322,12944" coordsize="2,273">
              <v:shape style="position:absolute;left:7322;top:12944;width:2;height:273" coordorigin="7322,12944" coordsize="0,273" path="m7322,12944l7322,13217e" filled="false" stroked="true" strokeweight=".48001pt" strokecolor="#000000">
                <v:path arrowok="t"/>
              </v:shape>
            </v:group>
            <v:group style="position:absolute;left:9142;top:12944;width:2;height:273" coordorigin="9142,12944" coordsize="2,273">
              <v:shape style="position:absolute;left:9142;top:12944;width:2;height:273" coordorigin="9142,12944" coordsize="0,273" path="m9142,12944l9142,13217e" filled="false" stroked="true" strokeweight=".48001pt" strokecolor="#000000">
                <v:path arrowok="t"/>
              </v:shape>
            </v:group>
            <v:group style="position:absolute;left:1150;top:13228;width:2;height:544" coordorigin="1150,13228" coordsize="2,544">
              <v:shape style="position:absolute;left:1150;top:13228;width:2;height:544" coordorigin="1150,13228" coordsize="0,544" path="m1150,13228l1150,13772e" filled="false" stroked="true" strokeweight="1.140pt" strokecolor="#dcdcdc">
                <v:path arrowok="t"/>
              </v:shape>
            </v:group>
            <v:group style="position:absolute;left:3665;top:13228;width:2;height:544" coordorigin="3665,13228" coordsize="2,544">
              <v:shape style="position:absolute;left:3665;top:13228;width:2;height:544" coordorigin="3665,13228" coordsize="0,544" path="m3665,13228l3665,13771e" filled="false" stroked="true" strokeweight="1.140pt" strokecolor="#dcdcdc">
                <v:path arrowok="t"/>
              </v:shape>
            </v:group>
            <v:group style="position:absolute;left:1162;top:13226;width:2493;height:273" coordorigin="1162,13226" coordsize="2493,273">
              <v:shape style="position:absolute;left:1162;top:13226;width:2493;height:273" coordorigin="1162,13226" coordsize="2493,273" path="m1162,13499l3654,13499,3654,13226,1162,13226,1162,13499xe" filled="true" fillcolor="#dcdcdc" stroked="false">
                <v:path arrowok="t"/>
                <v:fill type="solid"/>
              </v:shape>
            </v:group>
            <v:group style="position:absolute;left:1162;top:13499;width:2493;height:273" coordorigin="1162,13499" coordsize="2493,273">
              <v:shape style="position:absolute;left:1162;top:13499;width:2493;height:273" coordorigin="1162,13499" coordsize="2493,273" path="m1162,13771l3654,13771,3654,13499,1162,13499,1162,13771xe" filled="true" fillcolor="#dcdcdc" stroked="false">
                <v:path arrowok="t"/>
                <v:fill type="solid"/>
              </v:shape>
            </v:group>
            <v:group style="position:absolute;left:1129;top:13222;width:9838;height:2" coordorigin="1129,13222" coordsize="9838,2">
              <v:shape style="position:absolute;left:1129;top:13222;width:9838;height:2" coordorigin="1129,13222" coordsize="9838,0" path="m1129,13222l10967,13222e" filled="false" stroked="true" strokeweight=".48pt" strokecolor="#000000">
                <v:path arrowok="t"/>
              </v:shape>
            </v:group>
            <v:group style="position:absolute;left:3682;top:13226;width:2;height:546" coordorigin="3682,13226" coordsize="2,546">
              <v:shape style="position:absolute;left:3682;top:13226;width:2;height:546" coordorigin="3682,13226" coordsize="0,546" path="m3682,13226l3682,13772e" filled="false" stroked="true" strokeweight=".47998pt" strokecolor="#000000">
                <v:path arrowok="t"/>
              </v:shape>
            </v:group>
            <v:group style="position:absolute;left:5502;top:13226;width:2;height:546" coordorigin="5502,13226" coordsize="2,546">
              <v:shape style="position:absolute;left:5502;top:13226;width:2;height:546" coordorigin="5502,13226" coordsize="0,546" path="m5502,13226l5502,13772e" filled="false" stroked="true" strokeweight=".47998pt" strokecolor="#000000">
                <v:path arrowok="t"/>
              </v:shape>
            </v:group>
            <v:group style="position:absolute;left:7322;top:13226;width:2;height:546" coordorigin="7322,13226" coordsize="2,546">
              <v:shape style="position:absolute;left:7322;top:13226;width:2;height:546" coordorigin="7322,13226" coordsize="0,546" path="m7322,13226l7322,13772e" filled="false" stroked="true" strokeweight=".48001pt" strokecolor="#000000">
                <v:path arrowok="t"/>
              </v:shape>
            </v:group>
            <v:group style="position:absolute;left:9142;top:13226;width:2;height:546" coordorigin="9142,13226" coordsize="2,546">
              <v:shape style="position:absolute;left:9142;top:13226;width:2;height:546" coordorigin="9142,13226" coordsize="0,546" path="m9142,13226l9142,13772e" filled="false" stroked="true" strokeweight=".48001pt" strokecolor="#000000">
                <v:path arrowok="t"/>
              </v:shape>
            </v:group>
            <v:group style="position:absolute;left:1150;top:13782;width:2;height:545" coordorigin="1150,13782" coordsize="2,545">
              <v:shape style="position:absolute;left:1150;top:13782;width:2;height:545" coordorigin="1150,13782" coordsize="0,545" path="m1150,13782l1150,14327e" filled="false" stroked="true" strokeweight="1.140pt" strokecolor="#dcdcdc">
                <v:path arrowok="t"/>
              </v:shape>
            </v:group>
            <v:group style="position:absolute;left:3665;top:13782;width:2;height:545" coordorigin="3665,13782" coordsize="2,545">
              <v:shape style="position:absolute;left:3665;top:13782;width:2;height:545" coordorigin="3665,13782" coordsize="0,545" path="m3665,13782l3665,14327e" filled="false" stroked="true" strokeweight="1.140pt" strokecolor="#dcdcdc">
                <v:path arrowok="t"/>
              </v:shape>
            </v:group>
            <v:group style="position:absolute;left:1162;top:13782;width:2493;height:273" coordorigin="1162,13782" coordsize="2493,273">
              <v:shape style="position:absolute;left:1162;top:13782;width:2493;height:273" coordorigin="1162,13782" coordsize="2493,273" path="m1162,14054l3654,14054,3654,13782,1162,13782,1162,14054xe" filled="true" fillcolor="#dcdcdc" stroked="false">
                <v:path arrowok="t"/>
                <v:fill type="solid"/>
              </v:shape>
            </v:group>
            <v:group style="position:absolute;left:1162;top:14054;width:2493;height:273" coordorigin="1162,14054" coordsize="2493,273">
              <v:shape style="position:absolute;left:1162;top:14054;width:2493;height:273" coordorigin="1162,14054" coordsize="2493,273" path="m1162,14327l3654,14327,3654,14054,1162,14054,1162,14327xe" filled="true" fillcolor="#dcdcdc" stroked="false">
                <v:path arrowok="t"/>
                <v:fill type="solid"/>
              </v:shape>
            </v:group>
            <v:group style="position:absolute;left:1129;top:13777;width:9838;height:2" coordorigin="1129,13777" coordsize="9838,2">
              <v:shape style="position:absolute;left:1129;top:13777;width:9838;height:2" coordorigin="1129,13777" coordsize="9838,0" path="m1129,13777l10967,13777e" filled="false" stroked="true" strokeweight=".48001pt" strokecolor="#000000">
                <v:path arrowok="t"/>
              </v:shape>
            </v:group>
            <v:group style="position:absolute;left:3682;top:13782;width:2;height:545" coordorigin="3682,13782" coordsize="2,545">
              <v:shape style="position:absolute;left:3682;top:13782;width:2;height:545" coordorigin="3682,13782" coordsize="0,545" path="m3682,13782l3682,14327e" filled="false" stroked="true" strokeweight=".47998pt" strokecolor="#000000">
                <v:path arrowok="t"/>
              </v:shape>
            </v:group>
            <v:group style="position:absolute;left:5502;top:13782;width:2;height:545" coordorigin="5502,13782" coordsize="2,545">
              <v:shape style="position:absolute;left:5502;top:13782;width:2;height:545" coordorigin="5502,13782" coordsize="0,545" path="m5502,13782l5502,14327e" filled="false" stroked="true" strokeweight=".47998pt" strokecolor="#000000">
                <v:path arrowok="t"/>
              </v:shape>
            </v:group>
            <v:group style="position:absolute;left:7322;top:13782;width:2;height:545" coordorigin="7322,13782" coordsize="2,545">
              <v:shape style="position:absolute;left:7322;top:13782;width:2;height:545" coordorigin="7322,13782" coordsize="0,545" path="m7322,13782l7322,14327e" filled="false" stroked="true" strokeweight=".48001pt" strokecolor="#000000">
                <v:path arrowok="t"/>
              </v:shape>
            </v:group>
            <v:group style="position:absolute;left:9142;top:13782;width:2;height:545" coordorigin="9142,13782" coordsize="2,545">
              <v:shape style="position:absolute;left:9142;top:13782;width:2;height:545" coordorigin="9142,13782" coordsize="0,545" path="m9142,13782l9142,14327e" filled="false" stroked="true" strokeweight=".48001pt" strokecolor="#000000">
                <v:path arrowok="t"/>
              </v:shape>
            </v:group>
            <v:group style="position:absolute;left:1150;top:14336;width:2;height:273" coordorigin="1150,14336" coordsize="2,273">
              <v:shape style="position:absolute;left:1150;top:14336;width:2;height:273" coordorigin="1150,14336" coordsize="0,273" path="m1150,14336l1150,14609e" filled="false" stroked="true" strokeweight="1.140pt" strokecolor="#dcdcdc">
                <v:path arrowok="t"/>
              </v:shape>
            </v:group>
            <v:group style="position:absolute;left:3665;top:14336;width:2;height:273" coordorigin="3665,14336" coordsize="2,273">
              <v:shape style="position:absolute;left:3665;top:14336;width:2;height:273" coordorigin="3665,14336" coordsize="0,273" path="m3665,14336l3665,14609e" filled="false" stroked="true" strokeweight="1.140pt" strokecolor="#dcdcdc">
                <v:path arrowok="t"/>
              </v:shape>
            </v:group>
            <v:group style="position:absolute;left:1162;top:14336;width:2493;height:273" coordorigin="1162,14336" coordsize="2493,273">
              <v:shape style="position:absolute;left:1162;top:14336;width:2493;height:273" coordorigin="1162,14336" coordsize="2493,273" path="m1162,14609l3654,14609,3654,14336,1162,14336,1162,14609xe" filled="true" fillcolor="#dcdcdc" stroked="false">
                <v:path arrowok="t"/>
                <v:fill type="solid"/>
              </v:shape>
            </v:group>
            <v:group style="position:absolute;left:1129;top:14332;width:9838;height:2" coordorigin="1129,14332" coordsize="9838,2">
              <v:shape style="position:absolute;left:1129;top:14332;width:9838;height:2" coordorigin="1129,14332" coordsize="9838,0" path="m1129,14332l10967,14332e" filled="false" stroked="true" strokeweight=".48001pt" strokecolor="#000000">
                <v:path arrowok="t"/>
              </v:shape>
            </v:group>
            <v:group style="position:absolute;left:3682;top:14336;width:2;height:273" coordorigin="3682,14336" coordsize="2,273">
              <v:shape style="position:absolute;left:3682;top:14336;width:2;height:273" coordorigin="3682,14336" coordsize="0,273" path="m3682,14336l3682,14609e" filled="false" stroked="true" strokeweight=".47998pt" strokecolor="#000000">
                <v:path arrowok="t"/>
              </v:shape>
            </v:group>
            <v:group style="position:absolute;left:5502;top:14336;width:2;height:273" coordorigin="5502,14336" coordsize="2,273">
              <v:shape style="position:absolute;left:5502;top:14336;width:2;height:273" coordorigin="5502,14336" coordsize="0,273" path="m5502,14336l5502,14609e" filled="false" stroked="true" strokeweight=".47998pt" strokecolor="#000000">
                <v:path arrowok="t"/>
              </v:shape>
            </v:group>
            <v:group style="position:absolute;left:7322;top:14336;width:2;height:273" coordorigin="7322,14336" coordsize="2,273">
              <v:shape style="position:absolute;left:7322;top:14336;width:2;height:273" coordorigin="7322,14336" coordsize="0,273" path="m7322,14336l7322,14609e" filled="false" stroked="true" strokeweight=".48001pt" strokecolor="#000000">
                <v:path arrowok="t"/>
              </v:shape>
            </v:group>
            <v:group style="position:absolute;left:9142;top:14336;width:2;height:273" coordorigin="9142,14336" coordsize="2,273">
              <v:shape style="position:absolute;left:9142;top:14336;width:2;height:273" coordorigin="9142,14336" coordsize="0,273" path="m9142,14336l9142,14609e" filled="false" stroked="true" strokeweight=".48001pt" strokecolor="#000000">
                <v:path arrowok="t"/>
              </v:shape>
            </v:group>
            <v:group style="position:absolute;left:1150;top:14618;width:2;height:273" coordorigin="1150,14618" coordsize="2,273">
              <v:shape style="position:absolute;left:1150;top:14618;width:2;height:273" coordorigin="1150,14618" coordsize="0,273" path="m1150,14618l1150,14891e" filled="false" stroked="true" strokeweight="1.140pt" strokecolor="#dcdcdc">
                <v:path arrowok="t"/>
              </v:shape>
            </v:group>
            <v:group style="position:absolute;left:3665;top:14618;width:2;height:273" coordorigin="3665,14618" coordsize="2,273">
              <v:shape style="position:absolute;left:3665;top:14618;width:2;height:273" coordorigin="3665,14618" coordsize="0,273" path="m3665,14618l3665,14891e" filled="false" stroked="true" strokeweight="1.140pt" strokecolor="#dcdcdc">
                <v:path arrowok="t"/>
              </v:shape>
            </v:group>
            <v:group style="position:absolute;left:1162;top:14618;width:2493;height:273" coordorigin="1162,14618" coordsize="2493,273">
              <v:shape style="position:absolute;left:1162;top:14618;width:2493;height:273" coordorigin="1162,14618" coordsize="2493,273" path="m1162,14891l3654,14891,3654,14618,1162,14618,1162,14891xe" filled="true" fillcolor="#dcdcdc" stroked="false">
                <v:path arrowok="t"/>
                <v:fill type="solid"/>
              </v:shape>
            </v:group>
            <v:group style="position:absolute;left:3686;top:14883;width:1811;height:2" coordorigin="3686,14883" coordsize="1811,2">
              <v:shape style="position:absolute;left:3686;top:14883;width:1811;height:2" coordorigin="3686,14883" coordsize="1811,0" path="m3686,14883l5497,14883e" filled="false" stroked="true" strokeweight=".7pt" strokecolor="#dcdcdc">
                <v:path arrowok="t"/>
              </v:shape>
            </v:group>
            <v:group style="position:absolute;left:3698;top:14634;width:2;height:242" coordorigin="3698,14634" coordsize="2,242">
              <v:shape style="position:absolute;left:3698;top:14634;width:2;height:242" coordorigin="3698,14634" coordsize="0,242" path="m3698,14634l3698,14876e" filled="false" stroked="true" strokeweight="1.2pt" strokecolor="#dcdcdc">
                <v:path arrowok="t"/>
              </v:shape>
            </v:group>
            <v:group style="position:absolute;left:3686;top:14626;width:1811;height:2" coordorigin="3686,14626" coordsize="1811,2">
              <v:shape style="position:absolute;left:3686;top:14626;width:1811;height:2" coordorigin="3686,14626" coordsize="1811,0" path="m3686,14626l5497,14626e" filled="false" stroked="true" strokeweight=".8pt" strokecolor="#dcdcdc">
                <v:path arrowok="t"/>
              </v:shape>
            </v:group>
            <v:group style="position:absolute;left:5486;top:14634;width:2;height:242" coordorigin="5486,14634" coordsize="2,242">
              <v:shape style="position:absolute;left:5486;top:14634;width:2;height:242" coordorigin="5486,14634" coordsize="0,242" path="m5486,14634l5486,14875e" filled="false" stroked="true" strokeweight="1.140pt" strokecolor="#dcdcdc">
                <v:path arrowok="t"/>
              </v:shape>
            </v:group>
            <v:group style="position:absolute;left:3710;top:14634;width:1764;height:242" coordorigin="3710,14634" coordsize="1764,242">
              <v:shape style="position:absolute;left:3710;top:14634;width:1764;height:242" coordorigin="3710,14634" coordsize="1764,242" path="m3710,14875l5474,14875,5474,14634,3710,14634,3710,14875xe" filled="true" fillcolor="#dcdcdc" stroked="false">
                <v:path arrowok="t"/>
                <v:fill type="solid"/>
              </v:shape>
            </v:group>
            <v:group style="position:absolute;left:5507;top:14883;width:1811;height:2" coordorigin="5507,14883" coordsize="1811,2">
              <v:shape style="position:absolute;left:5507;top:14883;width:1811;height:2" coordorigin="5507,14883" coordsize="1811,0" path="m5507,14883l7318,14883e" filled="false" stroked="true" strokeweight=".7pt" strokecolor="#dcdcdc">
                <v:path arrowok="t"/>
              </v:shape>
            </v:group>
            <v:group style="position:absolute;left:5518;top:14634;width:2;height:242" coordorigin="5518,14634" coordsize="2,242">
              <v:shape style="position:absolute;left:5518;top:14634;width:2;height:242" coordorigin="5518,14634" coordsize="0,242" path="m5518,14634l5518,14876e" filled="false" stroked="true" strokeweight="1.140pt" strokecolor="#dcdcdc">
                <v:path arrowok="t"/>
              </v:shape>
            </v:group>
            <v:group style="position:absolute;left:5507;top:14626;width:1811;height:2" coordorigin="5507,14626" coordsize="1811,2">
              <v:shape style="position:absolute;left:5507;top:14626;width:1811;height:2" coordorigin="5507,14626" coordsize="1811,0" path="m5507,14626l7318,14626e" filled="false" stroked="true" strokeweight=".8pt" strokecolor="#dcdcdc">
                <v:path arrowok="t"/>
              </v:shape>
            </v:group>
            <v:group style="position:absolute;left:7306;top:14634;width:2;height:242" coordorigin="7306,14634" coordsize="2,242">
              <v:shape style="position:absolute;left:7306;top:14634;width:2;height:242" coordorigin="7306,14634" coordsize="0,242" path="m7306,14634l7306,14875e" filled="false" stroked="true" strokeweight="1.2pt" strokecolor="#dcdcdc">
                <v:path arrowok="t"/>
              </v:shape>
            </v:group>
            <v:group style="position:absolute;left:5530;top:14634;width:1764;height:242" coordorigin="5530,14634" coordsize="1764,242">
              <v:shape style="position:absolute;left:5530;top:14634;width:1764;height:242" coordorigin="5530,14634" coordsize="1764,242" path="m5530,14875l7294,14875,7294,14634,5530,14634,5530,14875xe" filled="true" fillcolor="#dcdcdc" stroked="false">
                <v:path arrowok="t"/>
                <v:fill type="solid"/>
              </v:shape>
            </v:group>
            <v:group style="position:absolute;left:7327;top:14883;width:1810;height:2" coordorigin="7327,14883" coordsize="1810,2">
              <v:shape style="position:absolute;left:7327;top:14883;width:1810;height:2" coordorigin="7327,14883" coordsize="1810,0" path="m7327,14883l9137,14883e" filled="false" stroked="true" strokeweight=".7pt" strokecolor="#dcdcdc">
                <v:path arrowok="t"/>
              </v:shape>
            </v:group>
            <v:group style="position:absolute;left:7339;top:14634;width:2;height:242" coordorigin="7339,14634" coordsize="2,242">
              <v:shape style="position:absolute;left:7339;top:14634;width:2;height:242" coordorigin="7339,14634" coordsize="0,242" path="m7339,14634l7339,14876e" filled="false" stroked="true" strokeweight="1.140pt" strokecolor="#dcdcdc">
                <v:path arrowok="t"/>
              </v:shape>
            </v:group>
            <v:group style="position:absolute;left:7327;top:14626;width:1810;height:2" coordorigin="7327,14626" coordsize="1810,2">
              <v:shape style="position:absolute;left:7327;top:14626;width:1810;height:2" coordorigin="7327,14626" coordsize="1810,0" path="m7327,14626l9137,14626e" filled="false" stroked="true" strokeweight=".8pt" strokecolor="#dcdcdc">
                <v:path arrowok="t"/>
              </v:shape>
            </v:group>
            <v:group style="position:absolute;left:9125;top:14634;width:2;height:242" coordorigin="9125,14634" coordsize="2,242">
              <v:shape style="position:absolute;left:9125;top:14634;width:2;height:242" coordorigin="9125,14634" coordsize="0,242" path="m9125,14634l9125,14875e" filled="false" stroked="true" strokeweight="1.140pt" strokecolor="#dcdcdc">
                <v:path arrowok="t"/>
              </v:shape>
            </v:group>
            <v:group style="position:absolute;left:7350;top:14634;width:1764;height:242" coordorigin="7350,14634" coordsize="1764,242">
              <v:shape style="position:absolute;left:7350;top:14634;width:1764;height:242" coordorigin="7350,14634" coordsize="1764,242" path="m7350,14634l9114,14634,9114,14875,7350,14875,7350,14634xe" filled="true" fillcolor="#dcdcdc" stroked="false">
                <v:path arrowok="t"/>
                <v:fill type="solid"/>
              </v:shape>
            </v:group>
            <v:group style="position:absolute;left:9146;top:14883;width:1811;height:2" coordorigin="9146,14883" coordsize="1811,2">
              <v:shape style="position:absolute;left:9146;top:14883;width:1811;height:2" coordorigin="9146,14883" coordsize="1811,0" path="m9146,14883l10957,14883e" filled="false" stroked="true" strokeweight=".7pt" strokecolor="#dcdcdc">
                <v:path arrowok="t"/>
              </v:shape>
            </v:group>
            <v:group style="position:absolute;left:9158;top:14634;width:2;height:242" coordorigin="9158,14634" coordsize="2,242">
              <v:shape style="position:absolute;left:9158;top:14634;width:2;height:242" coordorigin="9158,14634" coordsize="0,242" path="m9158,14634l9158,14876e" filled="false" stroked="true" strokeweight="1.2pt" strokecolor="#dcdcdc">
                <v:path arrowok="t"/>
              </v:shape>
            </v:group>
            <v:group style="position:absolute;left:9146;top:14626;width:1811;height:2" coordorigin="9146,14626" coordsize="1811,2">
              <v:shape style="position:absolute;left:9146;top:14626;width:1811;height:2" coordorigin="9146,14626" coordsize="1811,0" path="m9146,14626l10957,14626e" filled="false" stroked="true" strokeweight=".8pt" strokecolor="#dcdcdc">
                <v:path arrowok="t"/>
              </v:shape>
            </v:group>
            <v:group style="position:absolute;left:10946;top:14634;width:2;height:242" coordorigin="10946,14634" coordsize="2,242">
              <v:shape style="position:absolute;left:10946;top:14634;width:2;height:242" coordorigin="10946,14634" coordsize="0,242" path="m10946,14634l10946,14875e" filled="false" stroked="true" strokeweight="1.140pt" strokecolor="#dcdcdc">
                <v:path arrowok="t"/>
              </v:shape>
            </v:group>
            <v:group style="position:absolute;left:9170;top:14634;width:1764;height:242" coordorigin="9170,14634" coordsize="1764,242">
              <v:shape style="position:absolute;left:9170;top:14634;width:1764;height:242" coordorigin="9170,14634" coordsize="1764,242" path="m9170,14875l10934,14875,10934,14634,9170,14634,9170,14875xe" filled="true" fillcolor="#dcdcdc" stroked="false">
                <v:path arrowok="t"/>
                <v:fill type="solid"/>
              </v:shape>
            </v:group>
            <v:group style="position:absolute;left:1129;top:14614;width:9838;height:2" coordorigin="1129,14614" coordsize="9838,2">
              <v:shape style="position:absolute;left:1129;top:14614;width:9838;height:2" coordorigin="1129,14614" coordsize="9838,0" path="m1129,14614l10967,14614e" filled="false" stroked="true" strokeweight=".47998pt" strokecolor="#000000">
                <v:path arrowok="t"/>
              </v:shape>
            </v:group>
            <v:group style="position:absolute;left:3682;top:14618;width:2;height:273" coordorigin="3682,14618" coordsize="2,273">
              <v:shape style="position:absolute;left:3682;top:14618;width:2;height:273" coordorigin="3682,14618" coordsize="0,273" path="m3682,14618l3682,14891e" filled="false" stroked="true" strokeweight=".47998pt" strokecolor="#000000">
                <v:path arrowok="t"/>
              </v:shape>
            </v:group>
            <v:group style="position:absolute;left:5502;top:14618;width:2;height:273" coordorigin="5502,14618" coordsize="2,273">
              <v:shape style="position:absolute;left:5502;top:14618;width:2;height:273" coordorigin="5502,14618" coordsize="0,273" path="m5502,14618l5502,14891e" filled="false" stroked="true" strokeweight=".47998pt" strokecolor="#000000">
                <v:path arrowok="t"/>
              </v:shape>
            </v:group>
            <v:group style="position:absolute;left:7322;top:14618;width:2;height:273" coordorigin="7322,14618" coordsize="2,273">
              <v:shape style="position:absolute;left:7322;top:14618;width:2;height:273" coordorigin="7322,14618" coordsize="0,273" path="m7322,14618l7322,14891e" filled="false" stroked="true" strokeweight=".48001pt" strokecolor="#000000">
                <v:path arrowok="t"/>
              </v:shape>
            </v:group>
            <v:group style="position:absolute;left:9142;top:14618;width:2;height:273" coordorigin="9142,14618" coordsize="2,273">
              <v:shape style="position:absolute;left:9142;top:14618;width:2;height:273" coordorigin="9142,14618" coordsize="0,273" path="m9142,14618l9142,14891e" filled="false" stroked="true" strokeweight=".48001pt" strokecolor="#000000">
                <v:path arrowok="t"/>
              </v:shape>
            </v:group>
            <v:group style="position:absolute;left:1139;top:15173;width:2538;height:2" coordorigin="1139,15173" coordsize="2538,2">
              <v:shape style="position:absolute;left:1139;top:15173;width:2538;height:2" coordorigin="1139,15173" coordsize="2538,0" path="m1139,15173l3677,15173e" filled="false" stroked="true" strokeweight=".1pt" strokecolor="#dcdcdc">
                <v:path arrowok="t"/>
              </v:shape>
            </v:group>
            <v:group style="position:absolute;left:1150;top:14902;width:2;height:270" coordorigin="1150,14902" coordsize="2,270">
              <v:shape style="position:absolute;left:1150;top:14902;width:2;height:270" coordorigin="1150,14902" coordsize="0,270" path="m1150,14902l1150,15172e" filled="false" stroked="true" strokeweight="1.140pt" strokecolor="#dcdcdc">
                <v:path arrowok="t"/>
              </v:shape>
            </v:group>
            <v:group style="position:absolute;left:3665;top:14902;width:2;height:272" coordorigin="3665,14902" coordsize="2,272">
              <v:shape style="position:absolute;left:3665;top:14902;width:2;height:272" coordorigin="3665,14902" coordsize="0,272" path="m3665,14902l3665,15173e" filled="false" stroked="true" strokeweight="1.140pt" strokecolor="#dcdcdc">
                <v:path arrowok="t"/>
              </v:shape>
            </v:group>
            <v:group style="position:absolute;left:1162;top:14900;width:2493;height:273" coordorigin="1162,14900" coordsize="2493,273">
              <v:shape style="position:absolute;left:1162;top:14900;width:2493;height:273" coordorigin="1162,14900" coordsize="2493,273" path="m1162,15173l3654,15173,3654,14900,1162,14900,1162,15173xe" filled="true" fillcolor="#dcdcdc" stroked="false">
                <v:path arrowok="t"/>
                <v:fill type="solid"/>
              </v:shape>
            </v:group>
            <v:group style="position:absolute;left:1129;top:14896;width:9838;height:2" coordorigin="1129,14896" coordsize="9838,2">
              <v:shape style="position:absolute;left:1129;top:14896;width:9838;height:2" coordorigin="1129,14896" coordsize="9838,0" path="m1129,14896l10967,14896e" filled="false" stroked="true" strokeweight=".47998pt" strokecolor="#000000">
                <v:path arrowok="t"/>
              </v:shape>
            </v:group>
            <v:group style="position:absolute;left:1134;top:2286;width:2;height:12898" coordorigin="1134,2286" coordsize="2,12898">
              <v:shape style="position:absolute;left:1134;top:2286;width:2;height:12898" coordorigin="1134,2286" coordsize="0,12898" path="m1134,2286l1134,15184e" filled="false" stroked="true" strokeweight=".48001pt" strokecolor="#000000">
                <v:path arrowok="t"/>
              </v:shape>
            </v:group>
            <v:group style="position:absolute;left:1129;top:15179;width:2548;height:2" coordorigin="1129,15179" coordsize="2548,2">
              <v:shape style="position:absolute;left:1129;top:15179;width:2548;height:2" coordorigin="1129,15179" coordsize="2548,0" path="m1129,15179l3677,15179e" filled="false" stroked="true" strokeweight=".47998pt" strokecolor="#000000">
                <v:path arrowok="t"/>
              </v:shape>
            </v:group>
            <v:group style="position:absolute;left:3682;top:14900;width:2;height:284" coordorigin="3682,14900" coordsize="2,284">
              <v:shape style="position:absolute;left:3682;top:14900;width:2;height:284" coordorigin="3682,14900" coordsize="0,284" path="m3682,14900l3682,15184e" filled="false" stroked="true" strokeweight=".47998pt" strokecolor="#000000">
                <v:path arrowok="t"/>
              </v:shape>
            </v:group>
            <v:group style="position:absolute;left:3686;top:15179;width:1811;height:2" coordorigin="3686,15179" coordsize="1811,2">
              <v:shape style="position:absolute;left:3686;top:15179;width:1811;height:2" coordorigin="3686,15179" coordsize="1811,0" path="m3686,15179l5497,15179e" filled="false" stroked="true" strokeweight=".47998pt" strokecolor="#000000">
                <v:path arrowok="t"/>
              </v:shape>
            </v:group>
            <v:group style="position:absolute;left:5502;top:14900;width:2;height:284" coordorigin="5502,14900" coordsize="2,284">
              <v:shape style="position:absolute;left:5502;top:14900;width:2;height:284" coordorigin="5502,14900" coordsize="0,284" path="m5502,14900l5502,15184e" filled="false" stroked="true" strokeweight=".47998pt" strokecolor="#000000">
                <v:path arrowok="t"/>
              </v:shape>
            </v:group>
            <v:group style="position:absolute;left:5507;top:15179;width:1811;height:2" coordorigin="5507,15179" coordsize="1811,2">
              <v:shape style="position:absolute;left:5507;top:15179;width:1811;height:2" coordorigin="5507,15179" coordsize="1811,0" path="m5507,15179l7318,15179e" filled="false" stroked="true" strokeweight=".47998pt" strokecolor="#000000">
                <v:path arrowok="t"/>
              </v:shape>
            </v:group>
            <v:group style="position:absolute;left:7322;top:14900;width:2;height:284" coordorigin="7322,14900" coordsize="2,284">
              <v:shape style="position:absolute;left:7322;top:14900;width:2;height:284" coordorigin="7322,14900" coordsize="0,284" path="m7322,14900l7322,15184e" filled="false" stroked="true" strokeweight=".48001pt" strokecolor="#000000">
                <v:path arrowok="t"/>
              </v:shape>
            </v:group>
            <v:group style="position:absolute;left:7327;top:15179;width:1810;height:2" coordorigin="7327,15179" coordsize="1810,2">
              <v:shape style="position:absolute;left:7327;top:15179;width:1810;height:2" coordorigin="7327,15179" coordsize="1810,0" path="m7327,15179l9137,15179e" filled="false" stroked="true" strokeweight=".47998pt" strokecolor="#000000">
                <v:path arrowok="t"/>
              </v:shape>
            </v:group>
            <v:group style="position:absolute;left:9142;top:14900;width:2;height:284" coordorigin="9142,14900" coordsize="2,284">
              <v:shape style="position:absolute;left:9142;top:14900;width:2;height:284" coordorigin="9142,14900" coordsize="0,284" path="m9142,14900l9142,15184e" filled="false" stroked="true" strokeweight=".48001pt" strokecolor="#000000">
                <v:path arrowok="t"/>
              </v:shape>
            </v:group>
            <v:group style="position:absolute;left:9146;top:15179;width:1811;height:2" coordorigin="9146,15179" coordsize="1811,2">
              <v:shape style="position:absolute;left:9146;top:15179;width:1811;height:2" coordorigin="9146,15179" coordsize="1811,0" path="m9146,15179l10957,15179e" filled="false" stroked="true" strokeweight=".47998pt" strokecolor="#000000">
                <v:path arrowok="t"/>
              </v:shape>
            </v:group>
            <v:group style="position:absolute;left:10962;top:2286;width:2;height:12898" coordorigin="10962,2286" coordsize="2,12898">
              <v:shape style="position:absolute;left:10962;top:2286;width:2;height:12898" coordorigin="10962,2286" coordsize="0,12898" path="m10962,2286l10962,15184e" filled="false" stroked="true" strokeweight=".47998pt" strokecolor="#000000">
                <v:path arrowok="t"/>
              </v:shape>
            </v:group>
            <w10:wrap type="none"/>
          </v:group>
        </w:pict>
      </w:r>
    </w:p>
    <w:p>
      <w:pPr>
        <w:spacing w:line="20" w:lineRule="exact"/>
        <w:ind w:left="11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65pt;height:.75pt;mso-position-horizontal-relative:char;mso-position-vertical-relative:line" coordorigin="0,0" coordsize="9713,15">
            <v:group style="position:absolute;left:7;top:7;width:9699;height:2" coordorigin="7,7" coordsize="9699,2">
              <v:shape style="position:absolute;left:7;top:7;width:9699;height:2" coordorigin="7,7" coordsize="9699,0" path="m7,7l9706,7e" filled="false" stroked="true" strokeweight=".72003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7"/>
          <w:szCs w:val="17"/>
        </w:rPr>
      </w:pPr>
    </w:p>
    <w:p>
      <w:pPr>
        <w:spacing w:before="0"/>
        <w:ind w:left="154"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、利润表</w:t>
      </w:r>
      <w:r>
        <w:rPr>
          <w:rFonts w:ascii="宋体" w:hAnsi="宋体" w:cs="宋体" w:eastAsia="宋体" w:hint="default"/>
          <w:sz w:val="21"/>
          <w:szCs w:val="21"/>
        </w:rPr>
      </w:r>
    </w:p>
    <w:p>
      <w:pPr>
        <w:spacing w:line="240" w:lineRule="auto" w:before="8"/>
        <w:rPr>
          <w:rFonts w:ascii="宋体" w:hAnsi="宋体" w:cs="宋体" w:eastAsia="宋体" w:hint="default"/>
          <w:b/>
          <w:bCs/>
          <w:sz w:val="21"/>
          <w:szCs w:val="21"/>
        </w:rPr>
      </w:pPr>
    </w:p>
    <w:p>
      <w:pPr>
        <w:tabs>
          <w:tab w:pos="4983" w:val="left" w:leader="none"/>
          <w:tab w:pos="7835" w:val="left" w:leader="none"/>
        </w:tabs>
        <w:spacing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编制单位：深圳大通实业股份有限公司</w:t>
        <w:tab/>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2 </w:t>
      </w:r>
      <w:r>
        <w:rPr>
          <w:rFonts w:ascii="宋体" w:hAnsi="宋体" w:cs="宋体" w:eastAsia="宋体" w:hint="default"/>
          <w:sz w:val="21"/>
          <w:szCs w:val="21"/>
        </w:rPr>
        <w:t>月</w:t>
        <w:tab/>
        <w:t>单位</w:t>
      </w:r>
      <w:r>
        <w:rPr>
          <w:rFonts w:ascii="宋体" w:hAnsi="宋体" w:cs="宋体" w:eastAsia="宋体" w:hint="default"/>
          <w:spacing w:val="-105"/>
          <w:sz w:val="21"/>
          <w:szCs w:val="21"/>
        </w:rPr>
        <w:t>：</w:t>
      </w:r>
      <w:r>
        <w:rPr>
          <w:rFonts w:ascii="宋体" w:hAnsi="宋体" w:cs="宋体" w:eastAsia="宋体" w:hint="default"/>
          <w:sz w:val="21"/>
          <w:szCs w:val="21"/>
        </w:rPr>
        <w:t>（人</w:t>
      </w:r>
      <w:r>
        <w:rPr>
          <w:rFonts w:ascii="宋体" w:hAnsi="宋体" w:cs="宋体" w:eastAsia="宋体" w:hint="default"/>
          <w:spacing w:val="-2"/>
          <w:sz w:val="21"/>
          <w:szCs w:val="21"/>
        </w:rPr>
        <w:t>民</w:t>
      </w:r>
      <w:r>
        <w:rPr>
          <w:rFonts w:ascii="宋体" w:hAnsi="宋体" w:cs="宋体" w:eastAsia="宋体" w:hint="default"/>
          <w:sz w:val="21"/>
          <w:szCs w:val="21"/>
        </w:rPr>
        <w:t>币）元</w:t>
      </w:r>
    </w:p>
    <w:tbl>
      <w:tblPr>
        <w:tblW w:w="0" w:type="auto"/>
        <w:jc w:val="left"/>
        <w:tblInd w:w="165" w:type="dxa"/>
        <w:tblLayout w:type="fixed"/>
        <w:tblCellMar>
          <w:top w:w="0" w:type="dxa"/>
          <w:left w:w="0" w:type="dxa"/>
          <w:bottom w:w="0" w:type="dxa"/>
          <w:right w:w="0" w:type="dxa"/>
        </w:tblCellMar>
        <w:tblLook w:val="01E0"/>
      </w:tblPr>
      <w:tblGrid>
        <w:gridCol w:w="2525"/>
        <w:gridCol w:w="1832"/>
        <w:gridCol w:w="1820"/>
        <w:gridCol w:w="1819"/>
        <w:gridCol w:w="1820"/>
      </w:tblGrid>
      <w:tr>
        <w:trPr>
          <w:trHeight w:val="847"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428" w:lineRule="exact" w:before="8"/>
              <w:ind w:left="16" w:right="1036" w:firstLine="1035"/>
              <w:jc w:val="left"/>
              <w:rPr>
                <w:rFonts w:ascii="宋体" w:hAnsi="宋体" w:cs="宋体" w:eastAsia="宋体" w:hint="default"/>
                <w:sz w:val="21"/>
                <w:szCs w:val="21"/>
              </w:rPr>
            </w:pPr>
            <w:r>
              <w:rPr>
                <w:rFonts w:ascii="宋体" w:hAnsi="宋体" w:cs="宋体" w:eastAsia="宋体" w:hint="default"/>
                <w:sz w:val="21"/>
                <w:szCs w:val="21"/>
              </w:rPr>
              <w:t>项目 一、营业总收入</w:t>
            </w:r>
          </w:p>
        </w:tc>
        <w:tc>
          <w:tcPr>
            <w:tcW w:w="3652" w:type="dxa"/>
            <w:gridSpan w:val="2"/>
            <w:tcBorders>
              <w:top w:val="nil" w:sz="6" w:space="0" w:color="auto"/>
              <w:left w:val="nil" w:sz="6" w:space="0" w:color="auto"/>
              <w:bottom w:val="nil" w:sz="6" w:space="0" w:color="auto"/>
              <w:right w:val="nil" w:sz="6" w:space="0" w:color="auto"/>
            </w:tcBorders>
          </w:tcPr>
          <w:p>
            <w:pPr>
              <w:pStyle w:val="TableParagraph"/>
              <w:spacing w:line="244" w:lineRule="exact"/>
              <w:ind w:left="11" w:right="0"/>
              <w:jc w:val="center"/>
              <w:rPr>
                <w:rFonts w:ascii="宋体" w:hAnsi="宋体" w:cs="宋体" w:eastAsia="宋体" w:hint="default"/>
                <w:sz w:val="21"/>
                <w:szCs w:val="21"/>
              </w:rPr>
            </w:pPr>
            <w:r>
              <w:rPr>
                <w:rFonts w:ascii="宋体" w:hAnsi="宋体" w:cs="宋体" w:eastAsia="宋体" w:hint="default"/>
                <w:sz w:val="21"/>
                <w:szCs w:val="21"/>
              </w:rPr>
              <w:t>本期金额</w:t>
            </w:r>
          </w:p>
          <w:p>
            <w:pPr>
              <w:pStyle w:val="TableParagraph"/>
              <w:tabs>
                <w:tab w:pos="1829" w:val="left" w:leader="none"/>
              </w:tabs>
              <w:spacing w:line="240" w:lineRule="auto" w:before="7"/>
              <w:ind w:left="115" w:right="0"/>
              <w:jc w:val="center"/>
              <w:rPr>
                <w:rFonts w:ascii="宋体" w:hAnsi="宋体" w:cs="宋体" w:eastAsia="宋体" w:hint="default"/>
                <w:sz w:val="21"/>
                <w:szCs w:val="21"/>
              </w:rPr>
            </w:pPr>
            <w:r>
              <w:rPr>
                <w:rFonts w:ascii="宋体" w:hAnsi="宋体" w:cs="宋体" w:eastAsia="宋体" w:hint="default"/>
                <w:sz w:val="21"/>
                <w:szCs w:val="21"/>
              </w:rPr>
              <w:t>合并</w:t>
              <w:tab/>
              <w:t>母公司</w:t>
            </w:r>
          </w:p>
          <w:p>
            <w:pPr>
              <w:pStyle w:val="TableParagraph"/>
              <w:tabs>
                <w:tab w:pos="3255" w:val="left" w:leader="none"/>
              </w:tabs>
              <w:spacing w:line="240" w:lineRule="auto" w:before="56"/>
              <w:ind w:left="1435" w:right="0"/>
              <w:jc w:val="left"/>
              <w:rPr>
                <w:rFonts w:ascii="Times New Roman" w:hAnsi="Times New Roman" w:cs="Times New Roman" w:eastAsia="Times New Roman" w:hint="default"/>
                <w:sz w:val="21"/>
                <w:szCs w:val="21"/>
              </w:rPr>
            </w:pPr>
            <w:r>
              <w:rPr>
                <w:rFonts w:ascii="Times New Roman"/>
                <w:spacing w:val="-1"/>
                <w:sz w:val="21"/>
              </w:rPr>
              <w:t>0.00</w:t>
              <w:tab/>
              <w:t>0.00</w:t>
            </w:r>
          </w:p>
        </w:tc>
        <w:tc>
          <w:tcPr>
            <w:tcW w:w="3640" w:type="dxa"/>
            <w:gridSpan w:val="2"/>
            <w:tcBorders>
              <w:top w:val="nil" w:sz="6" w:space="0" w:color="auto"/>
              <w:left w:val="nil" w:sz="6" w:space="0" w:color="auto"/>
              <w:bottom w:val="nil" w:sz="6" w:space="0" w:color="auto"/>
              <w:right w:val="nil" w:sz="6" w:space="0" w:color="auto"/>
            </w:tcBorders>
          </w:tcPr>
          <w:p>
            <w:pPr>
              <w:pStyle w:val="TableParagraph"/>
              <w:spacing w:line="244" w:lineRule="exact"/>
              <w:ind w:right="1"/>
              <w:jc w:val="center"/>
              <w:rPr>
                <w:rFonts w:ascii="宋体" w:hAnsi="宋体" w:cs="宋体" w:eastAsia="宋体" w:hint="default"/>
                <w:sz w:val="21"/>
                <w:szCs w:val="21"/>
              </w:rPr>
            </w:pPr>
            <w:r>
              <w:rPr>
                <w:rFonts w:ascii="宋体" w:hAnsi="宋体" w:cs="宋体" w:eastAsia="宋体" w:hint="default"/>
                <w:sz w:val="21"/>
                <w:szCs w:val="21"/>
              </w:rPr>
              <w:t>上期金额</w:t>
            </w:r>
          </w:p>
          <w:p>
            <w:pPr>
              <w:pStyle w:val="TableParagraph"/>
              <w:tabs>
                <w:tab w:pos="1819" w:val="left" w:leader="none"/>
              </w:tabs>
              <w:spacing w:line="240" w:lineRule="auto" w:before="7"/>
              <w:ind w:left="104" w:right="0"/>
              <w:jc w:val="center"/>
              <w:rPr>
                <w:rFonts w:ascii="宋体" w:hAnsi="宋体" w:cs="宋体" w:eastAsia="宋体" w:hint="default"/>
                <w:sz w:val="21"/>
                <w:szCs w:val="21"/>
              </w:rPr>
            </w:pPr>
            <w:r>
              <w:rPr>
                <w:rFonts w:ascii="宋体" w:hAnsi="宋体" w:cs="宋体" w:eastAsia="宋体" w:hint="default"/>
                <w:sz w:val="21"/>
                <w:szCs w:val="21"/>
              </w:rPr>
              <w:t>合并</w:t>
              <w:tab/>
              <w:t>母公司</w:t>
            </w:r>
          </w:p>
          <w:p>
            <w:pPr>
              <w:pStyle w:val="TableParagraph"/>
              <w:tabs>
                <w:tab w:pos="2509" w:val="left" w:leader="none"/>
              </w:tabs>
              <w:spacing w:line="240" w:lineRule="auto" w:before="56"/>
              <w:ind w:left="689" w:right="0"/>
              <w:jc w:val="left"/>
              <w:rPr>
                <w:rFonts w:ascii="Times New Roman" w:hAnsi="Times New Roman" w:cs="Times New Roman" w:eastAsia="Times New Roman" w:hint="default"/>
                <w:sz w:val="21"/>
                <w:szCs w:val="21"/>
              </w:rPr>
            </w:pPr>
            <w:r>
              <w:rPr>
                <w:rFonts w:ascii="Times New Roman"/>
                <w:spacing w:val="-1"/>
                <w:sz w:val="21"/>
              </w:rPr>
              <w:t>1,781,578.70</w:t>
              <w:tab/>
              <w:t>1,781,578.70</w:t>
            </w:r>
          </w:p>
        </w:tc>
      </w:tr>
      <w:tr>
        <w:trPr>
          <w:trHeight w:val="282"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4" w:lineRule="exact"/>
              <w:ind w:left="16" w:right="0"/>
              <w:jc w:val="left"/>
              <w:rPr>
                <w:rFonts w:ascii="宋体" w:hAnsi="宋体" w:cs="宋体" w:eastAsia="宋体" w:hint="default"/>
                <w:sz w:val="21"/>
                <w:szCs w:val="21"/>
              </w:rPr>
            </w:pPr>
            <w:r>
              <w:rPr>
                <w:rFonts w:ascii="宋体" w:hAnsi="宋体" w:cs="宋体" w:eastAsia="宋体" w:hint="default"/>
                <w:sz w:val="21"/>
                <w:szCs w:val="21"/>
              </w:rPr>
              <w:t>其中：营业收入</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6"/>
              <w:jc w:val="right"/>
              <w:rPr>
                <w:rFonts w:ascii="Times New Roman" w:hAnsi="Times New Roman" w:cs="Times New Roman" w:eastAsia="Times New Roman" w:hint="default"/>
                <w:sz w:val="21"/>
                <w:szCs w:val="21"/>
              </w:rPr>
            </w:pPr>
            <w:r>
              <w:rPr>
                <w:rFonts w:ascii="Times New Roman"/>
                <w:spacing w:val="-1"/>
                <w:sz w:val="21"/>
              </w:rPr>
              <w:t>0.00</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7"/>
              <w:jc w:val="right"/>
              <w:rPr>
                <w:rFonts w:ascii="Times New Roman" w:hAnsi="Times New Roman" w:cs="Times New Roman" w:eastAsia="Times New Roman" w:hint="default"/>
                <w:sz w:val="21"/>
                <w:szCs w:val="21"/>
              </w:rPr>
            </w:pPr>
            <w:r>
              <w:rPr>
                <w:rFonts w:ascii="Times New Roman"/>
                <w:spacing w:val="-1"/>
                <w:sz w:val="21"/>
              </w:rPr>
              <w:t>0.00</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
              <w:jc w:val="right"/>
              <w:rPr>
                <w:rFonts w:ascii="Times New Roman" w:hAnsi="Times New Roman" w:cs="Times New Roman" w:eastAsia="Times New Roman" w:hint="default"/>
                <w:sz w:val="21"/>
                <w:szCs w:val="21"/>
              </w:rPr>
            </w:pPr>
            <w:r>
              <w:rPr>
                <w:rFonts w:ascii="Times New Roman"/>
                <w:spacing w:val="-1"/>
                <w:sz w:val="21"/>
              </w:rPr>
              <w:t>1,781,578.70</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
              <w:jc w:val="right"/>
              <w:rPr>
                <w:rFonts w:ascii="Times New Roman" w:hAnsi="Times New Roman" w:cs="Times New Roman" w:eastAsia="Times New Roman" w:hint="default"/>
                <w:sz w:val="21"/>
                <w:szCs w:val="21"/>
              </w:rPr>
            </w:pPr>
            <w:r>
              <w:rPr>
                <w:rFonts w:ascii="Times New Roman"/>
                <w:spacing w:val="-1"/>
                <w:sz w:val="21"/>
              </w:rPr>
              <w:t>1,781,578.70</w:t>
            </w:r>
          </w:p>
        </w:tc>
      </w:tr>
      <w:tr>
        <w:trPr>
          <w:trHeight w:val="282"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4" w:lineRule="exact"/>
              <w:ind w:left="647"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1832"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c>
          <w:tcPr>
            <w:tcW w:w="1819"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r>
      <w:tr>
        <w:trPr>
          <w:trHeight w:val="244"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4" w:lineRule="exact"/>
              <w:ind w:left="647" w:right="0"/>
              <w:jc w:val="left"/>
              <w:rPr>
                <w:rFonts w:ascii="宋体" w:hAnsi="宋体" w:cs="宋体" w:eastAsia="宋体" w:hint="default"/>
                <w:sz w:val="21"/>
                <w:szCs w:val="21"/>
              </w:rPr>
            </w:pPr>
            <w:r>
              <w:rPr>
                <w:rFonts w:ascii="宋体" w:hAnsi="宋体" w:cs="宋体" w:eastAsia="宋体" w:hint="default"/>
                <w:sz w:val="21"/>
                <w:szCs w:val="21"/>
              </w:rPr>
              <w:t>已赚保费</w:t>
            </w:r>
          </w:p>
        </w:tc>
        <w:tc>
          <w:tcPr>
            <w:tcW w:w="1832"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c>
          <w:tcPr>
            <w:tcW w:w="1819"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r>
      <w:tr>
        <w:trPr>
          <w:trHeight w:val="321"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0" w:lineRule="auto" w:before="8"/>
              <w:ind w:left="647" w:right="0"/>
              <w:jc w:val="left"/>
              <w:rPr>
                <w:rFonts w:ascii="宋体" w:hAnsi="宋体" w:cs="宋体" w:eastAsia="宋体" w:hint="default"/>
                <w:sz w:val="21"/>
                <w:szCs w:val="21"/>
              </w:rPr>
            </w:pPr>
            <w:r>
              <w:rPr>
                <w:rFonts w:ascii="宋体" w:hAnsi="宋体" w:cs="宋体" w:eastAsia="宋体" w:hint="default"/>
                <w:sz w:val="21"/>
                <w:szCs w:val="21"/>
              </w:rPr>
              <w:t>手续费及佣金收入</w:t>
            </w:r>
          </w:p>
        </w:tc>
        <w:tc>
          <w:tcPr>
            <w:tcW w:w="1832"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c>
          <w:tcPr>
            <w:tcW w:w="1819"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r>
      <w:tr>
        <w:trPr>
          <w:trHeight w:val="282"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4" w:lineRule="exact"/>
              <w:ind w:left="16" w:right="0"/>
              <w:jc w:val="left"/>
              <w:rPr>
                <w:rFonts w:ascii="宋体" w:hAnsi="宋体" w:cs="宋体" w:eastAsia="宋体" w:hint="default"/>
                <w:sz w:val="21"/>
                <w:szCs w:val="21"/>
              </w:rPr>
            </w:pPr>
            <w:r>
              <w:rPr>
                <w:rFonts w:ascii="宋体" w:hAnsi="宋体" w:cs="宋体" w:eastAsia="宋体" w:hint="default"/>
                <w:sz w:val="21"/>
                <w:szCs w:val="21"/>
              </w:rPr>
              <w:t>二、营业总成本</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
              <w:jc w:val="right"/>
              <w:rPr>
                <w:rFonts w:ascii="Times New Roman" w:hAnsi="Times New Roman" w:cs="Times New Roman" w:eastAsia="Times New Roman" w:hint="default"/>
                <w:sz w:val="21"/>
                <w:szCs w:val="21"/>
              </w:rPr>
            </w:pPr>
            <w:r>
              <w:rPr>
                <w:rFonts w:ascii="Times New Roman"/>
                <w:spacing w:val="-1"/>
                <w:sz w:val="21"/>
              </w:rPr>
              <w:t>8,396,757.73</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5"/>
              <w:jc w:val="right"/>
              <w:rPr>
                <w:rFonts w:ascii="Times New Roman" w:hAnsi="Times New Roman" w:cs="Times New Roman" w:eastAsia="Times New Roman" w:hint="default"/>
                <w:sz w:val="21"/>
                <w:szCs w:val="21"/>
              </w:rPr>
            </w:pPr>
            <w:r>
              <w:rPr>
                <w:rFonts w:ascii="Times New Roman"/>
                <w:spacing w:val="-1"/>
                <w:sz w:val="21"/>
              </w:rPr>
              <w:t>6,971,823.55</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
              <w:jc w:val="right"/>
              <w:rPr>
                <w:rFonts w:ascii="Times New Roman" w:hAnsi="Times New Roman" w:cs="Times New Roman" w:eastAsia="Times New Roman" w:hint="default"/>
                <w:sz w:val="21"/>
                <w:szCs w:val="21"/>
              </w:rPr>
            </w:pPr>
            <w:r>
              <w:rPr>
                <w:rFonts w:ascii="Times New Roman"/>
                <w:spacing w:val="-1"/>
                <w:sz w:val="21"/>
              </w:rPr>
              <w:t>15,594,947.03</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
              <w:jc w:val="right"/>
              <w:rPr>
                <w:rFonts w:ascii="Times New Roman" w:hAnsi="Times New Roman" w:cs="Times New Roman" w:eastAsia="Times New Roman" w:hint="default"/>
                <w:sz w:val="21"/>
                <w:szCs w:val="21"/>
              </w:rPr>
            </w:pPr>
            <w:r>
              <w:rPr>
                <w:rFonts w:ascii="Times New Roman"/>
                <w:spacing w:val="-1"/>
                <w:sz w:val="21"/>
              </w:rPr>
              <w:t>15,594,947.03</w:t>
            </w:r>
          </w:p>
        </w:tc>
      </w:tr>
      <w:tr>
        <w:trPr>
          <w:trHeight w:val="282"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4" w:lineRule="exact"/>
              <w:ind w:left="16" w:right="0"/>
              <w:jc w:val="left"/>
              <w:rPr>
                <w:rFonts w:ascii="宋体" w:hAnsi="宋体" w:cs="宋体" w:eastAsia="宋体" w:hint="default"/>
                <w:sz w:val="21"/>
                <w:szCs w:val="21"/>
              </w:rPr>
            </w:pPr>
            <w:r>
              <w:rPr>
                <w:rFonts w:ascii="宋体" w:hAnsi="宋体" w:cs="宋体" w:eastAsia="宋体" w:hint="default"/>
                <w:sz w:val="21"/>
                <w:szCs w:val="21"/>
              </w:rPr>
              <w:t>其中：营业成本</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6"/>
              <w:jc w:val="right"/>
              <w:rPr>
                <w:rFonts w:ascii="Times New Roman" w:hAnsi="Times New Roman" w:cs="Times New Roman" w:eastAsia="Times New Roman" w:hint="default"/>
                <w:sz w:val="21"/>
                <w:szCs w:val="21"/>
              </w:rPr>
            </w:pPr>
            <w:r>
              <w:rPr>
                <w:rFonts w:ascii="Times New Roman"/>
                <w:spacing w:val="-1"/>
                <w:sz w:val="21"/>
              </w:rPr>
              <w:t>0.00</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7"/>
              <w:jc w:val="right"/>
              <w:rPr>
                <w:rFonts w:ascii="Times New Roman" w:hAnsi="Times New Roman" w:cs="Times New Roman" w:eastAsia="Times New Roman" w:hint="default"/>
                <w:sz w:val="21"/>
                <w:szCs w:val="21"/>
              </w:rPr>
            </w:pPr>
            <w:r>
              <w:rPr>
                <w:rFonts w:ascii="Times New Roman"/>
                <w:spacing w:val="-1"/>
                <w:sz w:val="21"/>
              </w:rPr>
              <w:t>0.00</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
              <w:jc w:val="right"/>
              <w:rPr>
                <w:rFonts w:ascii="Times New Roman" w:hAnsi="Times New Roman" w:cs="Times New Roman" w:eastAsia="Times New Roman" w:hint="default"/>
                <w:sz w:val="21"/>
                <w:szCs w:val="21"/>
              </w:rPr>
            </w:pPr>
            <w:r>
              <w:rPr>
                <w:rFonts w:ascii="Times New Roman"/>
                <w:spacing w:val="-1"/>
                <w:sz w:val="21"/>
              </w:rPr>
              <w:t>1,326,096.09</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
              <w:jc w:val="right"/>
              <w:rPr>
                <w:rFonts w:ascii="Times New Roman" w:hAnsi="Times New Roman" w:cs="Times New Roman" w:eastAsia="Times New Roman" w:hint="default"/>
                <w:sz w:val="21"/>
                <w:szCs w:val="21"/>
              </w:rPr>
            </w:pPr>
            <w:r>
              <w:rPr>
                <w:rFonts w:ascii="Times New Roman"/>
                <w:spacing w:val="-1"/>
                <w:sz w:val="21"/>
              </w:rPr>
              <w:t>1,326,096.09</w:t>
            </w:r>
          </w:p>
        </w:tc>
      </w:tr>
      <w:tr>
        <w:trPr>
          <w:trHeight w:val="244"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4" w:lineRule="exact"/>
              <w:ind w:left="647"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1832"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c>
          <w:tcPr>
            <w:tcW w:w="1819"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r>
      <w:tr>
        <w:trPr>
          <w:trHeight w:val="1440"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7" w:lineRule="auto" w:before="8"/>
              <w:ind w:left="647" w:right="196"/>
              <w:jc w:val="left"/>
              <w:rPr>
                <w:rFonts w:ascii="宋体" w:hAnsi="宋体" w:cs="宋体" w:eastAsia="宋体" w:hint="default"/>
                <w:sz w:val="21"/>
                <w:szCs w:val="21"/>
              </w:rPr>
            </w:pPr>
            <w:r>
              <w:rPr>
                <w:rFonts w:ascii="宋体" w:hAnsi="宋体" w:cs="宋体" w:eastAsia="宋体" w:hint="default"/>
                <w:sz w:val="21"/>
                <w:szCs w:val="21"/>
              </w:rPr>
              <w:t>手续费及佣金支出 退保金 赔付支出净额 提取保险合同准备</w:t>
            </w:r>
          </w:p>
          <w:p>
            <w:pPr>
              <w:pStyle w:val="TableParagraph"/>
              <w:spacing w:line="266" w:lineRule="exact"/>
              <w:ind w:left="16" w:right="0"/>
              <w:jc w:val="left"/>
              <w:rPr>
                <w:rFonts w:ascii="宋体" w:hAnsi="宋体" w:cs="宋体" w:eastAsia="宋体" w:hint="default"/>
                <w:sz w:val="21"/>
                <w:szCs w:val="21"/>
              </w:rPr>
            </w:pPr>
            <w:r>
              <w:rPr>
                <w:rFonts w:ascii="宋体" w:hAnsi="宋体" w:cs="宋体" w:eastAsia="宋体" w:hint="default"/>
                <w:sz w:val="21"/>
                <w:szCs w:val="21"/>
              </w:rPr>
              <w:t>金净额</w:t>
            </w:r>
          </w:p>
        </w:tc>
        <w:tc>
          <w:tcPr>
            <w:tcW w:w="1832"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c>
          <w:tcPr>
            <w:tcW w:w="1819"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r>
      <w:tr>
        <w:trPr>
          <w:trHeight w:val="282"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4" w:lineRule="exact"/>
              <w:ind w:left="647" w:right="0"/>
              <w:jc w:val="left"/>
              <w:rPr>
                <w:rFonts w:ascii="宋体" w:hAnsi="宋体" w:cs="宋体" w:eastAsia="宋体" w:hint="default"/>
                <w:sz w:val="21"/>
                <w:szCs w:val="21"/>
              </w:rPr>
            </w:pPr>
            <w:r>
              <w:rPr>
                <w:rFonts w:ascii="宋体" w:hAnsi="宋体" w:cs="宋体" w:eastAsia="宋体" w:hint="default"/>
                <w:sz w:val="21"/>
                <w:szCs w:val="21"/>
              </w:rPr>
              <w:t>保单红利支出</w:t>
            </w:r>
          </w:p>
        </w:tc>
        <w:tc>
          <w:tcPr>
            <w:tcW w:w="1832"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c>
          <w:tcPr>
            <w:tcW w:w="1819"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r>
      <w:tr>
        <w:trPr>
          <w:trHeight w:val="282"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4" w:lineRule="exact"/>
              <w:ind w:left="647" w:right="0"/>
              <w:jc w:val="left"/>
              <w:rPr>
                <w:rFonts w:ascii="宋体" w:hAnsi="宋体" w:cs="宋体" w:eastAsia="宋体" w:hint="default"/>
                <w:sz w:val="21"/>
                <w:szCs w:val="21"/>
              </w:rPr>
            </w:pPr>
            <w:r>
              <w:rPr>
                <w:rFonts w:ascii="宋体" w:hAnsi="宋体" w:cs="宋体" w:eastAsia="宋体" w:hint="default"/>
                <w:sz w:val="21"/>
                <w:szCs w:val="21"/>
              </w:rPr>
              <w:t>分保费用</w:t>
            </w:r>
          </w:p>
        </w:tc>
        <w:tc>
          <w:tcPr>
            <w:tcW w:w="1832"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c>
          <w:tcPr>
            <w:tcW w:w="1819"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r>
      <w:tr>
        <w:trPr>
          <w:trHeight w:val="283"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4" w:lineRule="exact"/>
              <w:ind w:left="647"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5"/>
              <w:jc w:val="right"/>
              <w:rPr>
                <w:rFonts w:ascii="Times New Roman" w:hAnsi="Times New Roman" w:cs="Times New Roman" w:eastAsia="Times New Roman" w:hint="default"/>
                <w:sz w:val="21"/>
                <w:szCs w:val="21"/>
              </w:rPr>
            </w:pPr>
            <w:r>
              <w:rPr>
                <w:rFonts w:ascii="Times New Roman"/>
                <w:spacing w:val="-1"/>
                <w:sz w:val="21"/>
              </w:rPr>
              <w:t>0.00</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6"/>
              <w:jc w:val="right"/>
              <w:rPr>
                <w:rFonts w:ascii="Times New Roman" w:hAnsi="Times New Roman" w:cs="Times New Roman" w:eastAsia="Times New Roman" w:hint="default"/>
                <w:sz w:val="21"/>
                <w:szCs w:val="21"/>
              </w:rPr>
            </w:pPr>
            <w:r>
              <w:rPr>
                <w:rFonts w:ascii="Times New Roman"/>
                <w:spacing w:val="-1"/>
                <w:sz w:val="21"/>
              </w:rPr>
              <w:t>0.00</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5"/>
              <w:jc w:val="right"/>
              <w:rPr>
                <w:rFonts w:ascii="Times New Roman" w:hAnsi="Times New Roman" w:cs="Times New Roman" w:eastAsia="Times New Roman" w:hint="default"/>
                <w:sz w:val="21"/>
                <w:szCs w:val="21"/>
              </w:rPr>
            </w:pPr>
            <w:r>
              <w:rPr>
                <w:rFonts w:ascii="Times New Roman"/>
                <w:spacing w:val="-1"/>
                <w:sz w:val="21"/>
              </w:rPr>
              <w:t>92,642.10</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5"/>
              <w:jc w:val="right"/>
              <w:rPr>
                <w:rFonts w:ascii="Times New Roman" w:hAnsi="Times New Roman" w:cs="Times New Roman" w:eastAsia="Times New Roman" w:hint="default"/>
                <w:sz w:val="21"/>
                <w:szCs w:val="21"/>
              </w:rPr>
            </w:pPr>
            <w:r>
              <w:rPr>
                <w:rFonts w:ascii="Times New Roman"/>
                <w:spacing w:val="-1"/>
                <w:sz w:val="21"/>
              </w:rPr>
              <w:t>92,642.10</w:t>
            </w:r>
          </w:p>
        </w:tc>
      </w:tr>
      <w:tr>
        <w:trPr>
          <w:trHeight w:val="282"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4" w:lineRule="exact"/>
              <w:ind w:left="647"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5"/>
              <w:jc w:val="right"/>
              <w:rPr>
                <w:rFonts w:ascii="Times New Roman" w:hAnsi="Times New Roman" w:cs="Times New Roman" w:eastAsia="Times New Roman" w:hint="default"/>
                <w:sz w:val="21"/>
                <w:szCs w:val="21"/>
              </w:rPr>
            </w:pPr>
            <w:r>
              <w:rPr>
                <w:rFonts w:ascii="Times New Roman"/>
                <w:spacing w:val="-1"/>
                <w:sz w:val="21"/>
              </w:rPr>
              <w:t>13,475.00</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7"/>
              <w:jc w:val="right"/>
              <w:rPr>
                <w:rFonts w:ascii="Times New Roman" w:hAnsi="Times New Roman" w:cs="Times New Roman" w:eastAsia="Times New Roman" w:hint="default"/>
                <w:sz w:val="21"/>
                <w:szCs w:val="21"/>
              </w:rPr>
            </w:pPr>
            <w:r>
              <w:rPr>
                <w:rFonts w:ascii="Times New Roman"/>
                <w:spacing w:val="-1"/>
                <w:sz w:val="21"/>
              </w:rPr>
              <w:t>0.00</w:t>
            </w:r>
          </w:p>
        </w:tc>
        <w:tc>
          <w:tcPr>
            <w:tcW w:w="1819"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r>
      <w:tr>
        <w:trPr>
          <w:trHeight w:val="282"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4" w:lineRule="exact"/>
              <w:ind w:left="647"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
              <w:jc w:val="right"/>
              <w:rPr>
                <w:rFonts w:ascii="Times New Roman" w:hAnsi="Times New Roman" w:cs="Times New Roman" w:eastAsia="Times New Roman" w:hint="default"/>
                <w:sz w:val="21"/>
                <w:szCs w:val="21"/>
              </w:rPr>
            </w:pPr>
            <w:r>
              <w:rPr>
                <w:rFonts w:ascii="Times New Roman"/>
                <w:spacing w:val="-1"/>
                <w:sz w:val="21"/>
              </w:rPr>
              <w:t>4,973,986.40</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5"/>
              <w:jc w:val="right"/>
              <w:rPr>
                <w:rFonts w:ascii="Times New Roman" w:hAnsi="Times New Roman" w:cs="Times New Roman" w:eastAsia="Times New Roman" w:hint="default"/>
                <w:sz w:val="21"/>
                <w:szCs w:val="21"/>
              </w:rPr>
            </w:pPr>
            <w:r>
              <w:rPr>
                <w:rFonts w:ascii="Times New Roman"/>
                <w:spacing w:val="-1"/>
                <w:sz w:val="21"/>
              </w:rPr>
              <w:t>3,541,069.10</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
              <w:jc w:val="right"/>
              <w:rPr>
                <w:rFonts w:ascii="Times New Roman" w:hAnsi="Times New Roman" w:cs="Times New Roman" w:eastAsia="Times New Roman" w:hint="default"/>
                <w:sz w:val="21"/>
                <w:szCs w:val="21"/>
              </w:rPr>
            </w:pPr>
            <w:r>
              <w:rPr>
                <w:rFonts w:ascii="Times New Roman"/>
                <w:spacing w:val="-1"/>
                <w:sz w:val="21"/>
              </w:rPr>
              <w:t>5,033,713.75</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
              <w:jc w:val="right"/>
              <w:rPr>
                <w:rFonts w:ascii="Times New Roman" w:hAnsi="Times New Roman" w:cs="Times New Roman" w:eastAsia="Times New Roman" w:hint="default"/>
                <w:sz w:val="21"/>
                <w:szCs w:val="21"/>
              </w:rPr>
            </w:pPr>
            <w:r>
              <w:rPr>
                <w:rFonts w:ascii="Times New Roman"/>
                <w:spacing w:val="-1"/>
                <w:sz w:val="21"/>
              </w:rPr>
              <w:t>5,033,713.75</w:t>
            </w:r>
          </w:p>
        </w:tc>
      </w:tr>
      <w:tr>
        <w:trPr>
          <w:trHeight w:val="283"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4" w:lineRule="exact"/>
              <w:ind w:left="647"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
              <w:jc w:val="right"/>
              <w:rPr>
                <w:rFonts w:ascii="Times New Roman" w:hAnsi="Times New Roman" w:cs="Times New Roman" w:eastAsia="Times New Roman" w:hint="default"/>
                <w:sz w:val="21"/>
                <w:szCs w:val="21"/>
              </w:rPr>
            </w:pPr>
            <w:r>
              <w:rPr>
                <w:rFonts w:ascii="Times New Roman"/>
                <w:spacing w:val="-1"/>
                <w:sz w:val="21"/>
              </w:rPr>
              <w:t>3,399,296.33</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5"/>
              <w:jc w:val="right"/>
              <w:rPr>
                <w:rFonts w:ascii="Times New Roman" w:hAnsi="Times New Roman" w:cs="Times New Roman" w:eastAsia="Times New Roman" w:hint="default"/>
                <w:sz w:val="21"/>
                <w:szCs w:val="21"/>
              </w:rPr>
            </w:pPr>
            <w:r>
              <w:rPr>
                <w:rFonts w:ascii="Times New Roman"/>
                <w:spacing w:val="-1"/>
                <w:sz w:val="21"/>
              </w:rPr>
              <w:t>3,420,754.45</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
              <w:jc w:val="right"/>
              <w:rPr>
                <w:rFonts w:ascii="Times New Roman" w:hAnsi="Times New Roman" w:cs="Times New Roman" w:eastAsia="Times New Roman" w:hint="default"/>
                <w:sz w:val="21"/>
                <w:szCs w:val="21"/>
              </w:rPr>
            </w:pPr>
            <w:r>
              <w:rPr>
                <w:rFonts w:ascii="Times New Roman"/>
                <w:spacing w:val="-1"/>
                <w:sz w:val="21"/>
              </w:rPr>
              <w:t>5,502,013.02</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
              <w:jc w:val="right"/>
              <w:rPr>
                <w:rFonts w:ascii="Times New Roman" w:hAnsi="Times New Roman" w:cs="Times New Roman" w:eastAsia="Times New Roman" w:hint="default"/>
                <w:sz w:val="21"/>
                <w:szCs w:val="21"/>
              </w:rPr>
            </w:pPr>
            <w:r>
              <w:rPr>
                <w:rFonts w:ascii="Times New Roman"/>
                <w:spacing w:val="-1"/>
                <w:sz w:val="21"/>
              </w:rPr>
              <w:t>5,502,013.02</w:t>
            </w:r>
          </w:p>
        </w:tc>
      </w:tr>
      <w:tr>
        <w:trPr>
          <w:trHeight w:val="282"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4" w:lineRule="exact"/>
              <w:ind w:left="647"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83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5"/>
              <w:jc w:val="right"/>
              <w:rPr>
                <w:rFonts w:ascii="Times New Roman" w:hAnsi="Times New Roman" w:cs="Times New Roman" w:eastAsia="Times New Roman" w:hint="default"/>
                <w:sz w:val="21"/>
                <w:szCs w:val="21"/>
              </w:rPr>
            </w:pPr>
            <w:r>
              <w:rPr>
                <w:rFonts w:ascii="Times New Roman"/>
                <w:spacing w:val="-1"/>
                <w:sz w:val="21"/>
              </w:rPr>
              <w:t>10,000.00</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6"/>
              <w:jc w:val="right"/>
              <w:rPr>
                <w:rFonts w:ascii="Times New Roman" w:hAnsi="Times New Roman" w:cs="Times New Roman" w:eastAsia="Times New Roman" w:hint="default"/>
                <w:sz w:val="21"/>
                <w:szCs w:val="21"/>
              </w:rPr>
            </w:pPr>
            <w:r>
              <w:rPr>
                <w:rFonts w:ascii="Times New Roman"/>
                <w:spacing w:val="-1"/>
                <w:sz w:val="21"/>
              </w:rPr>
              <w:t>10,000.00</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
              <w:jc w:val="right"/>
              <w:rPr>
                <w:rFonts w:ascii="Times New Roman" w:hAnsi="Times New Roman" w:cs="Times New Roman" w:eastAsia="Times New Roman" w:hint="default"/>
                <w:sz w:val="21"/>
                <w:szCs w:val="21"/>
              </w:rPr>
            </w:pPr>
            <w:r>
              <w:rPr>
                <w:rFonts w:ascii="Times New Roman"/>
                <w:spacing w:val="-1"/>
                <w:sz w:val="21"/>
              </w:rPr>
              <w:t>3,640,482.07</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
              <w:jc w:val="right"/>
              <w:rPr>
                <w:rFonts w:ascii="Times New Roman" w:hAnsi="Times New Roman" w:cs="Times New Roman" w:eastAsia="Times New Roman" w:hint="default"/>
                <w:sz w:val="21"/>
                <w:szCs w:val="21"/>
              </w:rPr>
            </w:pPr>
            <w:r>
              <w:rPr>
                <w:rFonts w:ascii="Times New Roman"/>
                <w:spacing w:val="-1"/>
                <w:sz w:val="21"/>
              </w:rPr>
              <w:t>3,640,482.07</w:t>
            </w:r>
          </w:p>
        </w:tc>
      </w:tr>
      <w:tr>
        <w:trPr>
          <w:trHeight w:val="554"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3" w:lineRule="exact"/>
              <w:ind w:left="227" w:right="0"/>
              <w:jc w:val="left"/>
              <w:rPr>
                <w:rFonts w:ascii="宋体" w:hAnsi="宋体" w:cs="宋体" w:eastAsia="宋体" w:hint="default"/>
                <w:sz w:val="21"/>
                <w:szCs w:val="21"/>
              </w:rPr>
            </w:pPr>
            <w:r>
              <w:rPr>
                <w:rFonts w:ascii="宋体" w:hAnsi="宋体" w:cs="宋体" w:eastAsia="宋体" w:hint="default"/>
                <w:sz w:val="21"/>
                <w:szCs w:val="21"/>
              </w:rPr>
              <w:t>加：公允价值变动收益</w:t>
            </w:r>
          </w:p>
          <w:p>
            <w:pPr>
              <w:pStyle w:val="TableParagraph"/>
              <w:spacing w:line="289" w:lineRule="exact"/>
              <w:ind w:left="16" w:right="0"/>
              <w:jc w:val="left"/>
              <w:rPr>
                <w:rFonts w:ascii="宋体" w:hAnsi="宋体" w:cs="宋体" w:eastAsia="宋体" w:hint="default"/>
                <w:sz w:val="21"/>
                <w:szCs w:val="21"/>
              </w:rPr>
            </w:pPr>
            <w:r>
              <w:rPr>
                <w:rFonts w:ascii="宋体" w:hAnsi="宋体" w:cs="宋体" w:eastAsia="宋体" w:hint="default"/>
                <w:sz w:val="21"/>
                <w:szCs w:val="21"/>
              </w:rPr>
              <w:t>（损失以“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32"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c>
          <w:tcPr>
            <w:tcW w:w="1819"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r>
      <w:tr>
        <w:trPr>
          <w:trHeight w:val="554" w:hRule="exact"/>
        </w:trPr>
        <w:tc>
          <w:tcPr>
            <w:tcW w:w="4357" w:type="dxa"/>
            <w:gridSpan w:val="2"/>
            <w:tcBorders>
              <w:top w:val="nil" w:sz="6" w:space="0" w:color="auto"/>
              <w:left w:val="nil" w:sz="6" w:space="0" w:color="auto"/>
              <w:bottom w:val="nil" w:sz="6" w:space="0" w:color="auto"/>
              <w:right w:val="nil" w:sz="6" w:space="0" w:color="auto"/>
            </w:tcBorders>
            <w:shd w:val="clear" w:color="auto" w:fill="DCDCDC"/>
          </w:tcPr>
          <w:p>
            <w:pPr>
              <w:pStyle w:val="TableParagraph"/>
              <w:spacing w:line="251" w:lineRule="exact"/>
              <w:ind w:left="647" w:right="0"/>
              <w:jc w:val="left"/>
              <w:rPr>
                <w:rFonts w:ascii="宋体" w:hAnsi="宋体" w:cs="宋体" w:eastAsia="宋体" w:hint="default"/>
                <w:sz w:val="21"/>
                <w:szCs w:val="21"/>
              </w:rPr>
            </w:pPr>
            <w:r>
              <w:rPr>
                <w:rFonts w:ascii="宋体" w:hAnsi="宋体" w:cs="宋体" w:eastAsia="宋体" w:hint="default"/>
                <w:sz w:val="21"/>
                <w:szCs w:val="21"/>
              </w:rPr>
              <w:t>投</w:t>
            </w:r>
            <w:r>
              <w:rPr>
                <w:rFonts w:ascii="宋体" w:hAnsi="宋体" w:cs="宋体" w:eastAsia="宋体" w:hint="default"/>
                <w:spacing w:val="-2"/>
                <w:sz w:val="21"/>
                <w:szCs w:val="21"/>
              </w:rPr>
              <w:t>资</w:t>
            </w:r>
            <w:r>
              <w:rPr>
                <w:rFonts w:ascii="宋体" w:hAnsi="宋体" w:cs="宋体" w:eastAsia="宋体" w:hint="default"/>
                <w:sz w:val="21"/>
                <w:szCs w:val="21"/>
              </w:rPr>
              <w:t>收</w:t>
            </w:r>
            <w:r>
              <w:rPr>
                <w:rFonts w:ascii="宋体" w:hAnsi="宋体" w:cs="宋体" w:eastAsia="宋体" w:hint="default"/>
                <w:spacing w:val="-102"/>
                <w:sz w:val="21"/>
                <w:szCs w:val="21"/>
              </w:rPr>
              <w:t>益</w:t>
            </w:r>
            <w:r>
              <w:rPr>
                <w:rFonts w:ascii="宋体" w:hAnsi="宋体" w:cs="宋体" w:eastAsia="宋体" w:hint="default"/>
                <w:sz w:val="21"/>
                <w:szCs w:val="21"/>
              </w:rPr>
              <w:t>（损失</w:t>
            </w:r>
            <w:r>
              <w:rPr>
                <w:rFonts w:ascii="宋体" w:hAnsi="宋体" w:cs="宋体" w:eastAsia="宋体" w:hint="default"/>
                <w:spacing w:val="-102"/>
                <w:sz w:val="21"/>
                <w:szCs w:val="21"/>
              </w:rPr>
              <w:t>以</w:t>
            </w:r>
            <w:r>
              <w:rPr>
                <w:rFonts w:ascii="宋体" w:hAnsi="宋体" w:cs="宋体" w:eastAsia="宋体" w:hint="default"/>
                <w:sz w:val="21"/>
                <w:szCs w:val="21"/>
              </w:rPr>
              <w:t>“</w:t>
            </w:r>
            <w:r>
              <w:rPr>
                <w:rFonts w:ascii="Times New Roman" w:hAnsi="Times New Roman" w:cs="Times New Roman" w:eastAsia="Times New Roman" w:hint="default"/>
                <w:spacing w:val="-1"/>
                <w:sz w:val="21"/>
                <w:szCs w:val="21"/>
              </w:rPr>
              <w:t>-</w:t>
            </w:r>
            <w:r>
              <w:rPr>
                <w:rFonts w:ascii="宋体" w:hAnsi="宋体" w:cs="宋体" w:eastAsia="宋体" w:hint="default"/>
                <w:sz w:val="21"/>
                <w:szCs w:val="21"/>
              </w:rPr>
              <w:t>”</w:t>
            </w:r>
          </w:p>
          <w:p>
            <w:pPr>
              <w:pStyle w:val="TableParagraph"/>
              <w:spacing w:line="266" w:lineRule="exact"/>
              <w:ind w:left="16"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1820" w:type="dxa"/>
            <w:tcBorders>
              <w:top w:val="nil" w:sz="6" w:space="0" w:color="auto"/>
              <w:left w:val="nil" w:sz="6" w:space="0" w:color="auto"/>
              <w:bottom w:val="nil" w:sz="6" w:space="0" w:color="auto"/>
              <w:right w:val="nil" w:sz="6" w:space="0" w:color="auto"/>
            </w:tcBorders>
          </w:tcPr>
          <w:p>
            <w:pPr/>
          </w:p>
        </w:tc>
        <w:tc>
          <w:tcPr>
            <w:tcW w:w="1819"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r>
      <w:tr>
        <w:trPr>
          <w:trHeight w:val="556" w:hRule="exact"/>
        </w:trPr>
        <w:tc>
          <w:tcPr>
            <w:tcW w:w="2525"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3" w:lineRule="exact"/>
              <w:ind w:left="857" w:right="0"/>
              <w:jc w:val="left"/>
              <w:rPr>
                <w:rFonts w:ascii="宋体" w:hAnsi="宋体" w:cs="宋体" w:eastAsia="宋体" w:hint="default"/>
                <w:sz w:val="21"/>
                <w:szCs w:val="21"/>
              </w:rPr>
            </w:pPr>
            <w:r>
              <w:rPr>
                <w:rFonts w:ascii="宋体" w:hAnsi="宋体" w:cs="宋体" w:eastAsia="宋体" w:hint="default"/>
                <w:spacing w:val="-4"/>
                <w:sz w:val="21"/>
                <w:szCs w:val="21"/>
              </w:rPr>
              <w:t>其中：对联营企业</w:t>
            </w:r>
          </w:p>
          <w:p>
            <w:pPr>
              <w:pStyle w:val="TableParagraph"/>
              <w:spacing w:line="274" w:lineRule="exact"/>
              <w:ind w:left="16" w:right="0"/>
              <w:jc w:val="left"/>
              <w:rPr>
                <w:rFonts w:ascii="宋体" w:hAnsi="宋体" w:cs="宋体" w:eastAsia="宋体" w:hint="default"/>
                <w:sz w:val="21"/>
                <w:szCs w:val="21"/>
              </w:rPr>
            </w:pPr>
            <w:r>
              <w:rPr>
                <w:rFonts w:ascii="宋体" w:hAnsi="宋体" w:cs="宋体" w:eastAsia="宋体" w:hint="default"/>
                <w:sz w:val="21"/>
                <w:szCs w:val="21"/>
              </w:rPr>
              <w:t>和合营企业的投资收益</w:t>
            </w:r>
          </w:p>
        </w:tc>
        <w:tc>
          <w:tcPr>
            <w:tcW w:w="1832"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c>
          <w:tcPr>
            <w:tcW w:w="1819"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r>
      <w:tr>
        <w:trPr>
          <w:trHeight w:val="554" w:hRule="exact"/>
        </w:trPr>
        <w:tc>
          <w:tcPr>
            <w:tcW w:w="4357" w:type="dxa"/>
            <w:gridSpan w:val="2"/>
            <w:tcBorders>
              <w:top w:val="nil" w:sz="6" w:space="0" w:color="auto"/>
              <w:left w:val="nil" w:sz="6" w:space="0" w:color="auto"/>
              <w:bottom w:val="nil" w:sz="6" w:space="0" w:color="auto"/>
              <w:right w:val="nil" w:sz="6" w:space="0" w:color="auto"/>
            </w:tcBorders>
            <w:shd w:val="clear" w:color="auto" w:fill="DCDCDC"/>
          </w:tcPr>
          <w:p>
            <w:pPr>
              <w:pStyle w:val="TableParagraph"/>
              <w:spacing w:line="250" w:lineRule="exact"/>
              <w:ind w:left="437" w:right="0"/>
              <w:jc w:val="left"/>
              <w:rPr>
                <w:rFonts w:ascii="宋体" w:hAnsi="宋体" w:cs="宋体" w:eastAsia="宋体" w:hint="default"/>
                <w:sz w:val="21"/>
                <w:szCs w:val="21"/>
              </w:rPr>
            </w:pPr>
            <w:r>
              <w:rPr>
                <w:rFonts w:ascii="宋体" w:hAnsi="宋体" w:cs="宋体" w:eastAsia="宋体" w:hint="default"/>
                <w:sz w:val="21"/>
                <w:szCs w:val="21"/>
              </w:rPr>
              <w:t>汇兑收益（损失以“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p>
            <w:pPr>
              <w:pStyle w:val="TableParagraph"/>
              <w:spacing w:line="265" w:lineRule="exact"/>
              <w:ind w:left="16"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1820" w:type="dxa"/>
            <w:tcBorders>
              <w:top w:val="nil" w:sz="6" w:space="0" w:color="auto"/>
              <w:left w:val="nil" w:sz="6" w:space="0" w:color="auto"/>
              <w:bottom w:val="nil" w:sz="6" w:space="0" w:color="auto"/>
              <w:right w:val="nil" w:sz="6" w:space="0" w:color="auto"/>
            </w:tcBorders>
          </w:tcPr>
          <w:p>
            <w:pPr/>
          </w:p>
        </w:tc>
        <w:tc>
          <w:tcPr>
            <w:tcW w:w="1819"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
        </w:tc>
      </w:tr>
    </w:tbl>
    <w:p>
      <w:pPr>
        <w:spacing w:line="229" w:lineRule="exact" w:before="0"/>
        <w:ind w:left="181" w:right="0" w:firstLine="0"/>
        <w:jc w:val="left"/>
        <w:rPr>
          <w:rFonts w:ascii="宋体" w:hAnsi="宋体" w:cs="宋体" w:eastAsia="宋体" w:hint="default"/>
          <w:sz w:val="21"/>
          <w:szCs w:val="21"/>
        </w:rPr>
      </w:pPr>
      <w:r>
        <w:rPr>
          <w:rFonts w:ascii="宋体" w:hAnsi="宋体" w:cs="宋体" w:eastAsia="宋体" w:hint="default"/>
          <w:sz w:val="21"/>
          <w:szCs w:val="21"/>
        </w:rPr>
        <w:t>三、营业利润（亏损以“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p>
      <w:pPr>
        <w:tabs>
          <w:tab w:pos="3321" w:val="left" w:leader="none"/>
          <w:tab w:pos="5141" w:val="left" w:leader="none"/>
          <w:tab w:pos="6856" w:val="left" w:leader="none"/>
          <w:tab w:pos="8675" w:val="left" w:leader="none"/>
        </w:tabs>
        <w:spacing w:line="313" w:lineRule="exact" w:before="0"/>
        <w:ind w:left="181" w:right="0" w:firstLine="0"/>
        <w:jc w:val="left"/>
        <w:rPr>
          <w:rFonts w:ascii="Times New Roman" w:hAnsi="Times New Roman" w:cs="Times New Roman" w:eastAsia="Times New Roman" w:hint="default"/>
          <w:sz w:val="21"/>
          <w:szCs w:val="21"/>
        </w:rPr>
      </w:pPr>
      <w:r>
        <w:rPr>
          <w:rFonts w:ascii="宋体" w:hAnsi="宋体" w:cs="宋体" w:eastAsia="宋体" w:hint="default"/>
          <w:position w:val="-13"/>
          <w:sz w:val="21"/>
          <w:szCs w:val="21"/>
        </w:rPr>
        <w:t>号填列）</w:t>
        <w:tab/>
      </w:r>
      <w:r>
        <w:rPr>
          <w:rFonts w:ascii="Times New Roman" w:hAnsi="Times New Roman" w:cs="Times New Roman" w:eastAsia="Times New Roman" w:hint="default"/>
          <w:spacing w:val="-1"/>
          <w:sz w:val="21"/>
          <w:szCs w:val="21"/>
        </w:rPr>
        <w:t>-8,396,757.73</w:t>
        <w:tab/>
        <w:t>-6,971,823.55</w:t>
        <w:tab/>
        <w:t>-13,813,368.33</w:t>
        <w:tab/>
        <w:t>-13,813,368.33</w:t>
      </w:r>
      <w:r>
        <w:rPr>
          <w:rFonts w:ascii="Times New Roman" w:hAnsi="Times New Roman" w:cs="Times New Roman" w:eastAsia="Times New Roman" w:hint="default"/>
          <w:sz w:val="21"/>
          <w:szCs w:val="21"/>
        </w:rPr>
      </w:r>
    </w:p>
    <w:p>
      <w:pPr>
        <w:spacing w:line="240" w:lineRule="auto" w:before="2"/>
        <w:rPr>
          <w:rFonts w:ascii="Times New Roman" w:hAnsi="Times New Roman" w:cs="Times New Roman" w:eastAsia="Times New Roman" w:hint="default"/>
          <w:sz w:val="3"/>
          <w:szCs w:val="3"/>
        </w:rPr>
      </w:pPr>
    </w:p>
    <w:tbl>
      <w:tblPr>
        <w:tblW w:w="0" w:type="auto"/>
        <w:jc w:val="left"/>
        <w:tblInd w:w="165" w:type="dxa"/>
        <w:tblLayout w:type="fixed"/>
        <w:tblCellMar>
          <w:top w:w="0" w:type="dxa"/>
          <w:left w:w="0" w:type="dxa"/>
          <w:bottom w:w="0" w:type="dxa"/>
          <w:right w:w="0" w:type="dxa"/>
        </w:tblCellMar>
        <w:tblLook w:val="01E0"/>
      </w:tblPr>
      <w:tblGrid>
        <w:gridCol w:w="2356"/>
        <w:gridCol w:w="2226"/>
        <w:gridCol w:w="1873"/>
        <w:gridCol w:w="1821"/>
        <w:gridCol w:w="1541"/>
      </w:tblGrid>
      <w:tr>
        <w:trPr>
          <w:trHeight w:val="280" w:hRule="exact"/>
        </w:trPr>
        <w:tc>
          <w:tcPr>
            <w:tcW w:w="2356"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2" w:lineRule="exact"/>
              <w:ind w:left="227"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222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52"/>
              <w:jc w:val="right"/>
              <w:rPr>
                <w:rFonts w:ascii="Times New Roman" w:hAnsi="Times New Roman" w:cs="Times New Roman" w:eastAsia="Times New Roman" w:hint="default"/>
                <w:sz w:val="21"/>
                <w:szCs w:val="21"/>
              </w:rPr>
            </w:pPr>
            <w:r>
              <w:rPr>
                <w:rFonts w:ascii="Times New Roman"/>
                <w:spacing w:val="-1"/>
                <w:sz w:val="21"/>
              </w:rPr>
              <w:t>208,578,842.94</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05"/>
              <w:jc w:val="right"/>
              <w:rPr>
                <w:rFonts w:ascii="Times New Roman" w:hAnsi="Times New Roman" w:cs="Times New Roman" w:eastAsia="Times New Roman" w:hint="default"/>
                <w:sz w:val="21"/>
                <w:szCs w:val="21"/>
              </w:rPr>
            </w:pPr>
            <w:r>
              <w:rPr>
                <w:rFonts w:ascii="Times New Roman"/>
                <w:spacing w:val="-1"/>
                <w:sz w:val="21"/>
              </w:rPr>
              <w:t>208,578,842.94</w:t>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04"/>
              <w:jc w:val="right"/>
              <w:rPr>
                <w:rFonts w:ascii="Times New Roman" w:hAnsi="Times New Roman" w:cs="Times New Roman" w:eastAsia="Times New Roman" w:hint="default"/>
                <w:sz w:val="21"/>
                <w:szCs w:val="21"/>
              </w:rPr>
            </w:pPr>
            <w:r>
              <w:rPr>
                <w:rFonts w:ascii="Times New Roman"/>
                <w:spacing w:val="-1"/>
                <w:sz w:val="21"/>
              </w:rPr>
              <w:t>32,444,898.54</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
              <w:jc w:val="right"/>
              <w:rPr>
                <w:rFonts w:ascii="Times New Roman" w:hAnsi="Times New Roman" w:cs="Times New Roman" w:eastAsia="Times New Roman" w:hint="default"/>
                <w:sz w:val="21"/>
                <w:szCs w:val="21"/>
              </w:rPr>
            </w:pPr>
            <w:r>
              <w:rPr>
                <w:rFonts w:ascii="Times New Roman"/>
                <w:spacing w:val="-1"/>
                <w:sz w:val="21"/>
              </w:rPr>
              <w:t>32,444,898.54</w:t>
            </w:r>
          </w:p>
        </w:tc>
      </w:tr>
      <w:tr>
        <w:trPr>
          <w:trHeight w:val="283" w:hRule="exact"/>
        </w:trPr>
        <w:tc>
          <w:tcPr>
            <w:tcW w:w="2356"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4" w:lineRule="exact"/>
              <w:ind w:left="227"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222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50"/>
              <w:jc w:val="right"/>
              <w:rPr>
                <w:rFonts w:ascii="Times New Roman" w:hAnsi="Times New Roman" w:cs="Times New Roman" w:eastAsia="Times New Roman" w:hint="default"/>
                <w:sz w:val="21"/>
                <w:szCs w:val="21"/>
              </w:rPr>
            </w:pPr>
            <w:r>
              <w:rPr>
                <w:rFonts w:ascii="Times New Roman"/>
                <w:spacing w:val="-1"/>
                <w:sz w:val="21"/>
              </w:rPr>
              <w:t>12,308,341.38</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04"/>
              <w:jc w:val="right"/>
              <w:rPr>
                <w:rFonts w:ascii="Times New Roman" w:hAnsi="Times New Roman" w:cs="Times New Roman" w:eastAsia="Times New Roman" w:hint="default"/>
                <w:sz w:val="21"/>
                <w:szCs w:val="21"/>
              </w:rPr>
            </w:pPr>
            <w:r>
              <w:rPr>
                <w:rFonts w:ascii="Times New Roman"/>
                <w:spacing w:val="-1"/>
                <w:sz w:val="21"/>
              </w:rPr>
              <w:t>12,308,341.38</w:t>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04"/>
              <w:jc w:val="right"/>
              <w:rPr>
                <w:rFonts w:ascii="Times New Roman" w:hAnsi="Times New Roman" w:cs="Times New Roman" w:eastAsia="Times New Roman" w:hint="default"/>
                <w:sz w:val="21"/>
                <w:szCs w:val="21"/>
              </w:rPr>
            </w:pPr>
            <w:r>
              <w:rPr>
                <w:rFonts w:ascii="Times New Roman"/>
                <w:spacing w:val="-1"/>
                <w:sz w:val="21"/>
              </w:rPr>
              <w:t>1,611,973.93</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
              <w:jc w:val="right"/>
              <w:rPr>
                <w:rFonts w:ascii="Times New Roman" w:hAnsi="Times New Roman" w:cs="Times New Roman" w:eastAsia="Times New Roman" w:hint="default"/>
                <w:sz w:val="21"/>
                <w:szCs w:val="21"/>
              </w:rPr>
            </w:pPr>
            <w:r>
              <w:rPr>
                <w:rFonts w:ascii="Times New Roman"/>
                <w:spacing w:val="-1"/>
                <w:sz w:val="21"/>
              </w:rPr>
              <w:t>1,611,973.93</w:t>
            </w:r>
          </w:p>
        </w:tc>
      </w:tr>
      <w:tr>
        <w:trPr>
          <w:trHeight w:val="554" w:hRule="exact"/>
        </w:trPr>
        <w:tc>
          <w:tcPr>
            <w:tcW w:w="4583" w:type="dxa"/>
            <w:gridSpan w:val="2"/>
            <w:tcBorders>
              <w:top w:val="nil" w:sz="6" w:space="0" w:color="auto"/>
              <w:left w:val="nil" w:sz="6" w:space="0" w:color="auto"/>
              <w:bottom w:val="nil" w:sz="6" w:space="0" w:color="auto"/>
              <w:right w:val="nil" w:sz="6" w:space="0" w:color="auto"/>
            </w:tcBorders>
            <w:shd w:val="clear" w:color="auto" w:fill="DCDCDC"/>
          </w:tcPr>
          <w:p>
            <w:pPr>
              <w:pStyle w:val="TableParagraph"/>
              <w:spacing w:line="243" w:lineRule="exact"/>
              <w:ind w:left="437" w:right="0"/>
              <w:jc w:val="left"/>
              <w:rPr>
                <w:rFonts w:ascii="宋体" w:hAnsi="宋体" w:cs="宋体" w:eastAsia="宋体" w:hint="default"/>
                <w:sz w:val="21"/>
                <w:szCs w:val="21"/>
              </w:rPr>
            </w:pPr>
            <w:r>
              <w:rPr>
                <w:rFonts w:ascii="宋体" w:hAnsi="宋体" w:cs="宋体" w:eastAsia="宋体" w:hint="default"/>
                <w:spacing w:val="-3"/>
                <w:sz w:val="21"/>
                <w:szCs w:val="21"/>
              </w:rPr>
              <w:t>其中：非流动资产处置</w:t>
            </w:r>
          </w:p>
          <w:p>
            <w:pPr>
              <w:pStyle w:val="TableParagraph"/>
              <w:spacing w:line="274" w:lineRule="exact"/>
              <w:ind w:left="16" w:right="0"/>
              <w:jc w:val="left"/>
              <w:rPr>
                <w:rFonts w:ascii="宋体" w:hAnsi="宋体" w:cs="宋体" w:eastAsia="宋体" w:hint="default"/>
                <w:sz w:val="21"/>
                <w:szCs w:val="21"/>
              </w:rPr>
            </w:pPr>
            <w:r>
              <w:rPr>
                <w:rFonts w:ascii="宋体" w:hAnsi="宋体" w:cs="宋体" w:eastAsia="宋体" w:hint="default"/>
                <w:sz w:val="21"/>
                <w:szCs w:val="21"/>
              </w:rPr>
              <w:t>损失</w:t>
            </w:r>
          </w:p>
        </w:tc>
        <w:tc>
          <w:tcPr>
            <w:tcW w:w="1873" w:type="dxa"/>
            <w:tcBorders>
              <w:top w:val="nil" w:sz="6" w:space="0" w:color="auto"/>
              <w:left w:val="nil" w:sz="6" w:space="0" w:color="auto"/>
              <w:bottom w:val="nil" w:sz="6" w:space="0" w:color="auto"/>
              <w:right w:val="nil" w:sz="6" w:space="0" w:color="auto"/>
            </w:tcBorders>
          </w:tcPr>
          <w:p>
            <w:pPr/>
          </w:p>
        </w:tc>
        <w:tc>
          <w:tcPr>
            <w:tcW w:w="1821"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r>
      <w:tr>
        <w:trPr>
          <w:trHeight w:val="554" w:hRule="exact"/>
        </w:trPr>
        <w:tc>
          <w:tcPr>
            <w:tcW w:w="4583" w:type="dxa"/>
            <w:gridSpan w:val="2"/>
            <w:tcBorders>
              <w:top w:val="nil" w:sz="6" w:space="0" w:color="auto"/>
              <w:left w:val="nil" w:sz="6" w:space="0" w:color="auto"/>
              <w:bottom w:val="nil" w:sz="6" w:space="0" w:color="auto"/>
              <w:right w:val="nil" w:sz="6" w:space="0" w:color="auto"/>
            </w:tcBorders>
          </w:tcPr>
          <w:p>
            <w:pPr>
              <w:pStyle w:val="TableParagraph"/>
              <w:spacing w:line="199" w:lineRule="exact"/>
              <w:ind w:left="16" w:right="0"/>
              <w:jc w:val="left"/>
              <w:rPr>
                <w:rFonts w:ascii="宋体" w:hAnsi="宋体" w:cs="宋体" w:eastAsia="宋体" w:hint="default"/>
                <w:sz w:val="21"/>
                <w:szCs w:val="21"/>
              </w:rPr>
            </w:pPr>
            <w:r>
              <w:rPr>
                <w:rFonts w:ascii="宋体" w:hAnsi="宋体" w:cs="宋体" w:eastAsia="宋体" w:hint="default"/>
                <w:spacing w:val="-3"/>
                <w:sz w:val="21"/>
                <w:szCs w:val="21"/>
              </w:rPr>
              <w:t>四、利润总额（亏损总额以</w:t>
            </w:r>
          </w:p>
          <w:p>
            <w:pPr>
              <w:pStyle w:val="TableParagraph"/>
              <w:tabs>
                <w:tab w:pos="3016" w:val="left" w:leader="none"/>
              </w:tabs>
              <w:spacing w:line="336" w:lineRule="exact"/>
              <w:ind w:left="16" w:right="0"/>
              <w:jc w:val="left"/>
              <w:rPr>
                <w:rFonts w:ascii="Times New Roman" w:hAnsi="Times New Roman" w:cs="Times New Roman" w:eastAsia="Times New Roman" w:hint="default"/>
                <w:sz w:val="21"/>
                <w:szCs w:val="21"/>
              </w:rPr>
            </w:pPr>
            <w:r>
              <w:rPr>
                <w:rFonts w:ascii="宋体" w:hAnsi="宋体" w:cs="宋体" w:eastAsia="宋体" w:hint="default"/>
                <w:spacing w:val="-1"/>
                <w:position w:val="-13"/>
                <w:sz w:val="21"/>
                <w:szCs w:val="21"/>
              </w:rPr>
              <w:t>“</w:t>
            </w:r>
            <w:r>
              <w:rPr>
                <w:rFonts w:ascii="Times New Roman" w:hAnsi="Times New Roman" w:cs="Times New Roman" w:eastAsia="Times New Roman" w:hint="default"/>
                <w:spacing w:val="-1"/>
                <w:position w:val="-13"/>
                <w:sz w:val="21"/>
                <w:szCs w:val="21"/>
              </w:rPr>
              <w:t>-</w:t>
            </w:r>
            <w:r>
              <w:rPr>
                <w:rFonts w:ascii="宋体" w:hAnsi="宋体" w:cs="宋体" w:eastAsia="宋体" w:hint="default"/>
                <w:spacing w:val="-1"/>
                <w:position w:val="-13"/>
                <w:sz w:val="21"/>
                <w:szCs w:val="21"/>
              </w:rPr>
              <w:t>”号填列）</w:t>
              <w:tab/>
            </w:r>
            <w:r>
              <w:rPr>
                <w:rFonts w:ascii="Times New Roman" w:hAnsi="Times New Roman" w:cs="Times New Roman" w:eastAsia="Times New Roman" w:hint="default"/>
                <w:spacing w:val="-1"/>
                <w:sz w:val="21"/>
                <w:szCs w:val="21"/>
              </w:rPr>
              <w:t>187,873,743.83</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305"/>
              <w:jc w:val="right"/>
              <w:rPr>
                <w:rFonts w:ascii="Times New Roman" w:hAnsi="Times New Roman" w:cs="Times New Roman" w:eastAsia="Times New Roman" w:hint="default"/>
                <w:sz w:val="21"/>
                <w:szCs w:val="21"/>
              </w:rPr>
            </w:pPr>
            <w:r>
              <w:rPr>
                <w:rFonts w:ascii="Times New Roman"/>
                <w:spacing w:val="-1"/>
                <w:sz w:val="21"/>
              </w:rPr>
              <w:t>189,298,678.01</w:t>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304"/>
              <w:jc w:val="right"/>
              <w:rPr>
                <w:rFonts w:ascii="Times New Roman" w:hAnsi="Times New Roman" w:cs="Times New Roman" w:eastAsia="Times New Roman" w:hint="default"/>
                <w:sz w:val="21"/>
                <w:szCs w:val="21"/>
              </w:rPr>
            </w:pPr>
            <w:r>
              <w:rPr>
                <w:rFonts w:ascii="Times New Roman"/>
                <w:spacing w:val="-1"/>
                <w:sz w:val="21"/>
              </w:rPr>
              <w:t>17,019,556.28</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24"/>
              <w:jc w:val="right"/>
              <w:rPr>
                <w:rFonts w:ascii="Times New Roman" w:hAnsi="Times New Roman" w:cs="Times New Roman" w:eastAsia="Times New Roman" w:hint="default"/>
                <w:sz w:val="21"/>
                <w:szCs w:val="21"/>
              </w:rPr>
            </w:pPr>
            <w:r>
              <w:rPr>
                <w:rFonts w:ascii="Times New Roman"/>
                <w:spacing w:val="-1"/>
                <w:sz w:val="21"/>
              </w:rPr>
              <w:t>17,019,556.28</w:t>
            </w:r>
          </w:p>
        </w:tc>
      </w:tr>
      <w:tr>
        <w:trPr>
          <w:trHeight w:val="282" w:hRule="exact"/>
        </w:trPr>
        <w:tc>
          <w:tcPr>
            <w:tcW w:w="4583" w:type="dxa"/>
            <w:gridSpan w:val="2"/>
            <w:tcBorders>
              <w:top w:val="nil" w:sz="6" w:space="0" w:color="auto"/>
              <w:left w:val="nil" w:sz="6" w:space="0" w:color="auto"/>
              <w:bottom w:val="nil" w:sz="6" w:space="0" w:color="auto"/>
              <w:right w:val="nil" w:sz="6" w:space="0" w:color="auto"/>
            </w:tcBorders>
          </w:tcPr>
          <w:p>
            <w:pPr>
              <w:pStyle w:val="TableParagraph"/>
              <w:tabs>
                <w:tab w:pos="3121" w:val="left" w:leader="none"/>
              </w:tabs>
              <w:spacing w:line="260" w:lineRule="exact"/>
              <w:ind w:left="227" w:right="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减：所得税费用</w:t>
              <w:tab/>
            </w:r>
            <w:r>
              <w:rPr>
                <w:rFonts w:ascii="Times New Roman" w:hAnsi="Times New Roman" w:cs="Times New Roman" w:eastAsia="Times New Roman" w:hint="default"/>
                <w:spacing w:val="-1"/>
                <w:sz w:val="21"/>
                <w:szCs w:val="21"/>
              </w:rPr>
              <w:t>33,832,777.21</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04"/>
              <w:jc w:val="right"/>
              <w:rPr>
                <w:rFonts w:ascii="Times New Roman" w:hAnsi="Times New Roman" w:cs="Times New Roman" w:eastAsia="Times New Roman" w:hint="default"/>
                <w:sz w:val="21"/>
                <w:szCs w:val="21"/>
              </w:rPr>
            </w:pPr>
            <w:r>
              <w:rPr>
                <w:rFonts w:ascii="Times New Roman"/>
                <w:spacing w:val="-1"/>
                <w:sz w:val="21"/>
              </w:rPr>
              <w:t>33,832,777.21</w:t>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05"/>
              <w:jc w:val="right"/>
              <w:rPr>
                <w:rFonts w:ascii="Times New Roman" w:hAnsi="Times New Roman" w:cs="Times New Roman" w:eastAsia="Times New Roman" w:hint="default"/>
                <w:sz w:val="21"/>
                <w:szCs w:val="21"/>
              </w:rPr>
            </w:pPr>
            <w:r>
              <w:rPr>
                <w:rFonts w:ascii="Times New Roman"/>
                <w:spacing w:val="-1"/>
                <w:sz w:val="21"/>
              </w:rPr>
              <w:t>879,525.12</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5"/>
              <w:jc w:val="right"/>
              <w:rPr>
                <w:rFonts w:ascii="Times New Roman" w:hAnsi="Times New Roman" w:cs="Times New Roman" w:eastAsia="Times New Roman" w:hint="default"/>
                <w:sz w:val="21"/>
                <w:szCs w:val="21"/>
              </w:rPr>
            </w:pPr>
            <w:r>
              <w:rPr>
                <w:rFonts w:ascii="Times New Roman"/>
                <w:spacing w:val="-1"/>
                <w:sz w:val="21"/>
              </w:rPr>
              <w:t>879,525.12</w:t>
            </w:r>
          </w:p>
        </w:tc>
      </w:tr>
      <w:tr>
        <w:trPr>
          <w:trHeight w:val="556" w:hRule="exact"/>
        </w:trPr>
        <w:tc>
          <w:tcPr>
            <w:tcW w:w="4583" w:type="dxa"/>
            <w:gridSpan w:val="2"/>
            <w:tcBorders>
              <w:top w:val="nil" w:sz="6" w:space="0" w:color="auto"/>
              <w:left w:val="nil" w:sz="6" w:space="0" w:color="auto"/>
              <w:bottom w:val="nil" w:sz="6" w:space="0" w:color="auto"/>
              <w:right w:val="nil" w:sz="6" w:space="0" w:color="auto"/>
            </w:tcBorders>
          </w:tcPr>
          <w:p>
            <w:pPr>
              <w:pStyle w:val="TableParagraph"/>
              <w:spacing w:line="207" w:lineRule="exact"/>
              <w:ind w:left="16" w:right="0"/>
              <w:jc w:val="left"/>
              <w:rPr>
                <w:rFonts w:ascii="宋体" w:hAnsi="宋体" w:cs="宋体" w:eastAsia="宋体" w:hint="default"/>
                <w:sz w:val="21"/>
                <w:szCs w:val="21"/>
              </w:rPr>
            </w:pPr>
            <w:r>
              <w:rPr>
                <w:rFonts w:ascii="宋体" w:hAnsi="宋体" w:cs="宋体" w:eastAsia="宋体" w:hint="default"/>
                <w:sz w:val="21"/>
                <w:szCs w:val="21"/>
              </w:rPr>
              <w:t>五、净利润（净亏损以“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p>
            <w:pPr>
              <w:pStyle w:val="TableParagraph"/>
              <w:tabs>
                <w:tab w:pos="3016" w:val="left" w:leader="none"/>
              </w:tabs>
              <w:spacing w:line="313" w:lineRule="exact"/>
              <w:ind w:left="16" w:right="0"/>
              <w:jc w:val="left"/>
              <w:rPr>
                <w:rFonts w:ascii="Times New Roman" w:hAnsi="Times New Roman" w:cs="Times New Roman" w:eastAsia="Times New Roman" w:hint="default"/>
                <w:sz w:val="21"/>
                <w:szCs w:val="21"/>
              </w:rPr>
            </w:pPr>
            <w:r>
              <w:rPr>
                <w:rFonts w:ascii="宋体" w:hAnsi="宋体" w:cs="宋体" w:eastAsia="宋体" w:hint="default"/>
                <w:position w:val="-13"/>
                <w:sz w:val="21"/>
                <w:szCs w:val="21"/>
              </w:rPr>
              <w:t>号填列）</w:t>
              <w:tab/>
            </w:r>
            <w:r>
              <w:rPr>
                <w:rFonts w:ascii="Times New Roman" w:hAnsi="Times New Roman" w:cs="Times New Roman" w:eastAsia="Times New Roman" w:hint="default"/>
                <w:sz w:val="21"/>
                <w:szCs w:val="21"/>
              </w:rPr>
              <w:t>154,040,966.62</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305"/>
              <w:jc w:val="right"/>
              <w:rPr>
                <w:rFonts w:ascii="Times New Roman" w:hAnsi="Times New Roman" w:cs="Times New Roman" w:eastAsia="Times New Roman" w:hint="default"/>
                <w:sz w:val="21"/>
                <w:szCs w:val="21"/>
              </w:rPr>
            </w:pPr>
            <w:r>
              <w:rPr>
                <w:rFonts w:ascii="Times New Roman"/>
                <w:spacing w:val="-1"/>
                <w:sz w:val="21"/>
              </w:rPr>
              <w:t>155,465,900.80</w:t>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304"/>
              <w:jc w:val="right"/>
              <w:rPr>
                <w:rFonts w:ascii="Times New Roman" w:hAnsi="Times New Roman" w:cs="Times New Roman" w:eastAsia="Times New Roman" w:hint="default"/>
                <w:sz w:val="21"/>
                <w:szCs w:val="21"/>
              </w:rPr>
            </w:pPr>
            <w:r>
              <w:rPr>
                <w:rFonts w:ascii="Times New Roman"/>
                <w:spacing w:val="-1"/>
                <w:sz w:val="21"/>
              </w:rPr>
              <w:t>16,140,031.16</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24"/>
              <w:jc w:val="right"/>
              <w:rPr>
                <w:rFonts w:ascii="Times New Roman" w:hAnsi="Times New Roman" w:cs="Times New Roman" w:eastAsia="Times New Roman" w:hint="default"/>
                <w:sz w:val="21"/>
                <w:szCs w:val="21"/>
              </w:rPr>
            </w:pPr>
            <w:r>
              <w:rPr>
                <w:rFonts w:ascii="Times New Roman"/>
                <w:spacing w:val="-1"/>
                <w:sz w:val="21"/>
              </w:rPr>
              <w:t>16,140,031.16</w:t>
            </w:r>
          </w:p>
        </w:tc>
      </w:tr>
      <w:tr>
        <w:trPr>
          <w:trHeight w:val="554" w:hRule="exact"/>
        </w:trPr>
        <w:tc>
          <w:tcPr>
            <w:tcW w:w="4583" w:type="dxa"/>
            <w:gridSpan w:val="2"/>
            <w:tcBorders>
              <w:top w:val="nil" w:sz="6" w:space="0" w:color="auto"/>
              <w:left w:val="nil" w:sz="6" w:space="0" w:color="auto"/>
              <w:bottom w:val="nil" w:sz="6" w:space="0" w:color="auto"/>
              <w:right w:val="nil" w:sz="6" w:space="0" w:color="auto"/>
            </w:tcBorders>
          </w:tcPr>
          <w:p>
            <w:pPr>
              <w:pStyle w:val="TableParagraph"/>
              <w:spacing w:line="199" w:lineRule="exact"/>
              <w:ind w:left="437" w:right="0"/>
              <w:jc w:val="left"/>
              <w:rPr>
                <w:rFonts w:ascii="宋体" w:hAnsi="宋体" w:cs="宋体" w:eastAsia="宋体" w:hint="default"/>
                <w:sz w:val="21"/>
                <w:szCs w:val="21"/>
              </w:rPr>
            </w:pPr>
            <w:r>
              <w:rPr>
                <w:rFonts w:ascii="宋体" w:hAnsi="宋体" w:cs="宋体" w:eastAsia="宋体" w:hint="default"/>
                <w:sz w:val="21"/>
                <w:szCs w:val="21"/>
              </w:rPr>
              <w:t>归属于母公司所有者</w:t>
            </w:r>
          </w:p>
          <w:p>
            <w:pPr>
              <w:pStyle w:val="TableParagraph"/>
              <w:tabs>
                <w:tab w:pos="3016" w:val="left" w:leader="none"/>
              </w:tabs>
              <w:spacing w:line="321" w:lineRule="exact"/>
              <w:ind w:left="16" w:right="0"/>
              <w:jc w:val="left"/>
              <w:rPr>
                <w:rFonts w:ascii="Times New Roman" w:hAnsi="Times New Roman" w:cs="Times New Roman" w:eastAsia="Times New Roman" w:hint="default"/>
                <w:sz w:val="21"/>
                <w:szCs w:val="21"/>
              </w:rPr>
            </w:pPr>
            <w:r>
              <w:rPr>
                <w:rFonts w:ascii="宋体" w:hAnsi="宋体" w:cs="宋体" w:eastAsia="宋体" w:hint="default"/>
                <w:position w:val="-13"/>
                <w:sz w:val="21"/>
                <w:szCs w:val="21"/>
              </w:rPr>
              <w:t>的净利润</w:t>
              <w:tab/>
            </w:r>
            <w:r>
              <w:rPr>
                <w:rFonts w:ascii="Times New Roman" w:hAnsi="Times New Roman" w:cs="Times New Roman" w:eastAsia="Times New Roman" w:hint="default"/>
                <w:sz w:val="21"/>
                <w:szCs w:val="21"/>
              </w:rPr>
              <w:t>154,196,264.25</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305"/>
              <w:jc w:val="right"/>
              <w:rPr>
                <w:rFonts w:ascii="Times New Roman" w:hAnsi="Times New Roman" w:cs="Times New Roman" w:eastAsia="Times New Roman" w:hint="default"/>
                <w:sz w:val="21"/>
                <w:szCs w:val="21"/>
              </w:rPr>
            </w:pPr>
            <w:r>
              <w:rPr>
                <w:rFonts w:ascii="Times New Roman"/>
                <w:spacing w:val="-1"/>
                <w:sz w:val="21"/>
              </w:rPr>
              <w:t>155,465,900.80</w:t>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304"/>
              <w:jc w:val="right"/>
              <w:rPr>
                <w:rFonts w:ascii="Times New Roman" w:hAnsi="Times New Roman" w:cs="Times New Roman" w:eastAsia="Times New Roman" w:hint="default"/>
                <w:sz w:val="21"/>
                <w:szCs w:val="21"/>
              </w:rPr>
            </w:pPr>
            <w:r>
              <w:rPr>
                <w:rFonts w:ascii="Times New Roman"/>
                <w:spacing w:val="-1"/>
                <w:sz w:val="21"/>
              </w:rPr>
              <w:t>16,140,031.16</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24"/>
              <w:jc w:val="right"/>
              <w:rPr>
                <w:rFonts w:ascii="Times New Roman" w:hAnsi="Times New Roman" w:cs="Times New Roman" w:eastAsia="Times New Roman" w:hint="default"/>
                <w:sz w:val="21"/>
                <w:szCs w:val="21"/>
              </w:rPr>
            </w:pPr>
            <w:r>
              <w:rPr>
                <w:rFonts w:ascii="Times New Roman"/>
                <w:spacing w:val="-1"/>
                <w:sz w:val="21"/>
              </w:rPr>
              <w:t>16,140,031.16</w:t>
            </w:r>
          </w:p>
        </w:tc>
      </w:tr>
      <w:tr>
        <w:trPr>
          <w:trHeight w:val="290" w:hRule="exact"/>
        </w:trPr>
        <w:tc>
          <w:tcPr>
            <w:tcW w:w="4583" w:type="dxa"/>
            <w:gridSpan w:val="2"/>
            <w:tcBorders>
              <w:top w:val="nil" w:sz="6" w:space="0" w:color="auto"/>
              <w:left w:val="nil" w:sz="6" w:space="0" w:color="auto"/>
              <w:bottom w:val="nil" w:sz="6" w:space="0" w:color="auto"/>
              <w:right w:val="nil" w:sz="6" w:space="0" w:color="auto"/>
            </w:tcBorders>
          </w:tcPr>
          <w:p>
            <w:pPr>
              <w:pStyle w:val="TableParagraph"/>
              <w:tabs>
                <w:tab w:pos="3312" w:val="left" w:leader="none"/>
              </w:tabs>
              <w:spacing w:line="260" w:lineRule="exact"/>
              <w:ind w:left="437" w:right="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少数股东损益</w:t>
              <w:tab/>
            </w:r>
            <w:r>
              <w:rPr>
                <w:rFonts w:ascii="Times New Roman" w:hAnsi="Times New Roman" w:cs="Times New Roman" w:eastAsia="Times New Roman" w:hint="default"/>
                <w:spacing w:val="-1"/>
                <w:sz w:val="21"/>
                <w:szCs w:val="21"/>
              </w:rPr>
              <w:t>-155,297.63</w:t>
            </w:r>
          </w:p>
        </w:tc>
        <w:tc>
          <w:tcPr>
            <w:tcW w:w="1873" w:type="dxa"/>
            <w:tcBorders>
              <w:top w:val="nil" w:sz="6" w:space="0" w:color="auto"/>
              <w:left w:val="nil" w:sz="6" w:space="0" w:color="auto"/>
              <w:bottom w:val="nil" w:sz="6" w:space="0" w:color="auto"/>
              <w:right w:val="nil" w:sz="6" w:space="0" w:color="auto"/>
            </w:tcBorders>
          </w:tcPr>
          <w:p>
            <w:pPr/>
          </w:p>
        </w:tc>
        <w:tc>
          <w:tcPr>
            <w:tcW w:w="1821"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r>
      <w:tr>
        <w:trPr>
          <w:trHeight w:val="267" w:hRule="exact"/>
        </w:trPr>
        <w:tc>
          <w:tcPr>
            <w:tcW w:w="4583" w:type="dxa"/>
            <w:gridSpan w:val="2"/>
            <w:tcBorders>
              <w:top w:val="nil" w:sz="6" w:space="0" w:color="auto"/>
              <w:left w:val="nil" w:sz="6" w:space="0" w:color="auto"/>
              <w:bottom w:val="nil" w:sz="6" w:space="0" w:color="auto"/>
              <w:right w:val="nil" w:sz="6" w:space="0" w:color="auto"/>
            </w:tcBorders>
            <w:shd w:val="clear" w:color="auto" w:fill="DCDCDC"/>
          </w:tcPr>
          <w:p>
            <w:pPr>
              <w:pStyle w:val="TableParagraph"/>
              <w:spacing w:line="237" w:lineRule="exact"/>
              <w:ind w:left="16" w:right="0"/>
              <w:jc w:val="left"/>
              <w:rPr>
                <w:rFonts w:ascii="宋体" w:hAnsi="宋体" w:cs="宋体" w:eastAsia="宋体" w:hint="default"/>
                <w:sz w:val="21"/>
                <w:szCs w:val="21"/>
              </w:rPr>
            </w:pPr>
            <w:r>
              <w:rPr>
                <w:rFonts w:ascii="宋体" w:hAnsi="宋体" w:cs="宋体" w:eastAsia="宋体" w:hint="default"/>
                <w:sz w:val="21"/>
                <w:szCs w:val="21"/>
              </w:rPr>
              <w:t>六、每股收益：</w:t>
            </w:r>
          </w:p>
        </w:tc>
        <w:tc>
          <w:tcPr>
            <w:tcW w:w="1873" w:type="dxa"/>
            <w:tcBorders>
              <w:top w:val="nil" w:sz="6" w:space="0" w:color="auto"/>
              <w:left w:val="nil" w:sz="6" w:space="0" w:color="auto"/>
              <w:bottom w:val="nil" w:sz="6" w:space="0" w:color="auto"/>
              <w:right w:val="nil" w:sz="6" w:space="0" w:color="auto"/>
            </w:tcBorders>
            <w:shd w:val="clear" w:color="auto" w:fill="DCDCDC"/>
          </w:tcPr>
          <w:p>
            <w:pPr/>
          </w:p>
        </w:tc>
        <w:tc>
          <w:tcPr>
            <w:tcW w:w="1821" w:type="dxa"/>
            <w:tcBorders>
              <w:top w:val="nil" w:sz="6" w:space="0" w:color="auto"/>
              <w:left w:val="nil" w:sz="6" w:space="0" w:color="auto"/>
              <w:bottom w:val="nil" w:sz="6" w:space="0" w:color="auto"/>
              <w:right w:val="nil" w:sz="6" w:space="0" w:color="auto"/>
            </w:tcBorders>
            <w:shd w:val="clear" w:color="auto" w:fill="DCDCDC"/>
          </w:tcPr>
          <w:p>
            <w:pPr/>
          </w:p>
        </w:tc>
        <w:tc>
          <w:tcPr>
            <w:tcW w:w="1541" w:type="dxa"/>
            <w:tcBorders>
              <w:top w:val="nil" w:sz="6" w:space="0" w:color="auto"/>
              <w:left w:val="nil" w:sz="6" w:space="0" w:color="auto"/>
              <w:bottom w:val="nil" w:sz="6" w:space="0" w:color="auto"/>
              <w:right w:val="nil" w:sz="6" w:space="0" w:color="auto"/>
            </w:tcBorders>
            <w:shd w:val="clear" w:color="auto" w:fill="DCDCDC"/>
          </w:tcPr>
          <w:p>
            <w:pPr/>
          </w:p>
        </w:tc>
      </w:tr>
      <w:tr>
        <w:trPr>
          <w:trHeight w:val="291" w:hRule="exact"/>
        </w:trPr>
        <w:tc>
          <w:tcPr>
            <w:tcW w:w="4583" w:type="dxa"/>
            <w:gridSpan w:val="2"/>
            <w:tcBorders>
              <w:top w:val="nil" w:sz="6" w:space="0" w:color="auto"/>
              <w:left w:val="nil" w:sz="6" w:space="0" w:color="auto"/>
              <w:bottom w:val="nil" w:sz="6" w:space="0" w:color="auto"/>
              <w:right w:val="nil" w:sz="6" w:space="0" w:color="auto"/>
            </w:tcBorders>
          </w:tcPr>
          <w:p>
            <w:pPr>
              <w:pStyle w:val="TableParagraph"/>
              <w:tabs>
                <w:tab w:pos="4328" w:val="right" w:leader="none"/>
              </w:tabs>
              <w:spacing w:line="268" w:lineRule="exact"/>
              <w:ind w:left="437"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（一）基本每股收益</w:t>
            </w:r>
            <w:r>
              <w:rPr>
                <w:rFonts w:ascii="Times New Roman" w:hAnsi="Times New Roman" w:cs="Times New Roman" w:eastAsia="Times New Roman" w:hint="default"/>
                <w:sz w:val="21"/>
                <w:szCs w:val="21"/>
              </w:rPr>
              <w:tab/>
              <w:t>1.70</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05"/>
              <w:jc w:val="right"/>
              <w:rPr>
                <w:rFonts w:ascii="Times New Roman" w:hAnsi="Times New Roman" w:cs="Times New Roman" w:eastAsia="Times New Roman" w:hint="default"/>
                <w:sz w:val="21"/>
                <w:szCs w:val="21"/>
              </w:rPr>
            </w:pPr>
            <w:r>
              <w:rPr>
                <w:rFonts w:ascii="Times New Roman"/>
                <w:spacing w:val="-1"/>
                <w:sz w:val="21"/>
              </w:rPr>
              <w:t>1.72</w:t>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05"/>
              <w:jc w:val="right"/>
              <w:rPr>
                <w:rFonts w:ascii="Times New Roman" w:hAnsi="Times New Roman" w:cs="Times New Roman" w:eastAsia="Times New Roman" w:hint="default"/>
                <w:sz w:val="21"/>
                <w:szCs w:val="21"/>
              </w:rPr>
            </w:pPr>
            <w:r>
              <w:rPr>
                <w:rFonts w:ascii="Times New Roman"/>
                <w:spacing w:val="-1"/>
                <w:sz w:val="21"/>
              </w:rPr>
              <w:t>0.18</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6"/>
              <w:jc w:val="right"/>
              <w:rPr>
                <w:rFonts w:ascii="Times New Roman" w:hAnsi="Times New Roman" w:cs="Times New Roman" w:eastAsia="Times New Roman" w:hint="default"/>
                <w:sz w:val="21"/>
                <w:szCs w:val="21"/>
              </w:rPr>
            </w:pPr>
            <w:r>
              <w:rPr>
                <w:rFonts w:ascii="Times New Roman"/>
                <w:spacing w:val="-1"/>
                <w:sz w:val="21"/>
              </w:rPr>
              <w:t>0.18</w:t>
            </w:r>
          </w:p>
        </w:tc>
      </w:tr>
    </w:tbl>
    <w:p>
      <w:pPr>
        <w:spacing w:after="0" w:line="240" w:lineRule="auto"/>
        <w:jc w:val="right"/>
        <w:rPr>
          <w:rFonts w:ascii="Times New Roman" w:hAnsi="Times New Roman" w:cs="Times New Roman" w:eastAsia="Times New Roman" w:hint="default"/>
          <w:sz w:val="21"/>
          <w:szCs w:val="21"/>
        </w:rPr>
        <w:sectPr>
          <w:pgSz w:w="11910" w:h="16840"/>
          <w:pgMar w:header="0" w:footer="691" w:top="860" w:bottom="880" w:left="980" w:right="820"/>
        </w:sectPr>
      </w:pPr>
    </w:p>
    <w:p>
      <w:pPr>
        <w:spacing w:line="240" w:lineRule="auto" w:before="8"/>
        <w:rPr>
          <w:rFonts w:ascii="Times New Roman" w:hAnsi="Times New Roman" w:cs="Times New Roman" w:eastAsia="Times New Roman" w:hint="default"/>
          <w:sz w:val="7"/>
          <w:szCs w:val="7"/>
        </w:rPr>
      </w:pPr>
    </w:p>
    <w:p>
      <w:pPr>
        <w:spacing w:line="20" w:lineRule="exact"/>
        <w:ind w:left="11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65pt;height:.75pt;mso-position-horizontal-relative:char;mso-position-vertical-relative:line" coordorigin="0,0" coordsize="9713,15">
            <v:group style="position:absolute;left:7;top:7;width:9699;height:2" coordorigin="7,7" coordsize="9699,2">
              <v:shape style="position:absolute;left:7;top:7;width:9699;height:2" coordorigin="7,7" coordsize="9699,0" path="m7,7l9706,7e" filled="false" stroked="true" strokeweight=".72003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1"/>
          <w:szCs w:val="21"/>
        </w:rPr>
      </w:pPr>
    </w:p>
    <w:tbl>
      <w:tblPr>
        <w:tblW w:w="0" w:type="auto"/>
        <w:jc w:val="left"/>
        <w:tblInd w:w="149" w:type="dxa"/>
        <w:tblLayout w:type="fixed"/>
        <w:tblCellMar>
          <w:top w:w="0" w:type="dxa"/>
          <w:left w:w="0" w:type="dxa"/>
          <w:bottom w:w="0" w:type="dxa"/>
          <w:right w:w="0" w:type="dxa"/>
        </w:tblCellMar>
        <w:tblLook w:val="01E0"/>
      </w:tblPr>
      <w:tblGrid>
        <w:gridCol w:w="2536"/>
        <w:gridCol w:w="1832"/>
        <w:gridCol w:w="1820"/>
        <w:gridCol w:w="1819"/>
        <w:gridCol w:w="1820"/>
      </w:tblGrid>
      <w:tr>
        <w:trPr>
          <w:trHeight w:val="283" w:hRule="exact"/>
        </w:trPr>
        <w:tc>
          <w:tcPr>
            <w:tcW w:w="25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43"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1.70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1.72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0.18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0.18</w:t>
            </w:r>
          </w:p>
        </w:tc>
      </w:tr>
    </w:tbl>
    <w:p>
      <w:pPr>
        <w:spacing w:line="240" w:lineRule="auto" w:before="11"/>
        <w:rPr>
          <w:rFonts w:ascii="Times New Roman" w:hAnsi="Times New Roman" w:cs="Times New Roman" w:eastAsia="Times New Roman" w:hint="default"/>
          <w:sz w:val="19"/>
          <w:szCs w:val="19"/>
        </w:rPr>
      </w:pPr>
    </w:p>
    <w:p>
      <w:pPr>
        <w:spacing w:before="35"/>
        <w:ind w:left="154"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2"/>
          <w:sz w:val="21"/>
          <w:szCs w:val="21"/>
        </w:rPr>
        <w:t> </w:t>
      </w:r>
      <w:r>
        <w:rPr>
          <w:rFonts w:ascii="宋体" w:hAnsi="宋体" w:cs="宋体" w:eastAsia="宋体" w:hint="default"/>
          <w:b/>
          <w:bCs/>
          <w:sz w:val="21"/>
          <w:szCs w:val="21"/>
        </w:rPr>
        <w:t>现金流量表</w:t>
      </w:r>
      <w:r>
        <w:rPr>
          <w:rFonts w:ascii="宋体" w:hAnsi="宋体" w:cs="宋体" w:eastAsia="宋体" w:hint="default"/>
          <w:sz w:val="21"/>
          <w:szCs w:val="21"/>
        </w:rPr>
      </w:r>
    </w:p>
    <w:p>
      <w:pPr>
        <w:spacing w:line="240" w:lineRule="auto" w:before="8"/>
        <w:rPr>
          <w:rFonts w:ascii="宋体" w:hAnsi="宋体" w:cs="宋体" w:eastAsia="宋体" w:hint="default"/>
          <w:b/>
          <w:bCs/>
          <w:sz w:val="21"/>
          <w:szCs w:val="21"/>
        </w:rPr>
      </w:pPr>
    </w:p>
    <w:p>
      <w:pPr>
        <w:tabs>
          <w:tab w:pos="5298" w:val="left" w:leader="none"/>
          <w:tab w:pos="7730" w:val="left" w:leader="none"/>
        </w:tabs>
        <w:spacing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编制单位：深圳大通实业股份有限公司</w:t>
        <w:tab/>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00</w:t>
      </w:r>
      <w:r>
        <w:rPr>
          <w:rFonts w:ascii="Times New Roman" w:hAnsi="Times New Roman" w:cs="Times New Roman" w:eastAsia="Times New Roman" w:hint="default"/>
          <w:sz w:val="21"/>
          <w:szCs w:val="21"/>
        </w:rPr>
        <w:t>8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2 </w:t>
      </w:r>
      <w:r>
        <w:rPr>
          <w:rFonts w:ascii="宋体" w:hAnsi="宋体" w:cs="宋体" w:eastAsia="宋体" w:hint="default"/>
          <w:sz w:val="21"/>
          <w:szCs w:val="21"/>
        </w:rPr>
        <w:t>月</w:t>
        <w:tab/>
      </w:r>
      <w:r>
        <w:rPr>
          <w:rFonts w:ascii="宋体" w:hAnsi="宋体" w:cs="宋体" w:eastAsia="宋体" w:hint="default"/>
          <w:spacing w:val="-2"/>
          <w:sz w:val="21"/>
          <w:szCs w:val="21"/>
        </w:rPr>
        <w:t>单</w:t>
      </w:r>
      <w:r>
        <w:rPr>
          <w:rFonts w:ascii="宋体" w:hAnsi="宋体" w:cs="宋体" w:eastAsia="宋体" w:hint="default"/>
          <w:sz w:val="21"/>
          <w:szCs w:val="21"/>
        </w:rPr>
        <w:t>位</w:t>
      </w:r>
      <w:r>
        <w:rPr>
          <w:rFonts w:ascii="宋体" w:hAnsi="宋体" w:cs="宋体" w:eastAsia="宋体" w:hint="default"/>
          <w:spacing w:val="-105"/>
          <w:sz w:val="21"/>
          <w:szCs w:val="21"/>
        </w:rPr>
        <w:t>：</w:t>
      </w:r>
      <w:r>
        <w:rPr>
          <w:rFonts w:ascii="宋体" w:hAnsi="宋体" w:cs="宋体" w:eastAsia="宋体" w:hint="default"/>
          <w:sz w:val="21"/>
          <w:szCs w:val="21"/>
        </w:rPr>
        <w:t>（人民</w:t>
      </w:r>
      <w:r>
        <w:rPr>
          <w:rFonts w:ascii="宋体" w:hAnsi="宋体" w:cs="宋体" w:eastAsia="宋体" w:hint="default"/>
          <w:spacing w:val="-2"/>
          <w:sz w:val="21"/>
          <w:szCs w:val="21"/>
        </w:rPr>
        <w:t>币</w:t>
      </w:r>
      <w:r>
        <w:rPr>
          <w:rFonts w:ascii="宋体" w:hAnsi="宋体" w:cs="宋体" w:eastAsia="宋体" w:hint="default"/>
          <w:sz w:val="21"/>
          <w:szCs w:val="21"/>
        </w:rPr>
        <w:t>）元</w:t>
      </w:r>
    </w:p>
    <w:tbl>
      <w:tblPr>
        <w:tblW w:w="0" w:type="auto"/>
        <w:jc w:val="left"/>
        <w:tblInd w:w="160" w:type="dxa"/>
        <w:tblLayout w:type="fixed"/>
        <w:tblCellMar>
          <w:top w:w="0" w:type="dxa"/>
          <w:left w:w="0" w:type="dxa"/>
          <w:bottom w:w="0" w:type="dxa"/>
          <w:right w:w="0" w:type="dxa"/>
        </w:tblCellMar>
        <w:tblLook w:val="01E0"/>
      </w:tblPr>
      <w:tblGrid>
        <w:gridCol w:w="2525"/>
        <w:gridCol w:w="1832"/>
        <w:gridCol w:w="1820"/>
        <w:gridCol w:w="1819"/>
        <w:gridCol w:w="1820"/>
      </w:tblGrid>
      <w:tr>
        <w:trPr>
          <w:trHeight w:val="140" w:hRule="exact"/>
        </w:trPr>
        <w:tc>
          <w:tcPr>
            <w:tcW w:w="2525" w:type="dxa"/>
            <w:tcBorders>
              <w:top w:val="single" w:sz="4" w:space="0" w:color="000000"/>
              <w:left w:val="single" w:sz="4" w:space="0" w:color="000000"/>
              <w:bottom w:val="nil" w:sz="6" w:space="0" w:color="auto"/>
              <w:right w:val="single" w:sz="4" w:space="0" w:color="000000"/>
            </w:tcBorders>
            <w:shd w:val="clear" w:color="auto" w:fill="DCDCDC"/>
          </w:tcPr>
          <w:p>
            <w:pPr/>
          </w:p>
        </w:tc>
        <w:tc>
          <w:tcPr>
            <w:tcW w:w="3652"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11"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64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143" w:hRule="exact"/>
        </w:trPr>
        <w:tc>
          <w:tcPr>
            <w:tcW w:w="252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3652" w:type="dxa"/>
            <w:gridSpan w:val="2"/>
            <w:vMerge/>
            <w:tcBorders>
              <w:left w:val="single" w:sz="4" w:space="0" w:color="000000"/>
              <w:bottom w:val="single" w:sz="4" w:space="0" w:color="000000"/>
              <w:right w:val="single" w:sz="4" w:space="0" w:color="000000"/>
            </w:tcBorders>
            <w:shd w:val="clear" w:color="auto" w:fill="DCDCDC"/>
          </w:tcPr>
          <w:p>
            <w:pPr/>
          </w:p>
        </w:tc>
        <w:tc>
          <w:tcPr>
            <w:tcW w:w="3640" w:type="dxa"/>
            <w:gridSpan w:val="2"/>
            <w:vMerge/>
            <w:tcBorders>
              <w:left w:val="single" w:sz="4" w:space="0" w:color="000000"/>
              <w:bottom w:val="single" w:sz="4" w:space="0" w:color="000000"/>
              <w:right w:val="single" w:sz="4" w:space="0" w:color="000000"/>
            </w:tcBorders>
            <w:shd w:val="clear" w:color="auto" w:fill="DCDCDC"/>
          </w:tcPr>
          <w:p>
            <w:pPr/>
          </w:p>
        </w:tc>
      </w:tr>
      <w:tr>
        <w:trPr>
          <w:trHeight w:val="130" w:hRule="exact"/>
        </w:trPr>
        <w:tc>
          <w:tcPr>
            <w:tcW w:w="2525" w:type="dxa"/>
            <w:vMerge/>
            <w:tcBorders>
              <w:left w:val="single" w:sz="4" w:space="0" w:color="000000"/>
              <w:bottom w:val="nil" w:sz="6" w:space="0" w:color="auto"/>
              <w:right w:val="single" w:sz="4" w:space="0" w:color="000000"/>
            </w:tcBorders>
            <w:shd w:val="clear" w:color="auto" w:fill="DCDCDC"/>
          </w:tcPr>
          <w:p>
            <w:pPr/>
          </w:p>
        </w:tc>
        <w:tc>
          <w:tcPr>
            <w:tcW w:w="183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12" w:right="0"/>
              <w:jc w:val="center"/>
              <w:rPr>
                <w:rFonts w:ascii="宋体" w:hAnsi="宋体" w:cs="宋体" w:eastAsia="宋体" w:hint="default"/>
                <w:sz w:val="21"/>
                <w:szCs w:val="21"/>
              </w:rPr>
            </w:pPr>
            <w:r>
              <w:rPr>
                <w:rFonts w:ascii="宋体" w:hAnsi="宋体" w:cs="宋体" w:eastAsia="宋体" w:hint="default"/>
                <w:sz w:val="21"/>
                <w:szCs w:val="21"/>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589" w:right="0"/>
              <w:jc w:val="left"/>
              <w:rPr>
                <w:rFonts w:ascii="宋体" w:hAnsi="宋体" w:cs="宋体" w:eastAsia="宋体" w:hint="default"/>
                <w:sz w:val="21"/>
                <w:szCs w:val="21"/>
              </w:rPr>
            </w:pPr>
            <w:r>
              <w:rPr>
                <w:rFonts w:ascii="宋体" w:hAnsi="宋体" w:cs="宋体" w:eastAsia="宋体" w:hint="default"/>
                <w:sz w:val="21"/>
                <w:szCs w:val="21"/>
              </w:rPr>
              <w:t>母公司</w:t>
            </w:r>
          </w:p>
        </w:tc>
        <w:tc>
          <w:tcPr>
            <w:tcW w:w="181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590" w:right="0"/>
              <w:jc w:val="left"/>
              <w:rPr>
                <w:rFonts w:ascii="宋体" w:hAnsi="宋体" w:cs="宋体" w:eastAsia="宋体" w:hint="default"/>
                <w:sz w:val="21"/>
                <w:szCs w:val="21"/>
              </w:rPr>
            </w:pPr>
            <w:r>
              <w:rPr>
                <w:rFonts w:ascii="宋体" w:hAnsi="宋体" w:cs="宋体" w:eastAsia="宋体" w:hint="default"/>
                <w:sz w:val="21"/>
                <w:szCs w:val="21"/>
              </w:rPr>
              <w:t>母公司</w:t>
            </w:r>
          </w:p>
        </w:tc>
      </w:tr>
      <w:tr>
        <w:trPr>
          <w:trHeight w:val="152" w:hRule="exact"/>
        </w:trPr>
        <w:tc>
          <w:tcPr>
            <w:tcW w:w="2525" w:type="dxa"/>
            <w:tcBorders>
              <w:top w:val="nil" w:sz="6" w:space="0" w:color="auto"/>
              <w:left w:val="single" w:sz="4" w:space="0" w:color="000000"/>
              <w:bottom w:val="single" w:sz="4" w:space="0" w:color="000000"/>
              <w:right w:val="single" w:sz="4" w:space="0" w:color="000000"/>
            </w:tcBorders>
            <w:shd w:val="clear" w:color="auto" w:fill="DCDCDC"/>
          </w:tcPr>
          <w:p>
            <w:pPr/>
          </w:p>
        </w:tc>
        <w:tc>
          <w:tcPr>
            <w:tcW w:w="1832"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c>
          <w:tcPr>
            <w:tcW w:w="1819"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r>
      <w:tr>
        <w:trPr>
          <w:trHeight w:val="156" w:hRule="exact"/>
        </w:trPr>
        <w:tc>
          <w:tcPr>
            <w:tcW w:w="2525" w:type="dxa"/>
            <w:vMerge w:val="restart"/>
            <w:tcBorders>
              <w:top w:val="single" w:sz="4" w:space="0" w:color="000000"/>
              <w:left w:val="single" w:sz="4" w:space="0" w:color="000000"/>
              <w:right w:val="single" w:sz="4" w:space="0" w:color="000000"/>
            </w:tcBorders>
            <w:shd w:val="clear" w:color="auto" w:fill="DCDCDC"/>
          </w:tcPr>
          <w:p>
            <w:pPr>
              <w:pStyle w:val="TableParagraph"/>
              <w:spacing w:line="238" w:lineRule="exact"/>
              <w:ind w:left="11" w:right="0"/>
              <w:jc w:val="left"/>
              <w:rPr>
                <w:rFonts w:ascii="宋体" w:hAnsi="宋体" w:cs="宋体" w:eastAsia="宋体" w:hint="default"/>
                <w:sz w:val="21"/>
                <w:szCs w:val="21"/>
              </w:rPr>
            </w:pPr>
            <w:r>
              <w:rPr>
                <w:rFonts w:ascii="宋体" w:hAnsi="宋体" w:cs="宋体" w:eastAsia="宋体" w:hint="default"/>
                <w:spacing w:val="-3"/>
                <w:sz w:val="21"/>
                <w:szCs w:val="21"/>
              </w:rPr>
              <w:t>一、经营活动产生的现金流</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量：</w:t>
            </w:r>
          </w:p>
        </w:tc>
        <w:tc>
          <w:tcPr>
            <w:tcW w:w="1832" w:type="dxa"/>
            <w:tcBorders>
              <w:top w:val="single" w:sz="4" w:space="0" w:color="000000"/>
              <w:left w:val="single" w:sz="4" w:space="0" w:color="000000"/>
              <w:bottom w:val="nil" w:sz="6" w:space="0" w:color="auto"/>
              <w:right w:val="single" w:sz="4" w:space="0" w:color="000000"/>
            </w:tcBorders>
            <w:shd w:val="clear" w:color="auto" w:fill="DCDCDC"/>
          </w:tcPr>
          <w:p>
            <w:pPr/>
          </w:p>
        </w:tc>
        <w:tc>
          <w:tcPr>
            <w:tcW w:w="1820" w:type="dxa"/>
            <w:tcBorders>
              <w:top w:val="single" w:sz="4" w:space="0" w:color="000000"/>
              <w:left w:val="single" w:sz="4" w:space="0" w:color="000000"/>
              <w:bottom w:val="nil" w:sz="6" w:space="0" w:color="auto"/>
              <w:right w:val="single" w:sz="4" w:space="0" w:color="000000"/>
            </w:tcBorders>
            <w:shd w:val="clear" w:color="auto" w:fill="DCDCDC"/>
          </w:tcPr>
          <w:p>
            <w:pPr/>
          </w:p>
        </w:tc>
        <w:tc>
          <w:tcPr>
            <w:tcW w:w="1819" w:type="dxa"/>
            <w:tcBorders>
              <w:top w:val="single" w:sz="4" w:space="0" w:color="000000"/>
              <w:left w:val="single" w:sz="4" w:space="0" w:color="000000"/>
              <w:bottom w:val="nil" w:sz="6" w:space="0" w:color="auto"/>
              <w:right w:val="single" w:sz="4" w:space="0" w:color="000000"/>
            </w:tcBorders>
            <w:shd w:val="clear" w:color="auto" w:fill="DCDCDC"/>
          </w:tcPr>
          <w:p>
            <w:pPr/>
          </w:p>
        </w:tc>
        <w:tc>
          <w:tcPr>
            <w:tcW w:w="182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40" w:hRule="exact"/>
        </w:trPr>
        <w:tc>
          <w:tcPr>
            <w:tcW w:w="2525" w:type="dxa"/>
            <w:vMerge/>
            <w:tcBorders>
              <w:left w:val="single" w:sz="4" w:space="0" w:color="000000"/>
              <w:right w:val="single" w:sz="4" w:space="0" w:color="000000"/>
            </w:tcBorders>
            <w:shd w:val="clear" w:color="auto" w:fill="DCDCDC"/>
          </w:tcPr>
          <w:p>
            <w:pPr/>
          </w:p>
        </w:tc>
        <w:tc>
          <w:tcPr>
            <w:tcW w:w="1832" w:type="dxa"/>
            <w:tcBorders>
              <w:top w:val="nil" w:sz="6" w:space="0" w:color="auto"/>
              <w:left w:val="single" w:sz="4" w:space="0" w:color="000000"/>
              <w:bottom w:val="nil" w:sz="6" w:space="0" w:color="auto"/>
              <w:right w:val="single" w:sz="4" w:space="0" w:color="000000"/>
            </w:tcBorders>
            <w:shd w:val="clear" w:color="auto" w:fill="DCDCDC"/>
          </w:tcPr>
          <w:p>
            <w:pPr/>
          </w:p>
        </w:tc>
        <w:tc>
          <w:tcPr>
            <w:tcW w:w="1820" w:type="dxa"/>
            <w:tcBorders>
              <w:top w:val="nil" w:sz="6" w:space="0" w:color="auto"/>
              <w:left w:val="single" w:sz="4" w:space="0" w:color="000000"/>
              <w:bottom w:val="nil" w:sz="6" w:space="0" w:color="auto"/>
              <w:right w:val="single" w:sz="4" w:space="0" w:color="000000"/>
            </w:tcBorders>
            <w:shd w:val="clear" w:color="auto" w:fill="DCDCDC"/>
          </w:tcPr>
          <w:p>
            <w:pPr/>
          </w:p>
        </w:tc>
        <w:tc>
          <w:tcPr>
            <w:tcW w:w="1819" w:type="dxa"/>
            <w:tcBorders>
              <w:top w:val="nil" w:sz="6" w:space="0" w:color="auto"/>
              <w:left w:val="single" w:sz="4" w:space="0" w:color="000000"/>
              <w:bottom w:val="nil" w:sz="6" w:space="0" w:color="auto"/>
              <w:right w:val="single" w:sz="4" w:space="0" w:color="000000"/>
            </w:tcBorders>
            <w:shd w:val="clear" w:color="auto" w:fill="DCDCDC"/>
          </w:tcPr>
          <w:p>
            <w:pPr/>
          </w:p>
        </w:tc>
        <w:tc>
          <w:tcPr>
            <w:tcW w:w="1820" w:type="dxa"/>
            <w:tcBorders>
              <w:top w:val="nil" w:sz="6" w:space="0" w:color="auto"/>
              <w:left w:val="single" w:sz="4" w:space="0" w:color="000000"/>
              <w:bottom w:val="nil" w:sz="6" w:space="0" w:color="auto"/>
              <w:right w:val="single" w:sz="4" w:space="0" w:color="000000"/>
            </w:tcBorders>
            <w:shd w:val="clear" w:color="auto" w:fill="DCDCDC"/>
          </w:tcPr>
          <w:p>
            <w:pPr/>
          </w:p>
        </w:tc>
      </w:tr>
      <w:tr>
        <w:trPr>
          <w:trHeight w:val="158" w:hRule="exact"/>
        </w:trPr>
        <w:tc>
          <w:tcPr>
            <w:tcW w:w="2525" w:type="dxa"/>
            <w:vMerge/>
            <w:tcBorders>
              <w:left w:val="single" w:sz="4" w:space="0" w:color="000000"/>
              <w:bottom w:val="single" w:sz="4" w:space="0" w:color="000000"/>
              <w:right w:val="single" w:sz="4" w:space="0" w:color="000000"/>
            </w:tcBorders>
            <w:shd w:val="clear" w:color="auto" w:fill="DCDCDC"/>
          </w:tcPr>
          <w:p>
            <w:pPr/>
          </w:p>
        </w:tc>
        <w:tc>
          <w:tcPr>
            <w:tcW w:w="1832" w:type="dxa"/>
            <w:tcBorders>
              <w:top w:val="nil" w:sz="6" w:space="0" w:color="auto"/>
              <w:left w:val="single" w:sz="4" w:space="0" w:color="000000"/>
              <w:bottom w:val="single" w:sz="4" w:space="0" w:color="000000"/>
              <w:right w:val="single" w:sz="4" w:space="0" w:color="000000"/>
            </w:tcBorders>
            <w:shd w:val="clear" w:color="auto" w:fill="DCDCDC"/>
          </w:tcPr>
          <w:p>
            <w:pPr/>
          </w:p>
        </w:tc>
        <w:tc>
          <w:tcPr>
            <w:tcW w:w="1820" w:type="dxa"/>
            <w:tcBorders>
              <w:top w:val="nil" w:sz="6" w:space="0" w:color="auto"/>
              <w:left w:val="single" w:sz="4" w:space="0" w:color="000000"/>
              <w:bottom w:val="single" w:sz="4" w:space="0" w:color="000000"/>
              <w:right w:val="single" w:sz="4" w:space="0" w:color="000000"/>
            </w:tcBorders>
            <w:shd w:val="clear" w:color="auto" w:fill="DCDCDC"/>
          </w:tcPr>
          <w:p>
            <w:pPr/>
          </w:p>
        </w:tc>
        <w:tc>
          <w:tcPr>
            <w:tcW w:w="1819" w:type="dxa"/>
            <w:tcBorders>
              <w:top w:val="nil" w:sz="6" w:space="0" w:color="auto"/>
              <w:left w:val="single" w:sz="4" w:space="0" w:color="000000"/>
              <w:bottom w:val="single" w:sz="4" w:space="0" w:color="000000"/>
              <w:right w:val="single" w:sz="4" w:space="0" w:color="000000"/>
            </w:tcBorders>
            <w:shd w:val="clear" w:color="auto" w:fill="DCDCDC"/>
          </w:tcPr>
          <w:p>
            <w:pPr/>
          </w:p>
        </w:tc>
        <w:tc>
          <w:tcPr>
            <w:tcW w:w="182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556"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pacing w:val="-3"/>
                <w:sz w:val="21"/>
                <w:szCs w:val="21"/>
              </w:rPr>
              <w:t>销售商品、提供劳务收</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到的现金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1,781,578.70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1,781,578.70</w:t>
            </w:r>
          </w:p>
        </w:tc>
      </w:tr>
      <w:tr>
        <w:trPr>
          <w:trHeight w:val="55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客户存款和同业存放</w:t>
            </w:r>
          </w:p>
          <w:p>
            <w:pPr>
              <w:pStyle w:val="TableParagraph"/>
              <w:spacing w:line="273" w:lineRule="exact"/>
              <w:ind w:left="11" w:right="0"/>
              <w:jc w:val="left"/>
              <w:rPr>
                <w:rFonts w:ascii="宋体" w:hAnsi="宋体" w:cs="宋体" w:eastAsia="宋体" w:hint="default"/>
                <w:sz w:val="21"/>
                <w:szCs w:val="21"/>
              </w:rPr>
            </w:pPr>
            <w:r>
              <w:rPr>
                <w:rFonts w:ascii="宋体" w:hAnsi="宋体" w:cs="宋体" w:eastAsia="宋体" w:hint="default"/>
                <w:sz w:val="21"/>
                <w:szCs w:val="21"/>
              </w:rPr>
              <w:t>款项净增加额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向中央银行借款净增</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向其他金融机构拆入</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资金净增加额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收到原保险合同保费</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取得的现金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6"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收到再保险业务现金</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净额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保户储金及投资款净</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处置交易性金融资产</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pacing w:val="-3"/>
                <w:sz w:val="21"/>
                <w:szCs w:val="21"/>
              </w:rPr>
              <w:t>收取利息、手续费及佣</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金的现金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拆入资金净增加额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回购业务资金净增加</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收到其他与经营活动</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40,601,820.73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1,410,845.32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1,764,060.34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1,764,060.34</w:t>
            </w:r>
          </w:p>
        </w:tc>
      </w:tr>
      <w:tr>
        <w:trPr>
          <w:trHeight w:val="556"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642" w:right="0"/>
              <w:jc w:val="left"/>
              <w:rPr>
                <w:rFonts w:ascii="宋体" w:hAnsi="宋体" w:cs="宋体" w:eastAsia="宋体" w:hint="default"/>
                <w:sz w:val="21"/>
                <w:szCs w:val="21"/>
              </w:rPr>
            </w:pPr>
            <w:r>
              <w:rPr>
                <w:rFonts w:ascii="宋体" w:hAnsi="宋体" w:cs="宋体" w:eastAsia="宋体" w:hint="default"/>
                <w:sz w:val="21"/>
                <w:szCs w:val="21"/>
              </w:rPr>
              <w:t>经营活动现金流入</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40,601,820.73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1,410,845.32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3,545,639.04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3,545,639.04</w:t>
            </w:r>
          </w:p>
        </w:tc>
      </w:tr>
      <w:tr>
        <w:trPr>
          <w:trHeight w:val="55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pacing w:val="-3"/>
                <w:sz w:val="21"/>
                <w:szCs w:val="21"/>
              </w:rPr>
              <w:t>购买商品、接受劳务支</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付的现金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5,719,349.90</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客户贷款及垫款净增</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存放中央银行和同业</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款项净增加额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6"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支付原保险合同赔付</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款项的现金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pacing w:val="-3"/>
                <w:sz w:val="21"/>
                <w:szCs w:val="21"/>
              </w:rPr>
              <w:t>支付利息、手续费及佣</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金的现金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支付保单红利的现金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支付给职工以及为职</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工支付的现金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1,082,460.61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838,677.35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1,648,244.91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1,648,244.91</w:t>
            </w:r>
          </w:p>
        </w:tc>
      </w:tr>
      <w:tr>
        <w:trPr>
          <w:trHeight w:val="283"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715,104.02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2"/>
                <w:sz w:val="21"/>
              </w:rPr>
              <w:t>89,958.11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413,123.07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413,123.07</w:t>
            </w:r>
          </w:p>
        </w:tc>
      </w:tr>
    </w:tbl>
    <w:p>
      <w:pPr>
        <w:spacing w:after="0" w:line="240" w:lineRule="auto"/>
        <w:jc w:val="right"/>
        <w:rPr>
          <w:rFonts w:ascii="Times New Roman" w:hAnsi="Times New Roman" w:cs="Times New Roman" w:eastAsia="Times New Roman" w:hint="default"/>
          <w:sz w:val="21"/>
          <w:szCs w:val="21"/>
        </w:rPr>
        <w:sectPr>
          <w:pgSz w:w="11910" w:h="16840"/>
          <w:pgMar w:header="0" w:footer="691" w:top="860" w:bottom="880" w:left="980" w:right="820"/>
        </w:sectPr>
      </w:pPr>
    </w:p>
    <w:p>
      <w:pPr>
        <w:spacing w:line="240" w:lineRule="auto" w:before="8"/>
        <w:rPr>
          <w:rFonts w:ascii="Times New Roman" w:hAnsi="Times New Roman" w:cs="Times New Roman" w:eastAsia="Times New Roman" w:hint="default"/>
          <w:sz w:val="7"/>
          <w:szCs w:val="7"/>
        </w:rPr>
      </w:pPr>
    </w:p>
    <w:p>
      <w:pPr>
        <w:spacing w:line="20" w:lineRule="exact"/>
        <w:ind w:left="11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65pt;height:.75pt;mso-position-horizontal-relative:char;mso-position-vertical-relative:line" coordorigin="0,0" coordsize="9713,15">
            <v:group style="position:absolute;left:7;top:7;width:9699;height:2" coordorigin="7,7" coordsize="9699,2">
              <v:shape style="position:absolute;left:7;top:7;width:9699;height:2" coordorigin="7,7" coordsize="9699,0" path="m7,7l9706,7e" filled="false" stroked="true" strokeweight=".72003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1"/>
          <w:szCs w:val="21"/>
        </w:rPr>
      </w:pPr>
    </w:p>
    <w:tbl>
      <w:tblPr>
        <w:tblW w:w="0" w:type="auto"/>
        <w:jc w:val="left"/>
        <w:tblInd w:w="160" w:type="dxa"/>
        <w:tblLayout w:type="fixed"/>
        <w:tblCellMar>
          <w:top w:w="0" w:type="dxa"/>
          <w:left w:w="0" w:type="dxa"/>
          <w:bottom w:w="0" w:type="dxa"/>
          <w:right w:w="0" w:type="dxa"/>
        </w:tblCellMar>
        <w:tblLook w:val="01E0"/>
      </w:tblPr>
      <w:tblGrid>
        <w:gridCol w:w="2520"/>
        <w:gridCol w:w="1837"/>
        <w:gridCol w:w="1820"/>
        <w:gridCol w:w="1819"/>
        <w:gridCol w:w="1820"/>
      </w:tblGrid>
      <w:tr>
        <w:trPr>
          <w:trHeight w:val="55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支付其他与经营活动</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10,713,718.92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628,242.74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1,394,955.11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1,394,955.11</w:t>
            </w:r>
          </w:p>
        </w:tc>
      </w:tr>
      <w:tr>
        <w:trPr>
          <w:trHeight w:val="55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642" w:right="0"/>
              <w:jc w:val="left"/>
              <w:rPr>
                <w:rFonts w:ascii="宋体" w:hAnsi="宋体" w:cs="宋体" w:eastAsia="宋体" w:hint="default"/>
                <w:sz w:val="21"/>
                <w:szCs w:val="21"/>
              </w:rPr>
            </w:pPr>
            <w:r>
              <w:rPr>
                <w:rFonts w:ascii="宋体" w:hAnsi="宋体" w:cs="宋体" w:eastAsia="宋体" w:hint="default"/>
                <w:sz w:val="21"/>
                <w:szCs w:val="21"/>
              </w:rPr>
              <w:t>经营活动现金流出</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18,230,633.45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1,556,878.20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3,456,323.09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3,456,323.09</w:t>
            </w:r>
          </w:p>
        </w:tc>
      </w:tr>
      <w:tr>
        <w:trPr>
          <w:trHeight w:val="556"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852" w:right="0"/>
              <w:jc w:val="left"/>
              <w:rPr>
                <w:rFonts w:ascii="宋体" w:hAnsi="宋体" w:cs="宋体" w:eastAsia="宋体" w:hint="default"/>
                <w:sz w:val="21"/>
                <w:szCs w:val="21"/>
              </w:rPr>
            </w:pPr>
            <w:r>
              <w:rPr>
                <w:rFonts w:ascii="宋体" w:hAnsi="宋体" w:cs="宋体" w:eastAsia="宋体" w:hint="default"/>
                <w:sz w:val="21"/>
                <w:szCs w:val="21"/>
              </w:rPr>
              <w:t>经营活动产生的</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22,371,187.28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-146,032.88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89,315.95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89,315.95</w:t>
            </w:r>
          </w:p>
        </w:tc>
      </w:tr>
      <w:tr>
        <w:trPr>
          <w:trHeight w:val="157" w:hRule="exact"/>
        </w:trPr>
        <w:tc>
          <w:tcPr>
            <w:tcW w:w="2520" w:type="dxa"/>
            <w:vMerge w:val="restart"/>
            <w:tcBorders>
              <w:top w:val="single" w:sz="4" w:space="0" w:color="000000"/>
              <w:left w:val="single" w:sz="4" w:space="0" w:color="000000"/>
              <w:right w:val="single" w:sz="4" w:space="0" w:color="000000"/>
            </w:tcBorders>
            <w:shd w:val="clear" w:color="auto" w:fill="DCDCDC"/>
          </w:tcPr>
          <w:p>
            <w:pPr>
              <w:pStyle w:val="TableParagraph"/>
              <w:spacing w:line="238" w:lineRule="exact"/>
              <w:ind w:left="11" w:right="0"/>
              <w:jc w:val="left"/>
              <w:rPr>
                <w:rFonts w:ascii="宋体" w:hAnsi="宋体" w:cs="宋体" w:eastAsia="宋体" w:hint="default"/>
                <w:sz w:val="21"/>
                <w:szCs w:val="21"/>
              </w:rPr>
            </w:pPr>
            <w:r>
              <w:rPr>
                <w:rFonts w:ascii="宋体" w:hAnsi="宋体" w:cs="宋体" w:eastAsia="宋体" w:hint="default"/>
                <w:spacing w:val="-3"/>
                <w:sz w:val="21"/>
                <w:szCs w:val="21"/>
              </w:rPr>
              <w:t>二、投资活动产生的现金流</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量：</w:t>
            </w:r>
          </w:p>
        </w:tc>
        <w:tc>
          <w:tcPr>
            <w:tcW w:w="1837" w:type="dxa"/>
            <w:tcBorders>
              <w:top w:val="single" w:sz="4" w:space="0" w:color="000000"/>
              <w:left w:val="single" w:sz="4" w:space="0" w:color="000000"/>
              <w:bottom w:val="nil" w:sz="6" w:space="0" w:color="auto"/>
              <w:right w:val="single" w:sz="4" w:space="0" w:color="000000"/>
            </w:tcBorders>
            <w:shd w:val="clear" w:color="auto" w:fill="DCDCDC"/>
          </w:tcPr>
          <w:p>
            <w:pPr/>
          </w:p>
        </w:tc>
        <w:tc>
          <w:tcPr>
            <w:tcW w:w="1820" w:type="dxa"/>
            <w:tcBorders>
              <w:top w:val="single" w:sz="4" w:space="0" w:color="000000"/>
              <w:left w:val="single" w:sz="4" w:space="0" w:color="000000"/>
              <w:bottom w:val="nil" w:sz="6" w:space="0" w:color="auto"/>
              <w:right w:val="single" w:sz="4" w:space="0" w:color="000000"/>
            </w:tcBorders>
            <w:shd w:val="clear" w:color="auto" w:fill="DCDCDC"/>
          </w:tcPr>
          <w:p>
            <w:pPr/>
          </w:p>
        </w:tc>
        <w:tc>
          <w:tcPr>
            <w:tcW w:w="1819" w:type="dxa"/>
            <w:tcBorders>
              <w:top w:val="single" w:sz="4" w:space="0" w:color="000000"/>
              <w:left w:val="single" w:sz="4" w:space="0" w:color="000000"/>
              <w:bottom w:val="nil" w:sz="6" w:space="0" w:color="auto"/>
              <w:right w:val="single" w:sz="4" w:space="0" w:color="000000"/>
            </w:tcBorders>
            <w:shd w:val="clear" w:color="auto" w:fill="DCDCDC"/>
          </w:tcPr>
          <w:p>
            <w:pPr/>
          </w:p>
        </w:tc>
        <w:tc>
          <w:tcPr>
            <w:tcW w:w="182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40" w:hRule="exact"/>
        </w:trPr>
        <w:tc>
          <w:tcPr>
            <w:tcW w:w="2520" w:type="dxa"/>
            <w:vMerge/>
            <w:tcBorders>
              <w:left w:val="single" w:sz="4" w:space="0" w:color="000000"/>
              <w:right w:val="single" w:sz="4" w:space="0" w:color="000000"/>
            </w:tcBorders>
            <w:shd w:val="clear" w:color="auto" w:fill="DCDCDC"/>
          </w:tcPr>
          <w:p>
            <w:pPr/>
          </w:p>
        </w:tc>
        <w:tc>
          <w:tcPr>
            <w:tcW w:w="1837" w:type="dxa"/>
            <w:tcBorders>
              <w:top w:val="nil" w:sz="6" w:space="0" w:color="auto"/>
              <w:left w:val="single" w:sz="4" w:space="0" w:color="000000"/>
              <w:bottom w:val="nil" w:sz="6" w:space="0" w:color="auto"/>
              <w:right w:val="single" w:sz="4" w:space="0" w:color="000000"/>
            </w:tcBorders>
            <w:shd w:val="clear" w:color="auto" w:fill="DCDCDC"/>
          </w:tcPr>
          <w:p>
            <w:pPr/>
          </w:p>
        </w:tc>
        <w:tc>
          <w:tcPr>
            <w:tcW w:w="1820" w:type="dxa"/>
            <w:tcBorders>
              <w:top w:val="nil" w:sz="6" w:space="0" w:color="auto"/>
              <w:left w:val="single" w:sz="4" w:space="0" w:color="000000"/>
              <w:bottom w:val="nil" w:sz="6" w:space="0" w:color="auto"/>
              <w:right w:val="single" w:sz="4" w:space="0" w:color="000000"/>
            </w:tcBorders>
            <w:shd w:val="clear" w:color="auto" w:fill="DCDCDC"/>
          </w:tcPr>
          <w:p>
            <w:pPr/>
          </w:p>
        </w:tc>
        <w:tc>
          <w:tcPr>
            <w:tcW w:w="1819" w:type="dxa"/>
            <w:tcBorders>
              <w:top w:val="nil" w:sz="6" w:space="0" w:color="auto"/>
              <w:left w:val="single" w:sz="4" w:space="0" w:color="000000"/>
              <w:bottom w:val="nil" w:sz="6" w:space="0" w:color="auto"/>
              <w:right w:val="single" w:sz="4" w:space="0" w:color="000000"/>
            </w:tcBorders>
            <w:shd w:val="clear" w:color="auto" w:fill="DCDCDC"/>
          </w:tcPr>
          <w:p>
            <w:pPr/>
          </w:p>
        </w:tc>
        <w:tc>
          <w:tcPr>
            <w:tcW w:w="1820" w:type="dxa"/>
            <w:tcBorders>
              <w:top w:val="nil" w:sz="6" w:space="0" w:color="auto"/>
              <w:left w:val="single" w:sz="4" w:space="0" w:color="000000"/>
              <w:bottom w:val="nil" w:sz="6" w:space="0" w:color="auto"/>
              <w:right w:val="single" w:sz="4" w:space="0" w:color="000000"/>
            </w:tcBorders>
            <w:shd w:val="clear" w:color="auto" w:fill="DCDCDC"/>
          </w:tcPr>
          <w:p>
            <w:pPr/>
          </w:p>
        </w:tc>
      </w:tr>
      <w:tr>
        <w:trPr>
          <w:trHeight w:val="157" w:hRule="exact"/>
        </w:trPr>
        <w:tc>
          <w:tcPr>
            <w:tcW w:w="2520" w:type="dxa"/>
            <w:vMerge/>
            <w:tcBorders>
              <w:left w:val="single" w:sz="4" w:space="0" w:color="000000"/>
              <w:bottom w:val="single" w:sz="4" w:space="0" w:color="000000"/>
              <w:right w:val="single" w:sz="4" w:space="0" w:color="000000"/>
            </w:tcBorders>
            <w:shd w:val="clear" w:color="auto" w:fill="DCDCDC"/>
          </w:tcPr>
          <w:p>
            <w:pPr/>
          </w:p>
        </w:tc>
        <w:tc>
          <w:tcPr>
            <w:tcW w:w="1837" w:type="dxa"/>
            <w:tcBorders>
              <w:top w:val="nil" w:sz="6" w:space="0" w:color="auto"/>
              <w:left w:val="single" w:sz="4" w:space="0" w:color="000000"/>
              <w:bottom w:val="single" w:sz="4" w:space="0" w:color="000000"/>
              <w:right w:val="single" w:sz="4" w:space="0" w:color="000000"/>
            </w:tcBorders>
            <w:shd w:val="clear" w:color="auto" w:fill="DCDCDC"/>
          </w:tcPr>
          <w:p>
            <w:pPr/>
          </w:p>
        </w:tc>
        <w:tc>
          <w:tcPr>
            <w:tcW w:w="1820" w:type="dxa"/>
            <w:tcBorders>
              <w:top w:val="nil" w:sz="6" w:space="0" w:color="auto"/>
              <w:left w:val="single" w:sz="4" w:space="0" w:color="000000"/>
              <w:bottom w:val="single" w:sz="4" w:space="0" w:color="000000"/>
              <w:right w:val="single" w:sz="4" w:space="0" w:color="000000"/>
            </w:tcBorders>
            <w:shd w:val="clear" w:color="auto" w:fill="DCDCDC"/>
          </w:tcPr>
          <w:p>
            <w:pPr/>
          </w:p>
        </w:tc>
        <w:tc>
          <w:tcPr>
            <w:tcW w:w="1819" w:type="dxa"/>
            <w:tcBorders>
              <w:top w:val="nil" w:sz="6" w:space="0" w:color="auto"/>
              <w:left w:val="single" w:sz="4" w:space="0" w:color="000000"/>
              <w:bottom w:val="single" w:sz="4" w:space="0" w:color="000000"/>
              <w:right w:val="single" w:sz="4" w:space="0" w:color="000000"/>
            </w:tcBorders>
            <w:shd w:val="clear" w:color="auto" w:fill="DCDCDC"/>
          </w:tcPr>
          <w:p>
            <w:pPr/>
          </w:p>
        </w:tc>
        <w:tc>
          <w:tcPr>
            <w:tcW w:w="182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取得投资收益收到的</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828"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pacing w:val="-3"/>
                <w:sz w:val="21"/>
                <w:szCs w:val="21"/>
              </w:rPr>
              <w:t>处置固定资产、无形资</w:t>
            </w:r>
          </w:p>
          <w:p>
            <w:pPr>
              <w:pStyle w:val="TableParagraph"/>
              <w:spacing w:line="272" w:lineRule="exact" w:before="26"/>
              <w:ind w:left="11" w:right="187"/>
              <w:jc w:val="left"/>
              <w:rPr>
                <w:rFonts w:ascii="宋体" w:hAnsi="宋体" w:cs="宋体" w:eastAsia="宋体" w:hint="default"/>
                <w:sz w:val="21"/>
                <w:szCs w:val="21"/>
              </w:rPr>
            </w:pPr>
            <w:r>
              <w:rPr>
                <w:rFonts w:ascii="宋体" w:hAnsi="宋体" w:cs="宋体" w:eastAsia="宋体" w:hint="default"/>
                <w:sz w:val="21"/>
                <w:szCs w:val="21"/>
              </w:rPr>
              <w:t>产和其他长期资产收回的 现金净额</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5,800.00</w:t>
            </w:r>
            <w:r>
              <w:rPr>
                <w:rFonts w:ascii="Times New Roman"/>
                <w:sz w:val="21"/>
              </w:rPr>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5,800.00</w:t>
            </w:r>
            <w:r>
              <w:rPr>
                <w:rFonts w:ascii="Times New Roman"/>
                <w:sz w:val="21"/>
              </w:rPr>
            </w:r>
          </w:p>
        </w:tc>
      </w:tr>
      <w:tr>
        <w:trPr>
          <w:trHeight w:val="55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处置子公司及其他营</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业单位收到的现金净额</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收到其他与投资活动</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642" w:right="0"/>
              <w:jc w:val="left"/>
              <w:rPr>
                <w:rFonts w:ascii="宋体" w:hAnsi="宋体" w:cs="宋体" w:eastAsia="宋体" w:hint="default"/>
                <w:sz w:val="21"/>
                <w:szCs w:val="21"/>
              </w:rPr>
            </w:pPr>
            <w:r>
              <w:rPr>
                <w:rFonts w:ascii="宋体" w:hAnsi="宋体" w:cs="宋体" w:eastAsia="宋体" w:hint="default"/>
                <w:sz w:val="21"/>
                <w:szCs w:val="21"/>
              </w:rPr>
              <w:t>投资活动现金流入</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0.00</w:t>
            </w:r>
            <w:r>
              <w:rPr>
                <w:rFonts w:ascii="Times New Roman"/>
                <w:sz w:val="21"/>
              </w:rPr>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5,800.00</w:t>
            </w:r>
            <w:r>
              <w:rPr>
                <w:rFonts w:ascii="Times New Roman"/>
                <w:sz w:val="21"/>
              </w:rPr>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5,800.00</w:t>
            </w:r>
            <w:r>
              <w:rPr>
                <w:rFonts w:ascii="Times New Roman"/>
                <w:sz w:val="21"/>
              </w:rPr>
            </w:r>
          </w:p>
        </w:tc>
      </w:tr>
      <w:tr>
        <w:trPr>
          <w:trHeight w:val="828"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pacing w:val="-3"/>
                <w:sz w:val="21"/>
                <w:szCs w:val="21"/>
              </w:rPr>
              <w:t>购建固定资产、无形资</w:t>
            </w:r>
          </w:p>
          <w:p>
            <w:pPr>
              <w:pStyle w:val="TableParagraph"/>
              <w:spacing w:line="272" w:lineRule="exact" w:before="26"/>
              <w:ind w:left="11" w:right="187"/>
              <w:jc w:val="left"/>
              <w:rPr>
                <w:rFonts w:ascii="宋体" w:hAnsi="宋体" w:cs="宋体" w:eastAsia="宋体" w:hint="default"/>
                <w:sz w:val="21"/>
                <w:szCs w:val="21"/>
              </w:rPr>
            </w:pPr>
            <w:r>
              <w:rPr>
                <w:rFonts w:ascii="宋体" w:hAnsi="宋体" w:cs="宋体" w:eastAsia="宋体" w:hint="default"/>
                <w:sz w:val="21"/>
                <w:szCs w:val="21"/>
              </w:rPr>
              <w:t>产和其他长期资产支付的 现金</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28,400.00</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18,036.27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18,036.27</w:t>
            </w: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质押贷款净增加额</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取得子公司及其他营</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业单位支付的现金净额</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-9,985,581.02</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6"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支付其他与投资活动</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642" w:right="0"/>
              <w:jc w:val="left"/>
              <w:rPr>
                <w:rFonts w:ascii="宋体" w:hAnsi="宋体" w:cs="宋体" w:eastAsia="宋体" w:hint="default"/>
                <w:sz w:val="21"/>
                <w:szCs w:val="21"/>
              </w:rPr>
            </w:pPr>
            <w:r>
              <w:rPr>
                <w:rFonts w:ascii="宋体" w:hAnsi="宋体" w:cs="宋体" w:eastAsia="宋体" w:hint="default"/>
                <w:sz w:val="21"/>
                <w:szCs w:val="21"/>
              </w:rPr>
              <w:t>投资活动现金流出</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-9,957,181.02</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18,036.27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18,036.27</w:t>
            </w:r>
          </w:p>
        </w:tc>
      </w:tr>
      <w:tr>
        <w:trPr>
          <w:trHeight w:val="55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852" w:right="0"/>
              <w:jc w:val="left"/>
              <w:rPr>
                <w:rFonts w:ascii="宋体" w:hAnsi="宋体" w:cs="宋体" w:eastAsia="宋体" w:hint="default"/>
                <w:sz w:val="21"/>
                <w:szCs w:val="21"/>
              </w:rPr>
            </w:pPr>
            <w:r>
              <w:rPr>
                <w:rFonts w:ascii="宋体" w:hAnsi="宋体" w:cs="宋体" w:eastAsia="宋体" w:hint="default"/>
                <w:sz w:val="21"/>
                <w:szCs w:val="21"/>
              </w:rPr>
              <w:t>投资活动产生的</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9,957,181.02</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-12,236.27</w:t>
            </w:r>
            <w:r>
              <w:rPr>
                <w:rFonts w:ascii="Times New Roman"/>
                <w:sz w:val="21"/>
              </w:rPr>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-12,236.27</w:t>
            </w:r>
            <w:r>
              <w:rPr>
                <w:rFonts w:ascii="Times New Roman"/>
                <w:sz w:val="21"/>
              </w:rPr>
            </w:r>
          </w:p>
        </w:tc>
      </w:tr>
      <w:tr>
        <w:trPr>
          <w:trHeight w:val="156" w:hRule="exact"/>
        </w:trPr>
        <w:tc>
          <w:tcPr>
            <w:tcW w:w="2520" w:type="dxa"/>
            <w:vMerge w:val="restart"/>
            <w:tcBorders>
              <w:top w:val="single" w:sz="4" w:space="0" w:color="000000"/>
              <w:left w:val="single" w:sz="4" w:space="0" w:color="000000"/>
              <w:right w:val="single" w:sz="4" w:space="0" w:color="000000"/>
            </w:tcBorders>
            <w:shd w:val="clear" w:color="auto" w:fill="DCDCDC"/>
          </w:tcPr>
          <w:p>
            <w:pPr>
              <w:pStyle w:val="TableParagraph"/>
              <w:spacing w:line="238" w:lineRule="exact"/>
              <w:ind w:left="222" w:right="0"/>
              <w:jc w:val="left"/>
              <w:rPr>
                <w:rFonts w:ascii="宋体" w:hAnsi="宋体" w:cs="宋体" w:eastAsia="宋体" w:hint="default"/>
                <w:sz w:val="21"/>
                <w:szCs w:val="21"/>
              </w:rPr>
            </w:pPr>
            <w:r>
              <w:rPr>
                <w:rFonts w:ascii="宋体" w:hAnsi="宋体" w:cs="宋体" w:eastAsia="宋体" w:hint="default"/>
                <w:spacing w:val="-3"/>
                <w:sz w:val="21"/>
                <w:szCs w:val="21"/>
              </w:rPr>
              <w:t>三、筹资活动产生的现金</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流量：</w:t>
            </w:r>
          </w:p>
        </w:tc>
        <w:tc>
          <w:tcPr>
            <w:tcW w:w="1837" w:type="dxa"/>
            <w:tcBorders>
              <w:top w:val="single" w:sz="4" w:space="0" w:color="000000"/>
              <w:left w:val="single" w:sz="4" w:space="0" w:color="000000"/>
              <w:bottom w:val="nil" w:sz="6" w:space="0" w:color="auto"/>
              <w:right w:val="single" w:sz="4" w:space="0" w:color="000000"/>
            </w:tcBorders>
            <w:shd w:val="clear" w:color="auto" w:fill="DCDCDC"/>
          </w:tcPr>
          <w:p>
            <w:pPr/>
          </w:p>
        </w:tc>
        <w:tc>
          <w:tcPr>
            <w:tcW w:w="1820" w:type="dxa"/>
            <w:tcBorders>
              <w:top w:val="single" w:sz="4" w:space="0" w:color="000000"/>
              <w:left w:val="single" w:sz="4" w:space="0" w:color="000000"/>
              <w:bottom w:val="nil" w:sz="6" w:space="0" w:color="auto"/>
              <w:right w:val="single" w:sz="4" w:space="0" w:color="000000"/>
            </w:tcBorders>
            <w:shd w:val="clear" w:color="auto" w:fill="DCDCDC"/>
          </w:tcPr>
          <w:p>
            <w:pPr/>
          </w:p>
        </w:tc>
        <w:tc>
          <w:tcPr>
            <w:tcW w:w="1819" w:type="dxa"/>
            <w:tcBorders>
              <w:top w:val="single" w:sz="4" w:space="0" w:color="000000"/>
              <w:left w:val="single" w:sz="4" w:space="0" w:color="000000"/>
              <w:bottom w:val="nil" w:sz="6" w:space="0" w:color="auto"/>
              <w:right w:val="single" w:sz="4" w:space="0" w:color="000000"/>
            </w:tcBorders>
            <w:shd w:val="clear" w:color="auto" w:fill="DCDCDC"/>
          </w:tcPr>
          <w:p>
            <w:pPr/>
          </w:p>
        </w:tc>
        <w:tc>
          <w:tcPr>
            <w:tcW w:w="182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42" w:hRule="exact"/>
        </w:trPr>
        <w:tc>
          <w:tcPr>
            <w:tcW w:w="2520" w:type="dxa"/>
            <w:vMerge/>
            <w:tcBorders>
              <w:left w:val="single" w:sz="4" w:space="0" w:color="000000"/>
              <w:right w:val="single" w:sz="4" w:space="0" w:color="000000"/>
            </w:tcBorders>
            <w:shd w:val="clear" w:color="auto" w:fill="DCDCDC"/>
          </w:tcPr>
          <w:p>
            <w:pPr/>
          </w:p>
        </w:tc>
        <w:tc>
          <w:tcPr>
            <w:tcW w:w="1837" w:type="dxa"/>
            <w:tcBorders>
              <w:top w:val="nil" w:sz="6" w:space="0" w:color="auto"/>
              <w:left w:val="single" w:sz="4" w:space="0" w:color="000000"/>
              <w:bottom w:val="nil" w:sz="6" w:space="0" w:color="auto"/>
              <w:right w:val="single" w:sz="4" w:space="0" w:color="000000"/>
            </w:tcBorders>
            <w:shd w:val="clear" w:color="auto" w:fill="DCDCDC"/>
          </w:tcPr>
          <w:p>
            <w:pPr/>
          </w:p>
        </w:tc>
        <w:tc>
          <w:tcPr>
            <w:tcW w:w="1820" w:type="dxa"/>
            <w:tcBorders>
              <w:top w:val="nil" w:sz="6" w:space="0" w:color="auto"/>
              <w:left w:val="single" w:sz="4" w:space="0" w:color="000000"/>
              <w:bottom w:val="nil" w:sz="6" w:space="0" w:color="auto"/>
              <w:right w:val="single" w:sz="4" w:space="0" w:color="000000"/>
            </w:tcBorders>
            <w:shd w:val="clear" w:color="auto" w:fill="DCDCDC"/>
          </w:tcPr>
          <w:p>
            <w:pPr/>
          </w:p>
        </w:tc>
        <w:tc>
          <w:tcPr>
            <w:tcW w:w="1819" w:type="dxa"/>
            <w:tcBorders>
              <w:top w:val="nil" w:sz="6" w:space="0" w:color="auto"/>
              <w:left w:val="single" w:sz="4" w:space="0" w:color="000000"/>
              <w:bottom w:val="nil" w:sz="6" w:space="0" w:color="auto"/>
              <w:right w:val="single" w:sz="4" w:space="0" w:color="000000"/>
            </w:tcBorders>
            <w:shd w:val="clear" w:color="auto" w:fill="DCDCDC"/>
          </w:tcPr>
          <w:p>
            <w:pPr/>
          </w:p>
        </w:tc>
        <w:tc>
          <w:tcPr>
            <w:tcW w:w="1820" w:type="dxa"/>
            <w:tcBorders>
              <w:top w:val="nil" w:sz="6" w:space="0" w:color="auto"/>
              <w:left w:val="single" w:sz="4" w:space="0" w:color="000000"/>
              <w:bottom w:val="nil" w:sz="6" w:space="0" w:color="auto"/>
              <w:right w:val="single" w:sz="4" w:space="0" w:color="000000"/>
            </w:tcBorders>
            <w:shd w:val="clear" w:color="auto" w:fill="DCDCDC"/>
          </w:tcPr>
          <w:p>
            <w:pPr/>
          </w:p>
        </w:tc>
      </w:tr>
      <w:tr>
        <w:trPr>
          <w:trHeight w:val="156" w:hRule="exact"/>
        </w:trPr>
        <w:tc>
          <w:tcPr>
            <w:tcW w:w="2520" w:type="dxa"/>
            <w:vMerge/>
            <w:tcBorders>
              <w:left w:val="single" w:sz="4" w:space="0" w:color="000000"/>
              <w:bottom w:val="single" w:sz="4" w:space="0" w:color="000000"/>
              <w:right w:val="single" w:sz="4" w:space="0" w:color="000000"/>
            </w:tcBorders>
            <w:shd w:val="clear" w:color="auto" w:fill="DCDCDC"/>
          </w:tcPr>
          <w:p>
            <w:pPr/>
          </w:p>
        </w:tc>
        <w:tc>
          <w:tcPr>
            <w:tcW w:w="1837" w:type="dxa"/>
            <w:tcBorders>
              <w:top w:val="nil" w:sz="6" w:space="0" w:color="auto"/>
              <w:left w:val="single" w:sz="4" w:space="0" w:color="000000"/>
              <w:bottom w:val="single" w:sz="4" w:space="0" w:color="000000"/>
              <w:right w:val="single" w:sz="4" w:space="0" w:color="000000"/>
            </w:tcBorders>
            <w:shd w:val="clear" w:color="auto" w:fill="DCDCDC"/>
          </w:tcPr>
          <w:p>
            <w:pPr/>
          </w:p>
        </w:tc>
        <w:tc>
          <w:tcPr>
            <w:tcW w:w="1820" w:type="dxa"/>
            <w:tcBorders>
              <w:top w:val="nil" w:sz="6" w:space="0" w:color="auto"/>
              <w:left w:val="single" w:sz="4" w:space="0" w:color="000000"/>
              <w:bottom w:val="single" w:sz="4" w:space="0" w:color="000000"/>
              <w:right w:val="single" w:sz="4" w:space="0" w:color="000000"/>
            </w:tcBorders>
            <w:shd w:val="clear" w:color="auto" w:fill="DCDCDC"/>
          </w:tcPr>
          <w:p>
            <w:pPr/>
          </w:p>
        </w:tc>
        <w:tc>
          <w:tcPr>
            <w:tcW w:w="1819" w:type="dxa"/>
            <w:tcBorders>
              <w:top w:val="nil" w:sz="6" w:space="0" w:color="auto"/>
              <w:left w:val="single" w:sz="4" w:space="0" w:color="000000"/>
              <w:bottom w:val="single" w:sz="4" w:space="0" w:color="000000"/>
              <w:right w:val="single" w:sz="4" w:space="0" w:color="000000"/>
            </w:tcBorders>
            <w:shd w:val="clear" w:color="auto" w:fill="DCDCDC"/>
          </w:tcPr>
          <w:p>
            <w:pPr/>
          </w:p>
        </w:tc>
        <w:tc>
          <w:tcPr>
            <w:tcW w:w="182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283"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pacing w:val="-3"/>
                <w:sz w:val="21"/>
                <w:szCs w:val="21"/>
              </w:rPr>
              <w:t>其中：子公司吸收少数</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股东投资收到的现金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6"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z w:val="21"/>
                <w:szCs w:val="21"/>
              </w:rPr>
              <w:t>收到其他与筹资活动</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642" w:right="0"/>
              <w:jc w:val="left"/>
              <w:rPr>
                <w:rFonts w:ascii="宋体" w:hAnsi="宋体" w:cs="宋体" w:eastAsia="宋体" w:hint="default"/>
                <w:sz w:val="21"/>
                <w:szCs w:val="21"/>
              </w:rPr>
            </w:pPr>
            <w:r>
              <w:rPr>
                <w:rFonts w:ascii="宋体" w:hAnsi="宋体" w:cs="宋体" w:eastAsia="宋体" w:hint="default"/>
                <w:sz w:val="21"/>
                <w:szCs w:val="21"/>
              </w:rPr>
              <w:t>筹资活动现金流入</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pacing w:val="-3"/>
                <w:sz w:val="21"/>
                <w:szCs w:val="21"/>
              </w:rPr>
              <w:t>分配股利、利润或偿付</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利息支付的现金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6"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32" w:right="0"/>
              <w:jc w:val="left"/>
              <w:rPr>
                <w:rFonts w:ascii="宋体" w:hAnsi="宋体" w:cs="宋体" w:eastAsia="宋体" w:hint="default"/>
                <w:sz w:val="21"/>
                <w:szCs w:val="21"/>
              </w:rPr>
            </w:pPr>
            <w:r>
              <w:rPr>
                <w:rFonts w:ascii="宋体" w:hAnsi="宋体" w:cs="宋体" w:eastAsia="宋体" w:hint="default"/>
                <w:spacing w:val="-3"/>
                <w:sz w:val="21"/>
                <w:szCs w:val="21"/>
              </w:rPr>
              <w:t>其中：子公司支付给少</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数股东的股利、利润</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32" w:right="0"/>
              <w:jc w:val="left"/>
              <w:rPr>
                <w:rFonts w:ascii="宋体" w:hAnsi="宋体" w:cs="宋体" w:eastAsia="宋体" w:hint="default"/>
                <w:sz w:val="21"/>
                <w:szCs w:val="21"/>
              </w:rPr>
            </w:pPr>
            <w:r>
              <w:rPr>
                <w:rFonts w:ascii="宋体" w:hAnsi="宋体" w:cs="宋体" w:eastAsia="宋体" w:hint="default"/>
                <w:sz w:val="21"/>
                <w:szCs w:val="21"/>
              </w:rPr>
              <w:t>支付其他与筹资活动</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691" w:top="860" w:bottom="880" w:left="980" w:right="820"/>
        </w:sectPr>
      </w:pPr>
    </w:p>
    <w:p>
      <w:pPr>
        <w:spacing w:line="240" w:lineRule="auto" w:before="8"/>
        <w:rPr>
          <w:rFonts w:ascii="Times New Roman" w:hAnsi="Times New Roman" w:cs="Times New Roman" w:eastAsia="Times New Roman" w:hint="default"/>
          <w:sz w:val="7"/>
          <w:szCs w:val="7"/>
        </w:rPr>
      </w:pPr>
    </w:p>
    <w:p>
      <w:pPr>
        <w:spacing w:line="20" w:lineRule="exact"/>
        <w:ind w:left="11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65pt;height:.75pt;mso-position-horizontal-relative:char;mso-position-vertical-relative:line" coordorigin="0,0" coordsize="9713,15">
            <v:group style="position:absolute;left:7;top:7;width:9699;height:2" coordorigin="7,7" coordsize="9699,2">
              <v:shape style="position:absolute;left:7;top:7;width:9699;height:2" coordorigin="7,7" coordsize="9699,0" path="m7,7l9706,7e" filled="false" stroked="true" strokeweight=".72003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1"/>
          <w:szCs w:val="21"/>
        </w:rPr>
      </w:pPr>
    </w:p>
    <w:tbl>
      <w:tblPr>
        <w:tblW w:w="0" w:type="auto"/>
        <w:jc w:val="left"/>
        <w:tblInd w:w="149" w:type="dxa"/>
        <w:tblLayout w:type="fixed"/>
        <w:tblCellMar>
          <w:top w:w="0" w:type="dxa"/>
          <w:left w:w="0" w:type="dxa"/>
          <w:bottom w:w="0" w:type="dxa"/>
          <w:right w:w="0" w:type="dxa"/>
        </w:tblCellMar>
        <w:tblLook w:val="01E0"/>
      </w:tblPr>
      <w:tblGrid>
        <w:gridCol w:w="2548"/>
        <w:gridCol w:w="1820"/>
        <w:gridCol w:w="1820"/>
        <w:gridCol w:w="1819"/>
        <w:gridCol w:w="1820"/>
      </w:tblGrid>
      <w:tr>
        <w:trPr>
          <w:trHeight w:val="282"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6"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653" w:right="0"/>
              <w:jc w:val="left"/>
              <w:rPr>
                <w:rFonts w:ascii="宋体" w:hAnsi="宋体" w:cs="宋体" w:eastAsia="宋体" w:hint="default"/>
                <w:sz w:val="21"/>
                <w:szCs w:val="21"/>
              </w:rPr>
            </w:pPr>
            <w:r>
              <w:rPr>
                <w:rFonts w:ascii="宋体" w:hAnsi="宋体" w:cs="宋体" w:eastAsia="宋体" w:hint="default"/>
                <w:sz w:val="21"/>
                <w:szCs w:val="21"/>
              </w:rPr>
              <w:t>筹资活动现金流出</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863" w:right="0"/>
              <w:jc w:val="left"/>
              <w:rPr>
                <w:rFonts w:ascii="宋体" w:hAnsi="宋体" w:cs="宋体" w:eastAsia="宋体" w:hint="default"/>
                <w:sz w:val="21"/>
                <w:szCs w:val="21"/>
              </w:rPr>
            </w:pPr>
            <w:r>
              <w:rPr>
                <w:rFonts w:ascii="宋体" w:hAnsi="宋体" w:cs="宋体" w:eastAsia="宋体" w:hint="default"/>
                <w:sz w:val="21"/>
                <w:szCs w:val="21"/>
              </w:rPr>
              <w:t>筹资活动产生的</w:t>
            </w:r>
          </w:p>
          <w:p>
            <w:pPr>
              <w:pStyle w:val="TableParagraph"/>
              <w:spacing w:line="273" w:lineRule="exact"/>
              <w:ind w:left="22"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pacing w:val="-3"/>
                <w:sz w:val="21"/>
                <w:szCs w:val="21"/>
              </w:rPr>
              <w:t>四、汇率变动对现金及现金</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等价物的影响</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pacing w:val="-3"/>
                <w:sz w:val="21"/>
                <w:szCs w:val="21"/>
              </w:rPr>
              <w:t>五、现金及现金等价物净增</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加额</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32,328,368.30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-146,032.88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77,079.68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77,079.68</w:t>
            </w:r>
          </w:p>
        </w:tc>
      </w:tr>
      <w:tr>
        <w:trPr>
          <w:trHeight w:val="554"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43" w:right="0"/>
              <w:jc w:val="left"/>
              <w:rPr>
                <w:rFonts w:ascii="宋体" w:hAnsi="宋体" w:cs="宋体" w:eastAsia="宋体" w:hint="default"/>
                <w:sz w:val="21"/>
                <w:szCs w:val="21"/>
              </w:rPr>
            </w:pPr>
            <w:r>
              <w:rPr>
                <w:rFonts w:ascii="宋体" w:hAnsi="宋体" w:cs="宋体" w:eastAsia="宋体" w:hint="default"/>
                <w:spacing w:val="-3"/>
                <w:sz w:val="21"/>
                <w:szCs w:val="21"/>
              </w:rPr>
              <w:t>加：期初现金及现金等</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价物余额</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202,246.44</w:t>
            </w:r>
            <w:r>
              <w:rPr>
                <w:rFonts w:ascii="Times New Roman"/>
                <w:sz w:val="21"/>
              </w:rPr>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3"/>
              <w:jc w:val="right"/>
              <w:rPr>
                <w:rFonts w:ascii="Times New Roman" w:hAnsi="Times New Roman" w:cs="Times New Roman" w:eastAsia="Times New Roman" w:hint="default"/>
                <w:sz w:val="21"/>
                <w:szCs w:val="21"/>
              </w:rPr>
            </w:pPr>
            <w:r>
              <w:rPr>
                <w:rFonts w:ascii="Times New Roman"/>
                <w:spacing w:val="-1"/>
                <w:sz w:val="21"/>
              </w:rPr>
              <w:t>202,246.44</w:t>
            </w:r>
            <w:r>
              <w:rPr>
                <w:rFonts w:ascii="Times New Roman"/>
                <w:sz w:val="21"/>
              </w:rPr>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125,166.76</w:t>
            </w:r>
            <w:r>
              <w:rPr>
                <w:rFonts w:ascii="Times New Roman"/>
                <w:sz w:val="21"/>
              </w:rPr>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3"/>
              <w:jc w:val="right"/>
              <w:rPr>
                <w:rFonts w:ascii="Times New Roman" w:hAnsi="Times New Roman" w:cs="Times New Roman" w:eastAsia="Times New Roman" w:hint="default"/>
                <w:sz w:val="21"/>
                <w:szCs w:val="21"/>
              </w:rPr>
            </w:pPr>
            <w:r>
              <w:rPr>
                <w:rFonts w:ascii="Times New Roman"/>
                <w:spacing w:val="-1"/>
                <w:sz w:val="21"/>
              </w:rPr>
              <w:t>125,166.76</w:t>
            </w:r>
            <w:r>
              <w:rPr>
                <w:rFonts w:ascii="Times New Roman"/>
                <w:sz w:val="21"/>
              </w:rPr>
            </w:r>
          </w:p>
        </w:tc>
      </w:tr>
      <w:tr>
        <w:trPr>
          <w:trHeight w:val="556"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pacing w:val="-3"/>
                <w:sz w:val="21"/>
                <w:szCs w:val="21"/>
              </w:rPr>
              <w:t>六、期末现金及现金等价物</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32,530,614.74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56,213.56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202,246.44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202,246.44</w:t>
            </w:r>
          </w:p>
        </w:tc>
      </w:tr>
    </w:tbl>
    <w:p>
      <w:pPr>
        <w:spacing w:after="0" w:line="240" w:lineRule="auto"/>
        <w:jc w:val="right"/>
        <w:rPr>
          <w:rFonts w:ascii="Times New Roman" w:hAnsi="Times New Roman" w:cs="Times New Roman" w:eastAsia="Times New Roman" w:hint="default"/>
          <w:sz w:val="21"/>
          <w:szCs w:val="21"/>
        </w:rPr>
        <w:sectPr>
          <w:pgSz w:w="11910" w:h="16840"/>
          <w:pgMar w:header="0" w:footer="691" w:top="860" w:bottom="880" w:left="980" w:right="820"/>
        </w:sectPr>
      </w:pPr>
    </w:p>
    <w:p>
      <w:pPr>
        <w:spacing w:line="240" w:lineRule="auto" w:before="5"/>
        <w:rPr>
          <w:rFonts w:ascii="Times New Roman" w:hAnsi="Times New Roman" w:cs="Times New Roman" w:eastAsia="Times New Roman" w:hint="default"/>
          <w:sz w:val="6"/>
          <w:szCs w:val="6"/>
        </w:rPr>
      </w:pPr>
    </w:p>
    <w:p>
      <w:pPr>
        <w:spacing w:line="20" w:lineRule="exact"/>
        <w:ind w:left="11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32.25pt;height:.75pt;mso-position-horizontal-relative:char;mso-position-vertical-relative:line" coordorigin="0,0" coordsize="14645,15">
            <v:group style="position:absolute;left:7;top:7;width:14631;height:2" coordorigin="7,7" coordsize="14631,2">
              <v:shape style="position:absolute;left:7;top:7;width:14631;height:2" coordorigin="7,7" coordsize="14631,0" path="m7,7l14638,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167"/>
        <w:ind w:left="15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、所有者权益变动表</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tabs>
          <w:tab w:pos="7396" w:val="left" w:leader="none"/>
          <w:tab w:pos="11754" w:val="left" w:leader="none"/>
        </w:tabs>
        <w:spacing w:before="0"/>
        <w:ind w:left="153" w:right="0" w:firstLine="0"/>
        <w:jc w:val="left"/>
        <w:rPr>
          <w:rFonts w:ascii="宋体" w:hAnsi="宋体" w:cs="宋体" w:eastAsia="宋体" w:hint="default"/>
          <w:sz w:val="21"/>
          <w:szCs w:val="21"/>
        </w:rPr>
      </w:pPr>
      <w:r>
        <w:rPr>
          <w:rFonts w:ascii="宋体" w:hAnsi="宋体" w:cs="宋体" w:eastAsia="宋体" w:hint="default"/>
          <w:sz w:val="21"/>
          <w:szCs w:val="21"/>
        </w:rPr>
        <w:t>编制单位：深圳大通实业股份有限公司</w:t>
        <w:tab/>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tab/>
        <w:t>单</w:t>
      </w:r>
      <w:r>
        <w:rPr>
          <w:rFonts w:ascii="宋体" w:hAnsi="宋体" w:cs="宋体" w:eastAsia="宋体" w:hint="default"/>
          <w:spacing w:val="-2"/>
          <w:sz w:val="21"/>
          <w:szCs w:val="21"/>
        </w:rPr>
        <w:t>位</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人民币）元</w:t>
      </w:r>
    </w:p>
    <w:p>
      <w:pPr>
        <w:spacing w:line="240" w:lineRule="auto" w:before="10"/>
        <w:rPr>
          <w:rFonts w:ascii="宋体" w:hAnsi="宋体" w:cs="宋体" w:eastAsia="宋体" w:hint="default"/>
          <w:sz w:val="2"/>
          <w:szCs w:val="2"/>
        </w:rPr>
      </w:pPr>
    </w:p>
    <w:tbl>
      <w:tblPr>
        <w:tblW w:w="0" w:type="auto"/>
        <w:jc w:val="left"/>
        <w:tblInd w:w="160" w:type="dxa"/>
        <w:tblLayout w:type="fixed"/>
        <w:tblCellMar>
          <w:top w:w="0" w:type="dxa"/>
          <w:left w:w="0" w:type="dxa"/>
          <w:bottom w:w="0" w:type="dxa"/>
          <w:right w:w="0" w:type="dxa"/>
        </w:tblCellMar>
        <w:tblLook w:val="01E0"/>
      </w:tblPr>
      <w:tblGrid>
        <w:gridCol w:w="2277"/>
        <w:gridCol w:w="689"/>
        <w:gridCol w:w="689"/>
        <w:gridCol w:w="689"/>
        <w:gridCol w:w="689"/>
        <w:gridCol w:w="690"/>
        <w:gridCol w:w="689"/>
        <w:gridCol w:w="689"/>
        <w:gridCol w:w="689"/>
        <w:gridCol w:w="689"/>
        <w:gridCol w:w="689"/>
        <w:gridCol w:w="690"/>
        <w:gridCol w:w="689"/>
        <w:gridCol w:w="689"/>
        <w:gridCol w:w="689"/>
        <w:gridCol w:w="689"/>
        <w:gridCol w:w="689"/>
        <w:gridCol w:w="690"/>
        <w:gridCol w:w="689"/>
      </w:tblGrid>
      <w:tr>
        <w:trPr>
          <w:trHeight w:val="322" w:hRule="exact"/>
        </w:trPr>
        <w:tc>
          <w:tcPr>
            <w:tcW w:w="2277" w:type="dxa"/>
            <w:vMerge w:val="restart"/>
            <w:tcBorders>
              <w:top w:val="single" w:sz="4" w:space="0" w:color="000000"/>
              <w:left w:val="single" w:sz="4" w:space="0" w:color="000000"/>
              <w:right w:val="single" w:sz="4" w:space="0" w:color="000000"/>
            </w:tcBorders>
            <w:shd w:val="clear" w:color="auto" w:fill="DCDCDC"/>
          </w:tcPr>
          <w:p>
            <w:pPr/>
          </w:p>
        </w:tc>
        <w:tc>
          <w:tcPr>
            <w:tcW w:w="6200"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6202"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上年金额</w:t>
            </w:r>
          </w:p>
        </w:tc>
      </w:tr>
      <w:tr>
        <w:trPr>
          <w:trHeight w:val="161" w:hRule="exact"/>
        </w:trPr>
        <w:tc>
          <w:tcPr>
            <w:tcW w:w="2277" w:type="dxa"/>
            <w:vMerge/>
            <w:tcBorders>
              <w:left w:val="single" w:sz="4" w:space="0" w:color="000000"/>
              <w:right w:val="single" w:sz="4" w:space="0" w:color="000000"/>
            </w:tcBorders>
            <w:shd w:val="clear" w:color="auto" w:fill="DCDCDC"/>
          </w:tcPr>
          <w:p>
            <w:pPr/>
          </w:p>
        </w:tc>
        <w:tc>
          <w:tcPr>
            <w:tcW w:w="4823" w:type="dxa"/>
            <w:gridSpan w:val="7"/>
            <w:vMerge w:val="restart"/>
            <w:tcBorders>
              <w:top w:val="single" w:sz="4" w:space="0" w:color="000000"/>
              <w:left w:val="single" w:sz="4" w:space="0" w:color="000000"/>
              <w:right w:val="single" w:sz="4" w:space="0" w:color="000000"/>
            </w:tcBorders>
            <w:shd w:val="clear" w:color="auto" w:fill="DCDCDC"/>
          </w:tcPr>
          <w:p>
            <w:pPr>
              <w:pStyle w:val="TableParagraph"/>
              <w:spacing w:line="260" w:lineRule="exact"/>
              <w:ind w:left="1251" w:right="0"/>
              <w:jc w:val="left"/>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689" w:type="dxa"/>
            <w:vMerge w:val="restart"/>
            <w:tcBorders>
              <w:top w:val="single" w:sz="4" w:space="0" w:color="000000"/>
              <w:left w:val="single" w:sz="4" w:space="0" w:color="000000"/>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4823" w:type="dxa"/>
            <w:gridSpan w:val="7"/>
            <w:vMerge w:val="restart"/>
            <w:tcBorders>
              <w:top w:val="single" w:sz="4" w:space="0" w:color="000000"/>
              <w:left w:val="single" w:sz="4" w:space="0" w:color="000000"/>
              <w:right w:val="single" w:sz="4" w:space="0" w:color="000000"/>
            </w:tcBorders>
            <w:shd w:val="clear" w:color="auto" w:fill="DCDCDC"/>
          </w:tcPr>
          <w:p>
            <w:pPr>
              <w:pStyle w:val="TableParagraph"/>
              <w:spacing w:line="260" w:lineRule="exact"/>
              <w:ind w:left="1252" w:right="0"/>
              <w:jc w:val="left"/>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690" w:type="dxa"/>
            <w:vMerge w:val="restart"/>
            <w:tcBorders>
              <w:top w:val="single" w:sz="4" w:space="0" w:color="000000"/>
              <w:left w:val="single" w:sz="4" w:space="0" w:color="000000"/>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61" w:hRule="exact"/>
        </w:trPr>
        <w:tc>
          <w:tcPr>
            <w:tcW w:w="2277" w:type="dxa"/>
            <w:vMerge/>
            <w:tcBorders>
              <w:left w:val="single" w:sz="4" w:space="0" w:color="000000"/>
              <w:bottom w:val="nil" w:sz="6" w:space="0" w:color="auto"/>
              <w:right w:val="single" w:sz="4" w:space="0" w:color="000000"/>
            </w:tcBorders>
            <w:shd w:val="clear" w:color="auto" w:fill="DCDCDC"/>
          </w:tcPr>
          <w:p>
            <w:pPr/>
          </w:p>
        </w:tc>
        <w:tc>
          <w:tcPr>
            <w:tcW w:w="4823" w:type="dxa"/>
            <w:gridSpan w:val="7"/>
            <w:vMerge/>
            <w:tcBorders>
              <w:left w:val="single" w:sz="4" w:space="0" w:color="000000"/>
              <w:bottom w:val="single" w:sz="4" w:space="0" w:color="000000"/>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所有者</w:t>
            </w:r>
          </w:p>
          <w:p>
            <w:pPr>
              <w:pStyle w:val="TableParagraph"/>
              <w:spacing w:line="273" w:lineRule="auto" w:before="37"/>
              <w:ind w:left="233" w:right="23" w:hanging="210"/>
              <w:jc w:val="left"/>
              <w:rPr>
                <w:rFonts w:ascii="宋体" w:hAnsi="宋体" w:cs="宋体" w:eastAsia="宋体" w:hint="default"/>
                <w:sz w:val="21"/>
                <w:szCs w:val="21"/>
              </w:rPr>
            </w:pPr>
            <w:r>
              <w:rPr>
                <w:rFonts w:ascii="宋体" w:hAnsi="宋体" w:cs="宋体" w:eastAsia="宋体" w:hint="default"/>
                <w:sz w:val="21"/>
                <w:szCs w:val="21"/>
              </w:rPr>
              <w:t>权益合 计</w:t>
            </w:r>
          </w:p>
        </w:tc>
        <w:tc>
          <w:tcPr>
            <w:tcW w:w="4823" w:type="dxa"/>
            <w:gridSpan w:val="7"/>
            <w:vMerge/>
            <w:tcBorders>
              <w:left w:val="single" w:sz="4" w:space="0" w:color="000000"/>
              <w:bottom w:val="single" w:sz="4" w:space="0" w:color="000000"/>
              <w:right w:val="single" w:sz="4" w:space="0" w:color="000000"/>
            </w:tcBorders>
            <w:shd w:val="clear" w:color="auto" w:fill="DCDCDC"/>
          </w:tcPr>
          <w:p>
            <w:pPr/>
          </w:p>
        </w:tc>
        <w:tc>
          <w:tcPr>
            <w:tcW w:w="690" w:type="dxa"/>
            <w:vMerge/>
            <w:tcBorders>
              <w:left w:val="single" w:sz="4" w:space="0" w:color="000000"/>
              <w:bottom w:val="nil" w:sz="6" w:space="0" w:color="auto"/>
              <w:right w:val="single" w:sz="4" w:space="0" w:color="000000"/>
            </w:tcBorders>
            <w:shd w:val="clear" w:color="auto" w:fill="DCDCDC"/>
          </w:tcPr>
          <w:p>
            <w:pP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所有者</w:t>
            </w:r>
          </w:p>
          <w:p>
            <w:pPr>
              <w:pStyle w:val="TableParagraph"/>
              <w:spacing w:line="273" w:lineRule="auto" w:before="37"/>
              <w:ind w:left="233" w:right="23" w:hanging="210"/>
              <w:jc w:val="left"/>
              <w:rPr>
                <w:rFonts w:ascii="宋体" w:hAnsi="宋体" w:cs="宋体" w:eastAsia="宋体" w:hint="default"/>
                <w:sz w:val="21"/>
                <w:szCs w:val="21"/>
              </w:rPr>
            </w:pPr>
            <w:r>
              <w:rPr>
                <w:rFonts w:ascii="宋体" w:hAnsi="宋体" w:cs="宋体" w:eastAsia="宋体" w:hint="default"/>
                <w:sz w:val="21"/>
                <w:szCs w:val="21"/>
              </w:rPr>
              <w:t>权益合 计</w:t>
            </w:r>
          </w:p>
        </w:tc>
      </w:tr>
      <w:tr>
        <w:trPr>
          <w:trHeight w:val="161" w:hRule="exact"/>
        </w:trPr>
        <w:tc>
          <w:tcPr>
            <w:tcW w:w="2277" w:type="dxa"/>
            <w:vMerge w:val="restart"/>
            <w:tcBorders>
              <w:top w:val="nil" w:sz="6" w:space="0" w:color="auto"/>
              <w:left w:val="single" w:sz="4" w:space="0" w:color="000000"/>
              <w:right w:val="single" w:sz="4" w:space="0" w:color="000000"/>
            </w:tcBorders>
            <w:shd w:val="clear" w:color="auto" w:fill="DCDCDC"/>
          </w:tcPr>
          <w:p>
            <w:pPr>
              <w:pStyle w:val="TableParagraph"/>
              <w:spacing w:line="250" w:lineRule="exact"/>
              <w:ind w:right="10"/>
              <w:jc w:val="center"/>
              <w:rPr>
                <w:rFonts w:ascii="宋体" w:hAnsi="宋体" w:cs="宋体" w:eastAsia="宋体" w:hint="default"/>
                <w:sz w:val="21"/>
                <w:szCs w:val="21"/>
              </w:rPr>
            </w:pPr>
            <w:r>
              <w:rPr>
                <w:rFonts w:ascii="宋体" w:hAnsi="宋体" w:cs="宋体" w:eastAsia="宋体" w:hint="default"/>
                <w:sz w:val="21"/>
                <w:szCs w:val="21"/>
              </w:rPr>
              <w:t>项目</w:t>
            </w:r>
          </w:p>
        </w:tc>
        <w:tc>
          <w:tcPr>
            <w:tcW w:w="689" w:type="dxa"/>
            <w:vMerge w:val="restart"/>
            <w:tcBorders>
              <w:top w:val="single" w:sz="4" w:space="0" w:color="000000"/>
              <w:left w:val="single" w:sz="4" w:space="0" w:color="000000"/>
              <w:right w:val="single" w:sz="4" w:space="0" w:color="000000"/>
            </w:tcBorders>
            <w:shd w:val="clear" w:color="auto" w:fill="DCDCDC"/>
          </w:tcPr>
          <w:p>
            <w:pPr>
              <w:pStyle w:val="TableParagraph"/>
              <w:spacing w:line="261" w:lineRule="exact"/>
              <w:ind w:left="23" w:right="0"/>
              <w:jc w:val="left"/>
              <w:rPr>
                <w:rFonts w:ascii="宋体" w:hAnsi="宋体" w:cs="宋体" w:eastAsia="宋体" w:hint="default"/>
                <w:sz w:val="21"/>
                <w:szCs w:val="21"/>
              </w:rPr>
            </w:pPr>
            <w:r>
              <w:rPr>
                <w:rFonts w:ascii="宋体" w:hAnsi="宋体" w:cs="宋体" w:eastAsia="宋体" w:hint="default"/>
                <w:sz w:val="21"/>
                <w:szCs w:val="21"/>
              </w:rPr>
              <w:t>实收资</w:t>
            </w:r>
          </w:p>
          <w:p>
            <w:pPr>
              <w:pStyle w:val="TableParagraph"/>
              <w:spacing w:line="273" w:lineRule="auto" w:before="37"/>
              <w:ind w:left="23" w:right="23"/>
              <w:jc w:val="left"/>
              <w:rPr>
                <w:rFonts w:ascii="宋体" w:hAnsi="宋体" w:cs="宋体" w:eastAsia="宋体" w:hint="default"/>
                <w:sz w:val="21"/>
                <w:szCs w:val="21"/>
              </w:rPr>
            </w:pPr>
            <w:r>
              <w:rPr>
                <w:rFonts w:ascii="宋体" w:hAnsi="宋体" w:cs="宋体" w:eastAsia="宋体" w:hint="default"/>
                <w:sz w:val="21"/>
                <w:szCs w:val="21"/>
              </w:rPr>
              <w:t>本（或 股本）</w:t>
            </w: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690"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000000"/>
              <w:left w:val="single" w:sz="4" w:space="0" w:color="000000"/>
              <w:right w:val="single" w:sz="4" w:space="0" w:color="000000"/>
            </w:tcBorders>
            <w:shd w:val="clear" w:color="auto" w:fill="DCDCDC"/>
          </w:tcPr>
          <w:p>
            <w:pP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55" w:lineRule="exact"/>
              <w:ind w:left="23" w:right="0"/>
              <w:jc w:val="left"/>
              <w:rPr>
                <w:rFonts w:ascii="宋体" w:hAnsi="宋体" w:cs="宋体" w:eastAsia="宋体" w:hint="default"/>
                <w:sz w:val="21"/>
                <w:szCs w:val="21"/>
              </w:rPr>
            </w:pPr>
            <w:r>
              <w:rPr>
                <w:rFonts w:ascii="宋体" w:hAnsi="宋体" w:cs="宋体" w:eastAsia="宋体" w:hint="default"/>
                <w:sz w:val="21"/>
                <w:szCs w:val="21"/>
              </w:rPr>
              <w:t>少数股</w:t>
            </w:r>
          </w:p>
          <w:p>
            <w:pPr>
              <w:pStyle w:val="TableParagraph"/>
              <w:spacing w:line="240" w:lineRule="auto" w:before="37"/>
              <w:ind w:left="23" w:right="0"/>
              <w:jc w:val="left"/>
              <w:rPr>
                <w:rFonts w:ascii="宋体" w:hAnsi="宋体" w:cs="宋体" w:eastAsia="宋体" w:hint="default"/>
                <w:sz w:val="21"/>
                <w:szCs w:val="21"/>
              </w:rPr>
            </w:pPr>
            <w:r>
              <w:rPr>
                <w:rFonts w:ascii="宋体" w:hAnsi="宋体" w:cs="宋体" w:eastAsia="宋体" w:hint="default"/>
                <w:sz w:val="21"/>
                <w:szCs w:val="21"/>
              </w:rPr>
              <w:t>东权益</w:t>
            </w:r>
          </w:p>
        </w:tc>
        <w:tc>
          <w:tcPr>
            <w:tcW w:w="689" w:type="dxa"/>
            <w:vMerge/>
            <w:tcBorders>
              <w:left w:val="single" w:sz="4" w:space="0" w:color="000000"/>
              <w:right w:val="single" w:sz="4" w:space="0" w:color="000000"/>
            </w:tcBorders>
            <w:shd w:val="clear" w:color="auto" w:fill="DCDCDC"/>
          </w:tcPr>
          <w:p>
            <w:pPr/>
          </w:p>
        </w:tc>
        <w:tc>
          <w:tcPr>
            <w:tcW w:w="689" w:type="dxa"/>
            <w:vMerge w:val="restart"/>
            <w:tcBorders>
              <w:top w:val="single" w:sz="4" w:space="0" w:color="000000"/>
              <w:left w:val="single" w:sz="4" w:space="0" w:color="000000"/>
              <w:right w:val="single" w:sz="4" w:space="0" w:color="000000"/>
            </w:tcBorders>
            <w:shd w:val="clear" w:color="auto" w:fill="DCDCDC"/>
          </w:tcPr>
          <w:p>
            <w:pPr>
              <w:pStyle w:val="TableParagraph"/>
              <w:spacing w:line="261" w:lineRule="exact"/>
              <w:ind w:left="25" w:right="0"/>
              <w:jc w:val="left"/>
              <w:rPr>
                <w:rFonts w:ascii="宋体" w:hAnsi="宋体" w:cs="宋体" w:eastAsia="宋体" w:hint="default"/>
                <w:sz w:val="21"/>
                <w:szCs w:val="21"/>
              </w:rPr>
            </w:pPr>
            <w:r>
              <w:rPr>
                <w:rFonts w:ascii="宋体" w:hAnsi="宋体" w:cs="宋体" w:eastAsia="宋体" w:hint="default"/>
                <w:sz w:val="21"/>
                <w:szCs w:val="21"/>
              </w:rPr>
              <w:t>实收资</w:t>
            </w:r>
          </w:p>
          <w:p>
            <w:pPr>
              <w:pStyle w:val="TableParagraph"/>
              <w:spacing w:line="273" w:lineRule="auto" w:before="37"/>
              <w:ind w:left="25" w:right="22"/>
              <w:jc w:val="left"/>
              <w:rPr>
                <w:rFonts w:ascii="宋体" w:hAnsi="宋体" w:cs="宋体" w:eastAsia="宋体" w:hint="default"/>
                <w:sz w:val="21"/>
                <w:szCs w:val="21"/>
              </w:rPr>
            </w:pPr>
            <w:r>
              <w:rPr>
                <w:rFonts w:ascii="宋体" w:hAnsi="宋体" w:cs="宋体" w:eastAsia="宋体" w:hint="default"/>
                <w:sz w:val="21"/>
                <w:szCs w:val="21"/>
              </w:rPr>
              <w:t>本（或 股本）</w:t>
            </w:r>
          </w:p>
        </w:tc>
        <w:tc>
          <w:tcPr>
            <w:tcW w:w="690"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000000"/>
              <w:left w:val="single" w:sz="4" w:space="0" w:color="000000"/>
              <w:right w:val="single" w:sz="4" w:space="0" w:color="000000"/>
            </w:tcBorders>
            <w:shd w:val="clear" w:color="auto" w:fill="DCDCDC"/>
          </w:tcPr>
          <w:p>
            <w:pPr/>
          </w:p>
        </w:tc>
        <w:tc>
          <w:tcPr>
            <w:tcW w:w="690" w:type="dxa"/>
            <w:vMerge w:val="restart"/>
            <w:tcBorders>
              <w:top w:val="nil" w:sz="6" w:space="0" w:color="auto"/>
              <w:left w:val="single" w:sz="4" w:space="0" w:color="000000"/>
              <w:right w:val="single" w:sz="4" w:space="0" w:color="000000"/>
            </w:tcBorders>
            <w:shd w:val="clear" w:color="auto" w:fill="DCDCDC"/>
          </w:tcPr>
          <w:p>
            <w:pPr>
              <w:pStyle w:val="TableParagraph"/>
              <w:spacing w:line="255" w:lineRule="exact"/>
              <w:ind w:left="25" w:right="0"/>
              <w:jc w:val="left"/>
              <w:rPr>
                <w:rFonts w:ascii="宋体" w:hAnsi="宋体" w:cs="宋体" w:eastAsia="宋体" w:hint="default"/>
                <w:sz w:val="21"/>
                <w:szCs w:val="21"/>
              </w:rPr>
            </w:pPr>
            <w:r>
              <w:rPr>
                <w:rFonts w:ascii="宋体" w:hAnsi="宋体" w:cs="宋体" w:eastAsia="宋体" w:hint="default"/>
                <w:sz w:val="21"/>
                <w:szCs w:val="21"/>
              </w:rPr>
              <w:t>少数股</w:t>
            </w:r>
          </w:p>
          <w:p>
            <w:pPr>
              <w:pStyle w:val="TableParagraph"/>
              <w:spacing w:line="240" w:lineRule="auto" w:before="37"/>
              <w:ind w:left="25" w:right="0"/>
              <w:jc w:val="left"/>
              <w:rPr>
                <w:rFonts w:ascii="宋体" w:hAnsi="宋体" w:cs="宋体" w:eastAsia="宋体" w:hint="default"/>
                <w:sz w:val="21"/>
                <w:szCs w:val="21"/>
              </w:rPr>
            </w:pPr>
            <w:r>
              <w:rPr>
                <w:rFonts w:ascii="宋体" w:hAnsi="宋体" w:cs="宋体" w:eastAsia="宋体" w:hint="default"/>
                <w:sz w:val="21"/>
                <w:szCs w:val="21"/>
              </w:rPr>
              <w:t>东权益</w:t>
            </w:r>
          </w:p>
        </w:tc>
        <w:tc>
          <w:tcPr>
            <w:tcW w:w="689" w:type="dxa"/>
            <w:vMerge/>
            <w:tcBorders>
              <w:left w:val="single" w:sz="4" w:space="0" w:color="000000"/>
              <w:right w:val="single" w:sz="4" w:space="0" w:color="000000"/>
            </w:tcBorders>
            <w:shd w:val="clear" w:color="auto" w:fill="DCDCDC"/>
          </w:tcPr>
          <w:p>
            <w:pPr/>
          </w:p>
        </w:tc>
      </w:tr>
      <w:tr>
        <w:trPr>
          <w:trHeight w:val="148" w:hRule="exact"/>
        </w:trPr>
        <w:tc>
          <w:tcPr>
            <w:tcW w:w="2277"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资本公</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积</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减：库</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存股</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sz w:val="21"/>
                <w:szCs w:val="21"/>
              </w:rPr>
              <w:t>盈余公</w:t>
            </w:r>
          </w:p>
          <w:p>
            <w:pPr>
              <w:pStyle w:val="TableParagraph"/>
              <w:spacing w:line="240" w:lineRule="auto" w:before="37"/>
              <w:ind w:left="1" w:right="0"/>
              <w:jc w:val="center"/>
              <w:rPr>
                <w:rFonts w:ascii="宋体" w:hAnsi="宋体" w:cs="宋体" w:eastAsia="宋体" w:hint="default"/>
                <w:sz w:val="21"/>
                <w:szCs w:val="21"/>
              </w:rPr>
            </w:pPr>
            <w:r>
              <w:rPr>
                <w:rFonts w:ascii="宋体" w:hAnsi="宋体" w:cs="宋体" w:eastAsia="宋体" w:hint="default"/>
                <w:sz w:val="21"/>
                <w:szCs w:val="21"/>
              </w:rPr>
              <w:t>积</w:t>
            </w:r>
          </w:p>
        </w:tc>
        <w:tc>
          <w:tcPr>
            <w:tcW w:w="690" w:type="dxa"/>
            <w:vMerge w:val="restart"/>
            <w:tcBorders>
              <w:top w:val="nil" w:sz="6" w:space="0" w:color="auto"/>
              <w:left w:val="single" w:sz="4" w:space="0" w:color="000000"/>
              <w:right w:val="single" w:sz="4" w:space="0" w:color="000000"/>
            </w:tcBorders>
            <w:shd w:val="clear" w:color="auto" w:fill="DCDCDC"/>
          </w:tcPr>
          <w:p>
            <w:pPr>
              <w:pStyle w:val="TableParagraph"/>
              <w:spacing w:line="260" w:lineRule="exact"/>
              <w:ind w:left="25" w:right="0"/>
              <w:jc w:val="left"/>
              <w:rPr>
                <w:rFonts w:ascii="宋体" w:hAnsi="宋体" w:cs="宋体" w:eastAsia="宋体" w:hint="default"/>
                <w:sz w:val="21"/>
                <w:szCs w:val="21"/>
              </w:rPr>
            </w:pPr>
            <w:r>
              <w:rPr>
                <w:rFonts w:ascii="宋体" w:hAnsi="宋体" w:cs="宋体" w:eastAsia="宋体" w:hint="default"/>
                <w:sz w:val="21"/>
                <w:szCs w:val="21"/>
              </w:rPr>
              <w:t>一般风</w:t>
            </w:r>
          </w:p>
          <w:p>
            <w:pPr>
              <w:pStyle w:val="TableParagraph"/>
              <w:spacing w:line="240" w:lineRule="auto" w:before="37"/>
              <w:ind w:left="25" w:right="0"/>
              <w:jc w:val="left"/>
              <w:rPr>
                <w:rFonts w:ascii="宋体" w:hAnsi="宋体" w:cs="宋体" w:eastAsia="宋体" w:hint="default"/>
                <w:sz w:val="21"/>
                <w:szCs w:val="21"/>
              </w:rPr>
            </w:pPr>
            <w:r>
              <w:rPr>
                <w:rFonts w:ascii="宋体" w:hAnsi="宋体" w:cs="宋体" w:eastAsia="宋体" w:hint="default"/>
                <w:sz w:val="21"/>
                <w:szCs w:val="21"/>
              </w:rPr>
              <w:t>险准备</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未分配</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利润</w:t>
            </w: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90" w:type="dxa"/>
            <w:vMerge w:val="restart"/>
            <w:tcBorders>
              <w:top w:val="nil" w:sz="6" w:space="0" w:color="auto"/>
              <w:left w:val="single" w:sz="4" w:space="0" w:color="000000"/>
              <w:right w:val="single" w:sz="4" w:space="0" w:color="000000"/>
            </w:tcBorders>
            <w:shd w:val="clear" w:color="auto" w:fill="DCDCDC"/>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资本公</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积</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减：库</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存股</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盈余公</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积</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一般风</w:t>
            </w:r>
          </w:p>
          <w:p>
            <w:pPr>
              <w:pStyle w:val="TableParagraph"/>
              <w:spacing w:line="240" w:lineRule="auto" w:before="37"/>
              <w:ind w:left="23" w:right="0"/>
              <w:jc w:val="left"/>
              <w:rPr>
                <w:rFonts w:ascii="宋体" w:hAnsi="宋体" w:cs="宋体" w:eastAsia="宋体" w:hint="default"/>
                <w:sz w:val="21"/>
                <w:szCs w:val="21"/>
              </w:rPr>
            </w:pPr>
            <w:r>
              <w:rPr>
                <w:rFonts w:ascii="宋体" w:hAnsi="宋体" w:cs="宋体" w:eastAsia="宋体" w:hint="default"/>
                <w:sz w:val="21"/>
                <w:szCs w:val="21"/>
              </w:rPr>
              <w:t>险准备</w:t>
            </w:r>
          </w:p>
        </w:tc>
        <w:tc>
          <w:tcPr>
            <w:tcW w:w="689" w:type="dxa"/>
            <w:vMerge w:val="restart"/>
            <w:tcBorders>
              <w:top w:val="nil" w:sz="6" w:space="0" w:color="auto"/>
              <w:left w:val="single" w:sz="4" w:space="0" w:color="000000"/>
              <w:right w:val="single" w:sz="4" w:space="0" w:color="000000"/>
            </w:tcBorders>
            <w:shd w:val="clear" w:color="auto" w:fill="DCDCDC"/>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未分配</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利润</w:t>
            </w:r>
          </w:p>
        </w:tc>
        <w:tc>
          <w:tcPr>
            <w:tcW w:w="689" w:type="dxa"/>
            <w:vMerge/>
            <w:tcBorders>
              <w:left w:val="single" w:sz="4" w:space="0" w:color="000000"/>
              <w:bottom w:val="nil" w:sz="6" w:space="0" w:color="auto"/>
              <w:right w:val="single" w:sz="4" w:space="0" w:color="000000"/>
            </w:tcBorders>
            <w:shd w:val="clear" w:color="auto" w:fill="DCDCDC"/>
          </w:tcPr>
          <w:p>
            <w:pPr/>
          </w:p>
        </w:tc>
        <w:tc>
          <w:tcPr>
            <w:tcW w:w="690"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r>
      <w:tr>
        <w:trPr>
          <w:trHeight w:val="310" w:hRule="exact"/>
        </w:trPr>
        <w:tc>
          <w:tcPr>
            <w:tcW w:w="2277" w:type="dxa"/>
            <w:vMerge w:val="restart"/>
            <w:tcBorders>
              <w:top w:val="nil" w:sz="6" w:space="0" w:color="auto"/>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90"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FFFFFF"/>
              <w:right w:val="single" w:sz="4" w:space="0" w:color="000000"/>
            </w:tcBorders>
            <w:shd w:val="clear" w:color="auto" w:fill="DCDCDC"/>
          </w:tcPr>
          <w:p>
            <w:pPr>
              <w:pStyle w:val="TableParagraph"/>
              <w:spacing w:line="264" w:lineRule="exact"/>
              <w:ind w:left="12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689" w:type="dxa"/>
            <w:vMerge/>
            <w:tcBorders>
              <w:left w:val="single" w:sz="4" w:space="0" w:color="000000"/>
              <w:bottom w:val="single" w:sz="4" w:space="0" w:color="FFFFFF"/>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90"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FFFFFF"/>
              <w:right w:val="single" w:sz="4" w:space="0" w:color="000000"/>
            </w:tcBorders>
            <w:shd w:val="clear" w:color="auto" w:fill="DCDCDC"/>
          </w:tcPr>
          <w:p>
            <w:pPr>
              <w:pStyle w:val="TableParagraph"/>
              <w:spacing w:line="264" w:lineRule="exact"/>
              <w:ind w:left="129"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690" w:type="dxa"/>
            <w:vMerge/>
            <w:tcBorders>
              <w:left w:val="single" w:sz="4" w:space="0" w:color="000000"/>
              <w:bottom w:val="single" w:sz="4" w:space="0" w:color="FFFFFF"/>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r>
      <w:tr>
        <w:trPr>
          <w:trHeight w:val="156" w:hRule="exact"/>
        </w:trPr>
        <w:tc>
          <w:tcPr>
            <w:tcW w:w="2277" w:type="dxa"/>
            <w:vMerge/>
            <w:tcBorders>
              <w:left w:val="single" w:sz="4" w:space="0" w:color="000000"/>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90"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FFFFFF"/>
              <w:left w:val="single" w:sz="4" w:space="0" w:color="000000"/>
              <w:right w:val="single" w:sz="4" w:space="0" w:color="000000"/>
            </w:tcBorders>
            <w:shd w:val="clear" w:color="auto" w:fill="DCDCDC"/>
          </w:tcPr>
          <w:p>
            <w:pPr/>
          </w:p>
        </w:tc>
        <w:tc>
          <w:tcPr>
            <w:tcW w:w="689" w:type="dxa"/>
            <w:vMerge w:val="restart"/>
            <w:tcBorders>
              <w:top w:val="single" w:sz="4" w:space="0" w:color="FFFFFF"/>
              <w:left w:val="single" w:sz="4" w:space="0" w:color="000000"/>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right w:val="single" w:sz="4" w:space="0" w:color="000000"/>
            </w:tcBorders>
            <w:shd w:val="clear" w:color="auto" w:fill="DCDCDC"/>
          </w:tcPr>
          <w:p>
            <w:pPr/>
          </w:p>
        </w:tc>
        <w:tc>
          <w:tcPr>
            <w:tcW w:w="690"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FFFFFF"/>
              <w:left w:val="single" w:sz="4" w:space="0" w:color="000000"/>
              <w:right w:val="single" w:sz="4" w:space="0" w:color="000000"/>
            </w:tcBorders>
            <w:shd w:val="clear" w:color="auto" w:fill="DCDCDC"/>
          </w:tcPr>
          <w:p>
            <w:pPr/>
          </w:p>
        </w:tc>
        <w:tc>
          <w:tcPr>
            <w:tcW w:w="690" w:type="dxa"/>
            <w:vMerge w:val="restart"/>
            <w:tcBorders>
              <w:top w:val="single" w:sz="4" w:space="0" w:color="FFFFFF"/>
              <w:left w:val="single" w:sz="4" w:space="0" w:color="000000"/>
              <w:right w:val="single" w:sz="4" w:space="0" w:color="000000"/>
            </w:tcBorders>
            <w:shd w:val="clear" w:color="auto" w:fill="DCDCDC"/>
          </w:tcPr>
          <w:p>
            <w:pPr/>
          </w:p>
        </w:tc>
        <w:tc>
          <w:tcPr>
            <w:tcW w:w="689" w:type="dxa"/>
            <w:vMerge/>
            <w:tcBorders>
              <w:left w:val="single" w:sz="4" w:space="0" w:color="000000"/>
              <w:bottom w:val="nil" w:sz="6" w:space="0" w:color="auto"/>
              <w:right w:val="single" w:sz="4" w:space="0" w:color="000000"/>
            </w:tcBorders>
            <w:shd w:val="clear" w:color="auto" w:fill="DCDCDC"/>
          </w:tcPr>
          <w:p>
            <w:pPr/>
          </w:p>
        </w:tc>
      </w:tr>
      <w:tr>
        <w:trPr>
          <w:trHeight w:val="168" w:hRule="exact"/>
        </w:trPr>
        <w:tc>
          <w:tcPr>
            <w:tcW w:w="2277" w:type="dxa"/>
            <w:vMerge/>
            <w:tcBorders>
              <w:left w:val="single" w:sz="4" w:space="0" w:color="000000"/>
              <w:bottom w:val="single" w:sz="4" w:space="0" w:color="000000"/>
              <w:right w:val="single" w:sz="4" w:space="0" w:color="000000"/>
            </w:tcBorders>
            <w:shd w:val="clear" w:color="auto" w:fill="DCDCDC"/>
          </w:tcPr>
          <w:p>
            <w:pPr/>
          </w:p>
        </w:tc>
        <w:tc>
          <w:tcPr>
            <w:tcW w:w="689" w:type="dxa"/>
            <w:vMerge/>
            <w:tcBorders>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90"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vMerge/>
            <w:tcBorders>
              <w:left w:val="single" w:sz="4" w:space="0" w:color="000000"/>
              <w:bottom w:val="single" w:sz="4" w:space="0" w:color="000000"/>
              <w:right w:val="single" w:sz="4" w:space="0" w:color="000000"/>
            </w:tcBorders>
            <w:shd w:val="clear" w:color="auto" w:fill="DCDCDC"/>
          </w:tcPr>
          <w:p>
            <w:pPr/>
          </w:p>
        </w:tc>
        <w:tc>
          <w:tcPr>
            <w:tcW w:w="689" w:type="dxa"/>
            <w:vMerge/>
            <w:tcBorders>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vMerge/>
            <w:tcBorders>
              <w:left w:val="single" w:sz="4" w:space="0" w:color="000000"/>
              <w:bottom w:val="single" w:sz="4" w:space="0" w:color="000000"/>
              <w:right w:val="single" w:sz="4" w:space="0" w:color="000000"/>
            </w:tcBorders>
            <w:shd w:val="clear" w:color="auto" w:fill="DCDCDC"/>
          </w:tcPr>
          <w:p>
            <w:pPr/>
          </w:p>
        </w:tc>
        <w:tc>
          <w:tcPr>
            <w:tcW w:w="690"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vMerge/>
            <w:tcBorders>
              <w:left w:val="single" w:sz="4" w:space="0" w:color="000000"/>
              <w:bottom w:val="single" w:sz="4" w:space="0" w:color="000000"/>
              <w:right w:val="single" w:sz="4" w:space="0" w:color="000000"/>
            </w:tcBorders>
            <w:shd w:val="clear" w:color="auto" w:fill="DCDCDC"/>
          </w:tcPr>
          <w:p>
            <w:pPr/>
          </w:p>
        </w:tc>
        <w:tc>
          <w:tcPr>
            <w:tcW w:w="690" w:type="dxa"/>
            <w:vMerge/>
            <w:tcBorders>
              <w:left w:val="single" w:sz="4" w:space="0" w:color="000000"/>
              <w:bottom w:val="single" w:sz="4" w:space="0" w:color="000000"/>
              <w:right w:val="single" w:sz="4" w:space="0" w:color="000000"/>
            </w:tcBorders>
            <w:shd w:val="clear" w:color="auto" w:fill="DCDCDC"/>
          </w:tcPr>
          <w:p>
            <w:pPr/>
          </w:p>
        </w:tc>
        <w:tc>
          <w:tcPr>
            <w:tcW w:w="689"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17" w:hRule="exact"/>
        </w:trPr>
        <w:tc>
          <w:tcPr>
            <w:tcW w:w="2277"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000000"/>
              <w:left w:val="single" w:sz="10" w:space="0" w:color="DCDCDC"/>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7" w:right="0"/>
              <w:jc w:val="left"/>
              <w:rPr>
                <w:rFonts w:ascii="Times New Roman" w:hAnsi="Times New Roman" w:cs="Times New Roman" w:eastAsia="Times New Roman" w:hint="default"/>
                <w:sz w:val="21"/>
                <w:szCs w:val="21"/>
              </w:rPr>
            </w:pPr>
            <w:r>
              <w:rPr>
                <w:rFonts w:ascii="Times New Roman"/>
                <w:sz w:val="21"/>
              </w:rPr>
              <w:t>90,486,</w:t>
            </w:r>
          </w:p>
          <w:p>
            <w:pPr>
              <w:pStyle w:val="TableParagraph"/>
              <w:spacing w:line="240" w:lineRule="auto" w:before="70"/>
              <w:ind w:left="69" w:right="0"/>
              <w:jc w:val="left"/>
              <w:rPr>
                <w:rFonts w:ascii="Times New Roman" w:hAnsi="Times New Roman" w:cs="Times New Roman" w:eastAsia="Times New Roman" w:hint="default"/>
                <w:sz w:val="21"/>
                <w:szCs w:val="21"/>
              </w:rPr>
            </w:pPr>
            <w:r>
              <w:rPr>
                <w:rFonts w:ascii="Times New Roman"/>
                <w:sz w:val="21"/>
              </w:rPr>
              <w:t>000.00</w:t>
            </w: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5" w:right="0"/>
              <w:jc w:val="left"/>
              <w:rPr>
                <w:rFonts w:ascii="Times New Roman" w:hAnsi="Times New Roman" w:cs="Times New Roman" w:eastAsia="Times New Roman" w:hint="default"/>
                <w:sz w:val="21"/>
                <w:szCs w:val="21"/>
              </w:rPr>
            </w:pPr>
            <w:r>
              <w:rPr>
                <w:rFonts w:ascii="Times New Roman"/>
                <w:sz w:val="21"/>
              </w:rPr>
              <w:t>26,599,</w:t>
            </w:r>
          </w:p>
          <w:p>
            <w:pPr>
              <w:pStyle w:val="TableParagraph"/>
              <w:spacing w:line="240" w:lineRule="auto" w:before="70"/>
              <w:ind w:left="76" w:right="0"/>
              <w:jc w:val="left"/>
              <w:rPr>
                <w:rFonts w:ascii="Times New Roman" w:hAnsi="Times New Roman" w:cs="Times New Roman" w:eastAsia="Times New Roman" w:hint="default"/>
                <w:sz w:val="21"/>
                <w:szCs w:val="21"/>
              </w:rPr>
            </w:pPr>
            <w:r>
              <w:rPr>
                <w:rFonts w:ascii="Times New Roman"/>
                <w:sz w:val="21"/>
              </w:rPr>
              <w:t>043.81</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sz w:val="21"/>
              </w:rPr>
              <w:t>5,887,0</w:t>
            </w:r>
          </w:p>
          <w:p>
            <w:pPr>
              <w:pStyle w:val="TableParagraph"/>
              <w:spacing w:line="240" w:lineRule="auto" w:before="70"/>
              <w:ind w:left="159" w:right="0"/>
              <w:jc w:val="center"/>
              <w:rPr>
                <w:rFonts w:ascii="Times New Roman" w:hAnsi="Times New Roman" w:cs="Times New Roman" w:eastAsia="Times New Roman" w:hint="default"/>
                <w:sz w:val="21"/>
                <w:szCs w:val="21"/>
              </w:rPr>
            </w:pPr>
            <w:r>
              <w:rPr>
                <w:rFonts w:ascii="Times New Roman"/>
                <w:sz w:val="21"/>
              </w:rPr>
              <w:t>67.95</w:t>
            </w: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34"/>
              <w:ind w:left="112" w:right="0"/>
              <w:jc w:val="left"/>
              <w:rPr>
                <w:rFonts w:ascii="Times New Roman" w:hAnsi="Times New Roman" w:cs="Times New Roman" w:eastAsia="Times New Roman" w:hint="default"/>
                <w:sz w:val="21"/>
                <w:szCs w:val="21"/>
              </w:rPr>
            </w:pPr>
            <w:r>
              <w:rPr>
                <w:rFonts w:ascii="Times New Roman"/>
                <w:sz w:val="21"/>
              </w:rPr>
              <w:t>-207,4</w:t>
            </w:r>
          </w:p>
          <w:p>
            <w:pPr>
              <w:pStyle w:val="TableParagraph"/>
              <w:spacing w:line="240" w:lineRule="auto" w:before="70"/>
              <w:ind w:left="25" w:right="0"/>
              <w:jc w:val="left"/>
              <w:rPr>
                <w:rFonts w:ascii="Times New Roman" w:hAnsi="Times New Roman" w:cs="Times New Roman" w:eastAsia="Times New Roman" w:hint="default"/>
                <w:sz w:val="21"/>
                <w:szCs w:val="21"/>
              </w:rPr>
            </w:pPr>
            <w:r>
              <w:rPr>
                <w:rFonts w:ascii="Times New Roman"/>
                <w:sz w:val="21"/>
              </w:rPr>
              <w:t>79,768.</w:t>
            </w:r>
          </w:p>
          <w:p>
            <w:pPr>
              <w:pStyle w:val="TableParagraph"/>
              <w:spacing w:line="240" w:lineRule="auto" w:before="70"/>
              <w:ind w:left="444" w:right="0"/>
              <w:jc w:val="left"/>
              <w:rPr>
                <w:rFonts w:ascii="Times New Roman" w:hAnsi="Times New Roman" w:cs="Times New Roman" w:eastAsia="Times New Roman" w:hint="default"/>
                <w:sz w:val="21"/>
                <w:szCs w:val="21"/>
              </w:rPr>
            </w:pPr>
            <w:r>
              <w:rPr>
                <w:rFonts w:ascii="Times New Roman"/>
                <w:sz w:val="21"/>
              </w:rPr>
              <w:t>74</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-84,50</w:t>
            </w:r>
          </w:p>
          <w:p>
            <w:pPr>
              <w:pStyle w:val="TableParagraph"/>
              <w:spacing w:line="240" w:lineRule="auto" w:before="70"/>
              <w:ind w:right="21"/>
              <w:jc w:val="right"/>
              <w:rPr>
                <w:rFonts w:ascii="Times New Roman" w:hAnsi="Times New Roman" w:cs="Times New Roman" w:eastAsia="Times New Roman" w:hint="default"/>
                <w:sz w:val="21"/>
                <w:szCs w:val="21"/>
              </w:rPr>
            </w:pPr>
            <w:r>
              <w:rPr>
                <w:rFonts w:ascii="Times New Roman"/>
                <w:spacing w:val="-1"/>
                <w:sz w:val="21"/>
              </w:rPr>
              <w:t>7,656.9</w:t>
            </w:r>
            <w:r>
              <w:rPr>
                <w:rFonts w:ascii="Times New Roman"/>
                <w:sz w:val="21"/>
              </w:rPr>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z w:val="21"/>
              </w:rPr>
              <w:t>8</w:t>
            </w: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6" w:right="0"/>
              <w:jc w:val="left"/>
              <w:rPr>
                <w:rFonts w:ascii="Times New Roman" w:hAnsi="Times New Roman" w:cs="Times New Roman" w:eastAsia="Times New Roman" w:hint="default"/>
                <w:sz w:val="21"/>
                <w:szCs w:val="21"/>
              </w:rPr>
            </w:pPr>
            <w:r>
              <w:rPr>
                <w:rFonts w:ascii="Times New Roman"/>
                <w:sz w:val="21"/>
              </w:rPr>
              <w:t>90,486,</w:t>
            </w:r>
          </w:p>
          <w:p>
            <w:pPr>
              <w:pStyle w:val="TableParagraph"/>
              <w:spacing w:line="240" w:lineRule="auto" w:before="70"/>
              <w:ind w:left="78" w:right="0"/>
              <w:jc w:val="left"/>
              <w:rPr>
                <w:rFonts w:ascii="Times New Roman" w:hAnsi="Times New Roman" w:cs="Times New Roman" w:eastAsia="Times New Roman" w:hint="default"/>
                <w:sz w:val="21"/>
                <w:szCs w:val="21"/>
              </w:rPr>
            </w:pPr>
            <w:r>
              <w:rPr>
                <w:rFonts w:ascii="Times New Roman"/>
                <w:sz w:val="21"/>
              </w:rPr>
              <w:t>000.00</w:t>
            </w:r>
          </w:p>
        </w:tc>
        <w:tc>
          <w:tcPr>
            <w:tcW w:w="690"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6" w:right="0"/>
              <w:jc w:val="left"/>
              <w:rPr>
                <w:rFonts w:ascii="Times New Roman" w:hAnsi="Times New Roman" w:cs="Times New Roman" w:eastAsia="Times New Roman" w:hint="default"/>
                <w:sz w:val="21"/>
                <w:szCs w:val="21"/>
              </w:rPr>
            </w:pPr>
            <w:r>
              <w:rPr>
                <w:rFonts w:ascii="Times New Roman"/>
                <w:sz w:val="21"/>
              </w:rPr>
              <w:t>26,599,</w:t>
            </w:r>
          </w:p>
          <w:p>
            <w:pPr>
              <w:pStyle w:val="TableParagraph"/>
              <w:spacing w:line="240" w:lineRule="auto" w:before="70"/>
              <w:ind w:left="78" w:right="0"/>
              <w:jc w:val="left"/>
              <w:rPr>
                <w:rFonts w:ascii="Times New Roman" w:hAnsi="Times New Roman" w:cs="Times New Roman" w:eastAsia="Times New Roman" w:hint="default"/>
                <w:sz w:val="21"/>
                <w:szCs w:val="21"/>
              </w:rPr>
            </w:pPr>
            <w:r>
              <w:rPr>
                <w:rFonts w:ascii="Times New Roman"/>
                <w:sz w:val="21"/>
              </w:rPr>
              <w:t>043.81</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 w:right="0"/>
              <w:jc w:val="center"/>
              <w:rPr>
                <w:rFonts w:ascii="Times New Roman" w:hAnsi="Times New Roman" w:cs="Times New Roman" w:eastAsia="Times New Roman" w:hint="default"/>
                <w:sz w:val="21"/>
                <w:szCs w:val="21"/>
              </w:rPr>
            </w:pPr>
            <w:r>
              <w:rPr>
                <w:rFonts w:ascii="Times New Roman"/>
                <w:sz w:val="21"/>
              </w:rPr>
              <w:t>5,887,0</w:t>
            </w:r>
          </w:p>
          <w:p>
            <w:pPr>
              <w:pStyle w:val="TableParagraph"/>
              <w:spacing w:line="240" w:lineRule="auto" w:before="70"/>
              <w:ind w:left="157" w:right="0"/>
              <w:jc w:val="center"/>
              <w:rPr>
                <w:rFonts w:ascii="Times New Roman" w:hAnsi="Times New Roman" w:cs="Times New Roman" w:eastAsia="Times New Roman" w:hint="default"/>
                <w:sz w:val="21"/>
                <w:szCs w:val="21"/>
              </w:rPr>
            </w:pPr>
            <w:r>
              <w:rPr>
                <w:rFonts w:ascii="Times New Roman"/>
                <w:sz w:val="21"/>
              </w:rPr>
              <w:t>67.95</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34"/>
              <w:ind w:left="112" w:right="0"/>
              <w:jc w:val="left"/>
              <w:rPr>
                <w:rFonts w:ascii="Times New Roman" w:hAnsi="Times New Roman" w:cs="Times New Roman" w:eastAsia="Times New Roman" w:hint="default"/>
                <w:sz w:val="21"/>
                <w:szCs w:val="21"/>
              </w:rPr>
            </w:pPr>
            <w:r>
              <w:rPr>
                <w:rFonts w:ascii="Times New Roman"/>
                <w:sz w:val="21"/>
              </w:rPr>
              <w:t>-214,4</w:t>
            </w:r>
          </w:p>
          <w:p>
            <w:pPr>
              <w:pStyle w:val="TableParagraph"/>
              <w:spacing w:line="240" w:lineRule="auto" w:before="70"/>
              <w:ind w:left="25" w:right="0"/>
              <w:jc w:val="left"/>
              <w:rPr>
                <w:rFonts w:ascii="Times New Roman" w:hAnsi="Times New Roman" w:cs="Times New Roman" w:eastAsia="Times New Roman" w:hint="default"/>
                <w:sz w:val="21"/>
                <w:szCs w:val="21"/>
              </w:rPr>
            </w:pPr>
            <w:r>
              <w:rPr>
                <w:rFonts w:ascii="Times New Roman"/>
                <w:sz w:val="21"/>
              </w:rPr>
              <w:t>58,163.</w:t>
            </w:r>
          </w:p>
          <w:p>
            <w:pPr>
              <w:pStyle w:val="TableParagraph"/>
              <w:spacing w:line="240" w:lineRule="auto" w:before="70"/>
              <w:ind w:left="444" w:right="0"/>
              <w:jc w:val="left"/>
              <w:rPr>
                <w:rFonts w:ascii="Times New Roman" w:hAnsi="Times New Roman" w:cs="Times New Roman" w:eastAsia="Times New Roman" w:hint="default"/>
                <w:sz w:val="21"/>
                <w:szCs w:val="21"/>
              </w:rPr>
            </w:pPr>
            <w:r>
              <w:rPr>
                <w:rFonts w:ascii="Times New Roman"/>
                <w:sz w:val="21"/>
              </w:rPr>
              <w:t>54</w:t>
            </w: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-91,48</w:t>
            </w:r>
          </w:p>
          <w:p>
            <w:pPr>
              <w:pStyle w:val="TableParagraph"/>
              <w:spacing w:line="240" w:lineRule="auto" w:before="70"/>
              <w:ind w:right="21"/>
              <w:jc w:val="right"/>
              <w:rPr>
                <w:rFonts w:ascii="Times New Roman" w:hAnsi="Times New Roman" w:cs="Times New Roman" w:eastAsia="Times New Roman" w:hint="default"/>
                <w:sz w:val="21"/>
                <w:szCs w:val="21"/>
              </w:rPr>
            </w:pPr>
            <w:r>
              <w:rPr>
                <w:rFonts w:ascii="Times New Roman"/>
                <w:spacing w:val="-1"/>
                <w:sz w:val="21"/>
              </w:rPr>
              <w:t>6,051.7</w:t>
            </w:r>
            <w:r>
              <w:rPr>
                <w:rFonts w:ascii="Times New Roman"/>
                <w:sz w:val="21"/>
              </w:rPr>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z w:val="21"/>
              </w:rPr>
              <w:t>8</w:t>
            </w:r>
          </w:p>
        </w:tc>
      </w:tr>
      <w:tr>
        <w:trPr>
          <w:trHeight w:val="312" w:hRule="exact"/>
        </w:trPr>
        <w:tc>
          <w:tcPr>
            <w:tcW w:w="227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0" w:lineRule="exact"/>
              <w:ind w:left="11" w:right="0"/>
              <w:jc w:val="left"/>
              <w:rPr>
                <w:rFonts w:ascii="宋体" w:hAnsi="宋体" w:cs="宋体" w:eastAsia="宋体" w:hint="default"/>
                <w:sz w:val="21"/>
                <w:szCs w:val="21"/>
              </w:rPr>
            </w:pPr>
            <w:r>
              <w:rPr>
                <w:rFonts w:ascii="宋体" w:hAnsi="宋体" w:cs="宋体" w:eastAsia="宋体" w:hint="default"/>
                <w:sz w:val="21"/>
                <w:szCs w:val="21"/>
              </w:rPr>
              <w:t>一、上年年末余额</w:t>
            </w:r>
          </w:p>
        </w:tc>
        <w:tc>
          <w:tcPr>
            <w:tcW w:w="689" w:type="dxa"/>
            <w:vMerge/>
            <w:tcBorders>
              <w:left w:val="single" w:sz="10" w:space="0" w:color="DCDCDC"/>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r>
      <w:tr>
        <w:trPr>
          <w:trHeight w:val="317" w:hRule="exact"/>
        </w:trPr>
        <w:tc>
          <w:tcPr>
            <w:tcW w:w="2277"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vMerge/>
            <w:tcBorders>
              <w:left w:val="single" w:sz="10" w:space="0" w:color="DCDCDC"/>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r>
      <w:tr>
        <w:trPr>
          <w:trHeight w:val="323" w:hRule="exact"/>
        </w:trPr>
        <w:tc>
          <w:tcPr>
            <w:tcW w:w="2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222" w:right="0"/>
              <w:jc w:val="left"/>
              <w:rPr>
                <w:rFonts w:ascii="宋体" w:hAnsi="宋体" w:cs="宋体" w:eastAsia="宋体" w:hint="default"/>
                <w:sz w:val="21"/>
                <w:szCs w:val="21"/>
              </w:rPr>
            </w:pPr>
            <w:r>
              <w:rPr>
                <w:rFonts w:ascii="宋体" w:hAnsi="宋体" w:cs="宋体" w:eastAsia="宋体" w:hint="default"/>
                <w:sz w:val="21"/>
                <w:szCs w:val="21"/>
              </w:rPr>
              <w:t>加：会计政策变更</w:t>
            </w:r>
          </w:p>
        </w:tc>
        <w:tc>
          <w:tcPr>
            <w:tcW w:w="689" w:type="dxa"/>
            <w:tcBorders>
              <w:top w:val="single" w:sz="4" w:space="0" w:color="000000"/>
              <w:left w:val="single" w:sz="10" w:space="0" w:color="DCDCDC"/>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2277"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000000"/>
              <w:left w:val="single" w:sz="10" w:space="0" w:color="DCDCDC"/>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34"/>
              <w:ind w:left="59" w:right="0"/>
              <w:jc w:val="left"/>
              <w:rPr>
                <w:rFonts w:ascii="Times New Roman" w:hAnsi="Times New Roman" w:cs="Times New Roman" w:eastAsia="Times New Roman" w:hint="default"/>
                <w:sz w:val="21"/>
                <w:szCs w:val="21"/>
              </w:rPr>
            </w:pPr>
            <w:r>
              <w:rPr>
                <w:rFonts w:ascii="Times New Roman"/>
                <w:sz w:val="21"/>
              </w:rPr>
              <w:t>-9,161,</w:t>
            </w:r>
          </w:p>
          <w:p>
            <w:pPr>
              <w:pStyle w:val="TableParagraph"/>
              <w:spacing w:line="240" w:lineRule="auto" w:before="70"/>
              <w:ind w:left="76" w:right="0"/>
              <w:jc w:val="left"/>
              <w:rPr>
                <w:rFonts w:ascii="Times New Roman" w:hAnsi="Times New Roman" w:cs="Times New Roman" w:eastAsia="Times New Roman" w:hint="default"/>
                <w:sz w:val="21"/>
                <w:szCs w:val="21"/>
              </w:rPr>
            </w:pPr>
            <w:r>
              <w:rPr>
                <w:rFonts w:ascii="Times New Roman"/>
                <w:sz w:val="21"/>
              </w:rPr>
              <w:t>636.36</w:t>
            </w: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34"/>
              <w:ind w:left="59" w:right="0"/>
              <w:jc w:val="left"/>
              <w:rPr>
                <w:rFonts w:ascii="Times New Roman" w:hAnsi="Times New Roman" w:cs="Times New Roman" w:eastAsia="Times New Roman" w:hint="default"/>
                <w:sz w:val="21"/>
                <w:szCs w:val="21"/>
              </w:rPr>
            </w:pPr>
            <w:r>
              <w:rPr>
                <w:rFonts w:ascii="Times New Roman"/>
                <w:sz w:val="21"/>
              </w:rPr>
              <w:t>-9,161,</w:t>
            </w:r>
          </w:p>
          <w:p>
            <w:pPr>
              <w:pStyle w:val="TableParagraph"/>
              <w:spacing w:line="240" w:lineRule="auto" w:before="70"/>
              <w:ind w:left="76" w:right="0"/>
              <w:jc w:val="left"/>
              <w:rPr>
                <w:rFonts w:ascii="Times New Roman" w:hAnsi="Times New Roman" w:cs="Times New Roman" w:eastAsia="Times New Roman" w:hint="default"/>
                <w:sz w:val="21"/>
                <w:szCs w:val="21"/>
              </w:rPr>
            </w:pPr>
            <w:r>
              <w:rPr>
                <w:rFonts w:ascii="Times New Roman"/>
                <w:sz w:val="21"/>
              </w:rPr>
              <w:t>636.36</w:t>
            </w:r>
          </w:p>
        </w:tc>
      </w:tr>
      <w:tr>
        <w:trPr>
          <w:trHeight w:val="312" w:hRule="exact"/>
        </w:trPr>
        <w:tc>
          <w:tcPr>
            <w:tcW w:w="227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0" w:lineRule="exact"/>
              <w:ind w:left="222" w:right="0"/>
              <w:jc w:val="left"/>
              <w:rPr>
                <w:rFonts w:ascii="宋体" w:hAnsi="宋体" w:cs="宋体" w:eastAsia="宋体" w:hint="default"/>
                <w:sz w:val="21"/>
                <w:szCs w:val="21"/>
              </w:rPr>
            </w:pPr>
            <w:r>
              <w:rPr>
                <w:rFonts w:ascii="宋体" w:hAnsi="宋体" w:cs="宋体" w:eastAsia="宋体" w:hint="default"/>
                <w:sz w:val="21"/>
                <w:szCs w:val="21"/>
              </w:rPr>
              <w:t>前期差错更正</w:t>
            </w:r>
          </w:p>
        </w:tc>
        <w:tc>
          <w:tcPr>
            <w:tcW w:w="689" w:type="dxa"/>
            <w:vMerge/>
            <w:tcBorders>
              <w:left w:val="single" w:sz="10" w:space="0" w:color="DCDCDC"/>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r>
      <w:tr>
        <w:trPr>
          <w:trHeight w:val="161" w:hRule="exact"/>
        </w:trPr>
        <w:tc>
          <w:tcPr>
            <w:tcW w:w="2277"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vMerge/>
            <w:tcBorders>
              <w:left w:val="single" w:sz="10" w:space="0" w:color="DCDCDC"/>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r>
      <w:tr>
        <w:trPr>
          <w:trHeight w:val="322" w:hRule="exact"/>
        </w:trPr>
        <w:tc>
          <w:tcPr>
            <w:tcW w:w="2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2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689" w:type="dxa"/>
            <w:tcBorders>
              <w:top w:val="single" w:sz="4" w:space="0" w:color="000000"/>
              <w:left w:val="single" w:sz="13" w:space="0" w:color="DCDCDC"/>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2277"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000000"/>
              <w:left w:val="single" w:sz="10" w:space="0" w:color="DCDCDC"/>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7" w:right="0"/>
              <w:jc w:val="left"/>
              <w:rPr>
                <w:rFonts w:ascii="Times New Roman" w:hAnsi="Times New Roman" w:cs="Times New Roman" w:eastAsia="Times New Roman" w:hint="default"/>
                <w:sz w:val="21"/>
                <w:szCs w:val="21"/>
              </w:rPr>
            </w:pPr>
            <w:r>
              <w:rPr>
                <w:rFonts w:ascii="Times New Roman"/>
                <w:sz w:val="21"/>
              </w:rPr>
              <w:t>90,486,</w:t>
            </w:r>
          </w:p>
          <w:p>
            <w:pPr>
              <w:pStyle w:val="TableParagraph"/>
              <w:spacing w:line="240" w:lineRule="auto" w:before="70"/>
              <w:ind w:left="69" w:right="0"/>
              <w:jc w:val="left"/>
              <w:rPr>
                <w:rFonts w:ascii="Times New Roman" w:hAnsi="Times New Roman" w:cs="Times New Roman" w:eastAsia="Times New Roman" w:hint="default"/>
                <w:sz w:val="21"/>
                <w:szCs w:val="21"/>
              </w:rPr>
            </w:pPr>
            <w:r>
              <w:rPr>
                <w:rFonts w:ascii="Times New Roman"/>
                <w:sz w:val="21"/>
              </w:rPr>
              <w:t>000.00</w:t>
            </w: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5" w:right="0"/>
              <w:jc w:val="left"/>
              <w:rPr>
                <w:rFonts w:ascii="Times New Roman" w:hAnsi="Times New Roman" w:cs="Times New Roman" w:eastAsia="Times New Roman" w:hint="default"/>
                <w:sz w:val="21"/>
                <w:szCs w:val="21"/>
              </w:rPr>
            </w:pPr>
            <w:r>
              <w:rPr>
                <w:rFonts w:ascii="Times New Roman"/>
                <w:sz w:val="21"/>
              </w:rPr>
              <w:t>26,599,</w:t>
            </w:r>
          </w:p>
          <w:p>
            <w:pPr>
              <w:pStyle w:val="TableParagraph"/>
              <w:spacing w:line="240" w:lineRule="auto" w:before="70"/>
              <w:ind w:left="76" w:right="0"/>
              <w:jc w:val="left"/>
              <w:rPr>
                <w:rFonts w:ascii="Times New Roman" w:hAnsi="Times New Roman" w:cs="Times New Roman" w:eastAsia="Times New Roman" w:hint="default"/>
                <w:sz w:val="21"/>
                <w:szCs w:val="21"/>
              </w:rPr>
            </w:pPr>
            <w:r>
              <w:rPr>
                <w:rFonts w:ascii="Times New Roman"/>
                <w:sz w:val="21"/>
              </w:rPr>
              <w:t>043.81</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sz w:val="21"/>
              </w:rPr>
              <w:t>5,887,0</w:t>
            </w:r>
          </w:p>
          <w:p>
            <w:pPr>
              <w:pStyle w:val="TableParagraph"/>
              <w:spacing w:line="240" w:lineRule="auto" w:before="70"/>
              <w:ind w:left="159" w:right="0"/>
              <w:jc w:val="center"/>
              <w:rPr>
                <w:rFonts w:ascii="Times New Roman" w:hAnsi="Times New Roman" w:cs="Times New Roman" w:eastAsia="Times New Roman" w:hint="default"/>
                <w:sz w:val="21"/>
                <w:szCs w:val="21"/>
              </w:rPr>
            </w:pPr>
            <w:r>
              <w:rPr>
                <w:rFonts w:ascii="Times New Roman"/>
                <w:sz w:val="21"/>
              </w:rPr>
              <w:t>67.95</w:t>
            </w: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34"/>
              <w:ind w:left="112" w:right="0"/>
              <w:jc w:val="left"/>
              <w:rPr>
                <w:rFonts w:ascii="Times New Roman" w:hAnsi="Times New Roman" w:cs="Times New Roman" w:eastAsia="Times New Roman" w:hint="default"/>
                <w:sz w:val="21"/>
                <w:szCs w:val="21"/>
              </w:rPr>
            </w:pPr>
            <w:r>
              <w:rPr>
                <w:rFonts w:ascii="Times New Roman"/>
                <w:sz w:val="21"/>
              </w:rPr>
              <w:t>-207,4</w:t>
            </w:r>
          </w:p>
          <w:p>
            <w:pPr>
              <w:pStyle w:val="TableParagraph"/>
              <w:spacing w:line="240" w:lineRule="auto" w:before="70"/>
              <w:ind w:left="25" w:right="0"/>
              <w:jc w:val="left"/>
              <w:rPr>
                <w:rFonts w:ascii="Times New Roman" w:hAnsi="Times New Roman" w:cs="Times New Roman" w:eastAsia="Times New Roman" w:hint="default"/>
                <w:sz w:val="21"/>
                <w:szCs w:val="21"/>
              </w:rPr>
            </w:pPr>
            <w:r>
              <w:rPr>
                <w:rFonts w:ascii="Times New Roman"/>
                <w:sz w:val="21"/>
              </w:rPr>
              <w:t>79,768.</w:t>
            </w:r>
          </w:p>
          <w:p>
            <w:pPr>
              <w:pStyle w:val="TableParagraph"/>
              <w:spacing w:line="240" w:lineRule="auto" w:before="70"/>
              <w:ind w:left="444" w:right="0"/>
              <w:jc w:val="left"/>
              <w:rPr>
                <w:rFonts w:ascii="Times New Roman" w:hAnsi="Times New Roman" w:cs="Times New Roman" w:eastAsia="Times New Roman" w:hint="default"/>
                <w:sz w:val="21"/>
                <w:szCs w:val="21"/>
              </w:rPr>
            </w:pPr>
            <w:r>
              <w:rPr>
                <w:rFonts w:ascii="Times New Roman"/>
                <w:sz w:val="21"/>
              </w:rPr>
              <w:t>74</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-84,50</w:t>
            </w:r>
          </w:p>
          <w:p>
            <w:pPr>
              <w:pStyle w:val="TableParagraph"/>
              <w:spacing w:line="240" w:lineRule="auto" w:before="70"/>
              <w:ind w:right="21"/>
              <w:jc w:val="right"/>
              <w:rPr>
                <w:rFonts w:ascii="Times New Roman" w:hAnsi="Times New Roman" w:cs="Times New Roman" w:eastAsia="Times New Roman" w:hint="default"/>
                <w:sz w:val="21"/>
                <w:szCs w:val="21"/>
              </w:rPr>
            </w:pPr>
            <w:r>
              <w:rPr>
                <w:rFonts w:ascii="Times New Roman"/>
                <w:spacing w:val="-1"/>
                <w:sz w:val="21"/>
              </w:rPr>
              <w:t>7,656.9</w:t>
            </w:r>
            <w:r>
              <w:rPr>
                <w:rFonts w:ascii="Times New Roman"/>
                <w:sz w:val="21"/>
              </w:rPr>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z w:val="21"/>
              </w:rPr>
              <w:t>8</w:t>
            </w: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6" w:right="0"/>
              <w:jc w:val="left"/>
              <w:rPr>
                <w:rFonts w:ascii="Times New Roman" w:hAnsi="Times New Roman" w:cs="Times New Roman" w:eastAsia="Times New Roman" w:hint="default"/>
                <w:sz w:val="21"/>
                <w:szCs w:val="21"/>
              </w:rPr>
            </w:pPr>
            <w:r>
              <w:rPr>
                <w:rFonts w:ascii="Times New Roman"/>
                <w:sz w:val="21"/>
              </w:rPr>
              <w:t>90,486,</w:t>
            </w:r>
          </w:p>
          <w:p>
            <w:pPr>
              <w:pStyle w:val="TableParagraph"/>
              <w:spacing w:line="240" w:lineRule="auto" w:before="70"/>
              <w:ind w:left="78" w:right="0"/>
              <w:jc w:val="left"/>
              <w:rPr>
                <w:rFonts w:ascii="Times New Roman" w:hAnsi="Times New Roman" w:cs="Times New Roman" w:eastAsia="Times New Roman" w:hint="default"/>
                <w:sz w:val="21"/>
                <w:szCs w:val="21"/>
              </w:rPr>
            </w:pPr>
            <w:r>
              <w:rPr>
                <w:rFonts w:ascii="Times New Roman"/>
                <w:sz w:val="21"/>
              </w:rPr>
              <w:t>000.00</w:t>
            </w:r>
          </w:p>
        </w:tc>
        <w:tc>
          <w:tcPr>
            <w:tcW w:w="690"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6" w:right="0"/>
              <w:jc w:val="left"/>
              <w:rPr>
                <w:rFonts w:ascii="Times New Roman" w:hAnsi="Times New Roman" w:cs="Times New Roman" w:eastAsia="Times New Roman" w:hint="default"/>
                <w:sz w:val="21"/>
                <w:szCs w:val="21"/>
              </w:rPr>
            </w:pPr>
            <w:r>
              <w:rPr>
                <w:rFonts w:ascii="Times New Roman"/>
                <w:sz w:val="21"/>
              </w:rPr>
              <w:t>26,599,</w:t>
            </w:r>
          </w:p>
          <w:p>
            <w:pPr>
              <w:pStyle w:val="TableParagraph"/>
              <w:spacing w:line="240" w:lineRule="auto" w:before="70"/>
              <w:ind w:left="78" w:right="0"/>
              <w:jc w:val="left"/>
              <w:rPr>
                <w:rFonts w:ascii="Times New Roman" w:hAnsi="Times New Roman" w:cs="Times New Roman" w:eastAsia="Times New Roman" w:hint="default"/>
                <w:sz w:val="21"/>
                <w:szCs w:val="21"/>
              </w:rPr>
            </w:pPr>
            <w:r>
              <w:rPr>
                <w:rFonts w:ascii="Times New Roman"/>
                <w:sz w:val="21"/>
              </w:rPr>
              <w:t>043.81</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 w:right="0"/>
              <w:jc w:val="center"/>
              <w:rPr>
                <w:rFonts w:ascii="Times New Roman" w:hAnsi="Times New Roman" w:cs="Times New Roman" w:eastAsia="Times New Roman" w:hint="default"/>
                <w:sz w:val="21"/>
                <w:szCs w:val="21"/>
              </w:rPr>
            </w:pPr>
            <w:r>
              <w:rPr>
                <w:rFonts w:ascii="Times New Roman"/>
                <w:sz w:val="21"/>
              </w:rPr>
              <w:t>5,887,0</w:t>
            </w:r>
          </w:p>
          <w:p>
            <w:pPr>
              <w:pStyle w:val="TableParagraph"/>
              <w:spacing w:line="240" w:lineRule="auto" w:before="70"/>
              <w:ind w:left="157" w:right="0"/>
              <w:jc w:val="center"/>
              <w:rPr>
                <w:rFonts w:ascii="Times New Roman" w:hAnsi="Times New Roman" w:cs="Times New Roman" w:eastAsia="Times New Roman" w:hint="default"/>
                <w:sz w:val="21"/>
                <w:szCs w:val="21"/>
              </w:rPr>
            </w:pPr>
            <w:r>
              <w:rPr>
                <w:rFonts w:ascii="Times New Roman"/>
                <w:sz w:val="21"/>
              </w:rPr>
              <w:t>67.95</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34"/>
              <w:ind w:left="112" w:right="0"/>
              <w:jc w:val="left"/>
              <w:rPr>
                <w:rFonts w:ascii="Times New Roman" w:hAnsi="Times New Roman" w:cs="Times New Roman" w:eastAsia="Times New Roman" w:hint="default"/>
                <w:sz w:val="21"/>
                <w:szCs w:val="21"/>
              </w:rPr>
            </w:pPr>
            <w:r>
              <w:rPr>
                <w:rFonts w:ascii="Times New Roman"/>
                <w:sz w:val="21"/>
              </w:rPr>
              <w:t>-223,6</w:t>
            </w:r>
          </w:p>
          <w:p>
            <w:pPr>
              <w:pStyle w:val="TableParagraph"/>
              <w:spacing w:line="240" w:lineRule="auto" w:before="70"/>
              <w:ind w:left="25" w:right="0"/>
              <w:jc w:val="left"/>
              <w:rPr>
                <w:rFonts w:ascii="Times New Roman" w:hAnsi="Times New Roman" w:cs="Times New Roman" w:eastAsia="Times New Roman" w:hint="default"/>
                <w:sz w:val="21"/>
                <w:szCs w:val="21"/>
              </w:rPr>
            </w:pPr>
            <w:r>
              <w:rPr>
                <w:rFonts w:ascii="Times New Roman"/>
                <w:sz w:val="21"/>
              </w:rPr>
              <w:t>19,799.</w:t>
            </w:r>
          </w:p>
          <w:p>
            <w:pPr>
              <w:pStyle w:val="TableParagraph"/>
              <w:spacing w:line="240" w:lineRule="auto" w:before="70"/>
              <w:ind w:left="444" w:right="0"/>
              <w:jc w:val="left"/>
              <w:rPr>
                <w:rFonts w:ascii="Times New Roman" w:hAnsi="Times New Roman" w:cs="Times New Roman" w:eastAsia="Times New Roman" w:hint="default"/>
                <w:sz w:val="21"/>
                <w:szCs w:val="21"/>
              </w:rPr>
            </w:pPr>
            <w:r>
              <w:rPr>
                <w:rFonts w:ascii="Times New Roman"/>
                <w:sz w:val="21"/>
              </w:rPr>
              <w:t>90</w:t>
            </w: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34"/>
              <w:ind w:left="112" w:right="0"/>
              <w:jc w:val="left"/>
              <w:rPr>
                <w:rFonts w:ascii="Times New Roman" w:hAnsi="Times New Roman" w:cs="Times New Roman" w:eastAsia="Times New Roman" w:hint="default"/>
                <w:sz w:val="21"/>
                <w:szCs w:val="21"/>
              </w:rPr>
            </w:pPr>
            <w:r>
              <w:rPr>
                <w:rFonts w:ascii="Times New Roman"/>
                <w:sz w:val="21"/>
              </w:rPr>
              <w:t>-100,6</w:t>
            </w:r>
          </w:p>
          <w:p>
            <w:pPr>
              <w:pStyle w:val="TableParagraph"/>
              <w:spacing w:line="240" w:lineRule="auto" w:before="70"/>
              <w:ind w:left="25" w:right="0"/>
              <w:jc w:val="left"/>
              <w:rPr>
                <w:rFonts w:ascii="Times New Roman" w:hAnsi="Times New Roman" w:cs="Times New Roman" w:eastAsia="Times New Roman" w:hint="default"/>
                <w:sz w:val="21"/>
                <w:szCs w:val="21"/>
              </w:rPr>
            </w:pPr>
            <w:r>
              <w:rPr>
                <w:rFonts w:ascii="Times New Roman"/>
                <w:sz w:val="21"/>
              </w:rPr>
              <w:t>47,688.</w:t>
            </w:r>
          </w:p>
          <w:p>
            <w:pPr>
              <w:pStyle w:val="TableParagraph"/>
              <w:spacing w:line="240" w:lineRule="auto" w:before="70"/>
              <w:ind w:left="444" w:right="0"/>
              <w:jc w:val="left"/>
              <w:rPr>
                <w:rFonts w:ascii="Times New Roman" w:hAnsi="Times New Roman" w:cs="Times New Roman" w:eastAsia="Times New Roman" w:hint="default"/>
                <w:sz w:val="21"/>
                <w:szCs w:val="21"/>
              </w:rPr>
            </w:pPr>
            <w:r>
              <w:rPr>
                <w:rFonts w:ascii="Times New Roman"/>
                <w:sz w:val="21"/>
              </w:rPr>
              <w:t>14</w:t>
            </w:r>
          </w:p>
        </w:tc>
      </w:tr>
      <w:tr>
        <w:trPr>
          <w:trHeight w:val="312" w:hRule="exact"/>
        </w:trPr>
        <w:tc>
          <w:tcPr>
            <w:tcW w:w="227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0" w:lineRule="exact"/>
              <w:ind w:left="11" w:right="0"/>
              <w:jc w:val="left"/>
              <w:rPr>
                <w:rFonts w:ascii="宋体" w:hAnsi="宋体" w:cs="宋体" w:eastAsia="宋体" w:hint="default"/>
                <w:sz w:val="21"/>
                <w:szCs w:val="21"/>
              </w:rPr>
            </w:pPr>
            <w:r>
              <w:rPr>
                <w:rFonts w:ascii="宋体" w:hAnsi="宋体" w:cs="宋体" w:eastAsia="宋体" w:hint="default"/>
                <w:sz w:val="21"/>
                <w:szCs w:val="21"/>
              </w:rPr>
              <w:t>二、本年年初余额</w:t>
            </w:r>
          </w:p>
        </w:tc>
        <w:tc>
          <w:tcPr>
            <w:tcW w:w="689" w:type="dxa"/>
            <w:vMerge/>
            <w:tcBorders>
              <w:left w:val="single" w:sz="10" w:space="0" w:color="DCDCDC"/>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r>
      <w:tr>
        <w:trPr>
          <w:trHeight w:val="318" w:hRule="exact"/>
        </w:trPr>
        <w:tc>
          <w:tcPr>
            <w:tcW w:w="2277"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vMerge/>
            <w:tcBorders>
              <w:left w:val="single" w:sz="10" w:space="0" w:color="DCDCDC"/>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r>
      <w:tr>
        <w:trPr>
          <w:trHeight w:val="161" w:hRule="exact"/>
        </w:trPr>
        <w:tc>
          <w:tcPr>
            <w:tcW w:w="2277"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000000"/>
              <w:left w:val="single" w:sz="10" w:space="0" w:color="DCDCDC"/>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155,46</w:t>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pacing w:val="-1"/>
                <w:sz w:val="21"/>
              </w:rPr>
              <w:t>5,900.8</w:t>
            </w:r>
            <w:r>
              <w:rPr>
                <w:rFonts w:ascii="Times New Roman"/>
                <w:sz w:val="21"/>
              </w:rPr>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z w:val="21"/>
              </w:rPr>
              <w:t>0</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155,46</w:t>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pacing w:val="-1"/>
                <w:sz w:val="21"/>
              </w:rPr>
              <w:t>5,900.8</w:t>
            </w:r>
            <w:r>
              <w:rPr>
                <w:rFonts w:ascii="Times New Roman"/>
                <w:sz w:val="21"/>
              </w:rPr>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z w:val="21"/>
              </w:rPr>
              <w:t>0</w:t>
            </w: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5" w:right="0"/>
              <w:jc w:val="left"/>
              <w:rPr>
                <w:rFonts w:ascii="Times New Roman" w:hAnsi="Times New Roman" w:cs="Times New Roman" w:eastAsia="Times New Roman" w:hint="default"/>
                <w:sz w:val="21"/>
                <w:szCs w:val="21"/>
              </w:rPr>
            </w:pPr>
            <w:r>
              <w:rPr>
                <w:rFonts w:ascii="Times New Roman"/>
                <w:sz w:val="21"/>
              </w:rPr>
              <w:t>16,140,</w:t>
            </w:r>
          </w:p>
          <w:p>
            <w:pPr>
              <w:pStyle w:val="TableParagraph"/>
              <w:spacing w:line="240" w:lineRule="auto" w:before="70"/>
              <w:ind w:left="76" w:right="0"/>
              <w:jc w:val="left"/>
              <w:rPr>
                <w:rFonts w:ascii="Times New Roman" w:hAnsi="Times New Roman" w:cs="Times New Roman" w:eastAsia="Times New Roman" w:hint="default"/>
                <w:sz w:val="21"/>
                <w:szCs w:val="21"/>
              </w:rPr>
            </w:pPr>
            <w:r>
              <w:rPr>
                <w:rFonts w:ascii="Times New Roman"/>
                <w:sz w:val="21"/>
              </w:rPr>
              <w:t>031.16</w:t>
            </w: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5" w:right="0"/>
              <w:jc w:val="left"/>
              <w:rPr>
                <w:rFonts w:ascii="Times New Roman" w:hAnsi="Times New Roman" w:cs="Times New Roman" w:eastAsia="Times New Roman" w:hint="default"/>
                <w:sz w:val="21"/>
                <w:szCs w:val="21"/>
              </w:rPr>
            </w:pPr>
            <w:r>
              <w:rPr>
                <w:rFonts w:ascii="Times New Roman"/>
                <w:sz w:val="21"/>
              </w:rPr>
              <w:t>16,140,</w:t>
            </w:r>
          </w:p>
          <w:p>
            <w:pPr>
              <w:pStyle w:val="TableParagraph"/>
              <w:spacing w:line="240" w:lineRule="auto" w:before="70"/>
              <w:ind w:left="76" w:right="0"/>
              <w:jc w:val="left"/>
              <w:rPr>
                <w:rFonts w:ascii="Times New Roman" w:hAnsi="Times New Roman" w:cs="Times New Roman" w:eastAsia="Times New Roman" w:hint="default"/>
                <w:sz w:val="21"/>
                <w:szCs w:val="21"/>
              </w:rPr>
            </w:pPr>
            <w:r>
              <w:rPr>
                <w:rFonts w:ascii="Times New Roman"/>
                <w:sz w:val="21"/>
              </w:rPr>
              <w:t>031.16</w:t>
            </w:r>
          </w:p>
        </w:tc>
      </w:tr>
      <w:tr>
        <w:trPr>
          <w:trHeight w:val="624" w:hRule="exact"/>
        </w:trPr>
        <w:tc>
          <w:tcPr>
            <w:tcW w:w="227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0" w:lineRule="exact"/>
              <w:ind w:left="11" w:right="0"/>
              <w:jc w:val="left"/>
              <w:rPr>
                <w:rFonts w:ascii="宋体" w:hAnsi="宋体" w:cs="宋体" w:eastAsia="宋体" w:hint="default"/>
                <w:sz w:val="21"/>
                <w:szCs w:val="21"/>
              </w:rPr>
            </w:pPr>
            <w:r>
              <w:rPr>
                <w:rFonts w:ascii="宋体" w:hAnsi="宋体" w:cs="宋体" w:eastAsia="宋体" w:hint="default"/>
                <w:sz w:val="21"/>
                <w:szCs w:val="21"/>
              </w:rPr>
              <w:t>三、本年增减变动金额</w:t>
            </w:r>
          </w:p>
          <w:p>
            <w:pPr>
              <w:pStyle w:val="TableParagraph"/>
              <w:spacing w:line="240" w:lineRule="auto" w:before="37"/>
              <w:ind w:left="11" w:right="0"/>
              <w:jc w:val="left"/>
              <w:rPr>
                <w:rFonts w:ascii="宋体" w:hAnsi="宋体" w:cs="宋体" w:eastAsia="宋体" w:hint="default"/>
                <w:sz w:val="21"/>
                <w:szCs w:val="21"/>
              </w:rPr>
            </w:pPr>
            <w:r>
              <w:rPr>
                <w:rFonts w:ascii="宋体" w:hAnsi="宋体" w:cs="宋体" w:eastAsia="宋体" w:hint="default"/>
                <w:sz w:val="21"/>
                <w:szCs w:val="21"/>
              </w:rPr>
              <w:t>（减少以“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689" w:type="dxa"/>
            <w:vMerge/>
            <w:tcBorders>
              <w:left w:val="single" w:sz="10" w:space="0" w:color="DCDCDC"/>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r>
      <w:tr>
        <w:trPr>
          <w:trHeight w:val="161" w:hRule="exact"/>
        </w:trPr>
        <w:tc>
          <w:tcPr>
            <w:tcW w:w="2277"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vMerge/>
            <w:tcBorders>
              <w:left w:val="single" w:sz="10" w:space="0" w:color="DCDCDC"/>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r>
      <w:tr>
        <w:trPr>
          <w:trHeight w:val="317" w:hRule="exact"/>
        </w:trPr>
        <w:tc>
          <w:tcPr>
            <w:tcW w:w="2277" w:type="dxa"/>
            <w:tcBorders>
              <w:top w:val="single" w:sz="4" w:space="0" w:color="000000"/>
              <w:left w:val="single" w:sz="4" w:space="0" w:color="000000"/>
              <w:bottom w:val="nil" w:sz="6" w:space="0" w:color="auto"/>
              <w:right w:val="single" w:sz="4" w:space="0" w:color="000000"/>
            </w:tcBorders>
            <w:shd w:val="clear" w:color="auto" w:fill="DCDCDC"/>
          </w:tcPr>
          <w:p>
            <w:pPr/>
          </w:p>
        </w:tc>
        <w:tc>
          <w:tcPr>
            <w:tcW w:w="689" w:type="dxa"/>
            <w:vMerge w:val="restart"/>
            <w:tcBorders>
              <w:top w:val="single" w:sz="4" w:space="0" w:color="000000"/>
              <w:left w:val="single" w:sz="10" w:space="0" w:color="DCDCDC"/>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155,46</w:t>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pacing w:val="-1"/>
                <w:sz w:val="21"/>
              </w:rPr>
              <w:t>5,900.8</w:t>
            </w:r>
            <w:r>
              <w:rPr>
                <w:rFonts w:ascii="Times New Roman"/>
                <w:sz w:val="21"/>
              </w:rPr>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z w:val="21"/>
              </w:rPr>
              <w:t>0</w:t>
            </w: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155,46</w:t>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pacing w:val="-1"/>
                <w:sz w:val="21"/>
              </w:rPr>
              <w:t>5,900.8</w:t>
            </w:r>
            <w:r>
              <w:rPr>
                <w:rFonts w:ascii="Times New Roman"/>
                <w:sz w:val="21"/>
              </w:rPr>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z w:val="21"/>
              </w:rPr>
              <w:t>0</w:t>
            </w: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5" w:right="0"/>
              <w:jc w:val="left"/>
              <w:rPr>
                <w:rFonts w:ascii="Times New Roman" w:hAnsi="Times New Roman" w:cs="Times New Roman" w:eastAsia="Times New Roman" w:hint="default"/>
                <w:sz w:val="21"/>
                <w:szCs w:val="21"/>
              </w:rPr>
            </w:pPr>
            <w:r>
              <w:rPr>
                <w:rFonts w:ascii="Times New Roman"/>
                <w:sz w:val="21"/>
              </w:rPr>
              <w:t>16,140,</w:t>
            </w:r>
          </w:p>
          <w:p>
            <w:pPr>
              <w:pStyle w:val="TableParagraph"/>
              <w:spacing w:line="240" w:lineRule="auto" w:before="70"/>
              <w:ind w:left="76" w:right="0"/>
              <w:jc w:val="left"/>
              <w:rPr>
                <w:rFonts w:ascii="Times New Roman" w:hAnsi="Times New Roman" w:cs="Times New Roman" w:eastAsia="Times New Roman" w:hint="default"/>
                <w:sz w:val="21"/>
                <w:szCs w:val="21"/>
              </w:rPr>
            </w:pPr>
            <w:r>
              <w:rPr>
                <w:rFonts w:ascii="Times New Roman"/>
                <w:sz w:val="21"/>
              </w:rPr>
              <w:t>031.16</w:t>
            </w:r>
          </w:p>
        </w:tc>
        <w:tc>
          <w:tcPr>
            <w:tcW w:w="689" w:type="dxa"/>
            <w:vMerge w:val="restart"/>
            <w:tcBorders>
              <w:top w:val="single" w:sz="4" w:space="0" w:color="000000"/>
              <w:left w:val="single" w:sz="4" w:space="0" w:color="000000"/>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89"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5" w:right="0"/>
              <w:jc w:val="left"/>
              <w:rPr>
                <w:rFonts w:ascii="Times New Roman" w:hAnsi="Times New Roman" w:cs="Times New Roman" w:eastAsia="Times New Roman" w:hint="default"/>
                <w:sz w:val="21"/>
                <w:szCs w:val="21"/>
              </w:rPr>
            </w:pPr>
            <w:r>
              <w:rPr>
                <w:rFonts w:ascii="Times New Roman"/>
                <w:sz w:val="21"/>
              </w:rPr>
              <w:t>16,140,</w:t>
            </w:r>
          </w:p>
          <w:p>
            <w:pPr>
              <w:pStyle w:val="TableParagraph"/>
              <w:spacing w:line="240" w:lineRule="auto" w:before="70"/>
              <w:ind w:left="76" w:right="0"/>
              <w:jc w:val="left"/>
              <w:rPr>
                <w:rFonts w:ascii="Times New Roman" w:hAnsi="Times New Roman" w:cs="Times New Roman" w:eastAsia="Times New Roman" w:hint="default"/>
                <w:sz w:val="21"/>
                <w:szCs w:val="21"/>
              </w:rPr>
            </w:pPr>
            <w:r>
              <w:rPr>
                <w:rFonts w:ascii="Times New Roman"/>
                <w:sz w:val="21"/>
              </w:rPr>
              <w:t>031.16</w:t>
            </w:r>
          </w:p>
        </w:tc>
      </w:tr>
      <w:tr>
        <w:trPr>
          <w:trHeight w:val="312" w:hRule="exact"/>
        </w:trPr>
        <w:tc>
          <w:tcPr>
            <w:tcW w:w="227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0" w:lineRule="exact"/>
              <w:ind w:left="222" w:right="0"/>
              <w:jc w:val="left"/>
              <w:rPr>
                <w:rFonts w:ascii="宋体" w:hAnsi="宋体" w:cs="宋体" w:eastAsia="宋体" w:hint="default"/>
                <w:sz w:val="21"/>
                <w:szCs w:val="21"/>
              </w:rPr>
            </w:pPr>
            <w:r>
              <w:rPr>
                <w:rFonts w:ascii="宋体" w:hAnsi="宋体" w:cs="宋体" w:eastAsia="宋体" w:hint="default"/>
                <w:sz w:val="21"/>
                <w:szCs w:val="21"/>
              </w:rPr>
              <w:t>（一）净利润</w:t>
            </w:r>
          </w:p>
        </w:tc>
        <w:tc>
          <w:tcPr>
            <w:tcW w:w="689" w:type="dxa"/>
            <w:vMerge/>
            <w:tcBorders>
              <w:left w:val="single" w:sz="10" w:space="0" w:color="DCDCDC"/>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c>
          <w:tcPr>
            <w:tcW w:w="690" w:type="dxa"/>
            <w:vMerge/>
            <w:tcBorders>
              <w:left w:val="single" w:sz="4" w:space="0" w:color="000000"/>
              <w:right w:val="single" w:sz="4" w:space="0" w:color="000000"/>
            </w:tcBorders>
          </w:tcPr>
          <w:p>
            <w:pPr/>
          </w:p>
        </w:tc>
        <w:tc>
          <w:tcPr>
            <w:tcW w:w="689" w:type="dxa"/>
            <w:vMerge/>
            <w:tcBorders>
              <w:left w:val="single" w:sz="4" w:space="0" w:color="000000"/>
              <w:right w:val="single" w:sz="4" w:space="0" w:color="000000"/>
            </w:tcBorders>
          </w:tcPr>
          <w:p>
            <w:pPr/>
          </w:p>
        </w:tc>
      </w:tr>
      <w:tr>
        <w:trPr>
          <w:trHeight w:val="317" w:hRule="exact"/>
        </w:trPr>
        <w:tc>
          <w:tcPr>
            <w:tcW w:w="2277" w:type="dxa"/>
            <w:tcBorders>
              <w:top w:val="nil" w:sz="6" w:space="0" w:color="auto"/>
              <w:left w:val="single" w:sz="4" w:space="0" w:color="000000"/>
              <w:bottom w:val="single" w:sz="4" w:space="0" w:color="000000"/>
              <w:right w:val="single" w:sz="4" w:space="0" w:color="000000"/>
            </w:tcBorders>
            <w:shd w:val="clear" w:color="auto" w:fill="DCDCDC"/>
          </w:tcPr>
          <w:p>
            <w:pPr/>
          </w:p>
        </w:tc>
        <w:tc>
          <w:tcPr>
            <w:tcW w:w="689" w:type="dxa"/>
            <w:vMerge/>
            <w:tcBorders>
              <w:left w:val="single" w:sz="10" w:space="0" w:color="DCDCDC"/>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r>
      <w:tr>
        <w:trPr>
          <w:trHeight w:val="635" w:hRule="exact"/>
        </w:trPr>
        <w:tc>
          <w:tcPr>
            <w:tcW w:w="2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222" w:right="0"/>
              <w:jc w:val="left"/>
              <w:rPr>
                <w:rFonts w:ascii="宋体" w:hAnsi="宋体" w:cs="宋体" w:eastAsia="宋体" w:hint="default"/>
                <w:sz w:val="21"/>
                <w:szCs w:val="21"/>
              </w:rPr>
            </w:pPr>
            <w:r>
              <w:rPr>
                <w:rFonts w:ascii="宋体" w:hAnsi="宋体" w:cs="宋体" w:eastAsia="宋体" w:hint="default"/>
                <w:spacing w:val="-8"/>
                <w:sz w:val="21"/>
                <w:szCs w:val="21"/>
              </w:rPr>
              <w:t>（二）直接计入所有者</w:t>
            </w:r>
          </w:p>
          <w:p>
            <w:pPr>
              <w:pStyle w:val="TableParagraph"/>
              <w:spacing w:line="240" w:lineRule="auto" w:before="37"/>
              <w:ind w:left="11" w:right="0"/>
              <w:jc w:val="left"/>
              <w:rPr>
                <w:rFonts w:ascii="宋体" w:hAnsi="宋体" w:cs="宋体" w:eastAsia="宋体" w:hint="default"/>
                <w:sz w:val="21"/>
                <w:szCs w:val="21"/>
              </w:rPr>
            </w:pPr>
            <w:r>
              <w:rPr>
                <w:rFonts w:ascii="宋体" w:hAnsi="宋体" w:cs="宋体" w:eastAsia="宋体" w:hint="default"/>
                <w:sz w:val="21"/>
                <w:szCs w:val="21"/>
              </w:rPr>
              <w:t>权益的利得和损失</w:t>
            </w:r>
          </w:p>
        </w:tc>
        <w:tc>
          <w:tcPr>
            <w:tcW w:w="689" w:type="dxa"/>
            <w:tcBorders>
              <w:top w:val="single" w:sz="4" w:space="0" w:color="000000"/>
              <w:left w:val="single" w:sz="13" w:space="0" w:color="DCDCDC"/>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43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．可供出售金融资</w:t>
            </w:r>
          </w:p>
        </w:tc>
        <w:tc>
          <w:tcPr>
            <w:tcW w:w="689" w:type="dxa"/>
            <w:tcBorders>
              <w:top w:val="single" w:sz="4" w:space="0" w:color="000000"/>
              <w:left w:val="single" w:sz="13" w:space="0" w:color="DCDCDC"/>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14"/>
          <w:pgSz w:w="16840" w:h="11910" w:orient="landscape"/>
          <w:pgMar w:footer="958" w:header="0" w:top="1000" w:bottom="1140" w:left="980" w:right="900"/>
          <w:pgNumType w:start="59"/>
        </w:sectPr>
      </w:pPr>
    </w:p>
    <w:p>
      <w:pPr>
        <w:spacing w:line="240" w:lineRule="auto" w:before="5"/>
        <w:rPr>
          <w:rFonts w:ascii="Times New Roman" w:hAnsi="Times New Roman" w:cs="Times New Roman" w:eastAsia="Times New Roman" w:hint="default"/>
          <w:sz w:val="6"/>
          <w:szCs w:val="6"/>
        </w:rPr>
      </w:pPr>
    </w:p>
    <w:p>
      <w:pPr>
        <w:spacing w:line="20" w:lineRule="exact"/>
        <w:ind w:left="11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32.25pt;height:.75pt;mso-position-horizontal-relative:char;mso-position-vertical-relative:line" coordorigin="0,0" coordsize="14645,15">
            <v:group style="position:absolute;left:7;top:7;width:14631;height:2" coordorigin="7,7" coordsize="14631,2">
              <v:shape style="position:absolute;left:7;top:7;width:14631;height:2" coordorigin="7,7" coordsize="14631,0" path="m7,7l14638,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8"/>
        <w:rPr>
          <w:rFonts w:ascii="Times New Roman" w:hAnsi="Times New Roman" w:cs="Times New Roman" w:eastAsia="Times New Roman" w:hint="default"/>
          <w:sz w:val="29"/>
          <w:szCs w:val="29"/>
        </w:rPr>
      </w:pPr>
    </w:p>
    <w:tbl>
      <w:tblPr>
        <w:tblW w:w="0" w:type="auto"/>
        <w:jc w:val="left"/>
        <w:tblInd w:w="149" w:type="dxa"/>
        <w:tblLayout w:type="fixed"/>
        <w:tblCellMar>
          <w:top w:w="0" w:type="dxa"/>
          <w:left w:w="0" w:type="dxa"/>
          <w:bottom w:w="0" w:type="dxa"/>
          <w:right w:w="0" w:type="dxa"/>
        </w:tblCellMar>
        <w:tblLook w:val="01E0"/>
      </w:tblPr>
      <w:tblGrid>
        <w:gridCol w:w="2288"/>
        <w:gridCol w:w="689"/>
        <w:gridCol w:w="689"/>
        <w:gridCol w:w="689"/>
        <w:gridCol w:w="689"/>
        <w:gridCol w:w="690"/>
        <w:gridCol w:w="689"/>
        <w:gridCol w:w="689"/>
        <w:gridCol w:w="689"/>
        <w:gridCol w:w="689"/>
        <w:gridCol w:w="689"/>
        <w:gridCol w:w="690"/>
        <w:gridCol w:w="689"/>
        <w:gridCol w:w="689"/>
        <w:gridCol w:w="689"/>
        <w:gridCol w:w="689"/>
        <w:gridCol w:w="689"/>
        <w:gridCol w:w="690"/>
        <w:gridCol w:w="689"/>
      </w:tblGrid>
      <w:tr>
        <w:trPr>
          <w:trHeight w:val="322"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产公允价值变动净额</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947"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．权益法下被投资</w:t>
            </w:r>
          </w:p>
          <w:p>
            <w:pPr>
              <w:pStyle w:val="TableParagraph"/>
              <w:spacing w:line="273" w:lineRule="auto" w:before="21"/>
              <w:ind w:left="22" w:right="154"/>
              <w:jc w:val="left"/>
              <w:rPr>
                <w:rFonts w:ascii="宋体" w:hAnsi="宋体" w:cs="宋体" w:eastAsia="宋体" w:hint="default"/>
                <w:sz w:val="21"/>
                <w:szCs w:val="21"/>
              </w:rPr>
            </w:pPr>
            <w:r>
              <w:rPr>
                <w:rFonts w:ascii="宋体" w:hAnsi="宋体" w:cs="宋体" w:eastAsia="宋体" w:hint="default"/>
                <w:sz w:val="21"/>
                <w:szCs w:val="21"/>
              </w:rPr>
              <w:t>单位其他所有者权益变 动的影响</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．与计入所有者权</w:t>
            </w:r>
          </w:p>
          <w:p>
            <w:pPr>
              <w:pStyle w:val="TableParagraph"/>
              <w:spacing w:line="273" w:lineRule="auto" w:before="21"/>
              <w:ind w:left="22" w:right="154"/>
              <w:jc w:val="left"/>
              <w:rPr>
                <w:rFonts w:ascii="宋体" w:hAnsi="宋体" w:cs="宋体" w:eastAsia="宋体" w:hint="default"/>
                <w:sz w:val="21"/>
                <w:szCs w:val="21"/>
              </w:rPr>
            </w:pPr>
            <w:r>
              <w:rPr>
                <w:rFonts w:ascii="宋体" w:hAnsi="宋体" w:cs="宋体" w:eastAsia="宋体" w:hint="default"/>
                <w:sz w:val="21"/>
                <w:szCs w:val="21"/>
              </w:rPr>
              <w:t>益项目相关的所得税影 响</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947"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233" w:right="0"/>
              <w:jc w:val="left"/>
              <w:rPr>
                <w:rFonts w:ascii="宋体" w:hAnsi="宋体" w:cs="宋体" w:eastAsia="宋体" w:hint="default"/>
                <w:sz w:val="21"/>
                <w:szCs w:val="21"/>
              </w:rPr>
            </w:pPr>
            <w:r>
              <w:rPr>
                <w:rFonts w:ascii="宋体" w:hAnsi="宋体" w:cs="宋体" w:eastAsia="宋体" w:hint="default"/>
                <w:spacing w:val="-9"/>
                <w:sz w:val="21"/>
                <w:szCs w:val="21"/>
              </w:rPr>
              <w:t>上述（一）和（二）小</w:t>
            </w:r>
          </w:p>
          <w:p>
            <w:pPr>
              <w:pStyle w:val="TableParagraph"/>
              <w:spacing w:line="240" w:lineRule="auto" w:before="37"/>
              <w:ind w:left="22" w:right="0"/>
              <w:jc w:val="left"/>
              <w:rPr>
                <w:rFonts w:ascii="宋体" w:hAnsi="宋体" w:cs="宋体" w:eastAsia="宋体" w:hint="default"/>
                <w:sz w:val="21"/>
                <w:szCs w:val="21"/>
              </w:rPr>
            </w:pPr>
            <w:r>
              <w:rPr>
                <w:rFonts w:ascii="宋体" w:hAnsi="宋体" w:cs="宋体" w:eastAsia="宋体" w:hint="default"/>
                <w:sz w:val="21"/>
                <w:szCs w:val="21"/>
              </w:rPr>
              <w:t>计</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155,46</w:t>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pacing w:val="-1"/>
                <w:sz w:val="21"/>
              </w:rPr>
              <w:t>5,900.8</w:t>
            </w:r>
            <w:r>
              <w:rPr>
                <w:rFonts w:ascii="Times New Roman"/>
                <w:sz w:val="21"/>
              </w:rPr>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z w:val="21"/>
              </w:rPr>
              <w:t>0</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155,46</w:t>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pacing w:val="-1"/>
                <w:sz w:val="21"/>
              </w:rPr>
              <w:t>5,900.8</w:t>
            </w:r>
            <w:r>
              <w:rPr>
                <w:rFonts w:ascii="Times New Roman"/>
                <w:sz w:val="21"/>
              </w:rPr>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z w:val="21"/>
              </w:rPr>
              <w:t>0</w:t>
            </w: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25" w:right="0"/>
              <w:jc w:val="left"/>
              <w:rPr>
                <w:rFonts w:ascii="Times New Roman" w:hAnsi="Times New Roman" w:cs="Times New Roman" w:eastAsia="Times New Roman" w:hint="default"/>
                <w:sz w:val="21"/>
                <w:szCs w:val="21"/>
              </w:rPr>
            </w:pPr>
            <w:r>
              <w:rPr>
                <w:rFonts w:ascii="Times New Roman"/>
                <w:sz w:val="21"/>
              </w:rPr>
              <w:t>16,140,</w:t>
            </w:r>
          </w:p>
          <w:p>
            <w:pPr>
              <w:pStyle w:val="TableParagraph"/>
              <w:spacing w:line="240" w:lineRule="auto" w:before="70"/>
              <w:ind w:left="76" w:right="0"/>
              <w:jc w:val="left"/>
              <w:rPr>
                <w:rFonts w:ascii="Times New Roman" w:hAnsi="Times New Roman" w:cs="Times New Roman" w:eastAsia="Times New Roman" w:hint="default"/>
                <w:sz w:val="21"/>
                <w:szCs w:val="21"/>
              </w:rPr>
            </w:pPr>
            <w:r>
              <w:rPr>
                <w:rFonts w:ascii="Times New Roman"/>
                <w:sz w:val="21"/>
              </w:rPr>
              <w:t>031.16</w:t>
            </w: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25" w:right="0"/>
              <w:jc w:val="left"/>
              <w:rPr>
                <w:rFonts w:ascii="Times New Roman" w:hAnsi="Times New Roman" w:cs="Times New Roman" w:eastAsia="Times New Roman" w:hint="default"/>
                <w:sz w:val="21"/>
                <w:szCs w:val="21"/>
              </w:rPr>
            </w:pPr>
            <w:r>
              <w:rPr>
                <w:rFonts w:ascii="Times New Roman"/>
                <w:sz w:val="21"/>
              </w:rPr>
              <w:t>16,140,</w:t>
            </w:r>
          </w:p>
          <w:p>
            <w:pPr>
              <w:pStyle w:val="TableParagraph"/>
              <w:spacing w:line="240" w:lineRule="auto" w:before="70"/>
              <w:ind w:left="76" w:right="0"/>
              <w:jc w:val="left"/>
              <w:rPr>
                <w:rFonts w:ascii="Times New Roman" w:hAnsi="Times New Roman" w:cs="Times New Roman" w:eastAsia="Times New Roman" w:hint="default"/>
                <w:sz w:val="21"/>
                <w:szCs w:val="21"/>
              </w:rPr>
            </w:pPr>
            <w:r>
              <w:rPr>
                <w:rFonts w:ascii="Times New Roman"/>
                <w:sz w:val="21"/>
              </w:rPr>
              <w:t>031.16</w:t>
            </w:r>
          </w:p>
        </w:tc>
      </w:tr>
      <w:tr>
        <w:trPr>
          <w:trHeight w:val="634"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233" w:right="0"/>
              <w:jc w:val="left"/>
              <w:rPr>
                <w:rFonts w:ascii="宋体" w:hAnsi="宋体" w:cs="宋体" w:eastAsia="宋体" w:hint="default"/>
                <w:sz w:val="21"/>
                <w:szCs w:val="21"/>
              </w:rPr>
            </w:pPr>
            <w:r>
              <w:rPr>
                <w:rFonts w:ascii="宋体" w:hAnsi="宋体" w:cs="宋体" w:eastAsia="宋体" w:hint="default"/>
                <w:spacing w:val="-8"/>
                <w:sz w:val="21"/>
                <w:szCs w:val="21"/>
              </w:rPr>
              <w:t>（三）所有者投入和减</w:t>
            </w:r>
          </w:p>
          <w:p>
            <w:pPr>
              <w:pStyle w:val="TableParagraph"/>
              <w:spacing w:line="240" w:lineRule="auto" w:before="37"/>
              <w:ind w:left="22" w:right="0"/>
              <w:jc w:val="left"/>
              <w:rPr>
                <w:rFonts w:ascii="宋体" w:hAnsi="宋体" w:cs="宋体" w:eastAsia="宋体" w:hint="default"/>
                <w:sz w:val="21"/>
                <w:szCs w:val="21"/>
              </w:rPr>
            </w:pPr>
            <w:r>
              <w:rPr>
                <w:rFonts w:ascii="宋体" w:hAnsi="宋体" w:cs="宋体" w:eastAsia="宋体" w:hint="default"/>
                <w:sz w:val="21"/>
                <w:szCs w:val="21"/>
              </w:rPr>
              <w:t>少资本</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．所有者投入资本</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．股份支付计入所</w:t>
            </w:r>
          </w:p>
          <w:p>
            <w:pPr>
              <w:pStyle w:val="TableParagraph"/>
              <w:spacing w:line="240" w:lineRule="auto" w:before="21"/>
              <w:ind w:left="22" w:right="0"/>
              <w:jc w:val="left"/>
              <w:rPr>
                <w:rFonts w:ascii="宋体" w:hAnsi="宋体" w:cs="宋体" w:eastAsia="宋体" w:hint="default"/>
                <w:sz w:val="21"/>
                <w:szCs w:val="21"/>
              </w:rPr>
            </w:pPr>
            <w:r>
              <w:rPr>
                <w:rFonts w:ascii="宋体" w:hAnsi="宋体" w:cs="宋体" w:eastAsia="宋体" w:hint="default"/>
                <w:sz w:val="21"/>
                <w:szCs w:val="21"/>
              </w:rPr>
              <w:t>有者权益的金额</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233" w:right="0"/>
              <w:jc w:val="left"/>
              <w:rPr>
                <w:rFonts w:ascii="宋体" w:hAnsi="宋体" w:cs="宋体" w:eastAsia="宋体" w:hint="default"/>
                <w:sz w:val="21"/>
                <w:szCs w:val="21"/>
              </w:rPr>
            </w:pPr>
            <w:r>
              <w:rPr>
                <w:rFonts w:ascii="宋体" w:hAnsi="宋体" w:cs="宋体" w:eastAsia="宋体" w:hint="default"/>
                <w:sz w:val="21"/>
                <w:szCs w:val="21"/>
              </w:rPr>
              <w:t>（四）利润分配</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．提取盈余公积</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．提取一般风险准</w:t>
            </w:r>
          </w:p>
          <w:p>
            <w:pPr>
              <w:pStyle w:val="TableParagraph"/>
              <w:spacing w:line="240" w:lineRule="auto" w:before="21"/>
              <w:ind w:left="22" w:right="0"/>
              <w:jc w:val="left"/>
              <w:rPr>
                <w:rFonts w:ascii="宋体" w:hAnsi="宋体" w:cs="宋体" w:eastAsia="宋体" w:hint="default"/>
                <w:sz w:val="21"/>
                <w:szCs w:val="21"/>
              </w:rPr>
            </w:pPr>
            <w:r>
              <w:rPr>
                <w:rFonts w:ascii="宋体" w:hAnsi="宋体" w:cs="宋体" w:eastAsia="宋体" w:hint="default"/>
                <w:sz w:val="21"/>
                <w:szCs w:val="21"/>
              </w:rPr>
              <w:t>备</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．对所有者（或股</w:t>
            </w:r>
          </w:p>
          <w:p>
            <w:pPr>
              <w:pStyle w:val="TableParagraph"/>
              <w:spacing w:line="240" w:lineRule="auto" w:before="21"/>
              <w:ind w:left="22" w:right="0"/>
              <w:jc w:val="left"/>
              <w:rPr>
                <w:rFonts w:ascii="宋体" w:hAnsi="宋体" w:cs="宋体" w:eastAsia="宋体" w:hint="default"/>
                <w:sz w:val="21"/>
                <w:szCs w:val="21"/>
              </w:rPr>
            </w:pPr>
            <w:r>
              <w:rPr>
                <w:rFonts w:ascii="宋体" w:hAnsi="宋体" w:cs="宋体" w:eastAsia="宋体" w:hint="default"/>
                <w:sz w:val="21"/>
                <w:szCs w:val="21"/>
              </w:rPr>
              <w:t>东）的分配</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233" w:right="0"/>
              <w:jc w:val="left"/>
              <w:rPr>
                <w:rFonts w:ascii="宋体" w:hAnsi="宋体" w:cs="宋体" w:eastAsia="宋体" w:hint="default"/>
                <w:sz w:val="21"/>
                <w:szCs w:val="21"/>
              </w:rPr>
            </w:pPr>
            <w:r>
              <w:rPr>
                <w:rFonts w:ascii="宋体" w:hAnsi="宋体" w:cs="宋体" w:eastAsia="宋体" w:hint="default"/>
                <w:spacing w:val="-8"/>
                <w:sz w:val="21"/>
                <w:szCs w:val="21"/>
              </w:rPr>
              <w:t>（五）所有者权益内部</w:t>
            </w:r>
          </w:p>
          <w:p>
            <w:pPr>
              <w:pStyle w:val="TableParagraph"/>
              <w:spacing w:line="240" w:lineRule="auto" w:before="37"/>
              <w:ind w:left="22" w:right="0"/>
              <w:jc w:val="left"/>
              <w:rPr>
                <w:rFonts w:ascii="宋体" w:hAnsi="宋体" w:cs="宋体" w:eastAsia="宋体" w:hint="default"/>
                <w:sz w:val="21"/>
                <w:szCs w:val="21"/>
              </w:rPr>
            </w:pPr>
            <w:r>
              <w:rPr>
                <w:rFonts w:ascii="宋体" w:hAnsi="宋体" w:cs="宋体" w:eastAsia="宋体" w:hint="default"/>
                <w:sz w:val="21"/>
                <w:szCs w:val="21"/>
              </w:rPr>
              <w:t>结转</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．资本公积转增资</w:t>
            </w:r>
          </w:p>
          <w:p>
            <w:pPr>
              <w:pStyle w:val="TableParagraph"/>
              <w:spacing w:line="240" w:lineRule="auto" w:before="21"/>
              <w:ind w:left="22" w:right="0"/>
              <w:jc w:val="left"/>
              <w:rPr>
                <w:rFonts w:ascii="宋体" w:hAnsi="宋体" w:cs="宋体" w:eastAsia="宋体" w:hint="default"/>
                <w:sz w:val="21"/>
                <w:szCs w:val="21"/>
              </w:rPr>
            </w:pPr>
            <w:r>
              <w:rPr>
                <w:rFonts w:ascii="宋体" w:hAnsi="宋体" w:cs="宋体" w:eastAsia="宋体" w:hint="default"/>
                <w:sz w:val="21"/>
                <w:szCs w:val="21"/>
              </w:rPr>
              <w:t>本（或股本）</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0" w:footer="958" w:top="1000" w:bottom="1140" w:left="980" w:right="900"/>
        </w:sectPr>
      </w:pPr>
    </w:p>
    <w:p>
      <w:pPr>
        <w:spacing w:line="240" w:lineRule="auto" w:before="5"/>
        <w:rPr>
          <w:rFonts w:ascii="Times New Roman" w:hAnsi="Times New Roman" w:cs="Times New Roman" w:eastAsia="Times New Roman" w:hint="default"/>
          <w:sz w:val="6"/>
          <w:szCs w:val="6"/>
        </w:rPr>
      </w:pPr>
    </w:p>
    <w:p>
      <w:pPr>
        <w:spacing w:line="20" w:lineRule="exact"/>
        <w:ind w:left="11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32.25pt;height:.75pt;mso-position-horizontal-relative:char;mso-position-vertical-relative:line" coordorigin="0,0" coordsize="14645,15">
            <v:group style="position:absolute;left:7;top:7;width:14631;height:2" coordorigin="7,7" coordsize="14631,2">
              <v:shape style="position:absolute;left:7;top:7;width:14631;height:2" coordorigin="7,7" coordsize="14631,0" path="m7,7l14638,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8"/>
        <w:rPr>
          <w:rFonts w:ascii="Times New Roman" w:hAnsi="Times New Roman" w:cs="Times New Roman" w:eastAsia="Times New Roman" w:hint="default"/>
          <w:sz w:val="29"/>
          <w:szCs w:val="29"/>
        </w:rPr>
      </w:pPr>
    </w:p>
    <w:tbl>
      <w:tblPr>
        <w:tblW w:w="0" w:type="auto"/>
        <w:jc w:val="left"/>
        <w:tblInd w:w="149" w:type="dxa"/>
        <w:tblLayout w:type="fixed"/>
        <w:tblCellMar>
          <w:top w:w="0" w:type="dxa"/>
          <w:left w:w="0" w:type="dxa"/>
          <w:bottom w:w="0" w:type="dxa"/>
          <w:right w:w="0" w:type="dxa"/>
        </w:tblCellMar>
        <w:tblLook w:val="01E0"/>
      </w:tblPr>
      <w:tblGrid>
        <w:gridCol w:w="2288"/>
        <w:gridCol w:w="689"/>
        <w:gridCol w:w="689"/>
        <w:gridCol w:w="689"/>
        <w:gridCol w:w="689"/>
        <w:gridCol w:w="690"/>
        <w:gridCol w:w="689"/>
        <w:gridCol w:w="689"/>
        <w:gridCol w:w="689"/>
        <w:gridCol w:w="689"/>
        <w:gridCol w:w="689"/>
        <w:gridCol w:w="690"/>
        <w:gridCol w:w="689"/>
        <w:gridCol w:w="689"/>
        <w:gridCol w:w="689"/>
        <w:gridCol w:w="689"/>
        <w:gridCol w:w="689"/>
        <w:gridCol w:w="690"/>
        <w:gridCol w:w="689"/>
      </w:tblGrid>
      <w:tr>
        <w:trPr>
          <w:trHeight w:val="634"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．盈余公积转增资</w:t>
            </w:r>
          </w:p>
          <w:p>
            <w:pPr>
              <w:pStyle w:val="TableParagraph"/>
              <w:spacing w:line="240" w:lineRule="auto" w:before="21"/>
              <w:ind w:left="22" w:right="0"/>
              <w:jc w:val="left"/>
              <w:rPr>
                <w:rFonts w:ascii="宋体" w:hAnsi="宋体" w:cs="宋体" w:eastAsia="宋体" w:hint="default"/>
                <w:sz w:val="21"/>
                <w:szCs w:val="21"/>
              </w:rPr>
            </w:pPr>
            <w:r>
              <w:rPr>
                <w:rFonts w:ascii="宋体" w:hAnsi="宋体" w:cs="宋体" w:eastAsia="宋体" w:hint="default"/>
                <w:sz w:val="21"/>
                <w:szCs w:val="21"/>
              </w:rPr>
              <w:t>本（或股本）</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．盈余公积弥补亏</w:t>
            </w:r>
          </w:p>
          <w:p>
            <w:pPr>
              <w:pStyle w:val="TableParagraph"/>
              <w:spacing w:line="240" w:lineRule="auto" w:before="21"/>
              <w:ind w:left="22" w:right="0"/>
              <w:jc w:val="left"/>
              <w:rPr>
                <w:rFonts w:ascii="宋体" w:hAnsi="宋体" w:cs="宋体" w:eastAsia="宋体" w:hint="default"/>
                <w:sz w:val="21"/>
                <w:szCs w:val="21"/>
              </w:rPr>
            </w:pPr>
            <w:r>
              <w:rPr>
                <w:rFonts w:ascii="宋体" w:hAnsi="宋体" w:cs="宋体" w:eastAsia="宋体" w:hint="default"/>
                <w:sz w:val="21"/>
                <w:szCs w:val="21"/>
              </w:rPr>
              <w:t>损</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4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r>
      <w:tr>
        <w:trPr>
          <w:trHeight w:val="947" w:hRule="exact"/>
        </w:trPr>
        <w:tc>
          <w:tcPr>
            <w:tcW w:w="22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四、本期期末余额</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25" w:right="0"/>
              <w:jc w:val="left"/>
              <w:rPr>
                <w:rFonts w:ascii="Times New Roman" w:hAnsi="Times New Roman" w:cs="Times New Roman" w:eastAsia="Times New Roman" w:hint="default"/>
                <w:sz w:val="21"/>
                <w:szCs w:val="21"/>
              </w:rPr>
            </w:pPr>
            <w:r>
              <w:rPr>
                <w:rFonts w:ascii="Times New Roman"/>
                <w:sz w:val="21"/>
              </w:rPr>
              <w:t>90,486,</w:t>
            </w:r>
          </w:p>
          <w:p>
            <w:pPr>
              <w:pStyle w:val="TableParagraph"/>
              <w:spacing w:line="240" w:lineRule="auto" w:before="70"/>
              <w:ind w:left="76" w:right="0"/>
              <w:jc w:val="left"/>
              <w:rPr>
                <w:rFonts w:ascii="Times New Roman" w:hAnsi="Times New Roman" w:cs="Times New Roman" w:eastAsia="Times New Roman" w:hint="default"/>
                <w:sz w:val="21"/>
                <w:szCs w:val="21"/>
              </w:rPr>
            </w:pPr>
            <w:r>
              <w:rPr>
                <w:rFonts w:ascii="Times New Roman"/>
                <w:sz w:val="21"/>
              </w:rPr>
              <w:t>000.00</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25" w:right="0"/>
              <w:jc w:val="left"/>
              <w:rPr>
                <w:rFonts w:ascii="Times New Roman" w:hAnsi="Times New Roman" w:cs="Times New Roman" w:eastAsia="Times New Roman" w:hint="default"/>
                <w:sz w:val="21"/>
                <w:szCs w:val="21"/>
              </w:rPr>
            </w:pPr>
            <w:r>
              <w:rPr>
                <w:rFonts w:ascii="Times New Roman"/>
                <w:sz w:val="21"/>
              </w:rPr>
              <w:t>26,599,</w:t>
            </w:r>
          </w:p>
          <w:p>
            <w:pPr>
              <w:pStyle w:val="TableParagraph"/>
              <w:spacing w:line="240" w:lineRule="auto" w:before="70"/>
              <w:ind w:left="76" w:right="0"/>
              <w:jc w:val="left"/>
              <w:rPr>
                <w:rFonts w:ascii="Times New Roman" w:hAnsi="Times New Roman" w:cs="Times New Roman" w:eastAsia="Times New Roman" w:hint="default"/>
                <w:sz w:val="21"/>
                <w:szCs w:val="21"/>
              </w:rPr>
            </w:pPr>
            <w:r>
              <w:rPr>
                <w:rFonts w:ascii="Times New Roman"/>
                <w:sz w:val="21"/>
              </w:rPr>
              <w:t>043.81</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sz w:val="21"/>
              </w:rPr>
              <w:t>5,887,0</w:t>
            </w:r>
          </w:p>
          <w:p>
            <w:pPr>
              <w:pStyle w:val="TableParagraph"/>
              <w:spacing w:line="240" w:lineRule="auto" w:before="70"/>
              <w:ind w:left="159" w:right="0"/>
              <w:jc w:val="center"/>
              <w:rPr>
                <w:rFonts w:ascii="Times New Roman" w:hAnsi="Times New Roman" w:cs="Times New Roman" w:eastAsia="Times New Roman" w:hint="default"/>
                <w:sz w:val="21"/>
                <w:szCs w:val="21"/>
              </w:rPr>
            </w:pPr>
            <w:r>
              <w:rPr>
                <w:rFonts w:ascii="Times New Roman"/>
                <w:sz w:val="21"/>
              </w:rPr>
              <w:t>67.95</w:t>
            </w: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-52,01</w:t>
            </w:r>
          </w:p>
          <w:p>
            <w:pPr>
              <w:pStyle w:val="TableParagraph"/>
              <w:spacing w:line="240" w:lineRule="auto" w:before="70"/>
              <w:ind w:right="23"/>
              <w:jc w:val="right"/>
              <w:rPr>
                <w:rFonts w:ascii="Times New Roman" w:hAnsi="Times New Roman" w:cs="Times New Roman" w:eastAsia="Times New Roman" w:hint="default"/>
                <w:sz w:val="21"/>
                <w:szCs w:val="21"/>
              </w:rPr>
            </w:pPr>
            <w:r>
              <w:rPr>
                <w:rFonts w:ascii="Times New Roman"/>
                <w:spacing w:val="-1"/>
                <w:sz w:val="21"/>
              </w:rPr>
              <w:t>3,867.9</w:t>
            </w:r>
            <w:r>
              <w:rPr>
                <w:rFonts w:ascii="Times New Roman"/>
                <w:sz w:val="21"/>
              </w:rPr>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z w:val="21"/>
              </w:rPr>
              <w:t>4</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25" w:right="0"/>
              <w:jc w:val="left"/>
              <w:rPr>
                <w:rFonts w:ascii="Times New Roman" w:hAnsi="Times New Roman" w:cs="Times New Roman" w:eastAsia="Times New Roman" w:hint="default"/>
                <w:sz w:val="21"/>
                <w:szCs w:val="21"/>
              </w:rPr>
            </w:pPr>
            <w:r>
              <w:rPr>
                <w:rFonts w:ascii="Times New Roman"/>
                <w:sz w:val="21"/>
              </w:rPr>
              <w:t>70,958,</w:t>
            </w:r>
          </w:p>
          <w:p>
            <w:pPr>
              <w:pStyle w:val="TableParagraph"/>
              <w:spacing w:line="240" w:lineRule="auto" w:before="70"/>
              <w:ind w:left="76" w:right="0"/>
              <w:jc w:val="left"/>
              <w:rPr>
                <w:rFonts w:ascii="Times New Roman" w:hAnsi="Times New Roman" w:cs="Times New Roman" w:eastAsia="Times New Roman" w:hint="default"/>
                <w:sz w:val="21"/>
                <w:szCs w:val="21"/>
              </w:rPr>
            </w:pPr>
            <w:r>
              <w:rPr>
                <w:rFonts w:ascii="Times New Roman"/>
                <w:sz w:val="21"/>
              </w:rPr>
              <w:t>243.82</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26" w:right="0"/>
              <w:jc w:val="left"/>
              <w:rPr>
                <w:rFonts w:ascii="Times New Roman" w:hAnsi="Times New Roman" w:cs="Times New Roman" w:eastAsia="Times New Roman" w:hint="default"/>
                <w:sz w:val="21"/>
                <w:szCs w:val="21"/>
              </w:rPr>
            </w:pPr>
            <w:r>
              <w:rPr>
                <w:rFonts w:ascii="Times New Roman"/>
                <w:sz w:val="21"/>
              </w:rPr>
              <w:t>90,486,</w:t>
            </w:r>
          </w:p>
          <w:p>
            <w:pPr>
              <w:pStyle w:val="TableParagraph"/>
              <w:spacing w:line="240" w:lineRule="auto" w:before="70"/>
              <w:ind w:left="78" w:right="0"/>
              <w:jc w:val="left"/>
              <w:rPr>
                <w:rFonts w:ascii="Times New Roman" w:hAnsi="Times New Roman" w:cs="Times New Roman" w:eastAsia="Times New Roman" w:hint="default"/>
                <w:sz w:val="21"/>
                <w:szCs w:val="21"/>
              </w:rPr>
            </w:pPr>
            <w:r>
              <w:rPr>
                <w:rFonts w:ascii="Times New Roman"/>
                <w:sz w:val="21"/>
              </w:rPr>
              <w:t>000.00</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26" w:right="0"/>
              <w:jc w:val="left"/>
              <w:rPr>
                <w:rFonts w:ascii="Times New Roman" w:hAnsi="Times New Roman" w:cs="Times New Roman" w:eastAsia="Times New Roman" w:hint="default"/>
                <w:sz w:val="21"/>
                <w:szCs w:val="21"/>
              </w:rPr>
            </w:pPr>
            <w:r>
              <w:rPr>
                <w:rFonts w:ascii="Times New Roman"/>
                <w:sz w:val="21"/>
              </w:rPr>
              <w:t>26,599,</w:t>
            </w:r>
          </w:p>
          <w:p>
            <w:pPr>
              <w:pStyle w:val="TableParagraph"/>
              <w:spacing w:line="240" w:lineRule="auto" w:before="70"/>
              <w:ind w:left="78" w:right="0"/>
              <w:jc w:val="left"/>
              <w:rPr>
                <w:rFonts w:ascii="Times New Roman" w:hAnsi="Times New Roman" w:cs="Times New Roman" w:eastAsia="Times New Roman" w:hint="default"/>
                <w:sz w:val="21"/>
                <w:szCs w:val="21"/>
              </w:rPr>
            </w:pPr>
            <w:r>
              <w:rPr>
                <w:rFonts w:ascii="Times New Roman"/>
                <w:sz w:val="21"/>
              </w:rPr>
              <w:t>043.81</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 w:right="0"/>
              <w:jc w:val="center"/>
              <w:rPr>
                <w:rFonts w:ascii="Times New Roman" w:hAnsi="Times New Roman" w:cs="Times New Roman" w:eastAsia="Times New Roman" w:hint="default"/>
                <w:sz w:val="21"/>
                <w:szCs w:val="21"/>
              </w:rPr>
            </w:pPr>
            <w:r>
              <w:rPr>
                <w:rFonts w:ascii="Times New Roman"/>
                <w:sz w:val="21"/>
              </w:rPr>
              <w:t>5,887,0</w:t>
            </w:r>
          </w:p>
          <w:p>
            <w:pPr>
              <w:pStyle w:val="TableParagraph"/>
              <w:spacing w:line="240" w:lineRule="auto" w:before="70"/>
              <w:ind w:left="157" w:right="0"/>
              <w:jc w:val="center"/>
              <w:rPr>
                <w:rFonts w:ascii="Times New Roman" w:hAnsi="Times New Roman" w:cs="Times New Roman" w:eastAsia="Times New Roman" w:hint="default"/>
                <w:sz w:val="21"/>
                <w:szCs w:val="21"/>
              </w:rPr>
            </w:pPr>
            <w:r>
              <w:rPr>
                <w:rFonts w:ascii="Times New Roman"/>
                <w:sz w:val="21"/>
              </w:rPr>
              <w:t>67.95</w:t>
            </w:r>
          </w:p>
        </w:tc>
        <w:tc>
          <w:tcPr>
            <w:tcW w:w="68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12" w:right="0"/>
              <w:jc w:val="left"/>
              <w:rPr>
                <w:rFonts w:ascii="Times New Roman" w:hAnsi="Times New Roman" w:cs="Times New Roman" w:eastAsia="Times New Roman" w:hint="default"/>
                <w:sz w:val="21"/>
                <w:szCs w:val="21"/>
              </w:rPr>
            </w:pPr>
            <w:r>
              <w:rPr>
                <w:rFonts w:ascii="Times New Roman"/>
                <w:sz w:val="21"/>
              </w:rPr>
              <w:t>-207,4</w:t>
            </w:r>
          </w:p>
          <w:p>
            <w:pPr>
              <w:pStyle w:val="TableParagraph"/>
              <w:spacing w:line="240" w:lineRule="auto" w:before="70"/>
              <w:ind w:left="25" w:right="0"/>
              <w:jc w:val="left"/>
              <w:rPr>
                <w:rFonts w:ascii="Times New Roman" w:hAnsi="Times New Roman" w:cs="Times New Roman" w:eastAsia="Times New Roman" w:hint="default"/>
                <w:sz w:val="21"/>
                <w:szCs w:val="21"/>
              </w:rPr>
            </w:pPr>
            <w:r>
              <w:rPr>
                <w:rFonts w:ascii="Times New Roman"/>
                <w:sz w:val="21"/>
              </w:rPr>
              <w:t>79,768.</w:t>
            </w:r>
          </w:p>
          <w:p>
            <w:pPr>
              <w:pStyle w:val="TableParagraph"/>
              <w:spacing w:line="240" w:lineRule="auto" w:before="70"/>
              <w:ind w:left="444" w:right="0"/>
              <w:jc w:val="left"/>
              <w:rPr>
                <w:rFonts w:ascii="Times New Roman" w:hAnsi="Times New Roman" w:cs="Times New Roman" w:eastAsia="Times New Roman" w:hint="default"/>
                <w:sz w:val="21"/>
                <w:szCs w:val="21"/>
              </w:rPr>
            </w:pPr>
            <w:r>
              <w:rPr>
                <w:rFonts w:ascii="Times New Roman"/>
                <w:sz w:val="21"/>
              </w:rPr>
              <w:t>74</w:t>
            </w:r>
          </w:p>
        </w:tc>
        <w:tc>
          <w:tcPr>
            <w:tcW w:w="689"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-84,50</w:t>
            </w:r>
          </w:p>
          <w:p>
            <w:pPr>
              <w:pStyle w:val="TableParagraph"/>
              <w:spacing w:line="240" w:lineRule="auto" w:before="70"/>
              <w:ind w:right="21"/>
              <w:jc w:val="right"/>
              <w:rPr>
                <w:rFonts w:ascii="Times New Roman" w:hAnsi="Times New Roman" w:cs="Times New Roman" w:eastAsia="Times New Roman" w:hint="default"/>
                <w:sz w:val="21"/>
                <w:szCs w:val="21"/>
              </w:rPr>
            </w:pPr>
            <w:r>
              <w:rPr>
                <w:rFonts w:ascii="Times New Roman"/>
                <w:spacing w:val="-1"/>
                <w:sz w:val="21"/>
              </w:rPr>
              <w:t>7,656.9</w:t>
            </w:r>
            <w:r>
              <w:rPr>
                <w:rFonts w:ascii="Times New Roman"/>
                <w:sz w:val="21"/>
              </w:rPr>
            </w:r>
          </w:p>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z w:val="21"/>
              </w:rPr>
              <w:t>8</w:t>
            </w:r>
          </w:p>
        </w:tc>
      </w:tr>
    </w:tbl>
    <w:p>
      <w:pPr>
        <w:spacing w:after="0" w:line="240" w:lineRule="auto"/>
        <w:jc w:val="right"/>
        <w:rPr>
          <w:rFonts w:ascii="Times New Roman" w:hAnsi="Times New Roman" w:cs="Times New Roman" w:eastAsia="Times New Roman" w:hint="default"/>
          <w:sz w:val="21"/>
          <w:szCs w:val="21"/>
        </w:rPr>
        <w:sectPr>
          <w:pgSz w:w="16840" w:h="11910" w:orient="landscape"/>
          <w:pgMar w:header="0" w:footer="958" w:top="1000" w:bottom="1140" w:left="980" w:right="900"/>
        </w:sectPr>
      </w:pPr>
    </w:p>
    <w:p>
      <w:pPr>
        <w:spacing w:line="405" w:lineRule="exact" w:before="0"/>
        <w:ind w:left="2713" w:right="2810" w:firstLine="0"/>
        <w:jc w:val="center"/>
        <w:rPr>
          <w:rFonts w:ascii="黑体" w:hAnsi="黑体" w:cs="黑体" w:eastAsia="黑体" w:hint="default"/>
          <w:sz w:val="32"/>
          <w:szCs w:val="32"/>
        </w:rPr>
      </w:pPr>
      <w:r>
        <w:rPr>
          <w:rFonts w:ascii="黑体" w:hAnsi="黑体" w:cs="黑体" w:eastAsia="黑体" w:hint="default"/>
          <w:sz w:val="32"/>
          <w:szCs w:val="32"/>
        </w:rPr>
        <w:t>深圳大通实业股份有限公司</w:t>
      </w:r>
    </w:p>
    <w:p>
      <w:pPr>
        <w:spacing w:before="80"/>
        <w:ind w:left="2713" w:right="2810" w:firstLine="0"/>
        <w:jc w:val="center"/>
        <w:rPr>
          <w:rFonts w:ascii="黑体" w:hAnsi="黑体" w:cs="黑体" w:eastAsia="黑体" w:hint="default"/>
          <w:sz w:val="32"/>
          <w:szCs w:val="32"/>
        </w:rPr>
      </w:pPr>
      <w:r>
        <w:rPr>
          <w:rFonts w:ascii="黑体" w:hAnsi="黑体" w:cs="黑体" w:eastAsia="黑体" w:hint="default"/>
          <w:sz w:val="32"/>
          <w:szCs w:val="32"/>
        </w:rPr>
        <w:t>财务报表附注</w:t>
      </w:r>
    </w:p>
    <w:p>
      <w:pPr>
        <w:spacing w:line="240" w:lineRule="auto" w:before="11"/>
        <w:rPr>
          <w:rFonts w:ascii="黑体" w:hAnsi="黑体" w:cs="黑体" w:eastAsia="黑体" w:hint="default"/>
          <w:sz w:val="15"/>
          <w:szCs w:val="15"/>
        </w:rPr>
      </w:pPr>
    </w:p>
    <w:p>
      <w:pPr>
        <w:spacing w:before="35"/>
        <w:ind w:left="0" w:right="214" w:firstLine="0"/>
        <w:jc w:val="right"/>
        <w:rPr>
          <w:rFonts w:ascii="宋体" w:hAnsi="宋体" w:cs="宋体" w:eastAsia="宋体" w:hint="default"/>
          <w:sz w:val="21"/>
          <w:szCs w:val="21"/>
        </w:rPr>
      </w:pPr>
      <w:r>
        <w:rPr>
          <w:rFonts w:ascii="宋体" w:hAnsi="宋体" w:cs="宋体" w:eastAsia="宋体" w:hint="default"/>
          <w:sz w:val="21"/>
          <w:szCs w:val="21"/>
        </w:rPr>
        <w:t>金额单位：人民币元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spacing w:before="0"/>
        <w:ind w:left="538" w:right="110" w:firstLine="0"/>
        <w:jc w:val="left"/>
        <w:rPr>
          <w:rFonts w:ascii="黑体" w:hAnsi="黑体" w:cs="黑体" w:eastAsia="黑体" w:hint="default"/>
          <w:sz w:val="21"/>
          <w:szCs w:val="21"/>
        </w:rPr>
      </w:pPr>
      <w:r>
        <w:rPr>
          <w:rFonts w:ascii="黑体" w:hAnsi="黑体" w:cs="黑体" w:eastAsia="黑体" w:hint="default"/>
          <w:sz w:val="21"/>
          <w:szCs w:val="21"/>
        </w:rPr>
        <w:t>附注一、公司基本情况</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16"/>
          <w:szCs w:val="16"/>
        </w:rPr>
      </w:pPr>
    </w:p>
    <w:p>
      <w:pPr>
        <w:spacing w:line="400" w:lineRule="auto" w:before="0"/>
        <w:ind w:left="554" w:right="110" w:firstLine="9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15"/>
          <w:sz w:val="21"/>
          <w:szCs w:val="21"/>
        </w:rPr>
        <w:t> </w:t>
      </w:r>
      <w:r>
        <w:rPr>
          <w:rFonts w:ascii="宋体" w:hAnsi="宋体" w:cs="宋体" w:eastAsia="宋体" w:hint="default"/>
          <w:sz w:val="21"/>
          <w:szCs w:val="21"/>
        </w:rPr>
        <w:t>历史沿革</w:t>
      </w:r>
      <w:r>
        <w:rPr>
          <w:rFonts w:ascii="宋体" w:hAnsi="宋体" w:cs="宋体" w:eastAsia="宋体" w:hint="default"/>
          <w:sz w:val="21"/>
          <w:szCs w:val="21"/>
        </w:rPr>
        <w:t> </w:t>
      </w:r>
      <w:r>
        <w:rPr>
          <w:rFonts w:ascii="宋体" w:hAnsi="宋体" w:cs="宋体" w:eastAsia="宋体" w:hint="default"/>
          <w:spacing w:val="-3"/>
          <w:sz w:val="21"/>
          <w:szCs w:val="21"/>
        </w:rPr>
        <w:t>深圳大通实业股份有限公司（以下简称</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本公司</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）前身为大通实业</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深圳</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有限公司，经深圳市人</w:t>
      </w:r>
    </w:p>
    <w:p>
      <w:pPr>
        <w:spacing w:line="379" w:lineRule="auto" w:before="14"/>
        <w:ind w:left="118" w:right="215" w:firstLine="0"/>
        <w:jc w:val="both"/>
        <w:rPr>
          <w:rFonts w:ascii="宋体" w:hAnsi="宋体" w:cs="宋体" w:eastAsia="宋体" w:hint="default"/>
          <w:sz w:val="21"/>
          <w:szCs w:val="21"/>
        </w:rPr>
      </w:pPr>
      <w:r>
        <w:rPr>
          <w:rFonts w:ascii="宋体" w:hAnsi="宋体" w:cs="宋体" w:eastAsia="宋体" w:hint="default"/>
          <w:sz w:val="21"/>
          <w:szCs w:val="21"/>
        </w:rPr>
        <w:t>民政府“深府外复</w:t>
      </w:r>
      <w:r>
        <w:rPr>
          <w:rFonts w:ascii="Times New Roman" w:hAnsi="Times New Roman" w:cs="Times New Roman" w:eastAsia="Times New Roman" w:hint="default"/>
          <w:sz w:val="21"/>
          <w:szCs w:val="21"/>
        </w:rPr>
        <w:t>(1990)686 </w:t>
      </w:r>
      <w:r>
        <w:rPr>
          <w:rFonts w:ascii="宋体" w:hAnsi="宋体" w:cs="宋体" w:eastAsia="宋体" w:hint="default"/>
          <w:spacing w:val="-4"/>
          <w:sz w:val="21"/>
          <w:szCs w:val="21"/>
        </w:rPr>
        <w:t>号”文批准，于 </w:t>
      </w:r>
      <w:r>
        <w:rPr>
          <w:rFonts w:ascii="Times New Roman" w:hAnsi="Times New Roman" w:cs="Times New Roman" w:eastAsia="Times New Roman" w:hint="default"/>
          <w:sz w:val="21"/>
          <w:szCs w:val="21"/>
        </w:rPr>
        <w:t>1990 </w:t>
      </w:r>
      <w:r>
        <w:rPr>
          <w:rFonts w:ascii="宋体" w:hAnsi="宋体" w:cs="宋体" w:eastAsia="宋体" w:hint="default"/>
          <w:sz w:val="21"/>
          <w:szCs w:val="21"/>
        </w:rPr>
        <w:t>年 </w:t>
      </w:r>
      <w:r>
        <w:rPr>
          <w:rFonts w:ascii="Times New Roman" w:hAnsi="Times New Roman" w:cs="Times New Roman" w:eastAsia="Times New Roman" w:hint="default"/>
          <w:sz w:val="21"/>
          <w:szCs w:val="21"/>
        </w:rPr>
        <w:t>9 </w:t>
      </w:r>
      <w:r>
        <w:rPr>
          <w:rFonts w:ascii="宋体" w:hAnsi="宋体" w:cs="宋体" w:eastAsia="宋体" w:hint="default"/>
          <w:sz w:val="21"/>
          <w:szCs w:val="21"/>
        </w:rPr>
        <w:t>月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26"/>
          <w:sz w:val="21"/>
          <w:szCs w:val="21"/>
        </w:rPr>
        <w:t> </w:t>
      </w:r>
      <w:r>
        <w:rPr>
          <w:rFonts w:ascii="宋体" w:hAnsi="宋体" w:cs="宋体" w:eastAsia="宋体" w:hint="default"/>
          <w:sz w:val="21"/>
          <w:szCs w:val="21"/>
        </w:rPr>
        <w:t>日由广东华侨投资公司、香港益通电 </w:t>
      </w:r>
      <w:r>
        <w:rPr>
          <w:rFonts w:ascii="宋体" w:hAnsi="宋体" w:cs="宋体" w:eastAsia="宋体" w:hint="default"/>
          <w:spacing w:val="-3"/>
          <w:sz w:val="21"/>
          <w:szCs w:val="21"/>
        </w:rPr>
        <w:t>子有限公司、深圳新通阳电子元件工业有限公司、运通电子</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深圳</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实业有限公司、香港威利马电器有</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限公司共同发起设立。</w:t>
      </w:r>
      <w:r>
        <w:rPr>
          <w:rFonts w:ascii="Times New Roman" w:hAnsi="Times New Roman" w:cs="Times New Roman" w:eastAsia="Times New Roman" w:hint="default"/>
          <w:sz w:val="21"/>
          <w:szCs w:val="21"/>
        </w:rPr>
        <w:t>1993 </w:t>
      </w:r>
      <w:r>
        <w:rPr>
          <w:rFonts w:ascii="宋体" w:hAnsi="宋体" w:cs="宋体" w:eastAsia="宋体" w:hint="default"/>
          <w:sz w:val="21"/>
          <w:szCs w:val="21"/>
        </w:rPr>
        <w:t>年 </w:t>
      </w:r>
      <w:r>
        <w:rPr>
          <w:rFonts w:ascii="Times New Roman" w:hAnsi="Times New Roman" w:cs="Times New Roman" w:eastAsia="Times New Roman" w:hint="default"/>
          <w:sz w:val="21"/>
          <w:szCs w:val="21"/>
        </w:rPr>
        <w:t>12 </w:t>
      </w:r>
      <w:r>
        <w:rPr>
          <w:rFonts w:ascii="宋体" w:hAnsi="宋体" w:cs="宋体" w:eastAsia="宋体" w:hint="default"/>
          <w:sz w:val="21"/>
          <w:szCs w:val="21"/>
        </w:rPr>
        <w:t>月 </w:t>
      </w:r>
      <w:r>
        <w:rPr>
          <w:rFonts w:ascii="Times New Roman" w:hAnsi="Times New Roman" w:cs="Times New Roman" w:eastAsia="Times New Roman" w:hint="default"/>
          <w:sz w:val="21"/>
          <w:szCs w:val="21"/>
        </w:rPr>
        <w:t>24 </w:t>
      </w:r>
      <w:r>
        <w:rPr>
          <w:rFonts w:ascii="宋体" w:hAnsi="宋体" w:cs="宋体" w:eastAsia="宋体" w:hint="default"/>
          <w:sz w:val="21"/>
          <w:szCs w:val="21"/>
        </w:rPr>
        <w:t>日经深圳证券管理办公室以深证办复（</w:t>
      </w:r>
      <w:r>
        <w:rPr>
          <w:rFonts w:ascii="Times New Roman" w:hAnsi="Times New Roman" w:cs="Times New Roman" w:eastAsia="Times New Roman" w:hint="default"/>
          <w:sz w:val="21"/>
          <w:szCs w:val="21"/>
        </w:rPr>
        <w:t>1993</w:t>
      </w:r>
      <w:r>
        <w:rPr>
          <w:rFonts w:ascii="宋体" w:hAnsi="宋体" w:cs="宋体" w:eastAsia="宋体" w:hint="default"/>
          <w:sz w:val="21"/>
          <w:szCs w:val="21"/>
        </w:rPr>
        <w:t>）第 </w:t>
      </w:r>
      <w:r>
        <w:rPr>
          <w:rFonts w:ascii="Times New Roman" w:hAnsi="Times New Roman" w:cs="Times New Roman" w:eastAsia="Times New Roman" w:hint="default"/>
          <w:sz w:val="21"/>
          <w:szCs w:val="21"/>
        </w:rPr>
        <w:t>147</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号文</w:t>
      </w:r>
    </w:p>
    <w:p>
      <w:pPr>
        <w:spacing w:before="35"/>
        <w:ind w:left="118" w:right="0" w:firstLine="0"/>
        <w:jc w:val="both"/>
        <w:rPr>
          <w:rFonts w:ascii="宋体" w:hAnsi="宋体" w:cs="宋体" w:eastAsia="宋体" w:hint="default"/>
          <w:sz w:val="21"/>
          <w:szCs w:val="21"/>
        </w:rPr>
      </w:pPr>
      <w:r>
        <w:rPr>
          <w:rFonts w:ascii="宋体" w:hAnsi="宋体" w:cs="宋体" w:eastAsia="宋体" w:hint="default"/>
          <w:sz w:val="21"/>
          <w:szCs w:val="21"/>
        </w:rPr>
        <w:t>批准，公司发行面值</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元的</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股</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4,302</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万股，外资法人股</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2,538</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万股，于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1994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日在深圳</w:t>
      </w:r>
    </w:p>
    <w:p>
      <w:pPr>
        <w:spacing w:before="169"/>
        <w:ind w:left="118" w:right="0" w:firstLine="0"/>
        <w:jc w:val="both"/>
        <w:rPr>
          <w:rFonts w:ascii="Times New Roman" w:hAnsi="Times New Roman" w:cs="Times New Roman" w:eastAsia="Times New Roman" w:hint="default"/>
          <w:sz w:val="21"/>
          <w:szCs w:val="21"/>
        </w:rPr>
      </w:pPr>
      <w:r>
        <w:rPr>
          <w:rFonts w:ascii="宋体" w:hAnsi="宋体" w:cs="宋体" w:eastAsia="宋体" w:hint="default"/>
          <w:sz w:val="21"/>
          <w:szCs w:val="21"/>
        </w:rPr>
        <w:t>证券交易所上市。经</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1996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年送红股配送新股，</w:t>
      </w:r>
      <w:r>
        <w:rPr>
          <w:rFonts w:ascii="Times New Roman" w:hAnsi="Times New Roman" w:cs="Times New Roman" w:eastAsia="Times New Roman" w:hint="default"/>
          <w:sz w:val="21"/>
          <w:szCs w:val="21"/>
        </w:rPr>
        <w:t>1998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年资本公积转增股本后，截至</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31</w:t>
      </w:r>
    </w:p>
    <w:p>
      <w:pPr>
        <w:spacing w:line="381" w:lineRule="auto" w:before="169"/>
        <w:ind w:left="538" w:right="236" w:hanging="420"/>
        <w:jc w:val="left"/>
        <w:rPr>
          <w:rFonts w:ascii="宋体" w:hAnsi="宋体" w:cs="宋体" w:eastAsia="宋体" w:hint="default"/>
          <w:sz w:val="21"/>
          <w:szCs w:val="21"/>
        </w:rPr>
      </w:pPr>
      <w:r>
        <w:rPr>
          <w:rFonts w:ascii="宋体" w:hAnsi="宋体" w:cs="宋体" w:eastAsia="宋体" w:hint="default"/>
          <w:sz w:val="21"/>
          <w:szCs w:val="21"/>
        </w:rPr>
        <w:t>日本公司股本已增至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9,048.6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万元。领取企股粤深总字第</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101876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号企业法人营业执照。 由于公司</w:t>
      </w:r>
      <w:r>
        <w:rPr>
          <w:rFonts w:ascii="Times New Roman" w:hAnsi="Times New Roman" w:cs="Times New Roman" w:eastAsia="Times New Roman" w:hint="default"/>
          <w:sz w:val="21"/>
          <w:szCs w:val="21"/>
        </w:rPr>
        <w:t>2004</w:t>
      </w:r>
      <w:r>
        <w:rPr>
          <w:rFonts w:ascii="宋体" w:hAnsi="宋体" w:cs="宋体" w:eastAsia="宋体" w:hint="default"/>
          <w:sz w:val="21"/>
          <w:szCs w:val="21"/>
        </w:rPr>
        <w:t>年度、</w:t>
      </w:r>
      <w:r>
        <w:rPr>
          <w:rFonts w:ascii="Times New Roman" w:hAnsi="Times New Roman" w:cs="Times New Roman" w:eastAsia="Times New Roman" w:hint="default"/>
          <w:sz w:val="21"/>
          <w:szCs w:val="21"/>
        </w:rPr>
        <w:t>2005</w:t>
      </w:r>
      <w:r>
        <w:rPr>
          <w:rFonts w:ascii="宋体" w:hAnsi="宋体" w:cs="宋体" w:eastAsia="宋体" w:hint="default"/>
          <w:sz w:val="21"/>
          <w:szCs w:val="21"/>
        </w:rPr>
        <w:t>年度净利润均为负值，根据深交所相关规定，股票自</w:t>
      </w:r>
      <w:r>
        <w:rPr>
          <w:rFonts w:ascii="Times New Roman" w:hAnsi="Times New Roman" w:cs="Times New Roman" w:eastAsia="Times New Roman" w:hint="default"/>
          <w:sz w:val="21"/>
          <w:szCs w:val="21"/>
        </w:rPr>
        <w:t>2006</w:t>
      </w:r>
      <w:r>
        <w:rPr>
          <w:rFonts w:ascii="宋体" w:hAnsi="宋体" w:cs="宋体" w:eastAsia="宋体" w:hint="default"/>
          <w:sz w:val="21"/>
          <w:szCs w:val="21"/>
        </w:rPr>
        <w:t>年</w:t>
      </w:r>
      <w:r>
        <w:rPr>
          <w:rFonts w:ascii="Times New Roman" w:hAnsi="Times New Roman" w:cs="Times New Roman" w:eastAsia="Times New Roman" w:hint="default"/>
          <w:sz w:val="21"/>
          <w:szCs w:val="21"/>
        </w:rPr>
        <w:t>5</w:t>
      </w:r>
      <w:r>
        <w:rPr>
          <w:rFonts w:ascii="宋体" w:hAnsi="宋体" w:cs="宋体" w:eastAsia="宋体" w:hint="default"/>
          <w:sz w:val="21"/>
          <w:szCs w:val="21"/>
        </w:rPr>
        <w:t>月</w:t>
      </w:r>
      <w:r>
        <w:rPr>
          <w:rFonts w:ascii="Times New Roman" w:hAnsi="Times New Roman" w:cs="Times New Roman" w:eastAsia="Times New Roman" w:hint="default"/>
          <w:sz w:val="21"/>
          <w:szCs w:val="21"/>
        </w:rPr>
        <w:t>9</w:t>
      </w:r>
      <w:r>
        <w:rPr>
          <w:rFonts w:ascii="宋体" w:hAnsi="宋体" w:cs="宋体" w:eastAsia="宋体" w:hint="default"/>
          <w:sz w:val="21"/>
          <w:szCs w:val="21"/>
        </w:rPr>
        <w:t>日起</w:t>
      </w:r>
    </w:p>
    <w:p>
      <w:pPr>
        <w:spacing w:line="379" w:lineRule="auto" w:before="31"/>
        <w:ind w:left="118" w:right="213" w:firstLine="0"/>
        <w:jc w:val="both"/>
        <w:rPr>
          <w:rFonts w:ascii="宋体" w:hAnsi="宋体" w:cs="宋体" w:eastAsia="宋体" w:hint="default"/>
          <w:sz w:val="21"/>
          <w:szCs w:val="21"/>
        </w:rPr>
      </w:pPr>
      <w:r>
        <w:rPr>
          <w:rFonts w:ascii="宋体" w:hAnsi="宋体" w:cs="宋体" w:eastAsia="宋体" w:hint="default"/>
          <w:spacing w:val="-2"/>
          <w:sz w:val="21"/>
          <w:szCs w:val="21"/>
        </w:rPr>
        <w:t>实行退市风险警示的特别处理，股票简称由</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深大通</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变更为</w:t>
      </w:r>
      <w:r>
        <w:rPr>
          <w:rFonts w:ascii="Times New Roman" w:hAnsi="Times New Roman" w:cs="Times New Roman" w:eastAsia="Times New Roman" w:hint="default"/>
          <w:spacing w:val="-2"/>
          <w:sz w:val="21"/>
          <w:szCs w:val="21"/>
        </w:rPr>
        <w:t>“*ST</w:t>
      </w:r>
      <w:r>
        <w:rPr>
          <w:rFonts w:ascii="宋体" w:hAnsi="宋体" w:cs="宋体" w:eastAsia="宋体" w:hint="default"/>
          <w:spacing w:val="-2"/>
          <w:sz w:val="21"/>
          <w:szCs w:val="21"/>
        </w:rPr>
        <w:t>大通</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。股票交易日涨跌幅限制变为</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Times New Roman" w:hAnsi="Times New Roman" w:cs="Times New Roman" w:eastAsia="Times New Roman" w:hint="default"/>
          <w:spacing w:val="-2"/>
          <w:sz w:val="21"/>
          <w:szCs w:val="21"/>
        </w:rPr>
        <w:t>5</w:t>
      </w:r>
      <w:r>
        <w:rPr>
          <w:rFonts w:ascii="宋体" w:hAnsi="宋体" w:cs="宋体" w:eastAsia="宋体" w:hint="default"/>
          <w:spacing w:val="-2"/>
          <w:sz w:val="21"/>
          <w:szCs w:val="21"/>
        </w:rPr>
        <w:t>％；因公司</w:t>
      </w:r>
      <w:r>
        <w:rPr>
          <w:rFonts w:ascii="Times New Roman" w:hAnsi="Times New Roman" w:cs="Times New Roman" w:eastAsia="Times New Roman" w:hint="default"/>
          <w:spacing w:val="-2"/>
          <w:sz w:val="21"/>
          <w:szCs w:val="21"/>
        </w:rPr>
        <w:t>2004</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2005</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2006</w:t>
      </w:r>
      <w:r>
        <w:rPr>
          <w:rFonts w:ascii="宋体" w:hAnsi="宋体" w:cs="宋体" w:eastAsia="宋体" w:hint="default"/>
          <w:spacing w:val="-2"/>
          <w:sz w:val="21"/>
          <w:szCs w:val="21"/>
        </w:rPr>
        <w:t>年连续三年亏损，根据中国证监会颁布的《亏损上市公司暂停上</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市和终止上市实施办法（修订）》及《深圳证券交易所股票上市规则》</w:t>
      </w:r>
      <w:r>
        <w:rPr>
          <w:rFonts w:ascii="Times New Roman" w:hAnsi="Times New Roman" w:cs="Times New Roman" w:eastAsia="Times New Roman" w:hint="default"/>
          <w:sz w:val="21"/>
          <w:szCs w:val="21"/>
        </w:rPr>
        <w:t>14.1.1</w:t>
      </w:r>
      <w:r>
        <w:rPr>
          <w:rFonts w:ascii="宋体" w:hAnsi="宋体" w:cs="宋体" w:eastAsia="宋体" w:hint="default"/>
          <w:sz w:val="21"/>
          <w:szCs w:val="21"/>
        </w:rPr>
        <w:t>、</w:t>
      </w:r>
      <w:r>
        <w:rPr>
          <w:rFonts w:ascii="Times New Roman" w:hAnsi="Times New Roman" w:cs="Times New Roman" w:eastAsia="Times New Roman" w:hint="default"/>
          <w:sz w:val="21"/>
          <w:szCs w:val="21"/>
        </w:rPr>
        <w:t>14.1.2</w:t>
      </w:r>
      <w:r>
        <w:rPr>
          <w:rFonts w:ascii="宋体" w:hAnsi="宋体" w:cs="宋体" w:eastAsia="宋体" w:hint="default"/>
          <w:sz w:val="21"/>
          <w:szCs w:val="21"/>
        </w:rPr>
        <w:t>的规定，深圳 </w:t>
      </w:r>
      <w:r>
        <w:rPr>
          <w:rFonts w:ascii="宋体" w:hAnsi="宋体" w:cs="宋体" w:eastAsia="宋体" w:hint="default"/>
          <w:spacing w:val="-5"/>
          <w:sz w:val="21"/>
          <w:szCs w:val="21"/>
        </w:rPr>
        <w:t>证券交易所深圳上</w:t>
      </w:r>
      <w:r>
        <w:rPr>
          <w:rFonts w:ascii="Times New Roman" w:hAnsi="Times New Roman" w:cs="Times New Roman" w:eastAsia="Times New Roman" w:hint="default"/>
          <w:spacing w:val="-5"/>
          <w:sz w:val="21"/>
          <w:szCs w:val="21"/>
        </w:rPr>
        <w:t>[2007]71</w:t>
      </w:r>
      <w:r>
        <w:rPr>
          <w:rFonts w:ascii="宋体" w:hAnsi="宋体" w:cs="宋体" w:eastAsia="宋体" w:hint="default"/>
          <w:spacing w:val="-5"/>
          <w:sz w:val="21"/>
          <w:szCs w:val="21"/>
        </w:rPr>
        <w:t>号《关于深圳大通实业股份有限公司暂停上市的决定》，决定公司股票</w:t>
      </w:r>
      <w:r>
        <w:rPr>
          <w:rFonts w:ascii="宋体" w:hAnsi="宋体" w:cs="宋体" w:eastAsia="宋体" w:hint="default"/>
          <w:spacing w:val="19"/>
          <w:sz w:val="21"/>
          <w:szCs w:val="21"/>
        </w:rPr>
        <w:t> </w:t>
      </w:r>
      <w:r>
        <w:rPr>
          <w:rFonts w:ascii="宋体" w:hAnsi="宋体" w:cs="宋体" w:eastAsia="宋体" w:hint="default"/>
          <w:sz w:val="21"/>
          <w:szCs w:val="21"/>
        </w:rPr>
        <w:t>自</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Times New Roman" w:hAnsi="Times New Roman" w:cs="Times New Roman" w:eastAsia="Times New Roman" w:hint="default"/>
          <w:sz w:val="21"/>
          <w:szCs w:val="21"/>
        </w:rPr>
        <w:t>2007</w:t>
      </w:r>
      <w:r>
        <w:rPr>
          <w:rFonts w:ascii="宋体" w:hAnsi="宋体" w:cs="宋体" w:eastAsia="宋体" w:hint="default"/>
          <w:sz w:val="21"/>
          <w:szCs w:val="21"/>
        </w:rPr>
        <w:t>年</w:t>
      </w:r>
      <w:r>
        <w:rPr>
          <w:rFonts w:ascii="Times New Roman" w:hAnsi="Times New Roman" w:cs="Times New Roman" w:eastAsia="Times New Roman" w:hint="default"/>
          <w:sz w:val="21"/>
          <w:szCs w:val="21"/>
        </w:rPr>
        <w:t>5</w:t>
      </w:r>
      <w:r>
        <w:rPr>
          <w:rFonts w:ascii="宋体" w:hAnsi="宋体" w:cs="宋体" w:eastAsia="宋体" w:hint="default"/>
          <w:sz w:val="21"/>
          <w:szCs w:val="21"/>
        </w:rPr>
        <w:t>月</w:t>
      </w:r>
      <w:r>
        <w:rPr>
          <w:rFonts w:ascii="Times New Roman" w:hAnsi="Times New Roman" w:cs="Times New Roman" w:eastAsia="Times New Roman" w:hint="default"/>
          <w:sz w:val="21"/>
          <w:szCs w:val="21"/>
        </w:rPr>
        <w:t>22</w:t>
      </w:r>
      <w:r>
        <w:rPr>
          <w:rFonts w:ascii="宋体" w:hAnsi="宋体" w:cs="宋体" w:eastAsia="宋体" w:hint="default"/>
          <w:sz w:val="21"/>
          <w:szCs w:val="21"/>
        </w:rPr>
        <w:t>日起暂停上市。</w:t>
      </w:r>
    </w:p>
    <w:p>
      <w:pPr>
        <w:spacing w:line="453" w:lineRule="auto" w:before="95"/>
        <w:ind w:left="538" w:right="6746" w:firstLine="0"/>
        <w:jc w:val="left"/>
        <w:rPr>
          <w:rFonts w:ascii="宋体" w:hAnsi="宋体" w:cs="宋体" w:eastAsia="宋体" w:hint="default"/>
          <w:sz w:val="21"/>
          <w:szCs w:val="21"/>
        </w:rPr>
      </w:pPr>
      <w:r>
        <w:rPr>
          <w:rFonts w:ascii="宋体" w:hAnsi="宋体" w:cs="宋体" w:eastAsia="宋体" w:hint="default"/>
          <w:sz w:val="21"/>
          <w:szCs w:val="21"/>
        </w:rPr>
        <w:t>（二）本公司所属行业 其他行业。</w:t>
      </w:r>
    </w:p>
    <w:p>
      <w:pPr>
        <w:spacing w:line="456" w:lineRule="auto" w:before="58"/>
        <w:ind w:left="538" w:right="110" w:firstLine="15"/>
        <w:jc w:val="left"/>
        <w:rPr>
          <w:rFonts w:ascii="宋体" w:hAnsi="宋体" w:cs="宋体" w:eastAsia="宋体" w:hint="default"/>
          <w:sz w:val="21"/>
          <w:szCs w:val="21"/>
        </w:rPr>
      </w:pPr>
      <w:r>
        <w:rPr>
          <w:rFonts w:ascii="宋体" w:hAnsi="宋体" w:cs="宋体" w:eastAsia="宋体" w:hint="default"/>
          <w:sz w:val="21"/>
          <w:szCs w:val="21"/>
        </w:rPr>
        <w:t>（三）本公司经营范围： </w:t>
      </w:r>
      <w:r>
        <w:rPr>
          <w:rFonts w:ascii="宋体" w:hAnsi="宋体" w:cs="宋体" w:eastAsia="宋体" w:hint="default"/>
          <w:spacing w:val="-2"/>
          <w:sz w:val="21"/>
          <w:szCs w:val="21"/>
        </w:rPr>
        <w:t>国内商业、物资供销业（以上不含专营、专卖、专控商品）；兴办实业（具体项目另行申报），</w:t>
      </w:r>
    </w:p>
    <w:p>
      <w:pPr>
        <w:spacing w:before="55"/>
        <w:ind w:left="118" w:right="0" w:firstLine="0"/>
        <w:jc w:val="both"/>
        <w:rPr>
          <w:rFonts w:ascii="宋体" w:hAnsi="宋体" w:cs="宋体" w:eastAsia="宋体" w:hint="default"/>
          <w:sz w:val="21"/>
          <w:szCs w:val="21"/>
        </w:rPr>
      </w:pPr>
      <w:r>
        <w:rPr>
          <w:rFonts w:ascii="宋体" w:hAnsi="宋体" w:cs="宋体" w:eastAsia="宋体" w:hint="default"/>
          <w:spacing w:val="-3"/>
          <w:sz w:val="21"/>
          <w:szCs w:val="21"/>
        </w:rPr>
        <w:t>计算机软硬件开发及销售，经营进出口业务（具体按照深贸管准证字第</w:t>
      </w:r>
      <w:r>
        <w:rPr>
          <w:rFonts w:ascii="Times New Roman" w:hAnsi="Times New Roman" w:cs="Times New Roman" w:eastAsia="Times New Roman" w:hint="default"/>
          <w:spacing w:val="-3"/>
          <w:sz w:val="21"/>
          <w:szCs w:val="21"/>
        </w:rPr>
        <w:t>2003-3670</w:t>
      </w:r>
      <w:r>
        <w:rPr>
          <w:rFonts w:ascii="宋体" w:hAnsi="宋体" w:cs="宋体" w:eastAsia="宋体" w:hint="default"/>
          <w:spacing w:val="-3"/>
          <w:sz w:val="21"/>
          <w:szCs w:val="21"/>
        </w:rPr>
        <w:t>号资格证书办理）。</w:t>
      </w:r>
    </w:p>
    <w:p>
      <w:pPr>
        <w:spacing w:line="240" w:lineRule="auto" w:before="6"/>
        <w:rPr>
          <w:rFonts w:ascii="宋体" w:hAnsi="宋体" w:cs="宋体" w:eastAsia="宋体" w:hint="default"/>
          <w:sz w:val="17"/>
          <w:szCs w:val="17"/>
        </w:rPr>
      </w:pPr>
    </w:p>
    <w:p>
      <w:pPr>
        <w:spacing w:before="0"/>
        <w:ind w:left="538" w:right="110" w:firstLine="0"/>
        <w:jc w:val="left"/>
        <w:rPr>
          <w:rFonts w:ascii="宋体" w:hAnsi="宋体" w:cs="宋体" w:eastAsia="宋体" w:hint="default"/>
          <w:sz w:val="21"/>
          <w:szCs w:val="21"/>
        </w:rPr>
      </w:pPr>
      <w:r>
        <w:rPr>
          <w:rFonts w:ascii="宋体" w:hAnsi="宋体" w:cs="宋体" w:eastAsia="宋体" w:hint="default"/>
          <w:sz w:val="21"/>
          <w:szCs w:val="21"/>
        </w:rPr>
        <w:t>（四）财务报告的批准报出者和财务报告批准报出日</w:t>
      </w:r>
    </w:p>
    <w:p>
      <w:pPr>
        <w:spacing w:line="240" w:lineRule="auto" w:before="3"/>
        <w:rPr>
          <w:rFonts w:ascii="宋体" w:hAnsi="宋体" w:cs="宋体" w:eastAsia="宋体" w:hint="default"/>
          <w:sz w:val="17"/>
          <w:szCs w:val="17"/>
        </w:rPr>
      </w:pPr>
    </w:p>
    <w:p>
      <w:pPr>
        <w:spacing w:line="412" w:lineRule="auto" w:before="0"/>
        <w:ind w:left="118" w:right="110" w:firstLine="420"/>
        <w:jc w:val="left"/>
        <w:rPr>
          <w:rFonts w:ascii="宋体" w:hAnsi="宋体" w:cs="宋体" w:eastAsia="宋体" w:hint="default"/>
          <w:sz w:val="21"/>
          <w:szCs w:val="21"/>
        </w:rPr>
      </w:pPr>
      <w:r>
        <w:rPr>
          <w:rFonts w:ascii="宋体" w:hAnsi="宋体" w:cs="宋体" w:eastAsia="宋体" w:hint="default"/>
          <w:sz w:val="21"/>
          <w:szCs w:val="21"/>
        </w:rPr>
        <w:t>本公司编制的</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pacing w:val="-9"/>
          <w:sz w:val="21"/>
          <w:szCs w:val="21"/>
        </w:rPr>
        <w:t>年度财务报表，经</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日本公司第六届董事会第二十一次会议决 议批准报出。</w:t>
      </w:r>
    </w:p>
    <w:p>
      <w:pPr>
        <w:spacing w:after="0" w:line="412" w:lineRule="auto"/>
        <w:jc w:val="left"/>
        <w:rPr>
          <w:rFonts w:ascii="宋体" w:hAnsi="宋体" w:cs="宋体" w:eastAsia="宋体" w:hint="default"/>
          <w:sz w:val="21"/>
          <w:szCs w:val="21"/>
        </w:rPr>
        <w:sectPr>
          <w:footerReference w:type="default" r:id="rId15"/>
          <w:pgSz w:w="11910" w:h="16840"/>
          <w:pgMar w:footer="0" w:header="0" w:top="1500" w:bottom="280" w:left="1300" w:right="120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2128"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13"/>
          <w:szCs w:val="13"/>
        </w:rPr>
      </w:pPr>
    </w:p>
    <w:p>
      <w:pPr>
        <w:spacing w:before="35"/>
        <w:ind w:left="558" w:right="0" w:firstLine="0"/>
        <w:jc w:val="left"/>
        <w:rPr>
          <w:rFonts w:ascii="黑体" w:hAnsi="黑体" w:cs="黑体" w:eastAsia="黑体" w:hint="default"/>
          <w:sz w:val="21"/>
          <w:szCs w:val="21"/>
        </w:rPr>
      </w:pPr>
      <w:r>
        <w:rPr>
          <w:rFonts w:ascii="黑体" w:hAnsi="黑体" w:cs="黑体" w:eastAsia="黑体" w:hint="default"/>
          <w:sz w:val="21"/>
          <w:szCs w:val="21"/>
        </w:rPr>
        <w:t>二、财务报表的编制基础</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5"/>
          <w:szCs w:val="15"/>
        </w:rPr>
      </w:pPr>
    </w:p>
    <w:p>
      <w:pPr>
        <w:spacing w:line="436" w:lineRule="auto" w:before="0"/>
        <w:ind w:left="138" w:right="176" w:firstLine="420"/>
        <w:jc w:val="left"/>
        <w:rPr>
          <w:rFonts w:ascii="宋体" w:hAnsi="宋体" w:cs="宋体" w:eastAsia="宋体" w:hint="default"/>
          <w:sz w:val="21"/>
          <w:szCs w:val="21"/>
        </w:rPr>
      </w:pPr>
      <w:r>
        <w:rPr>
          <w:rFonts w:ascii="宋体" w:hAnsi="宋体" w:cs="宋体" w:eastAsia="宋体" w:hint="default"/>
          <w:sz w:val="21"/>
          <w:szCs w:val="21"/>
        </w:rPr>
        <w:t>公司以持续经营为基础，根据实际发生的交易和事项，按照《企业会计准则》的规定进行确认 和计量，在此基础上编制财务报表。</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before="0"/>
        <w:ind w:left="558" w:right="0" w:firstLine="0"/>
        <w:jc w:val="left"/>
        <w:rPr>
          <w:rFonts w:ascii="黑体" w:hAnsi="黑体" w:cs="黑体" w:eastAsia="黑体" w:hint="default"/>
          <w:sz w:val="21"/>
          <w:szCs w:val="21"/>
        </w:rPr>
      </w:pPr>
      <w:r>
        <w:rPr>
          <w:rFonts w:ascii="黑体" w:hAnsi="黑体" w:cs="黑体" w:eastAsia="黑体" w:hint="default"/>
          <w:sz w:val="21"/>
          <w:szCs w:val="21"/>
        </w:rPr>
        <w:t>三、遵循企业会计准则的声明</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5"/>
          <w:szCs w:val="15"/>
        </w:rPr>
      </w:pPr>
    </w:p>
    <w:p>
      <w:pPr>
        <w:spacing w:before="0"/>
        <w:ind w:left="558" w:right="0" w:firstLine="0"/>
        <w:jc w:val="left"/>
        <w:rPr>
          <w:rFonts w:ascii="宋体" w:hAnsi="宋体" w:cs="宋体" w:eastAsia="宋体" w:hint="default"/>
          <w:sz w:val="21"/>
          <w:szCs w:val="21"/>
        </w:rPr>
      </w:pPr>
      <w:r>
        <w:rPr>
          <w:rFonts w:ascii="宋体" w:hAnsi="宋体" w:cs="宋体" w:eastAsia="宋体" w:hint="default"/>
          <w:sz w:val="21"/>
          <w:szCs w:val="21"/>
        </w:rPr>
        <w:t>本公司基于上述编制基础编制的财务报表符合企业会计准则的要求，真实、完整地反映了公司</w:t>
      </w:r>
    </w:p>
    <w:p>
      <w:pPr>
        <w:spacing w:line="240" w:lineRule="auto" w:before="3"/>
        <w:rPr>
          <w:rFonts w:ascii="宋体" w:hAnsi="宋体" w:cs="宋体" w:eastAsia="宋体" w:hint="default"/>
          <w:sz w:val="17"/>
          <w:szCs w:val="17"/>
        </w:rPr>
      </w:pPr>
    </w:p>
    <w:p>
      <w:pPr>
        <w:spacing w:before="0"/>
        <w:ind w:left="138"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日的财务状况，以及</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年度的经营成果和现金流量。</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558" w:right="0" w:firstLine="0"/>
        <w:jc w:val="left"/>
        <w:rPr>
          <w:rFonts w:ascii="黑体" w:hAnsi="黑体" w:cs="黑体" w:eastAsia="黑体" w:hint="default"/>
          <w:sz w:val="21"/>
          <w:szCs w:val="21"/>
        </w:rPr>
      </w:pPr>
      <w:r>
        <w:rPr>
          <w:rFonts w:ascii="黑体" w:hAnsi="黑体" w:cs="黑体" w:eastAsia="黑体" w:hint="default"/>
          <w:sz w:val="21"/>
          <w:szCs w:val="21"/>
        </w:rPr>
        <w:t>四、重要会计政策、会计估计和合并财务报表的编制方法</w:t>
      </w:r>
    </w:p>
    <w:p>
      <w:pPr>
        <w:spacing w:line="240" w:lineRule="auto" w:before="3"/>
        <w:rPr>
          <w:rFonts w:ascii="黑体" w:hAnsi="黑体" w:cs="黑体" w:eastAsia="黑体" w:hint="default"/>
          <w:sz w:val="17"/>
          <w:szCs w:val="17"/>
        </w:rPr>
      </w:pPr>
    </w:p>
    <w:p>
      <w:pPr>
        <w:spacing w:before="0"/>
        <w:ind w:left="558" w:right="0" w:firstLine="0"/>
        <w:jc w:val="left"/>
        <w:rPr>
          <w:rFonts w:ascii="宋体" w:hAnsi="宋体" w:cs="宋体" w:eastAsia="宋体" w:hint="default"/>
          <w:sz w:val="21"/>
          <w:szCs w:val="21"/>
        </w:rPr>
      </w:pPr>
      <w:r>
        <w:rPr>
          <w:rFonts w:ascii="宋体" w:hAnsi="宋体" w:cs="宋体" w:eastAsia="宋体" w:hint="default"/>
          <w:sz w:val="21"/>
          <w:szCs w:val="21"/>
        </w:rPr>
        <w:t>（一）会计年度</w:t>
      </w:r>
    </w:p>
    <w:p>
      <w:pPr>
        <w:spacing w:line="240" w:lineRule="auto" w:before="3"/>
        <w:rPr>
          <w:rFonts w:ascii="宋体" w:hAnsi="宋体" w:cs="宋体" w:eastAsia="宋体" w:hint="default"/>
          <w:sz w:val="17"/>
          <w:szCs w:val="17"/>
        </w:rPr>
      </w:pPr>
    </w:p>
    <w:p>
      <w:pPr>
        <w:spacing w:before="0"/>
        <w:ind w:left="558" w:right="0" w:firstLine="0"/>
        <w:jc w:val="left"/>
        <w:rPr>
          <w:rFonts w:ascii="宋体" w:hAnsi="宋体" w:cs="宋体" w:eastAsia="宋体" w:hint="default"/>
          <w:sz w:val="21"/>
          <w:szCs w:val="21"/>
        </w:rPr>
      </w:pPr>
      <w:r>
        <w:rPr>
          <w:rFonts w:ascii="宋体" w:hAnsi="宋体" w:cs="宋体" w:eastAsia="宋体" w:hint="default"/>
          <w:sz w:val="21"/>
          <w:szCs w:val="21"/>
        </w:rPr>
        <w:t>会计年度自公历每年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日起至</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日止。</w:t>
      </w:r>
    </w:p>
    <w:p>
      <w:pPr>
        <w:spacing w:line="240" w:lineRule="auto" w:before="12"/>
        <w:rPr>
          <w:rFonts w:ascii="宋体" w:hAnsi="宋体" w:cs="宋体" w:eastAsia="宋体" w:hint="default"/>
          <w:sz w:val="15"/>
          <w:szCs w:val="15"/>
        </w:rPr>
      </w:pPr>
    </w:p>
    <w:p>
      <w:pPr>
        <w:spacing w:line="436" w:lineRule="auto" w:before="0"/>
        <w:ind w:left="558" w:right="6056" w:firstLine="0"/>
        <w:jc w:val="left"/>
        <w:rPr>
          <w:rFonts w:ascii="宋体" w:hAnsi="宋体" w:cs="宋体" w:eastAsia="宋体" w:hint="default"/>
          <w:sz w:val="21"/>
          <w:szCs w:val="21"/>
        </w:rPr>
      </w:pPr>
      <w:r>
        <w:rPr>
          <w:rFonts w:ascii="宋体" w:hAnsi="宋体" w:cs="宋体" w:eastAsia="宋体" w:hint="default"/>
          <w:sz w:val="21"/>
          <w:szCs w:val="21"/>
        </w:rPr>
        <w:t>（二）记账本位币 公司以人民币为记账本位币。</w:t>
      </w:r>
    </w:p>
    <w:p>
      <w:pPr>
        <w:spacing w:line="436" w:lineRule="auto" w:before="53"/>
        <w:ind w:left="558" w:right="0" w:firstLine="0"/>
        <w:jc w:val="left"/>
        <w:rPr>
          <w:rFonts w:ascii="宋体" w:hAnsi="宋体" w:cs="宋体" w:eastAsia="宋体" w:hint="default"/>
          <w:sz w:val="21"/>
          <w:szCs w:val="21"/>
        </w:rPr>
      </w:pPr>
      <w:r>
        <w:rPr>
          <w:rFonts w:ascii="宋体" w:hAnsi="宋体" w:cs="宋体" w:eastAsia="宋体" w:hint="default"/>
          <w:sz w:val="21"/>
          <w:szCs w:val="21"/>
        </w:rPr>
        <w:t>（三）记账基础、计量基础和计价原则 公司以权责发生制为记账基础。公司在将符合确认条件的会计要素登记入账并列报于财务报表</w:t>
      </w:r>
    </w:p>
    <w:p>
      <w:pPr>
        <w:spacing w:line="436" w:lineRule="auto" w:before="53"/>
        <w:ind w:left="138" w:right="152" w:firstLine="0"/>
        <w:jc w:val="both"/>
        <w:rPr>
          <w:rFonts w:ascii="宋体" w:hAnsi="宋体" w:cs="宋体" w:eastAsia="宋体" w:hint="default"/>
          <w:sz w:val="21"/>
          <w:szCs w:val="21"/>
        </w:rPr>
      </w:pPr>
      <w:r>
        <w:rPr>
          <w:rFonts w:ascii="宋体" w:hAnsi="宋体" w:cs="宋体" w:eastAsia="宋体" w:hint="default"/>
          <w:sz w:val="21"/>
          <w:szCs w:val="21"/>
        </w:rPr>
        <w:t>时，按照企业会计准则规定的计量属性进行计量。主要会计计量属性包括历史成本、重置成本、可</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变现净值、现值和公允价值。公司在对会计要素进行计量时，一般采用历史成本，当确定的会计要</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素金额能够保证取得并可靠计量，可以采用公允价值、重置成本、可变现净值或现值。</w:t>
      </w:r>
    </w:p>
    <w:p>
      <w:pPr>
        <w:spacing w:line="436" w:lineRule="auto" w:before="53"/>
        <w:ind w:left="558" w:right="0" w:firstLine="0"/>
        <w:jc w:val="left"/>
        <w:rPr>
          <w:rFonts w:ascii="宋体" w:hAnsi="宋体" w:cs="宋体" w:eastAsia="宋体" w:hint="default"/>
          <w:sz w:val="21"/>
          <w:szCs w:val="21"/>
        </w:rPr>
      </w:pPr>
      <w:r>
        <w:rPr>
          <w:rFonts w:ascii="宋体" w:hAnsi="宋体" w:cs="宋体" w:eastAsia="宋体" w:hint="default"/>
          <w:sz w:val="21"/>
          <w:szCs w:val="21"/>
        </w:rPr>
        <w:t>（四）外币业务核算方法 发生外币交易时，将外币金额折算为记账本位币金额。外币交易在初始确认时，采用交易发生</w:t>
      </w:r>
    </w:p>
    <w:p>
      <w:pPr>
        <w:spacing w:line="436" w:lineRule="auto" w:before="52"/>
        <w:ind w:left="138" w:right="152" w:firstLine="0"/>
        <w:jc w:val="both"/>
        <w:rPr>
          <w:rFonts w:ascii="宋体" w:hAnsi="宋体" w:cs="宋体" w:eastAsia="宋体" w:hint="default"/>
          <w:sz w:val="21"/>
          <w:szCs w:val="21"/>
        </w:rPr>
      </w:pPr>
      <w:r>
        <w:rPr>
          <w:rFonts w:ascii="宋体" w:hAnsi="宋体" w:cs="宋体" w:eastAsia="宋体" w:hint="default"/>
          <w:sz w:val="21"/>
          <w:szCs w:val="21"/>
        </w:rPr>
        <w:t>日的即期汇率将外币金额折算为记账本位币金额；在资产负债表日，按照下列规定对外币货币性项</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目和外币非货币性项目进行处理：</w:t>
      </w:r>
    </w:p>
    <w:p>
      <w:pPr>
        <w:spacing w:line="412" w:lineRule="auto" w:before="53"/>
        <w:ind w:left="138" w:right="0" w:firstLine="42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、外币货币性项目，采用资产负债表日即期汇率折算。因资产负债表日即期汇率与初始确认时</w:t>
      </w:r>
      <w:r>
        <w:rPr>
          <w:rFonts w:ascii="宋体" w:hAnsi="宋体" w:cs="宋体" w:eastAsia="宋体" w:hint="default"/>
          <w:sz w:val="21"/>
          <w:szCs w:val="21"/>
        </w:rPr>
        <w:t> 或者前一资产负债表日即期汇率不同而产生的汇兑差额，计入当期损益。</w:t>
      </w:r>
    </w:p>
    <w:p>
      <w:pPr>
        <w:spacing w:before="74"/>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、以历史成本计量的外币非货币性项目，仍采用交易发生日的即期汇率折算，不改变其记账本</w:t>
      </w:r>
    </w:p>
    <w:p>
      <w:pPr>
        <w:spacing w:after="0"/>
        <w:jc w:val="left"/>
        <w:rPr>
          <w:rFonts w:ascii="宋体" w:hAnsi="宋体" w:cs="宋体" w:eastAsia="宋体" w:hint="default"/>
          <w:sz w:val="21"/>
          <w:szCs w:val="21"/>
        </w:rPr>
        <w:sectPr>
          <w:footerReference w:type="default" r:id="rId16"/>
          <w:pgSz w:w="11910" w:h="16840"/>
          <w:pgMar w:footer="710" w:header="0" w:top="580" w:bottom="900" w:left="1280" w:right="1260"/>
          <w:pgNumType w:start="63"/>
        </w:sectPr>
      </w:pPr>
    </w:p>
    <w:p>
      <w:pPr>
        <w:pStyle w:val="Heading2"/>
        <w:spacing w:line="310" w:lineRule="exact"/>
        <w:ind w:right="2996"/>
        <w:jc w:val="center"/>
        <w:rPr>
          <w:b w:val="0"/>
          <w:bCs w:val="0"/>
        </w:rPr>
      </w:pPr>
      <w:r>
        <w:rPr/>
        <w:pict>
          <v:shape style="position:absolute;margin-left:88.919998pt;margin-top:3.990308pt;width:57.0pt;height:31.5pt;mso-position-horizontal-relative:page;mso-position-vertical-relative:paragraph;z-index:2176"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645" w:right="725"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13"/>
          <w:szCs w:val="13"/>
        </w:rPr>
      </w:pPr>
    </w:p>
    <w:p>
      <w:pPr>
        <w:spacing w:before="35"/>
        <w:ind w:left="138" w:right="111" w:firstLine="0"/>
        <w:jc w:val="left"/>
        <w:rPr>
          <w:rFonts w:ascii="宋体" w:hAnsi="宋体" w:cs="宋体" w:eastAsia="宋体" w:hint="default"/>
          <w:sz w:val="21"/>
          <w:szCs w:val="21"/>
        </w:rPr>
      </w:pPr>
      <w:r>
        <w:rPr>
          <w:rFonts w:ascii="宋体" w:hAnsi="宋体" w:cs="宋体" w:eastAsia="宋体" w:hint="default"/>
          <w:sz w:val="21"/>
          <w:szCs w:val="21"/>
        </w:rPr>
        <w:t>位币金额。</w:t>
      </w:r>
    </w:p>
    <w:p>
      <w:pPr>
        <w:spacing w:line="240" w:lineRule="auto" w:before="2"/>
        <w:rPr>
          <w:rFonts w:ascii="宋体" w:hAnsi="宋体" w:cs="宋体" w:eastAsia="宋体" w:hint="default"/>
          <w:sz w:val="17"/>
          <w:szCs w:val="17"/>
        </w:rPr>
      </w:pPr>
    </w:p>
    <w:p>
      <w:pPr>
        <w:spacing w:before="0"/>
        <w:ind w:left="558" w:right="111" w:firstLine="0"/>
        <w:jc w:val="left"/>
        <w:rPr>
          <w:rFonts w:ascii="宋体" w:hAnsi="宋体" w:cs="宋体" w:eastAsia="宋体" w:hint="default"/>
          <w:sz w:val="21"/>
          <w:szCs w:val="21"/>
        </w:rPr>
      </w:pPr>
      <w:r>
        <w:rPr>
          <w:rFonts w:ascii="宋体" w:hAnsi="宋体" w:cs="宋体" w:eastAsia="宋体" w:hint="default"/>
          <w:sz w:val="21"/>
          <w:szCs w:val="21"/>
        </w:rPr>
        <w:t>（五）现金等价物的确定标准</w:t>
      </w:r>
    </w:p>
    <w:p>
      <w:pPr>
        <w:spacing w:line="240" w:lineRule="auto" w:before="3"/>
        <w:rPr>
          <w:rFonts w:ascii="宋体" w:hAnsi="宋体" w:cs="宋体" w:eastAsia="宋体" w:hint="default"/>
          <w:sz w:val="17"/>
          <w:szCs w:val="17"/>
        </w:rPr>
      </w:pPr>
    </w:p>
    <w:p>
      <w:pPr>
        <w:spacing w:line="412" w:lineRule="auto" w:before="0"/>
        <w:ind w:left="138" w:right="214" w:firstLine="420"/>
        <w:jc w:val="both"/>
        <w:rPr>
          <w:rFonts w:ascii="宋体" w:hAnsi="宋体" w:cs="宋体" w:eastAsia="宋体" w:hint="default"/>
          <w:sz w:val="21"/>
          <w:szCs w:val="21"/>
        </w:rPr>
      </w:pPr>
      <w:r>
        <w:rPr>
          <w:rFonts w:ascii="宋体" w:hAnsi="宋体" w:cs="宋体" w:eastAsia="宋体" w:hint="default"/>
          <w:spacing w:val="-1"/>
          <w:sz w:val="21"/>
          <w:szCs w:val="21"/>
        </w:rPr>
        <w:t>现金等价物是指公司持有的期限短（一般是指从购买日起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4"/>
          <w:sz w:val="21"/>
          <w:szCs w:val="21"/>
        </w:rPr>
        <w:t> </w:t>
      </w:r>
      <w:r>
        <w:rPr>
          <w:rFonts w:ascii="宋体" w:hAnsi="宋体" w:cs="宋体" w:eastAsia="宋体" w:hint="default"/>
          <w:spacing w:val="-10"/>
          <w:sz w:val="21"/>
          <w:szCs w:val="21"/>
        </w:rPr>
        <w:t>个月内到期）、流动性强、易于转换</w:t>
      </w:r>
      <w:r>
        <w:rPr>
          <w:rFonts w:ascii="宋体" w:hAnsi="宋体" w:cs="宋体" w:eastAsia="宋体" w:hint="default"/>
          <w:sz w:val="21"/>
          <w:szCs w:val="21"/>
        </w:rPr>
        <w:t> 为已知金额现金、价值变动风险很小的投资。</w:t>
      </w:r>
    </w:p>
    <w:p>
      <w:pPr>
        <w:spacing w:before="73"/>
        <w:ind w:left="558" w:right="111" w:firstLine="0"/>
        <w:jc w:val="left"/>
        <w:rPr>
          <w:rFonts w:ascii="宋体" w:hAnsi="宋体" w:cs="宋体" w:eastAsia="宋体" w:hint="default"/>
          <w:sz w:val="21"/>
          <w:szCs w:val="21"/>
        </w:rPr>
      </w:pPr>
      <w:r>
        <w:rPr>
          <w:rFonts w:ascii="宋体" w:hAnsi="宋体" w:cs="宋体" w:eastAsia="宋体" w:hint="default"/>
          <w:sz w:val="21"/>
          <w:szCs w:val="21"/>
        </w:rPr>
        <w:t>（六）金融工具的确认和计量</w:t>
      </w:r>
    </w:p>
    <w:p>
      <w:pPr>
        <w:spacing w:line="240" w:lineRule="auto" w:before="3"/>
        <w:rPr>
          <w:rFonts w:ascii="宋体" w:hAnsi="宋体" w:cs="宋体" w:eastAsia="宋体" w:hint="default"/>
          <w:sz w:val="17"/>
          <w:szCs w:val="17"/>
        </w:rPr>
      </w:pPr>
    </w:p>
    <w:p>
      <w:pPr>
        <w:spacing w:line="412" w:lineRule="auto" w:before="0"/>
        <w:ind w:left="558" w:right="201"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、分类：金融工具分为下列五类 </w:t>
      </w:r>
      <w:r>
        <w:rPr>
          <w:rFonts w:ascii="Times New Roman" w:hAnsi="Times New Roman" w:cs="Times New Roman" w:eastAsia="Times New Roman" w:hint="default"/>
          <w:sz w:val="21"/>
          <w:szCs w:val="21"/>
        </w:rPr>
        <w:t>(1)</w:t>
      </w:r>
      <w:r>
        <w:rPr>
          <w:rFonts w:ascii="宋体" w:hAnsi="宋体" w:cs="宋体" w:eastAsia="宋体" w:hint="default"/>
          <w:sz w:val="21"/>
          <w:szCs w:val="21"/>
        </w:rPr>
        <w:t>以公允价值计量且其变动计入当期损益的金融资产或金融负债，包括交易性金融资产或交易</w:t>
      </w:r>
    </w:p>
    <w:p>
      <w:pPr>
        <w:spacing w:before="41"/>
        <w:ind w:left="138" w:right="111" w:firstLine="0"/>
        <w:jc w:val="left"/>
        <w:rPr>
          <w:rFonts w:ascii="宋体" w:hAnsi="宋体" w:cs="宋体" w:eastAsia="宋体" w:hint="default"/>
          <w:sz w:val="21"/>
          <w:szCs w:val="21"/>
        </w:rPr>
      </w:pPr>
      <w:r>
        <w:rPr>
          <w:rFonts w:ascii="宋体" w:hAnsi="宋体" w:cs="宋体" w:eastAsia="宋体" w:hint="default"/>
          <w:sz w:val="21"/>
          <w:szCs w:val="21"/>
        </w:rPr>
        <w:t>性金融负债、指定为以公允价值计量且其变动计入当期损益的金融资产或金融负债；</w:t>
      </w:r>
    </w:p>
    <w:p>
      <w:pPr>
        <w:spacing w:line="240" w:lineRule="auto" w:before="3"/>
        <w:rPr>
          <w:rFonts w:ascii="宋体" w:hAnsi="宋体" w:cs="宋体" w:eastAsia="宋体" w:hint="default"/>
          <w:sz w:val="17"/>
          <w:szCs w:val="17"/>
        </w:rPr>
      </w:pPr>
    </w:p>
    <w:p>
      <w:pPr>
        <w:spacing w:line="412" w:lineRule="auto" w:before="0"/>
        <w:ind w:left="558" w:right="664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w:t>
      </w:r>
      <w:r>
        <w:rPr>
          <w:rFonts w:ascii="宋体" w:hAnsi="宋体" w:cs="宋体" w:eastAsia="宋体" w:hint="default"/>
          <w:w w:val="99"/>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贷款和应收款项；</w:t>
      </w:r>
      <w:r>
        <w:rPr>
          <w:rFonts w:ascii="宋体" w:hAnsi="宋体" w:cs="宋体" w:eastAsia="宋体" w:hint="default"/>
          <w:w w:val="99"/>
          <w:sz w:val="21"/>
          <w:szCs w:val="21"/>
        </w:rPr>
        <w:t> </w:t>
      </w:r>
      <w:r>
        <w:rPr>
          <w:rFonts w:ascii="Times New Roman" w:hAnsi="Times New Roman" w:cs="Times New Roman" w:eastAsia="Times New Roman" w:hint="default"/>
          <w:sz w:val="21"/>
          <w:szCs w:val="21"/>
        </w:rPr>
        <w:t>(4)</w:t>
      </w:r>
      <w:r>
        <w:rPr>
          <w:rFonts w:ascii="宋体" w:hAnsi="宋体" w:cs="宋体" w:eastAsia="宋体" w:hint="default"/>
          <w:sz w:val="21"/>
          <w:szCs w:val="21"/>
        </w:rPr>
        <w:t>可供出售金融资产；</w:t>
      </w:r>
      <w:r>
        <w:rPr>
          <w:rFonts w:ascii="宋体" w:hAnsi="宋体" w:cs="宋体" w:eastAsia="宋体" w:hint="default"/>
          <w:w w:val="99"/>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其他金融负债。</w:t>
      </w:r>
      <w:r>
        <w:rPr>
          <w:rFonts w:ascii="宋体" w:hAnsi="宋体" w:cs="宋体" w:eastAsia="宋体" w:hint="default"/>
          <w:w w:val="99"/>
          <w:sz w:val="21"/>
          <w:szCs w:val="21"/>
        </w:rPr>
        <w:t> </w:t>
      </w:r>
      <w:r>
        <w:rPr>
          <w:rFonts w:ascii="Times New Roman" w:hAnsi="Times New Roman" w:cs="Times New Roman" w:eastAsia="Times New Roman" w:hint="default"/>
          <w:sz w:val="21"/>
          <w:szCs w:val="21"/>
        </w:rPr>
        <w:t>2</w:t>
      </w:r>
      <w:r>
        <w:rPr>
          <w:rFonts w:ascii="宋体" w:hAnsi="宋体" w:cs="宋体" w:eastAsia="宋体" w:hint="default"/>
          <w:sz w:val="21"/>
          <w:szCs w:val="21"/>
        </w:rPr>
        <w:t>、初始确认和后续计量</w:t>
      </w:r>
    </w:p>
    <w:p>
      <w:pPr>
        <w:spacing w:line="429" w:lineRule="auto" w:before="41"/>
        <w:ind w:left="138" w:right="212"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以公允价值计量且其变动计入当期损益的金融资产或金融负债：按照取得时的公允价值作为</w:t>
      </w:r>
      <w:r>
        <w:rPr>
          <w:rFonts w:ascii="宋体" w:hAnsi="宋体" w:cs="宋体" w:eastAsia="宋体" w:hint="default"/>
          <w:w w:val="99"/>
          <w:sz w:val="21"/>
          <w:szCs w:val="21"/>
        </w:rPr>
        <w:t> </w:t>
      </w:r>
      <w:r>
        <w:rPr>
          <w:rFonts w:ascii="宋体" w:hAnsi="宋体" w:cs="宋体" w:eastAsia="宋体" w:hint="default"/>
          <w:sz w:val="21"/>
          <w:szCs w:val="21"/>
        </w:rPr>
        <w:t>初始确认金额，相关的交易费用在发生时计入当期损益。支付的价款中包含已宣告发放的现金股利</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或债券利息，单独确认为应收项目。持有期间取得的利息或现金股利，确认为投资收益。资产负债</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表日，将其公允价值变动计入当期损益。</w:t>
      </w:r>
    </w:p>
    <w:p>
      <w:pPr>
        <w:spacing w:line="417" w:lineRule="auto" w:before="50"/>
        <w:ind w:left="138" w:right="212"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持有至到期投资：按取得时的公允价值和相关交易费用之和作为初始确认金额。支付的价款</w:t>
      </w:r>
      <w:r>
        <w:rPr>
          <w:rFonts w:ascii="宋体" w:hAnsi="宋体" w:cs="宋体" w:eastAsia="宋体" w:hint="default"/>
          <w:w w:val="99"/>
          <w:sz w:val="21"/>
          <w:szCs w:val="21"/>
        </w:rPr>
        <w:t> </w:t>
      </w:r>
      <w:r>
        <w:rPr>
          <w:rFonts w:ascii="宋体" w:hAnsi="宋体" w:cs="宋体" w:eastAsia="宋体" w:hint="default"/>
          <w:sz w:val="21"/>
          <w:szCs w:val="21"/>
        </w:rPr>
        <w:t>中包含已宣告发放的现金股利或债券利息，单独确认为应收项目。持有期间按照实际利率法确认利</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息收入，计入投资收益。</w:t>
      </w:r>
    </w:p>
    <w:p>
      <w:pPr>
        <w:spacing w:line="403" w:lineRule="auto" w:before="59"/>
        <w:ind w:left="138" w:right="100" w:firstLine="42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(3)</w:t>
      </w:r>
      <w:r>
        <w:rPr>
          <w:rFonts w:ascii="宋体" w:hAnsi="宋体" w:cs="宋体" w:eastAsia="宋体" w:hint="default"/>
          <w:spacing w:val="-3"/>
          <w:sz w:val="21"/>
          <w:szCs w:val="21"/>
        </w:rPr>
        <w:t>应收款项：按从购货方应收的合同或协议价款作为初始入账金额。持有期间采用实际利率法，</w:t>
      </w:r>
      <w:r>
        <w:rPr>
          <w:rFonts w:ascii="宋体" w:hAnsi="宋体" w:cs="宋体" w:eastAsia="宋体" w:hint="default"/>
          <w:w w:val="99"/>
          <w:sz w:val="21"/>
          <w:szCs w:val="21"/>
        </w:rPr>
        <w:t> </w:t>
      </w:r>
      <w:r>
        <w:rPr>
          <w:rFonts w:ascii="宋体" w:hAnsi="宋体" w:cs="宋体" w:eastAsia="宋体" w:hint="default"/>
          <w:sz w:val="21"/>
          <w:szCs w:val="21"/>
        </w:rPr>
        <w:t>按摊余成本进行后续计量。</w:t>
      </w:r>
    </w:p>
    <w:p>
      <w:pPr>
        <w:spacing w:line="420" w:lineRule="auto" w:before="73"/>
        <w:ind w:left="138" w:right="212"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可供出售金融资产：按取得该金融资产的公允价值和相关交易费用之和作为初始确认金额。</w:t>
      </w:r>
      <w:r>
        <w:rPr>
          <w:rFonts w:ascii="宋体" w:hAnsi="宋体" w:cs="宋体" w:eastAsia="宋体" w:hint="default"/>
          <w:w w:val="99"/>
          <w:sz w:val="21"/>
          <w:szCs w:val="21"/>
        </w:rPr>
        <w:t> </w:t>
      </w:r>
      <w:r>
        <w:rPr>
          <w:rFonts w:ascii="宋体" w:hAnsi="宋体" w:cs="宋体" w:eastAsia="宋体" w:hint="default"/>
          <w:sz w:val="21"/>
          <w:szCs w:val="21"/>
        </w:rPr>
        <w:t>支付的价款中包含了已宣告发放的现金股利或债券利息，单独确认为应收项目。持有期间取得的利</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息或现金股利，计入投资收益。期末，可供出售金融资产以公允价值计量，且公允价值变动计入资</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9"/>
          <w:w w:val="99"/>
          <w:sz w:val="21"/>
          <w:szCs w:val="21"/>
        </w:rPr>
        <w:t>本公积（其他资本公积）。</w:t>
      </w:r>
      <w:r>
        <w:rPr>
          <w:rFonts w:ascii="宋体" w:hAnsi="宋体" w:cs="宋体" w:eastAsia="宋体" w:hint="default"/>
          <w:spacing w:val="-9"/>
          <w:sz w:val="21"/>
          <w:szCs w:val="21"/>
        </w:rPr>
      </w:r>
    </w:p>
    <w:p>
      <w:pPr>
        <w:spacing w:before="57"/>
        <w:ind w:left="558" w:right="111" w:firstLine="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(5)</w:t>
      </w:r>
      <w:r>
        <w:rPr>
          <w:rFonts w:ascii="宋体" w:hAnsi="宋体" w:cs="宋体" w:eastAsia="宋体" w:hint="default"/>
          <w:spacing w:val="-2"/>
          <w:sz w:val="21"/>
          <w:szCs w:val="21"/>
        </w:rPr>
        <w:t>其他金融负债：按其公允价值和相关交易费用之和作为初始入账金额，</w:t>
      </w:r>
      <w:r>
        <w:rPr>
          <w:rFonts w:ascii="宋体" w:hAnsi="宋体" w:cs="宋体" w:eastAsia="宋体" w:hint="default"/>
          <w:spacing w:val="-28"/>
          <w:sz w:val="21"/>
          <w:szCs w:val="21"/>
        </w:rPr>
        <w:t> </w:t>
      </w:r>
      <w:r>
        <w:rPr>
          <w:rFonts w:ascii="宋体" w:hAnsi="宋体" w:cs="宋体" w:eastAsia="宋体" w:hint="default"/>
          <w:spacing w:val="-1"/>
          <w:sz w:val="21"/>
          <w:szCs w:val="21"/>
        </w:rPr>
        <w:t>按摊余成本进行后续</w:t>
      </w:r>
    </w:p>
    <w:p>
      <w:pPr>
        <w:spacing w:after="0"/>
        <w:jc w:val="left"/>
        <w:rPr>
          <w:rFonts w:ascii="宋体" w:hAnsi="宋体" w:cs="宋体" w:eastAsia="宋体" w:hint="default"/>
          <w:sz w:val="21"/>
          <w:szCs w:val="21"/>
        </w:rPr>
        <w:sectPr>
          <w:pgSz w:w="11910" w:h="16840"/>
          <w:pgMar w:header="0" w:footer="710" w:top="580" w:bottom="900" w:left="1280" w:right="120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2224"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4"/>
        <w:rPr>
          <w:rFonts w:ascii="Times New Roman" w:hAnsi="Times New Roman" w:cs="Times New Roman" w:eastAsia="Times New Roman" w:hint="default"/>
          <w:sz w:val="12"/>
          <w:szCs w:val="12"/>
        </w:rPr>
      </w:pPr>
    </w:p>
    <w:p>
      <w:pPr>
        <w:spacing w:before="35"/>
        <w:ind w:left="138" w:right="0" w:firstLine="0"/>
        <w:jc w:val="left"/>
        <w:rPr>
          <w:rFonts w:ascii="宋体" w:hAnsi="宋体" w:cs="宋体" w:eastAsia="宋体" w:hint="default"/>
          <w:sz w:val="21"/>
          <w:szCs w:val="21"/>
        </w:rPr>
      </w:pPr>
      <w:r>
        <w:rPr>
          <w:rFonts w:ascii="宋体" w:hAnsi="宋体" w:cs="宋体" w:eastAsia="宋体" w:hint="default"/>
          <w:sz w:val="21"/>
          <w:szCs w:val="21"/>
        </w:rPr>
        <w:t>计量。</w:t>
      </w:r>
    </w:p>
    <w:p>
      <w:pPr>
        <w:spacing w:line="240" w:lineRule="auto" w:before="5"/>
        <w:rPr>
          <w:rFonts w:ascii="宋体" w:hAnsi="宋体" w:cs="宋体" w:eastAsia="宋体" w:hint="default"/>
          <w:sz w:val="16"/>
          <w:szCs w:val="16"/>
        </w:rPr>
      </w:pPr>
    </w:p>
    <w:p>
      <w:pPr>
        <w:spacing w:line="405" w:lineRule="auto" w:before="0"/>
        <w:ind w:left="558" w:right="141"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、主要金融资产和金融负债的公允价值确定方法 </w:t>
      </w:r>
      <w:r>
        <w:rPr>
          <w:rFonts w:ascii="Times New Roman" w:hAnsi="Times New Roman" w:cs="Times New Roman" w:eastAsia="Times New Roman" w:hint="default"/>
          <w:sz w:val="21"/>
          <w:szCs w:val="21"/>
        </w:rPr>
        <w:t>(1)</w:t>
      </w:r>
      <w:r>
        <w:rPr>
          <w:rFonts w:ascii="宋体" w:hAnsi="宋体" w:cs="宋体" w:eastAsia="宋体" w:hint="default"/>
          <w:sz w:val="21"/>
          <w:szCs w:val="21"/>
        </w:rPr>
        <w:t>存在活跃市的金融资产或金融负债，活跃市场中的报价应当用于确定其公允价值。 </w:t>
      </w:r>
      <w:r>
        <w:rPr>
          <w:rFonts w:ascii="Times New Roman" w:hAnsi="Times New Roman" w:cs="Times New Roman" w:eastAsia="Times New Roman" w:hint="default"/>
          <w:sz w:val="21"/>
          <w:szCs w:val="21"/>
        </w:rPr>
        <w:t>(2)</w:t>
      </w:r>
      <w:r>
        <w:rPr>
          <w:rFonts w:ascii="宋体" w:hAnsi="宋体" w:cs="宋体" w:eastAsia="宋体" w:hint="default"/>
          <w:sz w:val="21"/>
          <w:szCs w:val="21"/>
        </w:rPr>
        <w:t>金融工具不存在活跃市场的，企业应当采用估值技术确定其公允价值。 </w:t>
      </w:r>
      <w:r>
        <w:rPr>
          <w:rFonts w:ascii="Times New Roman" w:hAnsi="Times New Roman" w:cs="Times New Roman" w:eastAsia="Times New Roman" w:hint="default"/>
          <w:sz w:val="21"/>
          <w:szCs w:val="21"/>
        </w:rPr>
        <w:t>(3)</w:t>
      </w:r>
      <w:r>
        <w:rPr>
          <w:rFonts w:ascii="宋体" w:hAnsi="宋体" w:cs="宋体" w:eastAsia="宋体" w:hint="default"/>
          <w:sz w:val="21"/>
          <w:szCs w:val="21"/>
        </w:rPr>
        <w:t>初始取得或源生的金融资产或承担的金融负债，应当以市场交易价格作为确定其公允值的基</w:t>
      </w:r>
    </w:p>
    <w:p>
      <w:pPr>
        <w:spacing w:before="38"/>
        <w:ind w:left="138" w:right="0" w:firstLine="0"/>
        <w:jc w:val="left"/>
        <w:rPr>
          <w:rFonts w:ascii="宋体" w:hAnsi="宋体" w:cs="宋体" w:eastAsia="宋体" w:hint="default"/>
          <w:sz w:val="21"/>
          <w:szCs w:val="21"/>
        </w:rPr>
      </w:pPr>
      <w:r>
        <w:rPr>
          <w:rFonts w:ascii="宋体" w:hAnsi="宋体" w:cs="宋体" w:eastAsia="宋体" w:hint="default"/>
          <w:sz w:val="21"/>
          <w:szCs w:val="21"/>
        </w:rPr>
        <w:t>础。</w:t>
      </w:r>
    </w:p>
    <w:p>
      <w:pPr>
        <w:spacing w:line="240" w:lineRule="auto" w:before="7"/>
        <w:rPr>
          <w:rFonts w:ascii="宋体" w:hAnsi="宋体" w:cs="宋体" w:eastAsia="宋体" w:hint="default"/>
          <w:sz w:val="16"/>
          <w:szCs w:val="16"/>
        </w:rPr>
      </w:pPr>
    </w:p>
    <w:p>
      <w:pPr>
        <w:spacing w:line="415" w:lineRule="auto" w:before="0"/>
        <w:ind w:left="138" w:right="152"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企业采用未来现金流量折现法确定金融工具公允价值的，应当使用合同条款和特征在实质上</w:t>
      </w:r>
      <w:r>
        <w:rPr>
          <w:rFonts w:ascii="宋体" w:hAnsi="宋体" w:cs="宋体" w:eastAsia="宋体" w:hint="default"/>
          <w:w w:val="99"/>
          <w:sz w:val="21"/>
          <w:szCs w:val="21"/>
        </w:rPr>
        <w:t> </w:t>
      </w:r>
      <w:r>
        <w:rPr>
          <w:rFonts w:ascii="宋体" w:hAnsi="宋体" w:cs="宋体" w:eastAsia="宋体" w:hint="default"/>
          <w:sz w:val="21"/>
          <w:szCs w:val="21"/>
        </w:rPr>
        <w:t>相同的其他金融工具的市场收益率作为折现率。没有标明利率的短期应收款项和应付款项的现值与</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实际交易价格相差很小的，可以按照实际交易价格计量。</w:t>
      </w:r>
    </w:p>
    <w:p>
      <w:pPr>
        <w:spacing w:line="403" w:lineRule="auto" w:before="62"/>
        <w:ind w:left="138" w:right="154" w:firstLine="420"/>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4</w:t>
      </w:r>
      <w:r>
        <w:rPr>
          <w:rFonts w:ascii="宋体" w:hAnsi="宋体" w:cs="宋体" w:eastAsia="宋体" w:hint="default"/>
          <w:spacing w:val="-2"/>
          <w:sz w:val="21"/>
          <w:szCs w:val="21"/>
        </w:rPr>
        <w:t>、金融资产减值的处理期末，对于持有至到期投资和应收款项，有客观证据表明其发生了减值</w:t>
      </w:r>
      <w:r>
        <w:rPr>
          <w:rFonts w:ascii="宋体" w:hAnsi="宋体" w:cs="宋体" w:eastAsia="宋体" w:hint="default"/>
          <w:sz w:val="21"/>
          <w:szCs w:val="21"/>
        </w:rPr>
        <w:t> 的，根据其账面价值与预计未来现金流量现值之间差额计算确认减值损失。</w:t>
      </w:r>
    </w:p>
    <w:p>
      <w:pPr>
        <w:spacing w:line="405" w:lineRule="auto" w:before="72"/>
        <w:ind w:left="138" w:right="155"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对于单项金额重大的持有至到期投资和应收款项，单独进行减值测试，有客观证据表明其发</w:t>
      </w:r>
      <w:r>
        <w:rPr>
          <w:rFonts w:ascii="宋体" w:hAnsi="宋体" w:cs="宋体" w:eastAsia="宋体" w:hint="default"/>
          <w:w w:val="99"/>
          <w:sz w:val="21"/>
          <w:szCs w:val="21"/>
        </w:rPr>
        <w:t> </w:t>
      </w:r>
      <w:r>
        <w:rPr>
          <w:rFonts w:ascii="宋体" w:hAnsi="宋体" w:cs="宋体" w:eastAsia="宋体" w:hint="default"/>
          <w:sz w:val="21"/>
          <w:szCs w:val="21"/>
        </w:rPr>
        <w:t>生了减值的，根据其未来现金流量现值低于其账面价值的差额，确认减值损失，计提减值准备。</w:t>
      </w:r>
    </w:p>
    <w:p>
      <w:pPr>
        <w:spacing w:line="422" w:lineRule="auto" w:before="70"/>
        <w:ind w:left="138" w:right="154"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对于单项金额非重大的持有至到期投资和应收款项以及经单独测试后未</w:t>
      </w:r>
      <w:r>
        <w:rPr>
          <w:rFonts w:ascii="宋体" w:hAnsi="宋体" w:cs="宋体" w:eastAsia="宋体" w:hint="default"/>
          <w:spacing w:val="59"/>
          <w:sz w:val="21"/>
          <w:szCs w:val="21"/>
        </w:rPr>
        <w:t> </w:t>
      </w:r>
      <w:r>
        <w:rPr>
          <w:rFonts w:ascii="宋体" w:hAnsi="宋体" w:cs="宋体" w:eastAsia="宋体" w:hint="default"/>
          <w:spacing w:val="2"/>
          <w:sz w:val="21"/>
          <w:szCs w:val="21"/>
        </w:rPr>
        <w:t>减值的单项重大的</w:t>
      </w:r>
      <w:r>
        <w:rPr>
          <w:rFonts w:ascii="宋体" w:hAnsi="宋体" w:cs="宋体" w:eastAsia="宋体" w:hint="default"/>
          <w:w w:val="99"/>
          <w:sz w:val="21"/>
          <w:szCs w:val="21"/>
        </w:rPr>
        <w:t> </w:t>
      </w:r>
      <w:r>
        <w:rPr>
          <w:rFonts w:ascii="宋体" w:hAnsi="宋体" w:cs="宋体" w:eastAsia="宋体" w:hint="default"/>
          <w:spacing w:val="-3"/>
          <w:sz w:val="21"/>
          <w:szCs w:val="21"/>
        </w:rPr>
        <w:t>持有至到期投资，按类似信用风险特征划分为若干组合，再按</w:t>
      </w:r>
      <w:r>
        <w:rPr>
          <w:rFonts w:ascii="宋体" w:hAnsi="宋体" w:cs="宋体" w:eastAsia="宋体" w:hint="default"/>
          <w:spacing w:val="11"/>
          <w:sz w:val="21"/>
          <w:szCs w:val="21"/>
        </w:rPr>
        <w:t> </w:t>
      </w:r>
      <w:r>
        <w:rPr>
          <w:rFonts w:ascii="宋体" w:hAnsi="宋体" w:cs="宋体" w:eastAsia="宋体" w:hint="default"/>
          <w:sz w:val="21"/>
          <w:szCs w:val="21"/>
        </w:rPr>
        <w:t>这些组合在资产负债表日余额的一定</w:t>
      </w:r>
      <w:r>
        <w:rPr>
          <w:rFonts w:ascii="宋体" w:hAnsi="宋体" w:cs="宋体" w:eastAsia="宋体" w:hint="default"/>
          <w:w w:val="99"/>
          <w:sz w:val="21"/>
          <w:szCs w:val="21"/>
        </w:rPr>
        <w:t> </w:t>
      </w:r>
      <w:r>
        <w:rPr>
          <w:rFonts w:ascii="宋体" w:hAnsi="宋体" w:cs="宋体" w:eastAsia="宋体" w:hint="default"/>
          <w:sz w:val="21"/>
          <w:szCs w:val="21"/>
        </w:rPr>
        <w:t>比例计算确定减值损失，计提减值准备。</w:t>
      </w:r>
      <w:r>
        <w:rPr>
          <w:rFonts w:ascii="宋体" w:hAnsi="宋体" w:cs="宋体" w:eastAsia="宋体" w:hint="default"/>
          <w:spacing w:val="-63"/>
          <w:sz w:val="21"/>
          <w:szCs w:val="21"/>
        </w:rPr>
        <w:t> </w:t>
      </w:r>
      <w:r>
        <w:rPr>
          <w:rFonts w:ascii="宋体" w:hAnsi="宋体" w:cs="宋体" w:eastAsia="宋体" w:hint="default"/>
          <w:sz w:val="21"/>
          <w:szCs w:val="21"/>
        </w:rPr>
        <w:t>期末，如果可供出售金额资产的公允价值发生较大幅度下</w:t>
      </w:r>
      <w:r>
        <w:rPr>
          <w:rFonts w:ascii="宋体" w:hAnsi="宋体" w:cs="宋体" w:eastAsia="宋体" w:hint="default"/>
          <w:w w:val="99"/>
          <w:sz w:val="21"/>
          <w:szCs w:val="21"/>
        </w:rPr>
        <w:t> </w:t>
      </w:r>
      <w:r>
        <w:rPr>
          <w:rFonts w:ascii="宋体" w:hAnsi="宋体" w:cs="宋体" w:eastAsia="宋体" w:hint="default"/>
          <w:spacing w:val="-3"/>
          <w:sz w:val="21"/>
          <w:szCs w:val="21"/>
        </w:rPr>
        <w:t>降，或在综合考虑</w:t>
      </w:r>
      <w:r>
        <w:rPr>
          <w:rFonts w:ascii="宋体" w:hAnsi="宋体" w:cs="宋体" w:eastAsia="宋体" w:hint="default"/>
          <w:spacing w:val="-40"/>
          <w:sz w:val="21"/>
          <w:szCs w:val="21"/>
        </w:rPr>
        <w:t> </w:t>
      </w:r>
      <w:r>
        <w:rPr>
          <w:rFonts w:ascii="宋体" w:hAnsi="宋体" w:cs="宋体" w:eastAsia="宋体" w:hint="default"/>
          <w:sz w:val="21"/>
          <w:szCs w:val="21"/>
        </w:rPr>
        <w:t>各种相关因素后，预期这种下降趋势属于非暂时性的，则按其公允价值低于其账</w:t>
      </w:r>
      <w:r>
        <w:rPr>
          <w:rFonts w:ascii="宋体" w:hAnsi="宋体" w:cs="宋体" w:eastAsia="宋体" w:hint="default"/>
          <w:w w:val="99"/>
          <w:sz w:val="21"/>
          <w:szCs w:val="21"/>
        </w:rPr>
        <w:t> </w:t>
      </w:r>
      <w:r>
        <w:rPr>
          <w:rFonts w:ascii="宋体" w:hAnsi="宋体" w:cs="宋体" w:eastAsia="宋体" w:hint="default"/>
          <w:sz w:val="21"/>
          <w:szCs w:val="21"/>
        </w:rPr>
        <w:t>面价值的差额，确认减值损失，计提减值准备。</w:t>
      </w:r>
    </w:p>
    <w:p>
      <w:pPr>
        <w:spacing w:line="412" w:lineRule="auto" w:before="66"/>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应收款项坏账核算方法</w:t>
      </w:r>
      <w:r>
        <w:rPr>
          <w:rFonts w:ascii="宋体" w:hAnsi="宋体" w:cs="宋体" w:eastAsia="宋体" w:hint="default"/>
          <w:w w:val="99"/>
          <w:sz w:val="21"/>
          <w:szCs w:val="21"/>
        </w:rPr>
        <w:t> </w:t>
      </w:r>
      <w:r>
        <w:rPr>
          <w:rFonts w:ascii="宋体" w:hAnsi="宋体" w:cs="宋体" w:eastAsia="宋体" w:hint="default"/>
          <w:sz w:val="21"/>
          <w:szCs w:val="21"/>
        </w:rPr>
        <w:t>应收款项减值损失的计量：本公司于资产负债表日对应收款项进行减值测试，计提坏账准备。</w:t>
      </w:r>
    </w:p>
    <w:p>
      <w:pPr>
        <w:spacing w:line="436" w:lineRule="auto" w:before="74"/>
        <w:ind w:left="138" w:right="0" w:firstLine="0"/>
        <w:jc w:val="left"/>
        <w:rPr>
          <w:rFonts w:ascii="宋体" w:hAnsi="宋体" w:cs="宋体" w:eastAsia="宋体" w:hint="default"/>
          <w:sz w:val="21"/>
          <w:szCs w:val="21"/>
        </w:rPr>
      </w:pPr>
      <w:r>
        <w:rPr>
          <w:rFonts w:ascii="宋体" w:hAnsi="宋体" w:cs="宋体" w:eastAsia="宋体" w:hint="default"/>
          <w:sz w:val="21"/>
          <w:szCs w:val="21"/>
        </w:rPr>
        <w:t>对于单项金额重大的应收款项，单独进行减值测试，如有客观证据表明其发生了减值的，根据其未</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来现金流量现值低于其账面价值的差额，确认减值损失，计提坏账准备。</w:t>
      </w:r>
    </w:p>
    <w:p>
      <w:pPr>
        <w:spacing w:line="436" w:lineRule="auto" w:before="52"/>
        <w:ind w:left="138" w:right="155" w:firstLine="420"/>
        <w:jc w:val="both"/>
        <w:rPr>
          <w:rFonts w:ascii="宋体" w:hAnsi="宋体" w:cs="宋体" w:eastAsia="宋体" w:hint="default"/>
          <w:sz w:val="21"/>
          <w:szCs w:val="21"/>
        </w:rPr>
      </w:pPr>
      <w:r>
        <w:rPr/>
        <w:pict>
          <v:group style="position:absolute;margin-left:87.449997pt;margin-top:43.009377pt;width:437.95pt;height:79pt;mso-position-horizontal-relative:page;mso-position-vertical-relative:paragraph;z-index:-454384" coordorigin="1749,860" coordsize="8759,1580">
            <v:group style="position:absolute;left:1778;top:875;width:8705;height:2" coordorigin="1778,875" coordsize="8705,2">
              <v:shape style="position:absolute;left:1778;top:875;width:8705;height:2" coordorigin="1778,875" coordsize="8705,0" path="m1778,875l10483,875e" filled="false" stroked="true" strokeweight="1.5pt" strokecolor="#000000">
                <v:path arrowok="t"/>
              </v:shape>
              <v:shape style="position:absolute;left:6110;top:871;width:48;height:538" type="#_x0000_t75" stroked="false">
                <v:imagedata r:id="rId17" o:title=""/>
              </v:shape>
            </v:group>
            <v:group style="position:absolute;left:1764;top:2424;width:4366;height:2" coordorigin="1764,2424" coordsize="4366,2">
              <v:shape style="position:absolute;left:1764;top:2424;width:4366;height:2" coordorigin="1764,2424" coordsize="4366,0" path="m1764,2424l6130,2424e" filled="false" stroked="true" strokeweight="1.5pt" strokecolor="#000000">
                <v:path arrowok="t"/>
              </v:shape>
              <v:shape style="position:absolute;left:1759;top:1370;width:8748;height:1058" type="#_x0000_t75" stroked="false">
                <v:imagedata r:id="rId18" o:title=""/>
              </v:shape>
            </v:group>
            <v:group style="position:absolute;left:6130;top:2424;width:4361;height:2" coordorigin="6130,2424" coordsize="4361,2">
              <v:shape style="position:absolute;left:6130;top:2424;width:4361;height:2" coordorigin="6130,2424" coordsize="4361,0" path="m6130,2424l10490,2424e" filled="false" stroked="true" strokeweight="1.5pt" strokecolor="#000000">
                <v:path arrowok="t"/>
              </v:shape>
              <v:shape style="position:absolute;left:3588;top:1148;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w:t>
                        <w:tab/>
                        <w:t>龄</w:t>
                      </w:r>
                    </w:p>
                  </w:txbxContent>
                </v:textbox>
                <w10:wrap type="none"/>
              </v:shape>
              <v:shape style="position:absolute;left:7892;top:114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计提比例</w:t>
                      </w:r>
                    </w:p>
                  </w:txbxContent>
                </v:textbox>
                <w10:wrap type="none"/>
              </v:shape>
              <v:shape style="position:absolute;left:3562;top:1657;width:789;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xbxContent>
                </v:textbox>
                <w10:wrap type="none"/>
              </v:shape>
              <v:shape style="position:absolute;left:8172;top:1682;width:28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0%</w:t>
                      </w:r>
                    </w:p>
                  </w:txbxContent>
                </v:textbox>
                <w10:wrap type="none"/>
              </v:shape>
              <v:shape style="position:absolute;left:3614;top:2167;width:68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年</w:t>
                      </w:r>
                    </w:p>
                  </w:txbxContent>
                </v:textbox>
                <w10:wrap type="none"/>
              </v:shape>
              <v:shape style="position:absolute;left:8119;top:2192;width:387;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w:t>
                      </w:r>
                    </w:p>
                  </w:txbxContent>
                </v:textbox>
                <w10:wrap type="none"/>
              </v:shape>
            </v:group>
            <w10:wrap type="none"/>
          </v:group>
        </w:pict>
      </w:r>
      <w:r>
        <w:rPr>
          <w:rFonts w:ascii="宋体" w:hAnsi="宋体" w:cs="宋体" w:eastAsia="宋体" w:hint="default"/>
          <w:sz w:val="21"/>
          <w:szCs w:val="21"/>
        </w:rPr>
        <w:t>对于单项金额非重大的应收款项以及经单独测试后未减值的单项金额重大的应收款项，按照账 龄分析法计提坏账准备，坏账准备的计提比例如下：</w:t>
      </w:r>
    </w:p>
    <w:p>
      <w:pPr>
        <w:spacing w:after="0" w:line="436" w:lineRule="auto"/>
        <w:jc w:val="both"/>
        <w:rPr>
          <w:rFonts w:ascii="宋体" w:hAnsi="宋体" w:cs="宋体" w:eastAsia="宋体" w:hint="default"/>
          <w:sz w:val="21"/>
          <w:szCs w:val="21"/>
        </w:rPr>
        <w:sectPr>
          <w:pgSz w:w="11910" w:h="16840"/>
          <w:pgMar w:header="0" w:footer="710" w:top="580" w:bottom="900" w:left="1280" w:right="1260"/>
        </w:sectPr>
      </w:pPr>
    </w:p>
    <w:p>
      <w:pPr>
        <w:pStyle w:val="Heading2"/>
        <w:spacing w:line="310" w:lineRule="exact"/>
        <w:ind w:left="2898" w:right="2936"/>
        <w:jc w:val="center"/>
        <w:rPr>
          <w:b w:val="0"/>
          <w:bCs w:val="0"/>
        </w:rPr>
      </w:pPr>
      <w:r>
        <w:rPr/>
        <w:pict>
          <v:shape style="position:absolute;margin-left:88.919998pt;margin-top:3.990308pt;width:57.0pt;height:31.5pt;mso-position-horizontal-relative:page;mso-position-vertical-relative:paragraph;z-index:2536"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2091" w:right="2131"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1083" w:lineRule="exact"/>
        <w:ind w:left="10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1"/>
          <w:sz w:val="20"/>
          <w:szCs w:val="20"/>
        </w:rPr>
        <w:pict>
          <v:group style="width:457.2pt;height:54.2pt;mso-position-horizontal-relative:char;mso-position-vertical-relative:line" coordorigin="0,0" coordsize="9144,1084">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style="position:absolute;left:397;top:29;width:8705;height:2" coordorigin="397,29" coordsize="8705,2">
              <v:shape style="position:absolute;left:397;top:29;width:8705;height:2" coordorigin="397,29" coordsize="8705,0" path="m397,29l9102,29e" filled="false" stroked="true" strokeweight="1.5pt" strokecolor="#000000">
                <v:path arrowok="t"/>
              </v:shape>
            </v:group>
            <v:group style="position:absolute;left:383;top:1069;width:4366;height:2" coordorigin="383,1069" coordsize="4366,2">
              <v:shape style="position:absolute;left:383;top:1069;width:4366;height:2" coordorigin="383,1069" coordsize="4366,0" path="m383,1069l4748,1069e" filled="false" stroked="true" strokeweight="1.5pt" strokecolor="#000000">
                <v:path arrowok="t"/>
              </v:shape>
              <v:shape style="position:absolute;left:378;top:25;width:8738;height:1048" type="#_x0000_t75" stroked="false">
                <v:imagedata r:id="rId19" o:title=""/>
              </v:shape>
            </v:group>
            <v:group style="position:absolute;left:4748;top:1069;width:4361;height:2" coordorigin="4748,1069" coordsize="4361,2">
              <v:shape style="position:absolute;left:4748;top:1069;width:4361;height:2" coordorigin="4748,1069" coordsize="4361,0" path="m4748,1069l9109,1069e" filled="false" stroked="true" strokeweight="1.5pt" strokecolor="#000000">
                <v:path arrowok="t"/>
              </v:shape>
              <v:shape style="position:absolute;left:2233;top:302;width:68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2—3 </w:t>
                      </w:r>
                      <w:r>
                        <w:rPr>
                          <w:rFonts w:ascii="宋体" w:hAnsi="宋体" w:cs="宋体" w:eastAsia="宋体" w:hint="default"/>
                          <w:sz w:val="21"/>
                          <w:szCs w:val="21"/>
                        </w:rPr>
                        <w:t>年</w:t>
                      </w:r>
                    </w:p>
                  </w:txbxContent>
                </v:textbox>
                <w10:wrap type="none"/>
              </v:shape>
              <v:shape style="position:absolute;left:6738;top:328;width:387;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50%</w:t>
                      </w:r>
                    </w:p>
                  </w:txbxContent>
                </v:textbox>
                <w10:wrap type="none"/>
              </v:shape>
              <v:shape style="position:absolute;left:2180;top:811;width:789;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年以上</w:t>
                      </w:r>
                    </w:p>
                  </w:txbxContent>
                </v:textbox>
                <w10:wrap type="none"/>
              </v:shape>
              <v:shape style="position:absolute;left:6685;top:837;width:49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100%</w:t>
                      </w:r>
                    </w:p>
                  </w:txbxContent>
                </v:textbox>
                <w10:wrap type="none"/>
              </v:shape>
            </v:group>
          </v:group>
        </w:pict>
      </w:r>
      <w:r>
        <w:rPr>
          <w:rFonts w:ascii="Times New Roman" w:hAnsi="Times New Roman" w:cs="Times New Roman" w:eastAsia="Times New Roman" w:hint="default"/>
          <w:position w:val="-21"/>
          <w:sz w:val="20"/>
          <w:szCs w:val="20"/>
        </w:rPr>
      </w:r>
    </w:p>
    <w:p>
      <w:pPr>
        <w:spacing w:line="240" w:lineRule="auto" w:before="9"/>
        <w:rPr>
          <w:rFonts w:ascii="Times New Roman" w:hAnsi="Times New Roman" w:cs="Times New Roman" w:eastAsia="Times New Roman" w:hint="default"/>
          <w:sz w:val="13"/>
          <w:szCs w:val="13"/>
        </w:rPr>
      </w:pPr>
    </w:p>
    <w:p>
      <w:pPr>
        <w:spacing w:line="436" w:lineRule="auto" w:before="35"/>
        <w:ind w:left="558" w:right="6916" w:firstLine="0"/>
        <w:jc w:val="left"/>
        <w:rPr>
          <w:rFonts w:ascii="宋体" w:hAnsi="宋体" w:cs="宋体" w:eastAsia="宋体" w:hint="default"/>
          <w:sz w:val="21"/>
          <w:szCs w:val="21"/>
        </w:rPr>
      </w:pPr>
      <w:r>
        <w:rPr>
          <w:rFonts w:ascii="宋体" w:hAnsi="宋体" w:cs="宋体" w:eastAsia="宋体" w:hint="default"/>
          <w:sz w:val="21"/>
          <w:szCs w:val="21"/>
        </w:rPr>
        <w:t>（七）存货核算方法 存货的分类</w:t>
      </w:r>
    </w:p>
    <w:p>
      <w:pPr>
        <w:spacing w:line="436" w:lineRule="auto" w:before="53"/>
        <w:ind w:left="138" w:right="172" w:firstLine="420"/>
        <w:jc w:val="both"/>
        <w:rPr>
          <w:rFonts w:ascii="宋体" w:hAnsi="宋体" w:cs="宋体" w:eastAsia="宋体" w:hint="default"/>
          <w:sz w:val="21"/>
          <w:szCs w:val="21"/>
        </w:rPr>
      </w:pPr>
      <w:r>
        <w:rPr>
          <w:rFonts w:ascii="宋体" w:hAnsi="宋体" w:cs="宋体" w:eastAsia="宋体" w:hint="default"/>
          <w:sz w:val="21"/>
          <w:szCs w:val="21"/>
        </w:rPr>
        <w:t>存货是指企业在日常活动中持有以备出售的产成品或商品、处在生产过程中的在产品、在生产 过程中或提供劳务过程中耗用的材料和物料等，包括原材料、低值易耗品、包装物、库存商品、受</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托代销商品、开发产品、开发成本等七大类。</w:t>
      </w:r>
    </w:p>
    <w:p>
      <w:pPr>
        <w:spacing w:line="412" w:lineRule="auto" w:before="53"/>
        <w:ind w:left="558" w:right="5032"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）开发成本、开发产品 </w:t>
      </w:r>
      <w:r>
        <w:rPr>
          <w:rFonts w:ascii="Times New Roman" w:hAnsi="Times New Roman" w:cs="Times New Roman" w:eastAsia="Times New Roman" w:hint="default"/>
          <w:sz w:val="21"/>
          <w:szCs w:val="21"/>
        </w:rPr>
        <w:t>A.</w:t>
      </w:r>
      <w:r>
        <w:rPr>
          <w:rFonts w:ascii="宋体" w:hAnsi="宋体" w:cs="宋体" w:eastAsia="宋体" w:hint="default"/>
          <w:sz w:val="21"/>
          <w:szCs w:val="21"/>
        </w:rPr>
        <w:t>开发产品是指已建成、待出售的物业。</w:t>
      </w:r>
    </w:p>
    <w:p>
      <w:pPr>
        <w:spacing w:line="412" w:lineRule="auto" w:before="42"/>
        <w:ind w:left="558" w:right="12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开发成本是指尚未建成、以出售为开发目的的物业，该项目包括公共设施配套费用。 公用设施配套费用的核算方法：按出包方式核算，根据承包企业提出的</w:t>
      </w:r>
      <w:r>
        <w:rPr>
          <w:rFonts w:ascii="Times New Roman" w:hAnsi="Times New Roman" w:cs="Times New Roman" w:eastAsia="Times New Roman" w:hint="default"/>
          <w:sz w:val="21"/>
          <w:szCs w:val="21"/>
        </w:rPr>
        <w:t>“</w:t>
      </w:r>
      <w:r>
        <w:rPr>
          <w:rFonts w:ascii="宋体" w:hAnsi="宋体" w:cs="宋体" w:eastAsia="宋体" w:hint="default"/>
          <w:sz w:val="21"/>
          <w:szCs w:val="21"/>
        </w:rPr>
        <w:t>工程价款结算账单</w:t>
      </w:r>
      <w:r>
        <w:rPr>
          <w:rFonts w:ascii="Times New Roman" w:hAnsi="Times New Roman" w:cs="Times New Roman" w:eastAsia="Times New Roman" w:hint="default"/>
          <w:sz w:val="21"/>
          <w:szCs w:val="21"/>
        </w:rPr>
        <w:t>”</w:t>
      </w:r>
      <w:r>
        <w:rPr>
          <w:rFonts w:ascii="宋体" w:hAnsi="宋体" w:cs="宋体" w:eastAsia="宋体" w:hint="default"/>
          <w:sz w:val="21"/>
          <w:szCs w:val="21"/>
        </w:rPr>
        <w:t>承</w:t>
      </w:r>
    </w:p>
    <w:p>
      <w:pPr>
        <w:spacing w:before="41"/>
        <w:ind w:left="138" w:right="126" w:firstLine="0"/>
        <w:jc w:val="left"/>
        <w:rPr>
          <w:rFonts w:ascii="宋体" w:hAnsi="宋体" w:cs="宋体" w:eastAsia="宋体" w:hint="default"/>
          <w:sz w:val="21"/>
          <w:szCs w:val="21"/>
        </w:rPr>
      </w:pPr>
      <w:r>
        <w:rPr>
          <w:rFonts w:ascii="宋体" w:hAnsi="宋体" w:cs="宋体" w:eastAsia="宋体" w:hint="default"/>
          <w:sz w:val="21"/>
          <w:szCs w:val="21"/>
        </w:rPr>
        <w:t>付工程款，结转开发成本，该项目一并归入开发产品。</w:t>
      </w:r>
    </w:p>
    <w:p>
      <w:pPr>
        <w:spacing w:line="240" w:lineRule="auto" w:before="3"/>
        <w:rPr>
          <w:rFonts w:ascii="宋体" w:hAnsi="宋体" w:cs="宋体" w:eastAsia="宋体" w:hint="default"/>
          <w:sz w:val="17"/>
          <w:szCs w:val="17"/>
        </w:rPr>
      </w:pPr>
    </w:p>
    <w:p>
      <w:pPr>
        <w:spacing w:line="429" w:lineRule="auto" w:before="0"/>
        <w:ind w:left="558" w:right="126"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）质量保证金的核算方法 按土建、安装等工程合同中规定的质量保证金留成比例、支付期限，从应支付的土地安装工程</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款中预留扣下，列为其他应付款。在保修期内因质量问题而发生的维修费用，在预留的款项中</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列支，保修期结束后清算。</w:t>
      </w:r>
    </w:p>
    <w:p>
      <w:pPr>
        <w:spacing w:line="412" w:lineRule="auto" w:before="59"/>
        <w:ind w:left="664" w:right="90" w:hanging="106"/>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）存货的计价 存货盘存制度采用永续盘存法。购入、自制的存货以实际成本入账，发出按加权平均法计价，</w:t>
      </w:r>
    </w:p>
    <w:p>
      <w:pPr>
        <w:spacing w:before="74"/>
        <w:ind w:left="244" w:right="126" w:firstLine="0"/>
        <w:jc w:val="left"/>
        <w:rPr>
          <w:rFonts w:ascii="宋体" w:hAnsi="宋体" w:cs="宋体" w:eastAsia="宋体" w:hint="default"/>
          <w:sz w:val="21"/>
          <w:szCs w:val="21"/>
        </w:rPr>
      </w:pPr>
      <w:r>
        <w:rPr>
          <w:rFonts w:ascii="宋体" w:hAnsi="宋体" w:cs="宋体" w:eastAsia="宋体" w:hint="default"/>
          <w:sz w:val="21"/>
          <w:szCs w:val="21"/>
        </w:rPr>
        <w:t>低值易耗品和包装物领用时一次摊销（大额的采取分次摊销</w:t>
      </w:r>
      <w:r>
        <w:rPr>
          <w:rFonts w:ascii="宋体" w:hAnsi="宋体" w:cs="宋体" w:eastAsia="宋体" w:hint="default"/>
          <w:spacing w:val="-105"/>
          <w:sz w:val="21"/>
          <w:szCs w:val="21"/>
        </w:rPr>
        <w:t>）</w:t>
      </w:r>
      <w:r>
        <w:rPr>
          <w:rFonts w:ascii="宋体" w:hAnsi="宋体" w:cs="宋体" w:eastAsia="宋体" w:hint="default"/>
          <w:sz w:val="21"/>
          <w:szCs w:val="21"/>
        </w:rPr>
        <w:t>。</w:t>
      </w:r>
    </w:p>
    <w:p>
      <w:pPr>
        <w:spacing w:line="240" w:lineRule="auto" w:before="3"/>
        <w:rPr>
          <w:rFonts w:ascii="宋体" w:hAnsi="宋体" w:cs="宋体" w:eastAsia="宋体" w:hint="default"/>
          <w:sz w:val="17"/>
          <w:szCs w:val="17"/>
        </w:rPr>
      </w:pPr>
    </w:p>
    <w:p>
      <w:pPr>
        <w:spacing w:line="412" w:lineRule="auto" w:before="0"/>
        <w:ind w:left="558" w:right="126"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）存货跌价准备的计提方法 本公司于每年中期期末及年度终了在对存货进行全面盘点的基础上，对遭受损失，全部或部分</w:t>
      </w:r>
    </w:p>
    <w:p>
      <w:pPr>
        <w:spacing w:line="436" w:lineRule="auto" w:before="74"/>
        <w:ind w:left="0" w:right="108" w:firstLine="0"/>
        <w:jc w:val="right"/>
        <w:rPr>
          <w:rFonts w:ascii="宋体" w:hAnsi="宋体" w:cs="宋体" w:eastAsia="宋体" w:hint="default"/>
          <w:sz w:val="21"/>
          <w:szCs w:val="21"/>
        </w:rPr>
      </w:pPr>
      <w:r>
        <w:rPr>
          <w:rFonts w:ascii="宋体" w:hAnsi="宋体" w:cs="宋体" w:eastAsia="宋体" w:hint="default"/>
          <w:spacing w:val="-2"/>
          <w:sz w:val="21"/>
          <w:szCs w:val="21"/>
        </w:rPr>
        <w:t>陈旧过时或销售价格低于成本的存货，根据存货成本与可变现净值孰低计量，按单个存货项目对同</w:t>
      </w:r>
      <w:r>
        <w:rPr>
          <w:rFonts w:ascii="宋体" w:hAnsi="宋体" w:cs="宋体" w:eastAsia="宋体" w:hint="default"/>
          <w:sz w:val="21"/>
          <w:szCs w:val="21"/>
        </w:rPr>
        <w:t> </w:t>
      </w:r>
      <w:r>
        <w:rPr>
          <w:rFonts w:ascii="宋体" w:hAnsi="宋体" w:cs="宋体" w:eastAsia="宋体" w:hint="default"/>
          <w:spacing w:val="-2"/>
          <w:sz w:val="21"/>
          <w:szCs w:val="21"/>
        </w:rPr>
        <w:t>类存货项目的可变现净值低于存货成本的差额计提存货跌价准备，并计入当期损益。确定可变现净</w:t>
      </w:r>
      <w:r>
        <w:rPr>
          <w:rFonts w:ascii="宋体" w:hAnsi="宋体" w:cs="宋体" w:eastAsia="宋体" w:hint="default"/>
          <w:sz w:val="21"/>
          <w:szCs w:val="21"/>
        </w:rPr>
        <w:t> 值时，除考虑持有目的和资产负债表日该存货的价格与成本波动外，还需要考虑未来事项的影响。 存货可变现净值系根据本公司在正常经营过程中，以估计售价减去估计完工成本及销售所必须</w:t>
      </w:r>
    </w:p>
    <w:p>
      <w:pPr>
        <w:spacing w:before="53"/>
        <w:ind w:left="138" w:right="126" w:firstLine="0"/>
        <w:jc w:val="left"/>
        <w:rPr>
          <w:rFonts w:ascii="宋体" w:hAnsi="宋体" w:cs="宋体" w:eastAsia="宋体" w:hint="default"/>
          <w:sz w:val="21"/>
          <w:szCs w:val="21"/>
        </w:rPr>
      </w:pPr>
      <w:r>
        <w:rPr>
          <w:rFonts w:ascii="宋体" w:hAnsi="宋体" w:cs="宋体" w:eastAsia="宋体" w:hint="default"/>
          <w:sz w:val="21"/>
          <w:szCs w:val="21"/>
        </w:rPr>
        <w:t>的估计费用后的价值。</w:t>
      </w:r>
    </w:p>
    <w:p>
      <w:pPr>
        <w:spacing w:after="0"/>
        <w:jc w:val="left"/>
        <w:rPr>
          <w:rFonts w:ascii="宋体" w:hAnsi="宋体" w:cs="宋体" w:eastAsia="宋体" w:hint="default"/>
          <w:sz w:val="21"/>
          <w:szCs w:val="21"/>
        </w:rPr>
        <w:sectPr>
          <w:pgSz w:w="11910" w:h="16840"/>
          <w:pgMar w:header="0" w:footer="710" w:top="580" w:bottom="900" w:left="1280" w:right="1240"/>
        </w:sectPr>
      </w:pPr>
    </w:p>
    <w:p>
      <w:pPr>
        <w:pStyle w:val="Heading2"/>
        <w:spacing w:line="310" w:lineRule="exact"/>
        <w:ind w:right="2996"/>
        <w:jc w:val="center"/>
        <w:rPr>
          <w:b w:val="0"/>
          <w:bCs w:val="0"/>
        </w:rPr>
      </w:pPr>
      <w:r>
        <w:rPr/>
        <w:pict>
          <v:shape style="position:absolute;margin-left:88.919998pt;margin-top:3.990308pt;width:57.0pt;height:31.5pt;mso-position-horizontal-relative:page;mso-position-vertical-relative:paragraph;z-index:2584"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645" w:right="725"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13"/>
          <w:szCs w:val="13"/>
        </w:rPr>
      </w:pPr>
    </w:p>
    <w:p>
      <w:pPr>
        <w:spacing w:before="35"/>
        <w:ind w:left="558" w:right="111" w:firstLine="0"/>
        <w:jc w:val="left"/>
        <w:rPr>
          <w:rFonts w:ascii="宋体" w:hAnsi="宋体" w:cs="宋体" w:eastAsia="宋体" w:hint="default"/>
          <w:sz w:val="21"/>
          <w:szCs w:val="21"/>
        </w:rPr>
      </w:pPr>
      <w:r>
        <w:rPr>
          <w:rFonts w:ascii="宋体" w:hAnsi="宋体" w:cs="宋体" w:eastAsia="宋体" w:hint="default"/>
          <w:sz w:val="21"/>
          <w:szCs w:val="21"/>
        </w:rPr>
        <w:t>（八）长期股权投资</w:t>
      </w:r>
    </w:p>
    <w:p>
      <w:pPr>
        <w:spacing w:line="240" w:lineRule="auto" w:before="2"/>
        <w:rPr>
          <w:rFonts w:ascii="宋体" w:hAnsi="宋体" w:cs="宋体" w:eastAsia="宋体" w:hint="default"/>
          <w:sz w:val="17"/>
          <w:szCs w:val="17"/>
        </w:rPr>
      </w:pPr>
    </w:p>
    <w:p>
      <w:pPr>
        <w:spacing w:line="412" w:lineRule="auto" w:before="0"/>
        <w:ind w:left="558" w:right="111"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、初始计量 企业合并中形成的长期股权投资，如果是同一控制下的企业合并，公司以支付现金、转让非现</w:t>
      </w:r>
    </w:p>
    <w:p>
      <w:pPr>
        <w:spacing w:line="436" w:lineRule="auto" w:before="74"/>
        <w:ind w:left="138" w:right="212" w:firstLine="0"/>
        <w:jc w:val="both"/>
        <w:rPr>
          <w:rFonts w:ascii="宋体" w:hAnsi="宋体" w:cs="宋体" w:eastAsia="宋体" w:hint="default"/>
          <w:sz w:val="21"/>
          <w:szCs w:val="21"/>
        </w:rPr>
      </w:pPr>
      <w:r>
        <w:rPr>
          <w:rFonts w:ascii="宋体" w:hAnsi="宋体" w:cs="宋体" w:eastAsia="宋体" w:hint="default"/>
          <w:sz w:val="21"/>
          <w:szCs w:val="21"/>
        </w:rPr>
        <w:t>金资产或承担债务方式作为合并对价的，在合并日按照取得被合并方所有者权益账面价值的份额作</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为长期股权投资的初始投资成本。长期股权投资初始投资成本与支付的现金、转让的非现金资产以</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及所承担债务账面价值之间的差额，调整资本公积；资本公积不足冲减的，调整留存收益；非同一</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控制下的企业合并，购买方在购买日按照公司在购买日为取得对被购买方的控制权而付出的资产、</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发生或承担的负债以及发行的权益性证券的公允价值加上直接相关税费作为长期股权投资的初始投</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资成本。</w:t>
      </w:r>
    </w:p>
    <w:p>
      <w:pPr>
        <w:spacing w:line="412" w:lineRule="auto" w:before="53"/>
        <w:ind w:left="558" w:right="4401"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、后续计量 </w:t>
      </w:r>
      <w:r>
        <w:rPr>
          <w:rFonts w:ascii="Times New Roman" w:hAnsi="Times New Roman" w:cs="Times New Roman" w:eastAsia="Times New Roman" w:hint="default"/>
          <w:sz w:val="21"/>
          <w:szCs w:val="21"/>
        </w:rPr>
        <w:t>(1)</w:t>
      </w:r>
      <w:r>
        <w:rPr>
          <w:rFonts w:ascii="宋体" w:hAnsi="宋体" w:cs="宋体" w:eastAsia="宋体" w:hint="default"/>
          <w:sz w:val="21"/>
          <w:szCs w:val="21"/>
        </w:rPr>
        <w:t>本公司对下列长期股权投资采用成本法核算：</w:t>
      </w:r>
    </w:p>
    <w:p>
      <w:pPr>
        <w:spacing w:line="412" w:lineRule="auto" w:before="42"/>
        <w:ind w:left="138" w:right="212" w:firstLine="420"/>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a.</w:t>
      </w:r>
      <w:r>
        <w:rPr>
          <w:rFonts w:ascii="宋体" w:hAnsi="宋体" w:cs="宋体" w:eastAsia="宋体" w:hint="default"/>
          <w:spacing w:val="2"/>
          <w:sz w:val="21"/>
          <w:szCs w:val="21"/>
        </w:rPr>
        <w:t>能够对被投资单位实施控制的长期股权投资。对子公司的长期股权投资，采用成本法核算， </w:t>
      </w:r>
      <w:r>
        <w:rPr>
          <w:rFonts w:ascii="宋体" w:hAnsi="宋体" w:cs="宋体" w:eastAsia="宋体" w:hint="default"/>
          <w:sz w:val="21"/>
          <w:szCs w:val="21"/>
        </w:rPr>
        <w:t>编制合并财务报表时按照权益法进行调整；</w:t>
      </w:r>
    </w:p>
    <w:p>
      <w:pPr>
        <w:spacing w:line="412" w:lineRule="auto" w:before="73"/>
        <w:ind w:left="138" w:right="213"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对被投资单位不具有共同控制或重大影响，并且在活跃市场中没有报价、公允价值不能可靠 计量的长期股权投资。</w:t>
      </w:r>
    </w:p>
    <w:p>
      <w:pPr>
        <w:spacing w:line="436" w:lineRule="auto" w:before="74"/>
        <w:ind w:left="138" w:right="212" w:firstLine="420"/>
        <w:jc w:val="both"/>
        <w:rPr>
          <w:rFonts w:ascii="宋体" w:hAnsi="宋体" w:cs="宋体" w:eastAsia="宋体" w:hint="default"/>
          <w:sz w:val="21"/>
          <w:szCs w:val="21"/>
        </w:rPr>
      </w:pPr>
      <w:r>
        <w:rPr>
          <w:rFonts w:ascii="宋体" w:hAnsi="宋体" w:cs="宋体" w:eastAsia="宋体" w:hint="default"/>
          <w:sz w:val="21"/>
          <w:szCs w:val="21"/>
        </w:rPr>
        <w:t>采用成本法核算的长期股权投资按照初始投资成本计价。追加或收回投资时调整长期股权投资 的成本。被投资单位宣告分派的现金股利或利润，确认为当期投资收益。确认的投资收益仅限于被</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投资单位接受投资后产生的累积净利润的分配额，所获得的利润或现金股利超过上述数额的部分作</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为初始投资成本的收回。</w:t>
      </w:r>
    </w:p>
    <w:p>
      <w:pPr>
        <w:spacing w:line="412" w:lineRule="auto" w:before="52"/>
        <w:ind w:left="558" w:right="11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本公司对被投资单位具有共同控制或重大影响的长期股权投资，采用权益法核算。</w:t>
      </w:r>
      <w:r>
        <w:rPr>
          <w:rFonts w:ascii="宋体" w:hAnsi="宋体" w:cs="宋体" w:eastAsia="宋体" w:hint="default"/>
          <w:w w:val="99"/>
          <w:sz w:val="21"/>
          <w:szCs w:val="21"/>
        </w:rPr>
        <w:t> </w:t>
      </w:r>
      <w:r>
        <w:rPr>
          <w:rFonts w:ascii="宋体" w:hAnsi="宋体" w:cs="宋体" w:eastAsia="宋体" w:hint="default"/>
          <w:sz w:val="21"/>
          <w:szCs w:val="21"/>
        </w:rPr>
        <w:t>公司取得长期股权投资后，按照应享有或应分担的被投资单位实现的净损益的份额，确认投资</w:t>
      </w:r>
    </w:p>
    <w:p>
      <w:pPr>
        <w:spacing w:line="436" w:lineRule="auto" w:before="74"/>
        <w:ind w:left="138" w:right="100" w:firstLine="0"/>
        <w:jc w:val="left"/>
        <w:rPr>
          <w:rFonts w:ascii="宋体" w:hAnsi="宋体" w:cs="宋体" w:eastAsia="宋体" w:hint="default"/>
          <w:sz w:val="21"/>
          <w:szCs w:val="21"/>
        </w:rPr>
      </w:pPr>
      <w:r>
        <w:rPr>
          <w:rFonts w:ascii="宋体" w:hAnsi="宋体" w:cs="宋体" w:eastAsia="宋体" w:hint="default"/>
          <w:sz w:val="21"/>
          <w:szCs w:val="21"/>
        </w:rPr>
        <w:t>损益并调整长期股权投资的账面价值；按照被投资单位宣告分派的利润或现金股利计算应分得的部</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分，相应减少长期股权投资的账面价值。公司确认被投资单位发生的净亏损，以长期股权投资的账</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面价值以及其他实质上构成对被投资单位净投资的长期权益减记至零为限，公司负有承担额外损失</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2"/>
          <w:sz w:val="21"/>
          <w:szCs w:val="21"/>
        </w:rPr>
        <w:t>义务的除外。被投资单位以后实现净利润的，投资企业在其收益分享额弥补未确认的亏损分担额后，</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恢复确认收益分享额。</w:t>
      </w:r>
    </w:p>
    <w:p>
      <w:pPr>
        <w:spacing w:before="53"/>
        <w:ind w:left="558" w:right="111" w:firstLine="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(3)</w:t>
      </w:r>
      <w:r>
        <w:rPr>
          <w:rFonts w:ascii="宋体" w:hAnsi="宋体" w:cs="宋体" w:eastAsia="宋体" w:hint="default"/>
          <w:spacing w:val="-2"/>
          <w:sz w:val="21"/>
          <w:szCs w:val="21"/>
        </w:rPr>
        <w:t>处置长期股权投资，其账面价值与实际取得价款的差额，计入当期损益。</w:t>
      </w:r>
      <w:r>
        <w:rPr>
          <w:rFonts w:ascii="宋体" w:hAnsi="宋体" w:cs="宋体" w:eastAsia="宋体" w:hint="default"/>
          <w:spacing w:val="-27"/>
          <w:sz w:val="21"/>
          <w:szCs w:val="21"/>
        </w:rPr>
        <w:t> </w:t>
      </w:r>
      <w:r>
        <w:rPr>
          <w:rFonts w:ascii="宋体" w:hAnsi="宋体" w:cs="宋体" w:eastAsia="宋体" w:hint="default"/>
          <w:spacing w:val="-1"/>
          <w:sz w:val="21"/>
          <w:szCs w:val="21"/>
        </w:rPr>
        <w:t>采用权益法核算的</w:t>
      </w:r>
    </w:p>
    <w:p>
      <w:pPr>
        <w:spacing w:after="0"/>
        <w:jc w:val="left"/>
        <w:rPr>
          <w:rFonts w:ascii="宋体" w:hAnsi="宋体" w:cs="宋体" w:eastAsia="宋体" w:hint="default"/>
          <w:sz w:val="21"/>
          <w:szCs w:val="21"/>
        </w:rPr>
        <w:sectPr>
          <w:pgSz w:w="11910" w:h="16840"/>
          <w:pgMar w:header="0" w:footer="710" w:top="580" w:bottom="900" w:left="1280" w:right="1200"/>
        </w:sectPr>
      </w:pPr>
    </w:p>
    <w:p>
      <w:pPr>
        <w:pStyle w:val="Heading2"/>
        <w:spacing w:line="310" w:lineRule="exact"/>
        <w:ind w:right="2996"/>
        <w:jc w:val="center"/>
        <w:rPr>
          <w:b w:val="0"/>
          <w:bCs w:val="0"/>
        </w:rPr>
      </w:pPr>
      <w:r>
        <w:rPr/>
        <w:pict>
          <v:shape style="position:absolute;margin-left:88.919998pt;margin-top:3.990308pt;width:57.0pt;height:31.5pt;mso-position-horizontal-relative:page;mso-position-vertical-relative:paragraph;z-index:2896"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645" w:right="725"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13"/>
          <w:szCs w:val="13"/>
        </w:rPr>
      </w:pPr>
    </w:p>
    <w:p>
      <w:pPr>
        <w:spacing w:line="436" w:lineRule="auto" w:before="35"/>
        <w:ind w:left="138" w:right="198" w:firstLine="0"/>
        <w:jc w:val="left"/>
        <w:rPr>
          <w:rFonts w:ascii="宋体" w:hAnsi="宋体" w:cs="宋体" w:eastAsia="宋体" w:hint="default"/>
          <w:sz w:val="21"/>
          <w:szCs w:val="21"/>
        </w:rPr>
      </w:pPr>
      <w:r>
        <w:rPr>
          <w:rFonts w:ascii="宋体" w:hAnsi="宋体" w:cs="宋体" w:eastAsia="宋体" w:hint="default"/>
          <w:sz w:val="21"/>
          <w:szCs w:val="21"/>
        </w:rPr>
        <w:t>长期股权投资，因被投资单位除净损益以外所有者权益的其他</w:t>
      </w:r>
      <w:r>
        <w:rPr>
          <w:rFonts w:ascii="宋体" w:hAnsi="宋体" w:cs="宋体" w:eastAsia="宋体" w:hint="default"/>
          <w:spacing w:val="-19"/>
          <w:sz w:val="21"/>
          <w:szCs w:val="21"/>
        </w:rPr>
        <w:t> </w:t>
      </w:r>
      <w:r>
        <w:rPr>
          <w:rFonts w:ascii="宋体" w:hAnsi="宋体" w:cs="宋体" w:eastAsia="宋体" w:hint="default"/>
          <w:spacing w:val="-3"/>
          <w:sz w:val="21"/>
          <w:szCs w:val="21"/>
        </w:rPr>
        <w:t>变动而计入所有者权益的，处置该项</w:t>
      </w:r>
      <w:r>
        <w:rPr>
          <w:rFonts w:ascii="宋体" w:hAnsi="宋体" w:cs="宋体" w:eastAsia="宋体" w:hint="default"/>
          <w:sz w:val="21"/>
          <w:szCs w:val="21"/>
        </w:rPr>
        <w:t> 投资时将原计入所有者权益的部分按相应比</w:t>
      </w:r>
      <w:r>
        <w:rPr>
          <w:rFonts w:ascii="宋体" w:hAnsi="宋体" w:cs="宋体" w:eastAsia="宋体" w:hint="default"/>
          <w:spacing w:val="-2"/>
          <w:sz w:val="21"/>
          <w:szCs w:val="21"/>
        </w:rPr>
        <w:t> </w:t>
      </w:r>
      <w:r>
        <w:rPr>
          <w:rFonts w:ascii="宋体" w:hAnsi="宋体" w:cs="宋体" w:eastAsia="宋体" w:hint="default"/>
          <w:sz w:val="21"/>
          <w:szCs w:val="21"/>
        </w:rPr>
        <w:t>例转入当期损益。</w:t>
      </w:r>
    </w:p>
    <w:p>
      <w:pPr>
        <w:spacing w:line="412" w:lineRule="auto" w:before="53"/>
        <w:ind w:left="558" w:right="111"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、长期股权投资减值准备的确认标准及计提方法 长期股权投资减值准备的计提见资产减值相关会计政策。减值损失一经确认，在以后会计期间</w:t>
      </w:r>
    </w:p>
    <w:p>
      <w:pPr>
        <w:spacing w:before="73"/>
        <w:ind w:left="138" w:right="111" w:firstLine="0"/>
        <w:jc w:val="left"/>
        <w:rPr>
          <w:rFonts w:ascii="宋体" w:hAnsi="宋体" w:cs="宋体" w:eastAsia="宋体" w:hint="default"/>
          <w:sz w:val="21"/>
          <w:szCs w:val="21"/>
        </w:rPr>
      </w:pPr>
      <w:r>
        <w:rPr>
          <w:rFonts w:ascii="宋体" w:hAnsi="宋体" w:cs="宋体" w:eastAsia="宋体" w:hint="default"/>
          <w:sz w:val="21"/>
          <w:szCs w:val="21"/>
        </w:rPr>
        <w:t>不得转回。</w:t>
      </w:r>
    </w:p>
    <w:p>
      <w:pPr>
        <w:spacing w:line="240" w:lineRule="auto" w:before="3"/>
        <w:rPr>
          <w:rFonts w:ascii="宋体" w:hAnsi="宋体" w:cs="宋体" w:eastAsia="宋体" w:hint="default"/>
          <w:sz w:val="17"/>
          <w:szCs w:val="17"/>
        </w:rPr>
      </w:pPr>
    </w:p>
    <w:p>
      <w:pPr>
        <w:spacing w:line="436" w:lineRule="auto" w:before="0"/>
        <w:ind w:left="558" w:right="1916" w:firstLine="0"/>
        <w:jc w:val="left"/>
        <w:rPr>
          <w:rFonts w:ascii="宋体" w:hAnsi="宋体" w:cs="宋体" w:eastAsia="宋体" w:hint="default"/>
          <w:sz w:val="21"/>
          <w:szCs w:val="21"/>
        </w:rPr>
      </w:pPr>
      <w:r>
        <w:rPr>
          <w:rFonts w:ascii="宋体" w:hAnsi="宋体" w:cs="宋体" w:eastAsia="宋体" w:hint="default"/>
          <w:sz w:val="21"/>
          <w:szCs w:val="21"/>
        </w:rPr>
        <w:t>（九）投资性房地产 投资性房地产，是指为赚取租金或资本增值，或两者兼有而持有的房地产。 </w:t>
      </w:r>
      <w:r>
        <w:rPr>
          <w:rFonts w:ascii="Times New Roman" w:hAnsi="Times New Roman" w:cs="Times New Roman" w:eastAsia="Times New Roman" w:hint="default"/>
          <w:sz w:val="21"/>
          <w:szCs w:val="21"/>
        </w:rPr>
        <w:t>1</w:t>
      </w:r>
      <w:r>
        <w:rPr>
          <w:rFonts w:ascii="宋体" w:hAnsi="宋体" w:cs="宋体" w:eastAsia="宋体" w:hint="default"/>
          <w:sz w:val="21"/>
          <w:szCs w:val="21"/>
        </w:rPr>
        <w:t>、投资性房地产按照成本进行初始计量：</w:t>
      </w:r>
    </w:p>
    <w:p>
      <w:pPr>
        <w:spacing w:before="19"/>
        <w:ind w:left="558" w:right="11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）外购投资性房地产的成本，包括购买价款、相关税费和可直接归属于该资产的其他支出。</w:t>
      </w:r>
    </w:p>
    <w:p>
      <w:pPr>
        <w:spacing w:line="240" w:lineRule="auto" w:before="0"/>
        <w:rPr>
          <w:rFonts w:ascii="宋体" w:hAnsi="宋体" w:cs="宋体" w:eastAsia="宋体" w:hint="default"/>
          <w:sz w:val="16"/>
          <w:szCs w:val="16"/>
        </w:rPr>
      </w:pPr>
    </w:p>
    <w:p>
      <w:pPr>
        <w:spacing w:line="412" w:lineRule="auto" w:before="0"/>
        <w:ind w:left="138" w:right="111"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）自行建造投资性房地产的成本，由建造该项资产达到预定可使用状态前所发生的必要支出</w:t>
      </w:r>
      <w:r>
        <w:rPr>
          <w:rFonts w:ascii="宋体" w:hAnsi="宋体" w:cs="宋体" w:eastAsia="宋体" w:hint="default"/>
          <w:sz w:val="21"/>
          <w:szCs w:val="21"/>
        </w:rPr>
        <w:t> 构成。</w:t>
      </w:r>
    </w:p>
    <w:p>
      <w:pPr>
        <w:spacing w:before="74"/>
        <w:ind w:left="558" w:right="11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）以其他方式取得的投资性房地产的成本，按照相关会计准则的规定确定。</w:t>
      </w:r>
    </w:p>
    <w:p>
      <w:pPr>
        <w:spacing w:line="240" w:lineRule="auto" w:before="0"/>
        <w:rPr>
          <w:rFonts w:ascii="宋体" w:hAnsi="宋体" w:cs="宋体" w:eastAsia="宋体" w:hint="default"/>
          <w:sz w:val="16"/>
          <w:szCs w:val="16"/>
        </w:rPr>
      </w:pPr>
    </w:p>
    <w:p>
      <w:pPr>
        <w:spacing w:line="412" w:lineRule="auto" w:before="0"/>
        <w:ind w:left="558" w:right="111"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、后续计量 与投资性房地产有关的后续支出，如与该投资性房地产有关的经济利益很可能流入企业且该投</w:t>
      </w:r>
    </w:p>
    <w:p>
      <w:pPr>
        <w:spacing w:line="436" w:lineRule="auto" w:before="74"/>
        <w:ind w:left="558" w:right="656" w:hanging="420"/>
        <w:jc w:val="left"/>
        <w:rPr>
          <w:rFonts w:ascii="宋体" w:hAnsi="宋体" w:cs="宋体" w:eastAsia="宋体" w:hint="default"/>
          <w:sz w:val="21"/>
          <w:szCs w:val="21"/>
        </w:rPr>
      </w:pPr>
      <w:r>
        <w:rPr>
          <w:rFonts w:ascii="宋体" w:hAnsi="宋体" w:cs="宋体" w:eastAsia="宋体" w:hint="default"/>
          <w:sz w:val="21"/>
          <w:szCs w:val="21"/>
        </w:rPr>
        <w:t>资性房地产的成本能够可靠地计量，则计入投资性房地产成本；否则在发生时计入当期损益。 公司在资产负债表日采用成本模式对投资性房地产进行后续计量。</w:t>
      </w:r>
    </w:p>
    <w:p>
      <w:pPr>
        <w:spacing w:line="412" w:lineRule="auto" w:before="52"/>
        <w:ind w:left="978" w:right="3596"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、折旧及减值准备 比照本附注（十）固定资产的折旧和减值准备执行。</w:t>
      </w:r>
    </w:p>
    <w:p>
      <w:pPr>
        <w:spacing w:before="74"/>
        <w:ind w:left="558" w:right="111" w:firstLine="0"/>
        <w:jc w:val="left"/>
        <w:rPr>
          <w:rFonts w:ascii="宋体" w:hAnsi="宋体" w:cs="宋体" w:eastAsia="宋体" w:hint="default"/>
          <w:sz w:val="21"/>
          <w:szCs w:val="21"/>
        </w:rPr>
      </w:pPr>
      <w:r>
        <w:rPr>
          <w:rFonts w:ascii="宋体" w:hAnsi="宋体" w:cs="宋体" w:eastAsia="宋体" w:hint="default"/>
          <w:sz w:val="21"/>
          <w:szCs w:val="21"/>
        </w:rPr>
        <w:t>（十）固定资产计价和折旧方法</w:t>
      </w:r>
    </w:p>
    <w:p>
      <w:pPr>
        <w:spacing w:line="240" w:lineRule="auto" w:before="2"/>
        <w:rPr>
          <w:rFonts w:ascii="宋体" w:hAnsi="宋体" w:cs="宋体" w:eastAsia="宋体" w:hint="default"/>
          <w:sz w:val="17"/>
          <w:szCs w:val="17"/>
        </w:rPr>
      </w:pPr>
    </w:p>
    <w:p>
      <w:pPr>
        <w:spacing w:before="0"/>
        <w:ind w:left="558" w:right="0" w:firstLine="0"/>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1</w:t>
      </w:r>
      <w:r>
        <w:rPr>
          <w:rFonts w:ascii="宋体" w:hAnsi="宋体" w:cs="宋体" w:eastAsia="宋体" w:hint="default"/>
          <w:spacing w:val="-4"/>
          <w:sz w:val="21"/>
          <w:szCs w:val="21"/>
        </w:rPr>
        <w:t>、固定资产指使用期限超过一年，为生产商品、提供劳务、出租或经营管理而持有的有形资产。</w:t>
      </w:r>
    </w:p>
    <w:p>
      <w:pPr>
        <w:spacing w:line="240" w:lineRule="auto" w:before="0"/>
        <w:rPr>
          <w:rFonts w:ascii="宋体" w:hAnsi="宋体" w:cs="宋体" w:eastAsia="宋体" w:hint="default"/>
          <w:sz w:val="16"/>
          <w:szCs w:val="16"/>
        </w:rPr>
      </w:pPr>
    </w:p>
    <w:p>
      <w:pPr>
        <w:spacing w:line="412" w:lineRule="auto" w:before="0"/>
        <w:ind w:left="138" w:right="111" w:firstLine="42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、固定资产计价：公司固定资产按实际成本或评估确定的价值计价，并参照行业财务制度规定</w:t>
      </w:r>
      <w:r>
        <w:rPr>
          <w:rFonts w:ascii="宋体" w:hAnsi="宋体" w:cs="宋体" w:eastAsia="宋体" w:hint="default"/>
          <w:sz w:val="21"/>
          <w:szCs w:val="21"/>
        </w:rPr>
        <w:t> 按单个固定资产确定折旧年限，采用平均年限法计提折旧，预计残值率为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w:t>
      </w:r>
    </w:p>
    <w:p>
      <w:pPr>
        <w:spacing w:before="41"/>
        <w:ind w:left="558" w:right="111" w:firstLine="0"/>
        <w:jc w:val="left"/>
        <w:rPr>
          <w:rFonts w:ascii="宋体" w:hAnsi="宋体" w:cs="宋体" w:eastAsia="宋体" w:hint="default"/>
          <w:sz w:val="21"/>
          <w:szCs w:val="21"/>
        </w:rPr>
      </w:pPr>
      <w:r>
        <w:rPr>
          <w:rFonts w:ascii="宋体" w:hAnsi="宋体" w:cs="宋体" w:eastAsia="宋体" w:hint="default"/>
          <w:sz w:val="21"/>
          <w:szCs w:val="21"/>
        </w:rPr>
        <w:t>公司各类固定资产折旧年限如下：</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0"/>
          <w:szCs w:val="20"/>
        </w:rPr>
      </w:pPr>
    </w:p>
    <w:p>
      <w:pPr>
        <w:spacing w:line="1549" w:lineRule="exact"/>
        <w:ind w:left="469"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34.25pt;height:77.5pt;mso-position-horizontal-relative:char;mso-position-vertical-relative:line" coordorigin="0,0" coordsize="8685,1550">
            <v:group style="position:absolute;left:29;top:15;width:8633;height:2" coordorigin="29,15" coordsize="8633,2">
              <v:shape style="position:absolute;left:29;top:15;width:8633;height:2" coordorigin="29,15" coordsize="8633,0" path="m29,15l8662,15e" filled="false" stroked="true" strokeweight="1.5pt" strokecolor="#000000">
                <v:path arrowok="t"/>
              </v:shape>
              <v:shape style="position:absolute;left:2885;top:11;width:2928;height:528" type="#_x0000_t75" stroked="false">
                <v:imagedata r:id="rId20" o:title=""/>
              </v:shape>
            </v:group>
            <v:group style="position:absolute;left:15;top:1534;width:2890;height:2" coordorigin="15,1534" coordsize="2890,2">
              <v:shape style="position:absolute;left:15;top:1534;width:2890;height:2" coordorigin="15,1534" coordsize="2890,0" path="m15,1534l2905,1534e" filled="false" stroked="true" strokeweight="1.5pt" strokecolor="#000000">
                <v:path arrowok="t"/>
              </v:shape>
              <v:shape style="position:absolute;left:10;top:507;width:8667;height:1032" type="#_x0000_t75" stroked="false">
                <v:imagedata r:id="rId21" o:title=""/>
              </v:shape>
            </v:group>
            <v:group style="position:absolute;left:2905;top:1534;width:2880;height:2" coordorigin="2905,1534" coordsize="2880,2">
              <v:shape style="position:absolute;left:2905;top:1534;width:2880;height:2" coordorigin="2905,1534" coordsize="2880,0" path="m2905,1534l5785,1534e" filled="false" stroked="true" strokeweight="1.5pt" strokecolor="#000000">
                <v:path arrowok="t"/>
              </v:shape>
              <v:shape style="position:absolute;left:5765;top:1010;width:48;height:528" type="#_x0000_t75" stroked="false">
                <v:imagedata r:id="rId22" o:title=""/>
              </v:shape>
            </v:group>
            <v:group style="position:absolute;left:5785;top:1534;width:2885;height:2" coordorigin="5785,1534" coordsize="2885,2">
              <v:shape style="position:absolute;left:5785;top:1534;width:2885;height:2" coordorigin="5785,1534" coordsize="2885,0" path="m5785,1534l8669,1534e" filled="false" stroked="true" strokeweight="1.5pt" strokecolor="#000000">
                <v:path arrowok="t"/>
              </v:shape>
              <v:shape style="position:absolute;left:1048;top:27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类</w:t>
                      </w:r>
                    </w:p>
                  </w:txbxContent>
                </v:textbox>
                <w10:wrap type="none"/>
              </v:shape>
              <v:shape style="position:absolute;left:1680;top:27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别</w:t>
                      </w:r>
                    </w:p>
                  </w:txbxContent>
                </v:textbox>
                <w10:wrap type="none"/>
              </v:shape>
              <v:shape style="position:absolute;left:3930;top:2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折旧年限</w:t>
                      </w:r>
                    </w:p>
                  </w:txbxContent>
                </v:textbox>
                <w10:wrap type="none"/>
              </v:shape>
              <v:shape style="position:absolute;left:6652;top:278;width:1155;height:222" type="#_x0000_t202" filled="false" stroked="false">
                <v:textbox inset="0,0,0,0">
                  <w:txbxContent>
                    <w:p>
                      <w:pPr>
                        <w:spacing w:line="221" w:lineRule="exact" w:before="0"/>
                        <w:ind w:left="0"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年折旧率</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r>
                    </w:p>
                  </w:txbxContent>
                </v:textbox>
                <w10:wrap type="none"/>
              </v:shape>
              <v:shape style="position:absolute;left:137;top:77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房屋及建筑物</w:t>
                      </w:r>
                    </w:p>
                  </w:txbxContent>
                </v:textbox>
                <w10:wrap type="none"/>
              </v:shape>
              <v:shape style="position:absolute;left:4244;top:803;width:21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w:t>
                      </w:r>
                    </w:p>
                  </w:txbxContent>
                </v:textbox>
                <w10:wrap type="none"/>
              </v:shape>
              <v:shape style="position:absolute;left:7044;top:803;width:36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4.50</w:t>
                      </w:r>
                    </w:p>
                  </w:txbxContent>
                </v:textbox>
                <w10:wrap type="none"/>
              </v:shape>
              <v:shape style="position:absolute;left:137;top:12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机器设备</w:t>
                      </w:r>
                    </w:p>
                  </w:txbxContent>
                </v:textbox>
                <w10:wrap type="none"/>
              </v:shape>
              <v:shape style="position:absolute;left:4244;top:1303;width:21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10</w:t>
                      </w:r>
                    </w:p>
                  </w:txbxContent>
                </v:textbox>
                <w10:wrap type="none"/>
              </v:shape>
              <v:shape style="position:absolute;left:7044;top:1303;width:36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9.00</w:t>
                      </w:r>
                    </w:p>
                  </w:txbxContent>
                </v:textbox>
                <w10:wrap type="none"/>
              </v:shape>
            </v:group>
          </v:group>
        </w:pict>
      </w:r>
      <w:r>
        <w:rPr>
          <w:rFonts w:ascii="宋体" w:hAnsi="宋体" w:cs="宋体" w:eastAsia="宋体" w:hint="default"/>
          <w:position w:val="-30"/>
          <w:sz w:val="20"/>
          <w:szCs w:val="20"/>
        </w:rPr>
      </w:r>
    </w:p>
    <w:p>
      <w:pPr>
        <w:spacing w:after="0" w:line="1549" w:lineRule="exact"/>
        <w:rPr>
          <w:rFonts w:ascii="宋体" w:hAnsi="宋体" w:cs="宋体" w:eastAsia="宋体" w:hint="default"/>
          <w:sz w:val="20"/>
          <w:szCs w:val="20"/>
        </w:rPr>
        <w:sectPr>
          <w:pgSz w:w="11910" w:h="16840"/>
          <w:pgMar w:header="0" w:footer="710" w:top="580" w:bottom="900" w:left="1280" w:right="1200"/>
        </w:sectPr>
      </w:pPr>
    </w:p>
    <w:p>
      <w:pPr>
        <w:pStyle w:val="Heading2"/>
        <w:spacing w:line="310" w:lineRule="exact"/>
        <w:ind w:right="2996"/>
        <w:jc w:val="center"/>
        <w:rPr>
          <w:b w:val="0"/>
          <w:bCs w:val="0"/>
        </w:rPr>
      </w:pPr>
      <w:r>
        <w:rPr/>
        <w:pict>
          <v:shape style="position:absolute;margin-left:88.919998pt;margin-top:3.990308pt;width:57.0pt;height:31.5pt;mso-position-horizontal-relative:page;mso-position-vertical-relative:paragraph;z-index:2944"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645" w:right="725" w:firstLine="0"/>
        <w:jc w:val="center"/>
        <w:rPr>
          <w:rFonts w:ascii="Times New Roman" w:hAnsi="Times New Roman" w:cs="Times New Roman" w:eastAsia="Times New Roman" w:hint="default"/>
          <w:sz w:val="16"/>
          <w:szCs w:val="16"/>
        </w:rPr>
      </w:pPr>
      <w:r>
        <w:rPr/>
        <w:pict>
          <v:group style="position:absolute;margin-left:69.060013pt;margin-top:20.989061pt;width:457.2pt;height:77.650pt;mso-position-horizontal-relative:page;mso-position-vertical-relative:paragraph;z-index:-453856" coordorigin="1381,420" coordsize="9144,1553">
            <v:group style="position:absolute;left:1388;top:427;width:9130;height:2" coordorigin="1388,427" coordsize="9130,2">
              <v:shape style="position:absolute;left:1388;top:427;width:9130;height:2" coordorigin="1388,427" coordsize="9130,0" path="m1388,427l10518,427e" filled="false" stroked="true" strokeweight=".71997pt" strokecolor="#000000">
                <v:path arrowok="t"/>
              </v:shape>
            </v:group>
            <v:group style="position:absolute;left:1778;top:449;width:8633;height:2" coordorigin="1778,449" coordsize="8633,2">
              <v:shape style="position:absolute;left:1778;top:449;width:8633;height:2" coordorigin="1778,449" coordsize="8633,0" path="m1778,449l10411,449e" filled="false" stroked="true" strokeweight="1.5pt" strokecolor="#000000">
                <v:path arrowok="t"/>
              </v:shape>
              <v:shape style="position:absolute;left:4634;top:445;width:2928;height:528" type="#_x0000_t75" stroked="false">
                <v:imagedata r:id="rId20" o:title=""/>
              </v:shape>
              <v:shape style="position:absolute;left:1759;top:941;width:8667;height:1032" type="#_x0000_t75" stroked="false">
                <v:imagedata r:id="rId21" o:title=""/>
              </v:shape>
              <v:shape style="position:absolute;left:7514;top:1445;width:48;height:528" type="#_x0000_t75" stroked="false">
                <v:imagedata r:id="rId22" o:title=""/>
              </v:shape>
            </v:group>
            <w10:wrap type="none"/>
          </v:group>
        </w:pict>
      </w: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6"/>
          <w:szCs w:val="16"/>
        </w:rPr>
      </w:pPr>
    </w:p>
    <w:tbl>
      <w:tblPr>
        <w:tblW w:w="0" w:type="auto"/>
        <w:jc w:val="left"/>
        <w:tblInd w:w="484" w:type="dxa"/>
        <w:tblLayout w:type="fixed"/>
        <w:tblCellMar>
          <w:top w:w="0" w:type="dxa"/>
          <w:left w:w="0" w:type="dxa"/>
          <w:bottom w:w="0" w:type="dxa"/>
          <w:right w:w="0" w:type="dxa"/>
        </w:tblCellMar>
        <w:tblLook w:val="01E0"/>
      </w:tblPr>
      <w:tblGrid>
        <w:gridCol w:w="3254"/>
        <w:gridCol w:w="2455"/>
        <w:gridCol w:w="2946"/>
      </w:tblGrid>
      <w:tr>
        <w:trPr>
          <w:trHeight w:val="468" w:hRule="exact"/>
        </w:trPr>
        <w:tc>
          <w:tcPr>
            <w:tcW w:w="325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291"/>
              <w:jc w:val="center"/>
              <w:rPr>
                <w:rFonts w:ascii="Times New Roman" w:hAnsi="Times New Roman" w:cs="Times New Roman" w:eastAsia="Times New Roman" w:hint="default"/>
                <w:sz w:val="21"/>
                <w:szCs w:val="21"/>
              </w:rPr>
            </w:pPr>
            <w:r>
              <w:rPr>
                <w:rFonts w:ascii="Times New Roman"/>
                <w:sz w:val="21"/>
              </w:rPr>
              <w:t>5</w:t>
            </w:r>
          </w:p>
        </w:tc>
        <w:tc>
          <w:tcPr>
            <w:tcW w:w="2946"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201"/>
              <w:jc w:val="right"/>
              <w:rPr>
                <w:rFonts w:ascii="Times New Roman" w:hAnsi="Times New Roman" w:cs="Times New Roman" w:eastAsia="Times New Roman" w:hint="default"/>
                <w:sz w:val="21"/>
                <w:szCs w:val="21"/>
              </w:rPr>
            </w:pPr>
            <w:r>
              <w:rPr>
                <w:rFonts w:ascii="Times New Roman"/>
                <w:spacing w:val="-1"/>
                <w:sz w:val="21"/>
              </w:rPr>
              <w:t>18.00</w:t>
            </w:r>
          </w:p>
        </w:tc>
      </w:tr>
      <w:tr>
        <w:trPr>
          <w:trHeight w:val="500" w:hRule="exact"/>
        </w:trPr>
        <w:tc>
          <w:tcPr>
            <w:tcW w:w="3254"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22"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291"/>
              <w:jc w:val="center"/>
              <w:rPr>
                <w:rFonts w:ascii="Times New Roman" w:hAnsi="Times New Roman" w:cs="Times New Roman" w:eastAsia="Times New Roman" w:hint="default"/>
                <w:sz w:val="21"/>
                <w:szCs w:val="21"/>
              </w:rPr>
            </w:pPr>
            <w:r>
              <w:rPr>
                <w:rFonts w:ascii="Times New Roman"/>
                <w:sz w:val="21"/>
              </w:rPr>
              <w:t>5</w:t>
            </w:r>
          </w:p>
        </w:tc>
        <w:tc>
          <w:tcPr>
            <w:tcW w:w="2946"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201"/>
              <w:jc w:val="right"/>
              <w:rPr>
                <w:rFonts w:ascii="Times New Roman" w:hAnsi="Times New Roman" w:cs="Times New Roman" w:eastAsia="Times New Roman" w:hint="default"/>
                <w:sz w:val="21"/>
                <w:szCs w:val="21"/>
              </w:rPr>
            </w:pPr>
            <w:r>
              <w:rPr>
                <w:rFonts w:ascii="Times New Roman"/>
                <w:spacing w:val="-1"/>
                <w:sz w:val="21"/>
              </w:rPr>
              <w:t>18.00</w:t>
            </w:r>
          </w:p>
        </w:tc>
      </w:tr>
      <w:tr>
        <w:trPr>
          <w:trHeight w:val="389" w:hRule="exact"/>
        </w:trPr>
        <w:tc>
          <w:tcPr>
            <w:tcW w:w="3254"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left="122"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2455" w:type="dxa"/>
            <w:tcBorders>
              <w:top w:val="nil" w:sz="6" w:space="0" w:color="auto"/>
              <w:left w:val="nil" w:sz="6" w:space="0" w:color="auto"/>
              <w:bottom w:val="single" w:sz="12" w:space="0" w:color="000000"/>
              <w:right w:val="nil" w:sz="6" w:space="0" w:color="auto"/>
            </w:tcBorders>
          </w:tcPr>
          <w:p>
            <w:pPr>
              <w:pStyle w:val="TableParagraph"/>
              <w:spacing w:line="240" w:lineRule="auto" w:before="131"/>
              <w:ind w:right="291"/>
              <w:jc w:val="center"/>
              <w:rPr>
                <w:rFonts w:ascii="Times New Roman" w:hAnsi="Times New Roman" w:cs="Times New Roman" w:eastAsia="Times New Roman" w:hint="default"/>
                <w:sz w:val="21"/>
                <w:szCs w:val="21"/>
              </w:rPr>
            </w:pPr>
            <w:r>
              <w:rPr>
                <w:rFonts w:ascii="Times New Roman"/>
                <w:sz w:val="21"/>
              </w:rPr>
              <w:t>10</w:t>
            </w:r>
          </w:p>
        </w:tc>
        <w:tc>
          <w:tcPr>
            <w:tcW w:w="2946" w:type="dxa"/>
            <w:tcBorders>
              <w:top w:val="nil" w:sz="6" w:space="0" w:color="auto"/>
              <w:left w:val="nil" w:sz="6" w:space="0" w:color="auto"/>
              <w:bottom w:val="single" w:sz="12" w:space="0" w:color="000000"/>
              <w:right w:val="nil" w:sz="6" w:space="0" w:color="auto"/>
            </w:tcBorders>
          </w:tcPr>
          <w:p>
            <w:pPr>
              <w:pStyle w:val="TableParagraph"/>
              <w:spacing w:line="240" w:lineRule="auto" w:before="131"/>
              <w:ind w:right="1254"/>
              <w:jc w:val="right"/>
              <w:rPr>
                <w:rFonts w:ascii="Times New Roman" w:hAnsi="Times New Roman" w:cs="Times New Roman" w:eastAsia="Times New Roman" w:hint="default"/>
                <w:sz w:val="21"/>
                <w:szCs w:val="21"/>
              </w:rPr>
            </w:pPr>
            <w:r>
              <w:rPr>
                <w:rFonts w:ascii="Times New Roman"/>
                <w:spacing w:val="-1"/>
                <w:sz w:val="21"/>
              </w:rPr>
              <w:t>9.00</w:t>
            </w:r>
          </w:p>
        </w:tc>
      </w:tr>
      <w:tr>
        <w:trPr>
          <w:trHeight w:val="584" w:hRule="exact"/>
        </w:trPr>
        <w:tc>
          <w:tcPr>
            <w:tcW w:w="3254" w:type="dxa"/>
            <w:tcBorders>
              <w:top w:val="single" w:sz="12" w:space="0" w:color="000000"/>
              <w:left w:val="nil" w:sz="6" w:space="0" w:color="auto"/>
              <w:bottom w:val="nil" w:sz="6" w:space="0" w:color="auto"/>
              <w:right w:val="nil" w:sz="6" w:space="0" w:color="auto"/>
            </w:tcBorders>
          </w:tcPr>
          <w:p>
            <w:pPr>
              <w:pStyle w:val="TableParagraph"/>
              <w:spacing w:line="240" w:lineRule="auto" w:before="183"/>
              <w:ind w:left="7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、固定资产的后续支出</w:t>
            </w:r>
          </w:p>
        </w:tc>
        <w:tc>
          <w:tcPr>
            <w:tcW w:w="2455" w:type="dxa"/>
            <w:tcBorders>
              <w:top w:val="single" w:sz="12" w:space="0" w:color="000000"/>
              <w:left w:val="nil" w:sz="6" w:space="0" w:color="auto"/>
              <w:bottom w:val="nil" w:sz="6" w:space="0" w:color="auto"/>
              <w:right w:val="nil" w:sz="6" w:space="0" w:color="auto"/>
            </w:tcBorders>
          </w:tcPr>
          <w:p>
            <w:pPr/>
          </w:p>
        </w:tc>
        <w:tc>
          <w:tcPr>
            <w:tcW w:w="2946" w:type="dxa"/>
            <w:tcBorders>
              <w:top w:val="single" w:sz="12" w:space="0" w:color="000000"/>
              <w:left w:val="nil" w:sz="6" w:space="0" w:color="auto"/>
              <w:bottom w:val="nil" w:sz="6" w:space="0" w:color="auto"/>
              <w:right w:val="nil" w:sz="6" w:space="0" w:color="auto"/>
            </w:tcBorders>
          </w:tcPr>
          <w:p>
            <w:pPr/>
          </w:p>
        </w:tc>
      </w:tr>
    </w:tbl>
    <w:p>
      <w:pPr>
        <w:spacing w:line="240" w:lineRule="auto" w:before="0"/>
        <w:rPr>
          <w:rFonts w:ascii="Times New Roman" w:hAnsi="Times New Roman" w:cs="Times New Roman" w:eastAsia="Times New Roman" w:hint="default"/>
          <w:sz w:val="6"/>
          <w:szCs w:val="6"/>
        </w:rPr>
      </w:pPr>
    </w:p>
    <w:p>
      <w:pPr>
        <w:spacing w:line="427" w:lineRule="auto" w:before="35"/>
        <w:ind w:left="138" w:right="111" w:firstLine="420"/>
        <w:jc w:val="left"/>
        <w:rPr>
          <w:rFonts w:ascii="宋体" w:hAnsi="宋体" w:cs="宋体" w:eastAsia="宋体" w:hint="default"/>
          <w:sz w:val="21"/>
          <w:szCs w:val="21"/>
        </w:rPr>
      </w:pPr>
      <w:r>
        <w:rPr>
          <w:rFonts w:ascii="宋体" w:hAnsi="宋体" w:cs="宋体" w:eastAsia="宋体" w:hint="default"/>
          <w:sz w:val="21"/>
          <w:szCs w:val="21"/>
        </w:rPr>
        <w:t>与固定资产有关的后续支出，符合固定资产的确认条件的，计入固定资产成本，不符合固定资 产确认条件的，在发生时计入当期损益。</w:t>
      </w:r>
    </w:p>
    <w:p>
      <w:pPr>
        <w:spacing w:before="51"/>
        <w:ind w:left="558" w:right="111" w:firstLine="0"/>
        <w:jc w:val="left"/>
        <w:rPr>
          <w:rFonts w:ascii="宋体" w:hAnsi="宋体" w:cs="宋体" w:eastAsia="宋体" w:hint="default"/>
          <w:sz w:val="21"/>
          <w:szCs w:val="21"/>
        </w:rPr>
      </w:pPr>
      <w:r>
        <w:rPr>
          <w:rFonts w:ascii="宋体" w:hAnsi="宋体" w:cs="宋体" w:eastAsia="宋体" w:hint="default"/>
          <w:sz w:val="21"/>
          <w:szCs w:val="21"/>
        </w:rPr>
        <w:t>公司将发生的固定资产后续支出计入固定资产成本的，终止确认被替换部分的账面价值。</w:t>
      </w:r>
    </w:p>
    <w:p>
      <w:pPr>
        <w:spacing w:line="240" w:lineRule="auto" w:before="7"/>
        <w:rPr>
          <w:rFonts w:ascii="宋体" w:hAnsi="宋体" w:cs="宋体" w:eastAsia="宋体" w:hint="default"/>
          <w:sz w:val="16"/>
          <w:szCs w:val="16"/>
        </w:rPr>
      </w:pPr>
    </w:p>
    <w:p>
      <w:pPr>
        <w:spacing w:line="403" w:lineRule="auto" w:before="0"/>
        <w:ind w:left="138" w:right="208" w:firstLine="419"/>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、固定资产减值准备的计提见资产减值相关会计政策。减值损失一经确认，</w:t>
      </w:r>
      <w:r>
        <w:rPr>
          <w:rFonts w:ascii="宋体" w:hAnsi="宋体" w:cs="宋体" w:eastAsia="宋体" w:hint="default"/>
          <w:spacing w:val="29"/>
          <w:sz w:val="21"/>
          <w:szCs w:val="21"/>
        </w:rPr>
        <w:t> </w:t>
      </w:r>
      <w:r>
        <w:rPr>
          <w:rFonts w:ascii="宋体" w:hAnsi="宋体" w:cs="宋体" w:eastAsia="宋体" w:hint="default"/>
          <w:sz w:val="21"/>
          <w:szCs w:val="21"/>
        </w:rPr>
        <w:t>在以后会计期间</w:t>
      </w:r>
      <w:r>
        <w:rPr>
          <w:rFonts w:ascii="宋体" w:hAnsi="宋体" w:cs="宋体" w:eastAsia="宋体" w:hint="default"/>
          <w:spacing w:val="1"/>
          <w:sz w:val="21"/>
          <w:szCs w:val="21"/>
        </w:rPr>
        <w:t> </w:t>
      </w:r>
      <w:r>
        <w:rPr>
          <w:rFonts w:ascii="宋体" w:hAnsi="宋体" w:cs="宋体" w:eastAsia="宋体" w:hint="default"/>
          <w:sz w:val="21"/>
          <w:szCs w:val="21"/>
        </w:rPr>
        <w:t>不得转回。已全额计提减值准备的固定资产，不再计提旧。</w:t>
      </w:r>
    </w:p>
    <w:p>
      <w:pPr>
        <w:spacing w:line="436" w:lineRule="auto" w:before="81"/>
        <w:ind w:left="558" w:right="111" w:firstLine="0"/>
        <w:jc w:val="left"/>
        <w:rPr>
          <w:rFonts w:ascii="宋体" w:hAnsi="宋体" w:cs="宋体" w:eastAsia="宋体" w:hint="default"/>
          <w:sz w:val="21"/>
          <w:szCs w:val="21"/>
        </w:rPr>
      </w:pPr>
      <w:r>
        <w:rPr>
          <w:rFonts w:ascii="宋体" w:hAnsi="宋体" w:cs="宋体" w:eastAsia="宋体" w:hint="default"/>
          <w:sz w:val="21"/>
          <w:szCs w:val="21"/>
        </w:rPr>
        <w:t>（十一）在建工程的计量、完工结转和减值准备 公司在建工程按实际成本初始计量。工程达到预定可使用状态后，将该项工程完工达到预定可</w:t>
      </w:r>
    </w:p>
    <w:p>
      <w:pPr>
        <w:spacing w:line="436" w:lineRule="auto" w:before="53"/>
        <w:ind w:left="558" w:right="196" w:hanging="420"/>
        <w:jc w:val="left"/>
        <w:rPr>
          <w:rFonts w:ascii="宋体" w:hAnsi="宋体" w:cs="宋体" w:eastAsia="宋体" w:hint="default"/>
          <w:sz w:val="21"/>
          <w:szCs w:val="21"/>
        </w:rPr>
      </w:pPr>
      <w:r>
        <w:rPr>
          <w:rFonts w:ascii="宋体" w:hAnsi="宋体" w:cs="宋体" w:eastAsia="宋体" w:hint="default"/>
          <w:sz w:val="21"/>
          <w:szCs w:val="21"/>
        </w:rPr>
        <w:t>使用状态所发生的必要支出结转，作为固定资产的入账价值。 公司期末对在建工程进行全面检查，当工程长期停建且预计在未来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年内不会重新开工，或所</w:t>
      </w:r>
    </w:p>
    <w:p>
      <w:pPr>
        <w:spacing w:line="436" w:lineRule="auto" w:before="19"/>
        <w:ind w:left="138" w:right="212" w:firstLine="0"/>
        <w:jc w:val="both"/>
        <w:rPr>
          <w:rFonts w:ascii="宋体" w:hAnsi="宋体" w:cs="宋体" w:eastAsia="宋体" w:hint="default"/>
          <w:sz w:val="21"/>
          <w:szCs w:val="21"/>
        </w:rPr>
      </w:pPr>
      <w:r>
        <w:rPr>
          <w:rFonts w:ascii="宋体" w:hAnsi="宋体" w:cs="宋体" w:eastAsia="宋体" w:hint="default"/>
          <w:sz w:val="21"/>
          <w:szCs w:val="21"/>
        </w:rPr>
        <w:t>建项目在性能、技术上已经落后且给企业带来的经济利益具有很大的不确定性或其他足以证明已经</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发生减值情形出现时，计提在建工程减值准备。计提时，按单项在建工程可收回金额低于账面价值</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的差额确认在建工程减值准备。在建工程减值准备一经确认，在以后会计期间不得转回。</w:t>
      </w:r>
    </w:p>
    <w:p>
      <w:pPr>
        <w:spacing w:before="53"/>
        <w:ind w:left="558" w:right="111" w:firstLine="0"/>
        <w:jc w:val="left"/>
        <w:rPr>
          <w:rFonts w:ascii="宋体" w:hAnsi="宋体" w:cs="宋体" w:eastAsia="宋体" w:hint="default"/>
          <w:sz w:val="21"/>
          <w:szCs w:val="21"/>
        </w:rPr>
      </w:pPr>
      <w:r>
        <w:rPr>
          <w:rFonts w:ascii="宋体" w:hAnsi="宋体" w:cs="宋体" w:eastAsia="宋体" w:hint="default"/>
          <w:sz w:val="21"/>
          <w:szCs w:val="21"/>
        </w:rPr>
        <w:t>（十二）无形资产的计量、摊销和减值准备</w:t>
      </w:r>
    </w:p>
    <w:p>
      <w:pPr>
        <w:spacing w:line="240" w:lineRule="auto" w:before="3"/>
        <w:rPr>
          <w:rFonts w:ascii="宋体" w:hAnsi="宋体" w:cs="宋体" w:eastAsia="宋体" w:hint="default"/>
          <w:sz w:val="17"/>
          <w:szCs w:val="17"/>
        </w:rPr>
      </w:pPr>
    </w:p>
    <w:p>
      <w:pPr>
        <w:spacing w:line="412" w:lineRule="auto" w:before="0"/>
        <w:ind w:left="558" w:right="111"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、无形资产的计价、使用寿命和摊销 公司无形资产包括专利技术、非专利技术、商标权、土地使用权等，按照成本进行初始计量，</w:t>
      </w:r>
    </w:p>
    <w:p>
      <w:pPr>
        <w:spacing w:line="436" w:lineRule="auto" w:before="74"/>
        <w:ind w:left="558" w:right="111" w:hanging="420"/>
        <w:jc w:val="left"/>
        <w:rPr>
          <w:rFonts w:ascii="宋体" w:hAnsi="宋体" w:cs="宋体" w:eastAsia="宋体" w:hint="default"/>
          <w:sz w:val="21"/>
          <w:szCs w:val="21"/>
        </w:rPr>
      </w:pPr>
      <w:r>
        <w:rPr>
          <w:rFonts w:ascii="宋体" w:hAnsi="宋体" w:cs="宋体" w:eastAsia="宋体" w:hint="default"/>
          <w:sz w:val="21"/>
          <w:szCs w:val="21"/>
        </w:rPr>
        <w:t>本公司土地使用权采用直线法按预计使用年限摊销，其他无形资产按在其使用寿命内合理摊销。 公司于每年年度终了，对使用寿命有限的无形资产的使用寿命及摊销方法进行复核，与以前估</w:t>
      </w:r>
    </w:p>
    <w:p>
      <w:pPr>
        <w:spacing w:before="52"/>
        <w:ind w:left="138" w:right="111" w:firstLine="0"/>
        <w:jc w:val="left"/>
        <w:rPr>
          <w:rFonts w:ascii="宋体" w:hAnsi="宋体" w:cs="宋体" w:eastAsia="宋体" w:hint="default"/>
          <w:sz w:val="21"/>
          <w:szCs w:val="21"/>
        </w:rPr>
      </w:pPr>
      <w:r>
        <w:rPr>
          <w:rFonts w:ascii="宋体" w:hAnsi="宋体" w:cs="宋体" w:eastAsia="宋体" w:hint="default"/>
          <w:sz w:val="21"/>
          <w:szCs w:val="21"/>
        </w:rPr>
        <w:t>计不同的，调整原先估计数，并按会计估计变更处理。</w:t>
      </w:r>
    </w:p>
    <w:p>
      <w:pPr>
        <w:spacing w:line="240" w:lineRule="auto" w:before="3"/>
        <w:rPr>
          <w:rFonts w:ascii="宋体" w:hAnsi="宋体" w:cs="宋体" w:eastAsia="宋体" w:hint="default"/>
          <w:sz w:val="17"/>
          <w:szCs w:val="17"/>
        </w:rPr>
      </w:pPr>
    </w:p>
    <w:p>
      <w:pPr>
        <w:spacing w:line="412" w:lineRule="auto" w:before="0"/>
        <w:ind w:left="558" w:right="100"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、无形资产的减值准备 </w:t>
      </w:r>
      <w:r>
        <w:rPr>
          <w:rFonts w:ascii="宋体" w:hAnsi="宋体" w:cs="宋体" w:eastAsia="宋体" w:hint="default"/>
          <w:spacing w:val="-2"/>
          <w:sz w:val="21"/>
          <w:szCs w:val="21"/>
        </w:rPr>
        <w:t>公司期末对无形资产进行逐项检查，当存在市价大幅度下跌等表明资产可能发生减值的迹象时，</w:t>
      </w:r>
    </w:p>
    <w:p>
      <w:pPr>
        <w:spacing w:line="436" w:lineRule="auto" w:before="73"/>
        <w:ind w:left="138" w:right="212" w:firstLine="0"/>
        <w:jc w:val="both"/>
        <w:rPr>
          <w:rFonts w:ascii="宋体" w:hAnsi="宋体" w:cs="宋体" w:eastAsia="宋体" w:hint="default"/>
          <w:sz w:val="21"/>
          <w:szCs w:val="21"/>
        </w:rPr>
      </w:pPr>
      <w:r>
        <w:rPr>
          <w:rFonts w:ascii="宋体" w:hAnsi="宋体" w:cs="宋体" w:eastAsia="宋体" w:hint="default"/>
          <w:sz w:val="21"/>
          <w:szCs w:val="21"/>
        </w:rPr>
        <w:t>计提无形资产减值准备。计提时，按单项无形资产可收回金额低于其账面价值的差额确认无形资产</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减值准备。无形资产减值准备一经确认，在以后会计期间不得转回。</w:t>
      </w:r>
    </w:p>
    <w:p>
      <w:pPr>
        <w:spacing w:before="53"/>
        <w:ind w:left="558" w:right="111" w:firstLine="0"/>
        <w:jc w:val="left"/>
        <w:rPr>
          <w:rFonts w:ascii="宋体" w:hAnsi="宋体" w:cs="宋体" w:eastAsia="宋体" w:hint="default"/>
          <w:sz w:val="21"/>
          <w:szCs w:val="21"/>
        </w:rPr>
      </w:pPr>
      <w:r>
        <w:rPr>
          <w:rFonts w:ascii="宋体" w:hAnsi="宋体" w:cs="宋体" w:eastAsia="宋体" w:hint="default"/>
          <w:sz w:val="21"/>
          <w:szCs w:val="21"/>
        </w:rPr>
        <w:t>公司期末如果预计某项无形资产已经不能给企业带来未来经济利益的，将该项无形资产的账面</w:t>
      </w:r>
    </w:p>
    <w:p>
      <w:pPr>
        <w:spacing w:after="0"/>
        <w:jc w:val="left"/>
        <w:rPr>
          <w:rFonts w:ascii="宋体" w:hAnsi="宋体" w:cs="宋体" w:eastAsia="宋体" w:hint="default"/>
          <w:sz w:val="21"/>
          <w:szCs w:val="21"/>
        </w:rPr>
        <w:sectPr>
          <w:pgSz w:w="11910" w:h="16840"/>
          <w:pgMar w:header="0" w:footer="710" w:top="580" w:bottom="900" w:left="1280" w:right="120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2992"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13"/>
          <w:szCs w:val="13"/>
        </w:rPr>
      </w:pPr>
    </w:p>
    <w:p>
      <w:pPr>
        <w:spacing w:before="35"/>
        <w:ind w:left="138" w:right="0" w:firstLine="0"/>
        <w:jc w:val="left"/>
        <w:rPr>
          <w:rFonts w:ascii="宋体" w:hAnsi="宋体" w:cs="宋体" w:eastAsia="宋体" w:hint="default"/>
          <w:sz w:val="21"/>
          <w:szCs w:val="21"/>
        </w:rPr>
      </w:pPr>
      <w:r>
        <w:rPr>
          <w:rFonts w:ascii="宋体" w:hAnsi="宋体" w:cs="宋体" w:eastAsia="宋体" w:hint="default"/>
          <w:sz w:val="21"/>
          <w:szCs w:val="21"/>
        </w:rPr>
        <w:t>价值全部转入当期损益。</w:t>
      </w:r>
    </w:p>
    <w:p>
      <w:pPr>
        <w:spacing w:line="240" w:lineRule="auto" w:before="2"/>
        <w:rPr>
          <w:rFonts w:ascii="宋体" w:hAnsi="宋体" w:cs="宋体" w:eastAsia="宋体" w:hint="default"/>
          <w:sz w:val="17"/>
          <w:szCs w:val="17"/>
        </w:rPr>
      </w:pPr>
    </w:p>
    <w:p>
      <w:pPr>
        <w:spacing w:before="0"/>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、研究阶段支出和开发阶段支出的划分标准</w:t>
      </w:r>
    </w:p>
    <w:p>
      <w:pPr>
        <w:spacing w:line="240" w:lineRule="auto" w:before="0"/>
        <w:rPr>
          <w:rFonts w:ascii="宋体" w:hAnsi="宋体" w:cs="宋体" w:eastAsia="宋体" w:hint="default"/>
          <w:sz w:val="16"/>
          <w:szCs w:val="16"/>
        </w:rPr>
      </w:pPr>
    </w:p>
    <w:p>
      <w:pPr>
        <w:spacing w:line="412" w:lineRule="auto" w:before="0"/>
        <w:ind w:left="138" w:right="154"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）研究阶段支出是指为获得并理解新的科学或技术知识而进行的独创性的有计划调查所发生</w:t>
      </w:r>
      <w:r>
        <w:rPr>
          <w:rFonts w:ascii="宋体" w:hAnsi="宋体" w:cs="宋体" w:eastAsia="宋体" w:hint="default"/>
          <w:sz w:val="21"/>
          <w:szCs w:val="21"/>
        </w:rPr>
        <w:t> 的支出。</w:t>
      </w:r>
    </w:p>
    <w:p>
      <w:pPr>
        <w:spacing w:line="436" w:lineRule="auto" w:before="73"/>
        <w:ind w:left="138" w:right="152" w:firstLine="420"/>
        <w:jc w:val="both"/>
        <w:rPr>
          <w:rFonts w:ascii="宋体" w:hAnsi="宋体" w:cs="宋体" w:eastAsia="宋体" w:hint="default"/>
          <w:sz w:val="21"/>
          <w:szCs w:val="21"/>
        </w:rPr>
      </w:pPr>
      <w:r>
        <w:rPr>
          <w:rFonts w:ascii="宋体" w:hAnsi="宋体" w:cs="宋体" w:eastAsia="宋体" w:hint="default"/>
          <w:sz w:val="21"/>
          <w:szCs w:val="21"/>
        </w:rPr>
        <w:t>对涉及公司产品的研究成果或其他知识的应用研究、评价和最终选择等进行的研究活动，对公 司生产产品所涉及的材料、设备、工序、系统等进行的研究活动，新的或经改进的材料、设备、产</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品、工序、系统的试制、设计、评价和最终选择等进行的研究活动，上述研究活动所发生的支出划</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入公司内部研究项目的研究阶段支出，于发生时计入当期损益。</w:t>
      </w:r>
    </w:p>
    <w:p>
      <w:pPr>
        <w:spacing w:line="412" w:lineRule="auto" w:before="53"/>
        <w:ind w:left="138" w:right="154"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）开发阶段支出是在进行商业性生产或使用前，将研究成果或其他知识应用于某项计划或设</w:t>
      </w:r>
      <w:r>
        <w:rPr>
          <w:rFonts w:ascii="宋体" w:hAnsi="宋体" w:cs="宋体" w:eastAsia="宋体" w:hint="default"/>
          <w:sz w:val="21"/>
          <w:szCs w:val="21"/>
        </w:rPr>
        <w:t> 计，以生产出新的或具有实质性改进的材料、装置、产品等过程中所发生的开发支出。</w:t>
      </w:r>
    </w:p>
    <w:p>
      <w:pPr>
        <w:spacing w:line="446" w:lineRule="auto" w:before="84"/>
        <w:ind w:left="138" w:right="152" w:firstLine="420"/>
        <w:jc w:val="both"/>
        <w:rPr>
          <w:rFonts w:ascii="宋体" w:hAnsi="宋体" w:cs="宋体" w:eastAsia="宋体" w:hint="default"/>
          <w:sz w:val="21"/>
          <w:szCs w:val="21"/>
        </w:rPr>
      </w:pPr>
      <w:r>
        <w:rPr>
          <w:rFonts w:ascii="宋体" w:hAnsi="宋体" w:cs="宋体" w:eastAsia="宋体" w:hint="default"/>
          <w:sz w:val="21"/>
          <w:szCs w:val="21"/>
        </w:rPr>
        <w:t>公司将研究成果或其他知识应用于某项计划或设计，在此进行生产前或使用前的原型和模型的 设计、建造和测试，以及不具有商业性生产经济规模的试生产设施的设计、建造和运营等开发活动</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所发生的支出划入公司内部研究项目的开发阶段支出，该等支出同时满足下列条件时才确认为无形</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资产，否则计入当期损益：</w:t>
      </w:r>
    </w:p>
    <w:p>
      <w:pPr>
        <w:spacing w:before="54"/>
        <w:ind w:left="558" w:right="0" w:firstLine="0"/>
        <w:jc w:val="left"/>
        <w:rPr>
          <w:rFonts w:ascii="宋体" w:hAnsi="宋体" w:cs="宋体" w:eastAsia="宋体" w:hint="default"/>
          <w:sz w:val="21"/>
          <w:szCs w:val="21"/>
        </w:rPr>
      </w:pPr>
      <w:r>
        <w:rPr>
          <w:rFonts w:ascii="宋体" w:hAnsi="宋体" w:cs="宋体" w:eastAsia="宋体" w:hint="default"/>
          <w:sz w:val="21"/>
          <w:szCs w:val="21"/>
        </w:rPr>
        <w:t>①完成该无形资产以使其能够使用或出售在技术上具有可行性；</w:t>
      </w:r>
    </w:p>
    <w:p>
      <w:pPr>
        <w:spacing w:line="240" w:lineRule="auto" w:before="13"/>
        <w:rPr>
          <w:rFonts w:ascii="宋体" w:hAnsi="宋体" w:cs="宋体" w:eastAsia="宋体" w:hint="default"/>
          <w:sz w:val="17"/>
          <w:szCs w:val="17"/>
        </w:rPr>
      </w:pPr>
    </w:p>
    <w:p>
      <w:pPr>
        <w:spacing w:before="0"/>
        <w:ind w:left="558" w:right="0" w:firstLine="0"/>
        <w:jc w:val="left"/>
        <w:rPr>
          <w:rFonts w:ascii="宋体" w:hAnsi="宋体" w:cs="宋体" w:eastAsia="宋体" w:hint="default"/>
          <w:sz w:val="21"/>
          <w:szCs w:val="21"/>
        </w:rPr>
      </w:pPr>
      <w:r>
        <w:rPr>
          <w:rFonts w:ascii="宋体" w:hAnsi="宋体" w:cs="宋体" w:eastAsia="宋体" w:hint="default"/>
          <w:sz w:val="21"/>
          <w:szCs w:val="21"/>
        </w:rPr>
        <w:t>②具有完成该无形资产并使用或出售的意图；</w:t>
      </w:r>
    </w:p>
    <w:p>
      <w:pPr>
        <w:spacing w:line="240" w:lineRule="auto" w:before="13"/>
        <w:rPr>
          <w:rFonts w:ascii="宋体" w:hAnsi="宋体" w:cs="宋体" w:eastAsia="宋体" w:hint="default"/>
          <w:sz w:val="17"/>
          <w:szCs w:val="17"/>
        </w:rPr>
      </w:pPr>
    </w:p>
    <w:p>
      <w:pPr>
        <w:spacing w:line="446" w:lineRule="auto" w:before="0"/>
        <w:ind w:left="138" w:right="155" w:firstLine="420"/>
        <w:jc w:val="both"/>
        <w:rPr>
          <w:rFonts w:ascii="宋体" w:hAnsi="宋体" w:cs="宋体" w:eastAsia="宋体" w:hint="default"/>
          <w:sz w:val="21"/>
          <w:szCs w:val="21"/>
        </w:rPr>
      </w:pPr>
      <w:r>
        <w:rPr>
          <w:rFonts w:ascii="宋体" w:hAnsi="宋体" w:cs="宋体" w:eastAsia="宋体" w:hint="default"/>
          <w:sz w:val="21"/>
          <w:szCs w:val="21"/>
        </w:rPr>
        <w:t>③无形资产产生经济利益方式，包括能够证明运用该无形资产生产的产品存在市场或无形资产 自身存在市场；</w:t>
      </w:r>
    </w:p>
    <w:p>
      <w:pPr>
        <w:spacing w:line="446" w:lineRule="auto" w:before="54"/>
        <w:ind w:left="138" w:right="155" w:firstLine="420"/>
        <w:jc w:val="both"/>
        <w:rPr>
          <w:rFonts w:ascii="宋体" w:hAnsi="宋体" w:cs="宋体" w:eastAsia="宋体" w:hint="default"/>
          <w:sz w:val="21"/>
          <w:szCs w:val="21"/>
        </w:rPr>
      </w:pPr>
      <w:r>
        <w:rPr>
          <w:rFonts w:ascii="宋体" w:hAnsi="宋体" w:cs="宋体" w:eastAsia="宋体" w:hint="default"/>
          <w:sz w:val="21"/>
          <w:szCs w:val="21"/>
        </w:rPr>
        <w:t>④有足够的技术、财务资源和其他资源条件支持，以完成该无形资产的开发，并有能力使用或 出售该无形资产；</w:t>
      </w:r>
    </w:p>
    <w:p>
      <w:pPr>
        <w:spacing w:before="54"/>
        <w:ind w:left="558" w:right="0" w:firstLine="0"/>
        <w:jc w:val="left"/>
        <w:rPr>
          <w:rFonts w:ascii="宋体" w:hAnsi="宋体" w:cs="宋体" w:eastAsia="宋体" w:hint="default"/>
          <w:sz w:val="21"/>
          <w:szCs w:val="21"/>
        </w:rPr>
      </w:pPr>
      <w:r>
        <w:rPr>
          <w:rFonts w:ascii="宋体" w:hAnsi="宋体" w:cs="宋体" w:eastAsia="宋体" w:hint="default"/>
          <w:sz w:val="21"/>
          <w:szCs w:val="21"/>
        </w:rPr>
        <w:t>⑤归属于该无形资产开发阶段的支出能够可靠计量。</w:t>
      </w:r>
    </w:p>
    <w:p>
      <w:pPr>
        <w:spacing w:line="240" w:lineRule="auto" w:before="2"/>
        <w:rPr>
          <w:rFonts w:ascii="宋体" w:hAnsi="宋体" w:cs="宋体" w:eastAsia="宋体" w:hint="default"/>
          <w:sz w:val="17"/>
          <w:szCs w:val="17"/>
        </w:rPr>
      </w:pPr>
    </w:p>
    <w:p>
      <w:pPr>
        <w:spacing w:before="0"/>
        <w:ind w:left="558" w:right="0" w:firstLine="0"/>
        <w:jc w:val="left"/>
        <w:rPr>
          <w:rFonts w:ascii="宋体" w:hAnsi="宋体" w:cs="宋体" w:eastAsia="宋体" w:hint="default"/>
          <w:sz w:val="21"/>
          <w:szCs w:val="21"/>
        </w:rPr>
      </w:pPr>
      <w:r>
        <w:rPr>
          <w:rFonts w:ascii="宋体" w:hAnsi="宋体" w:cs="宋体" w:eastAsia="宋体" w:hint="default"/>
          <w:sz w:val="21"/>
          <w:szCs w:val="21"/>
        </w:rPr>
        <w:t>（十三）借款费用的资本化</w:t>
      </w:r>
    </w:p>
    <w:p>
      <w:pPr>
        <w:spacing w:line="240" w:lineRule="auto" w:before="3"/>
        <w:rPr>
          <w:rFonts w:ascii="宋体" w:hAnsi="宋体" w:cs="宋体" w:eastAsia="宋体" w:hint="default"/>
          <w:sz w:val="17"/>
          <w:szCs w:val="17"/>
        </w:rPr>
      </w:pPr>
    </w:p>
    <w:p>
      <w:pPr>
        <w:spacing w:line="412" w:lineRule="auto" w:before="0"/>
        <w:ind w:left="558" w:right="0"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、借款费用资本化的确认原则 借款费用包括借款而发生的利息、折价或溢价的摊销和辅助费用以及因外币借款而发生的汇兑</w:t>
      </w:r>
    </w:p>
    <w:p>
      <w:pPr>
        <w:spacing w:before="73"/>
        <w:ind w:left="138" w:right="0" w:firstLine="0"/>
        <w:jc w:val="left"/>
        <w:rPr>
          <w:rFonts w:ascii="宋体" w:hAnsi="宋体" w:cs="宋体" w:eastAsia="宋体" w:hint="default"/>
          <w:sz w:val="21"/>
          <w:szCs w:val="21"/>
        </w:rPr>
      </w:pPr>
      <w:r>
        <w:rPr>
          <w:rFonts w:ascii="宋体" w:hAnsi="宋体" w:cs="宋体" w:eastAsia="宋体" w:hint="default"/>
          <w:sz w:val="21"/>
          <w:szCs w:val="21"/>
        </w:rPr>
        <w:t>差额。借款费用同时具备下列条件时，借款费用予以资本化：</w:t>
      </w:r>
    </w:p>
    <w:p>
      <w:pPr>
        <w:spacing w:line="240" w:lineRule="auto" w:before="3"/>
        <w:rPr>
          <w:rFonts w:ascii="宋体" w:hAnsi="宋体" w:cs="宋体" w:eastAsia="宋体" w:hint="default"/>
          <w:sz w:val="17"/>
          <w:szCs w:val="17"/>
        </w:rPr>
      </w:pPr>
    </w:p>
    <w:p>
      <w:pPr>
        <w:spacing w:before="0"/>
        <w:ind w:left="55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）资产支出已经发生；</w:t>
      </w:r>
    </w:p>
    <w:p>
      <w:pPr>
        <w:spacing w:line="240" w:lineRule="auto" w:before="0"/>
        <w:rPr>
          <w:rFonts w:ascii="宋体" w:hAnsi="宋体" w:cs="宋体" w:eastAsia="宋体" w:hint="default"/>
          <w:sz w:val="16"/>
          <w:szCs w:val="16"/>
        </w:rPr>
      </w:pPr>
    </w:p>
    <w:p>
      <w:pPr>
        <w:spacing w:before="0"/>
        <w:ind w:left="55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）借款费用已经发生；</w:t>
      </w:r>
    </w:p>
    <w:p>
      <w:pPr>
        <w:spacing w:after="0"/>
        <w:jc w:val="left"/>
        <w:rPr>
          <w:rFonts w:ascii="宋体" w:hAnsi="宋体" w:cs="宋体" w:eastAsia="宋体" w:hint="default"/>
          <w:sz w:val="21"/>
          <w:szCs w:val="21"/>
        </w:rPr>
        <w:sectPr>
          <w:pgSz w:w="11910" w:h="16840"/>
          <w:pgMar w:header="0" w:footer="710" w:top="580" w:bottom="900" w:left="1280" w:right="1260"/>
        </w:sectPr>
      </w:pPr>
    </w:p>
    <w:p>
      <w:pPr>
        <w:pStyle w:val="Heading2"/>
        <w:spacing w:line="310" w:lineRule="exact"/>
        <w:ind w:right="2996"/>
        <w:jc w:val="center"/>
        <w:rPr>
          <w:b w:val="0"/>
          <w:bCs w:val="0"/>
        </w:rPr>
      </w:pPr>
      <w:r>
        <w:rPr/>
        <w:pict>
          <v:shape style="position:absolute;margin-left:88.919998pt;margin-top:3.990308pt;width:57.0pt;height:31.5pt;mso-position-horizontal-relative:page;mso-position-vertical-relative:paragraph;z-index:3040"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645" w:right="725"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13"/>
          <w:szCs w:val="13"/>
        </w:rPr>
      </w:pPr>
    </w:p>
    <w:p>
      <w:pPr>
        <w:spacing w:line="412" w:lineRule="auto" w:before="35"/>
        <w:ind w:left="558" w:right="972"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）为使资产达到预定可使用或者可销售状态所必要的购建或者生产活动已经开始。 其他借款费用，在发生时根据其发生额确认为费用，计入当期损益。</w:t>
      </w:r>
    </w:p>
    <w:p>
      <w:pPr>
        <w:spacing w:line="412" w:lineRule="auto" w:before="74"/>
        <w:ind w:left="558" w:right="111"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、资本化期间 资本化期间是指从借款费用开始资本化时点到停止资本化时点的期间，借款费用暂停资本化期</w:t>
      </w:r>
    </w:p>
    <w:p>
      <w:pPr>
        <w:spacing w:before="73"/>
        <w:ind w:left="138" w:right="111" w:firstLine="0"/>
        <w:jc w:val="left"/>
        <w:rPr>
          <w:rFonts w:ascii="宋体" w:hAnsi="宋体" w:cs="宋体" w:eastAsia="宋体" w:hint="default"/>
          <w:sz w:val="21"/>
          <w:szCs w:val="21"/>
        </w:rPr>
      </w:pPr>
      <w:r>
        <w:rPr>
          <w:rFonts w:ascii="宋体" w:hAnsi="宋体" w:cs="宋体" w:eastAsia="宋体" w:hint="default"/>
          <w:sz w:val="21"/>
          <w:szCs w:val="21"/>
        </w:rPr>
        <w:t>间不包括在内。</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spacing w:line="396" w:lineRule="auto" w:before="0"/>
        <w:ind w:left="558" w:right="94"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、暂停资本化期间 符合资本化条件的资产在购建或者生产过程中发生非正常中断、且中断时间连续超过</w:t>
      </w:r>
      <w:r>
        <w:rPr>
          <w:rFonts w:ascii="宋体" w:hAnsi="宋体" w:cs="宋体" w:eastAsia="宋体" w:hint="default"/>
          <w:spacing w:val="-87"/>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4"/>
          <w:sz w:val="21"/>
          <w:szCs w:val="21"/>
        </w:rPr>
        <w:t> </w:t>
      </w:r>
      <w:r>
        <w:rPr>
          <w:rFonts w:ascii="宋体" w:hAnsi="宋体" w:cs="宋体" w:eastAsia="宋体" w:hint="default"/>
          <w:sz w:val="21"/>
          <w:szCs w:val="21"/>
        </w:rPr>
        <w:t>个月的，</w:t>
      </w:r>
    </w:p>
    <w:p>
      <w:pPr>
        <w:spacing w:before="38"/>
        <w:ind w:left="138" w:right="111" w:firstLine="0"/>
        <w:jc w:val="left"/>
        <w:rPr>
          <w:rFonts w:ascii="宋体" w:hAnsi="宋体" w:cs="宋体" w:eastAsia="宋体" w:hint="default"/>
          <w:sz w:val="21"/>
          <w:szCs w:val="21"/>
        </w:rPr>
      </w:pPr>
      <w:r>
        <w:rPr>
          <w:rFonts w:ascii="宋体" w:hAnsi="宋体" w:cs="宋体" w:eastAsia="宋体" w:hint="default"/>
          <w:sz w:val="21"/>
          <w:szCs w:val="21"/>
        </w:rPr>
        <w:t>暂停借款费用的资本化。</w:t>
      </w:r>
    </w:p>
    <w:p>
      <w:pPr>
        <w:spacing w:line="240" w:lineRule="auto" w:before="9"/>
        <w:rPr>
          <w:rFonts w:ascii="宋体" w:hAnsi="宋体" w:cs="宋体" w:eastAsia="宋体" w:hint="default"/>
          <w:sz w:val="15"/>
          <w:szCs w:val="15"/>
        </w:rPr>
      </w:pPr>
    </w:p>
    <w:p>
      <w:pPr>
        <w:spacing w:before="0"/>
        <w:ind w:left="558" w:right="11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、借款费用资本化金额确定</w:t>
      </w:r>
    </w:p>
    <w:p>
      <w:pPr>
        <w:spacing w:line="408" w:lineRule="auto" w:before="189"/>
        <w:ind w:left="138" w:right="212"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）公司为购建或者生产符合资本化条件的资产而借入专门借款的，以专门借款当期实际发生</w:t>
      </w:r>
      <w:r>
        <w:rPr>
          <w:rFonts w:ascii="宋体" w:hAnsi="宋体" w:cs="宋体" w:eastAsia="宋体" w:hint="default"/>
          <w:sz w:val="21"/>
          <w:szCs w:val="21"/>
        </w:rPr>
        <w:t> 的利息费用，减去将尚未动用的借款资金存入银行取得的利息收入或者进行暂时性投资取得的投资</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收益后的金额确定。</w:t>
      </w:r>
    </w:p>
    <w:p>
      <w:pPr>
        <w:spacing w:line="408" w:lineRule="auto" w:before="58"/>
        <w:ind w:left="138" w:right="212"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）公司为购建或者生产符合资本化条件的资产而占用了一般借款的，根据累计资产支出超过</w:t>
      </w:r>
      <w:r>
        <w:rPr>
          <w:rFonts w:ascii="宋体" w:hAnsi="宋体" w:cs="宋体" w:eastAsia="宋体" w:hint="default"/>
          <w:sz w:val="21"/>
          <w:szCs w:val="21"/>
        </w:rPr>
        <w:t> 专门借款部分的资产支出加权平均数乘以所占用一般借款的资本化率，计算确定一般借款应予以资</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本化的利息金额。资本化率根据一般借款加权平均利率计算确定。</w:t>
      </w:r>
    </w:p>
    <w:p>
      <w:pPr>
        <w:spacing w:line="396" w:lineRule="auto" w:before="58"/>
        <w:ind w:left="558" w:right="5592"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）一般借款的加权平均利率计算 一般借款加权平均利率</w:t>
      </w:r>
    </w:p>
    <w:p>
      <w:pPr>
        <w:spacing w:before="68"/>
        <w:ind w:left="558" w:right="111" w:firstLine="0"/>
        <w:jc w:val="left"/>
        <w:rPr>
          <w:rFonts w:ascii="宋体" w:hAnsi="宋体" w:cs="宋体" w:eastAsia="宋体" w:hint="default"/>
          <w:sz w:val="21"/>
          <w:szCs w:val="21"/>
        </w:rPr>
      </w:pPr>
      <w:r>
        <w:rPr>
          <w:rFonts w:ascii="宋体" w:hAnsi="宋体" w:cs="宋体" w:eastAsia="宋体" w:hint="default"/>
          <w:sz w:val="21"/>
          <w:szCs w:val="21"/>
        </w:rPr>
        <w:t>＝一般借款当期实际发生的利息之和÷一般借款本金加权平均数</w:t>
      </w:r>
    </w:p>
    <w:p>
      <w:pPr>
        <w:spacing w:line="240" w:lineRule="auto" w:before="9"/>
        <w:rPr>
          <w:rFonts w:ascii="宋体" w:hAnsi="宋体" w:cs="宋体" w:eastAsia="宋体" w:hint="default"/>
          <w:sz w:val="15"/>
          <w:szCs w:val="15"/>
        </w:rPr>
      </w:pPr>
    </w:p>
    <w:p>
      <w:pPr>
        <w:spacing w:before="0"/>
        <w:ind w:left="558" w:right="111" w:firstLine="0"/>
        <w:jc w:val="left"/>
        <w:rPr>
          <w:rFonts w:ascii="宋体" w:hAnsi="宋体" w:cs="宋体" w:eastAsia="宋体" w:hint="default"/>
          <w:sz w:val="21"/>
          <w:szCs w:val="21"/>
        </w:rPr>
      </w:pPr>
      <w:r>
        <w:rPr>
          <w:rFonts w:ascii="宋体" w:hAnsi="宋体" w:cs="宋体" w:eastAsia="宋体" w:hint="default"/>
          <w:sz w:val="21"/>
          <w:szCs w:val="21"/>
        </w:rPr>
        <w:t>（十四）收入确认</w:t>
      </w:r>
    </w:p>
    <w:p>
      <w:pPr>
        <w:spacing w:line="240" w:lineRule="auto" w:before="2"/>
        <w:rPr>
          <w:rFonts w:ascii="宋体" w:hAnsi="宋体" w:cs="宋体" w:eastAsia="宋体" w:hint="default"/>
          <w:sz w:val="17"/>
          <w:szCs w:val="17"/>
        </w:rPr>
      </w:pPr>
    </w:p>
    <w:p>
      <w:pPr>
        <w:spacing w:line="412" w:lineRule="auto" w:before="0"/>
        <w:ind w:left="558" w:right="3561" w:firstLine="209"/>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、销售商品收入的确认原则及方法 </w:t>
      </w:r>
      <w:r>
        <w:rPr>
          <w:rFonts w:ascii="Times New Roman" w:hAnsi="Times New Roman" w:cs="Times New Roman" w:eastAsia="Times New Roman" w:hint="default"/>
          <w:sz w:val="21"/>
          <w:szCs w:val="21"/>
        </w:rPr>
        <w:t>(1)</w:t>
      </w:r>
      <w:r>
        <w:rPr>
          <w:rFonts w:ascii="宋体" w:hAnsi="宋体" w:cs="宋体" w:eastAsia="宋体" w:hint="default"/>
          <w:sz w:val="21"/>
          <w:szCs w:val="21"/>
        </w:rPr>
        <w:t>本公司销售商品收入在同时满足下列条件时予以确认： </w:t>
      </w:r>
      <w:r>
        <w:rPr>
          <w:rFonts w:ascii="Times New Roman" w:hAnsi="Times New Roman" w:cs="Times New Roman" w:eastAsia="Times New Roman" w:hint="default"/>
          <w:sz w:val="21"/>
          <w:szCs w:val="21"/>
        </w:rPr>
        <w:t>a.</w:t>
      </w:r>
      <w:r>
        <w:rPr>
          <w:rFonts w:ascii="宋体" w:hAnsi="宋体" w:cs="宋体" w:eastAsia="宋体" w:hint="default"/>
          <w:sz w:val="21"/>
          <w:szCs w:val="21"/>
        </w:rPr>
        <w:t>已将商品所有权上的主要风险和报酬转移给购货方；</w:t>
      </w:r>
    </w:p>
    <w:p>
      <w:pPr>
        <w:spacing w:line="412" w:lineRule="auto" w:before="41"/>
        <w:ind w:left="558" w:right="100" w:firstLine="0"/>
        <w:jc w:val="left"/>
        <w:rPr>
          <w:rFonts w:ascii="宋体" w:hAnsi="宋体" w:cs="宋体" w:eastAsia="宋体" w:hint="default"/>
          <w:sz w:val="21"/>
          <w:szCs w:val="21"/>
        </w:rPr>
      </w:pPr>
      <w:r>
        <w:rPr>
          <w:rFonts w:ascii="Times New Roman" w:hAnsi="Times New Roman" w:cs="Times New Roman" w:eastAsia="Times New Roman" w:hint="default"/>
          <w:spacing w:val="-1"/>
          <w:sz w:val="21"/>
          <w:szCs w:val="21"/>
        </w:rPr>
        <w:t>b.</w:t>
      </w:r>
      <w:r>
        <w:rPr>
          <w:rFonts w:ascii="宋体" w:hAnsi="宋体" w:cs="宋体" w:eastAsia="宋体" w:hint="default"/>
          <w:spacing w:val="-1"/>
          <w:sz w:val="21"/>
          <w:szCs w:val="21"/>
        </w:rPr>
        <w:t>本公司既没有保留通常与所有权相联系的继续管理权，也没有对已售出的商品实施有效控制；</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Times New Roman" w:hAnsi="Times New Roman" w:cs="Times New Roman" w:eastAsia="Times New Roman" w:hint="default"/>
          <w:sz w:val="21"/>
          <w:szCs w:val="21"/>
        </w:rPr>
        <w:t>c.</w:t>
      </w:r>
      <w:r>
        <w:rPr>
          <w:rFonts w:ascii="宋体" w:hAnsi="宋体" w:cs="宋体" w:eastAsia="宋体" w:hint="default"/>
          <w:sz w:val="21"/>
          <w:szCs w:val="21"/>
        </w:rPr>
        <w:t>收入的金额能够可靠地计量；</w:t>
      </w:r>
    </w:p>
    <w:p>
      <w:pPr>
        <w:spacing w:line="412" w:lineRule="auto" w:before="42"/>
        <w:ind w:left="558" w:right="429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d.</w:t>
      </w:r>
      <w:r>
        <w:rPr>
          <w:rFonts w:ascii="宋体" w:hAnsi="宋体" w:cs="宋体" w:eastAsia="宋体" w:hint="default"/>
          <w:sz w:val="21"/>
          <w:szCs w:val="21"/>
        </w:rPr>
        <w:t>相关的经济利益很可能流入企业； </w:t>
      </w:r>
      <w:r>
        <w:rPr>
          <w:rFonts w:ascii="Times New Roman" w:hAnsi="Times New Roman" w:cs="Times New Roman" w:eastAsia="Times New Roman" w:hint="default"/>
          <w:sz w:val="21"/>
          <w:szCs w:val="21"/>
        </w:rPr>
        <w:t>e.</w:t>
      </w:r>
      <w:r>
        <w:rPr>
          <w:rFonts w:ascii="宋体" w:hAnsi="宋体" w:cs="宋体" w:eastAsia="宋体" w:hint="default"/>
          <w:sz w:val="21"/>
          <w:szCs w:val="21"/>
        </w:rPr>
        <w:t>相关的已发生或将发生的成本能够可靠地计量。</w:t>
      </w:r>
    </w:p>
    <w:p>
      <w:pPr>
        <w:spacing w:after="0" w:line="412" w:lineRule="auto"/>
        <w:jc w:val="left"/>
        <w:rPr>
          <w:rFonts w:ascii="宋体" w:hAnsi="宋体" w:cs="宋体" w:eastAsia="宋体" w:hint="default"/>
          <w:sz w:val="21"/>
          <w:szCs w:val="21"/>
        </w:rPr>
        <w:sectPr>
          <w:pgSz w:w="11910" w:h="16840"/>
          <w:pgMar w:header="0" w:footer="710" w:top="580" w:bottom="900" w:left="1280" w:right="1200"/>
        </w:sectPr>
      </w:pPr>
    </w:p>
    <w:p>
      <w:pPr>
        <w:pStyle w:val="Heading2"/>
        <w:spacing w:line="310" w:lineRule="exact"/>
        <w:ind w:right="2996"/>
        <w:jc w:val="center"/>
        <w:rPr>
          <w:b w:val="0"/>
          <w:bCs w:val="0"/>
        </w:rPr>
      </w:pPr>
      <w:r>
        <w:rPr/>
        <w:pict>
          <v:shape style="position:absolute;margin-left:88.919998pt;margin-top:3.990308pt;width:57.0pt;height:31.5pt;mso-position-horizontal-relative:page;mso-position-vertical-relative:paragraph;z-index:3088"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645" w:right="725"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13"/>
          <w:szCs w:val="13"/>
        </w:rPr>
      </w:pPr>
    </w:p>
    <w:p>
      <w:pPr>
        <w:spacing w:line="412" w:lineRule="auto" w:before="35"/>
        <w:ind w:left="138" w:right="215"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本公司按照从购货方已收或应收的合同或协议价款确定销售商品收入金额，但已收或应收的</w:t>
      </w:r>
      <w:r>
        <w:rPr>
          <w:rFonts w:ascii="宋体" w:hAnsi="宋体" w:cs="宋体" w:eastAsia="宋体" w:hint="default"/>
          <w:w w:val="99"/>
          <w:sz w:val="21"/>
          <w:szCs w:val="21"/>
        </w:rPr>
        <w:t> </w:t>
      </w:r>
      <w:r>
        <w:rPr>
          <w:rFonts w:ascii="宋体" w:hAnsi="宋体" w:cs="宋体" w:eastAsia="宋体" w:hint="default"/>
          <w:sz w:val="21"/>
          <w:szCs w:val="21"/>
        </w:rPr>
        <w:t>合同或协议价款不公允的除外。</w:t>
      </w:r>
    </w:p>
    <w:p>
      <w:pPr>
        <w:spacing w:line="424" w:lineRule="auto" w:before="74"/>
        <w:ind w:left="138" w:right="212"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本公司与其他企业签订的合同或协议包括销售商品和提供劳务时，销售商品部分和提供劳务</w:t>
      </w:r>
      <w:r>
        <w:rPr>
          <w:rFonts w:ascii="宋体" w:hAnsi="宋体" w:cs="宋体" w:eastAsia="宋体" w:hint="default"/>
          <w:w w:val="99"/>
          <w:sz w:val="21"/>
          <w:szCs w:val="21"/>
        </w:rPr>
        <w:t> </w:t>
      </w:r>
      <w:r>
        <w:rPr>
          <w:rFonts w:ascii="宋体" w:hAnsi="宋体" w:cs="宋体" w:eastAsia="宋体" w:hint="default"/>
          <w:sz w:val="21"/>
          <w:szCs w:val="21"/>
        </w:rPr>
        <w:t>部分能够区分且能够单独计量的，应当将销售商品的部分作为销售商品处理，将提供劳务的部分作</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为提供劳务处理。</w:t>
      </w:r>
    </w:p>
    <w:p>
      <w:pPr>
        <w:spacing w:line="412" w:lineRule="auto" w:before="64"/>
        <w:ind w:left="138" w:right="215"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销售商品部分和提供劳务部分不能够区分，或虽能区分但不能够单独计量的，将销售商品部</w:t>
      </w:r>
      <w:r>
        <w:rPr>
          <w:rFonts w:ascii="宋体" w:hAnsi="宋体" w:cs="宋体" w:eastAsia="宋体" w:hint="default"/>
          <w:w w:val="99"/>
          <w:sz w:val="21"/>
          <w:szCs w:val="21"/>
        </w:rPr>
        <w:t> </w:t>
      </w:r>
      <w:r>
        <w:rPr>
          <w:rFonts w:ascii="宋体" w:hAnsi="宋体" w:cs="宋体" w:eastAsia="宋体" w:hint="default"/>
          <w:sz w:val="21"/>
          <w:szCs w:val="21"/>
        </w:rPr>
        <w:t>分和提供劳务部分全部作为销售商品处理。</w:t>
      </w:r>
    </w:p>
    <w:p>
      <w:pPr>
        <w:spacing w:line="412" w:lineRule="auto" w:before="73"/>
        <w:ind w:left="558" w:right="11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已经确认销售商品收入的售出商品发生销售退回的，在发生时冲减当期销售商品收入。</w:t>
      </w:r>
      <w:r>
        <w:rPr>
          <w:rFonts w:ascii="宋体" w:hAnsi="宋体" w:cs="宋体" w:eastAsia="宋体" w:hint="default"/>
          <w:w w:val="99"/>
          <w:sz w:val="21"/>
          <w:szCs w:val="21"/>
        </w:rPr>
        <w:t> </w:t>
      </w:r>
      <w:r>
        <w:rPr>
          <w:rFonts w:ascii="Times New Roman" w:hAnsi="Times New Roman" w:cs="Times New Roman" w:eastAsia="Times New Roman" w:hint="default"/>
          <w:sz w:val="21"/>
          <w:szCs w:val="21"/>
        </w:rPr>
        <w:t>2</w:t>
      </w:r>
      <w:r>
        <w:rPr>
          <w:rFonts w:ascii="宋体" w:hAnsi="宋体" w:cs="宋体" w:eastAsia="宋体" w:hint="default"/>
          <w:sz w:val="21"/>
          <w:szCs w:val="21"/>
        </w:rPr>
        <w:t>、房地产销售收入的确认原则及方法</w:t>
      </w:r>
      <w:r>
        <w:rPr>
          <w:rFonts w:ascii="宋体" w:hAnsi="宋体" w:cs="宋体" w:eastAsia="宋体" w:hint="default"/>
          <w:w w:val="99"/>
          <w:sz w:val="21"/>
          <w:szCs w:val="21"/>
        </w:rPr>
        <w:t> </w:t>
      </w:r>
      <w:r>
        <w:rPr>
          <w:rFonts w:ascii="宋体" w:hAnsi="宋体" w:cs="宋体" w:eastAsia="宋体" w:hint="default"/>
          <w:sz w:val="21"/>
          <w:szCs w:val="21"/>
        </w:rPr>
        <w:t>房地产销售在房产完工并验收合格，签定了销售合同，并房地产交易管理中心办理备案，取得</w:t>
      </w:r>
    </w:p>
    <w:p>
      <w:pPr>
        <w:spacing w:before="73"/>
        <w:ind w:left="138" w:right="111" w:firstLine="0"/>
        <w:jc w:val="left"/>
        <w:rPr>
          <w:rFonts w:ascii="宋体" w:hAnsi="宋体" w:cs="宋体" w:eastAsia="宋体" w:hint="default"/>
          <w:sz w:val="21"/>
          <w:szCs w:val="21"/>
        </w:rPr>
      </w:pPr>
      <w:r>
        <w:rPr>
          <w:rFonts w:ascii="宋体" w:hAnsi="宋体" w:cs="宋体" w:eastAsia="宋体" w:hint="default"/>
          <w:sz w:val="21"/>
          <w:szCs w:val="21"/>
        </w:rPr>
        <w:t>了买方按销售合同约定交付房产的付款证明，确认销售收入的实现。</w:t>
      </w:r>
    </w:p>
    <w:p>
      <w:pPr>
        <w:spacing w:line="240" w:lineRule="auto" w:before="3"/>
        <w:rPr>
          <w:rFonts w:ascii="宋体" w:hAnsi="宋体" w:cs="宋体" w:eastAsia="宋体" w:hint="default"/>
          <w:sz w:val="17"/>
          <w:szCs w:val="17"/>
        </w:rPr>
      </w:pPr>
    </w:p>
    <w:p>
      <w:pPr>
        <w:spacing w:line="412" w:lineRule="auto" w:before="0"/>
        <w:ind w:left="558" w:right="111"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、出租物业收入 按本公司与承租方签定的合同或协议规定的承租日期作为确认租赁收入的时点；金额按月分摊</w:t>
      </w:r>
    </w:p>
    <w:p>
      <w:pPr>
        <w:spacing w:before="73"/>
        <w:ind w:left="138" w:right="111" w:firstLine="0"/>
        <w:jc w:val="left"/>
        <w:rPr>
          <w:rFonts w:ascii="宋体" w:hAnsi="宋体" w:cs="宋体" w:eastAsia="宋体" w:hint="default"/>
          <w:sz w:val="21"/>
          <w:szCs w:val="21"/>
        </w:rPr>
      </w:pPr>
      <w:r>
        <w:rPr>
          <w:rFonts w:ascii="宋体" w:hAnsi="宋体" w:cs="宋体" w:eastAsia="宋体" w:hint="default"/>
          <w:sz w:val="21"/>
          <w:szCs w:val="21"/>
        </w:rPr>
        <w:t>确认房屋出租收入</w:t>
      </w:r>
    </w:p>
    <w:p>
      <w:pPr>
        <w:spacing w:line="240" w:lineRule="auto" w:before="3"/>
        <w:rPr>
          <w:rFonts w:ascii="宋体" w:hAnsi="宋体" w:cs="宋体" w:eastAsia="宋体" w:hint="default"/>
          <w:sz w:val="17"/>
          <w:szCs w:val="17"/>
        </w:rPr>
      </w:pPr>
    </w:p>
    <w:p>
      <w:pPr>
        <w:spacing w:line="412" w:lineRule="auto" w:before="0"/>
        <w:ind w:left="138" w:right="111" w:firstLine="420"/>
        <w:jc w:val="left"/>
        <w:rPr>
          <w:rFonts w:ascii="宋体" w:hAnsi="宋体" w:cs="宋体" w:eastAsia="宋体" w:hint="default"/>
          <w:sz w:val="21"/>
          <w:szCs w:val="21"/>
        </w:rPr>
      </w:pPr>
      <w:r>
        <w:rPr>
          <w:rFonts w:ascii="Times New Roman" w:hAnsi="Times New Roman" w:cs="Times New Roman" w:eastAsia="Times New Roman" w:hint="default"/>
          <w:spacing w:val="-5"/>
          <w:sz w:val="21"/>
          <w:szCs w:val="21"/>
        </w:rPr>
        <w:t>4</w:t>
      </w:r>
      <w:r>
        <w:rPr>
          <w:rFonts w:ascii="宋体" w:hAnsi="宋体" w:cs="宋体" w:eastAsia="宋体" w:hint="default"/>
          <w:spacing w:val="-5"/>
          <w:sz w:val="21"/>
          <w:szCs w:val="21"/>
        </w:rPr>
        <w:t>、让渡资产使用权收入同时满足下列条件的，才能予以确认：相关的经济利益很可能流入企业；</w:t>
      </w:r>
      <w:r>
        <w:rPr>
          <w:rFonts w:ascii="宋体" w:hAnsi="宋体" w:cs="宋体" w:eastAsia="宋体" w:hint="default"/>
          <w:sz w:val="21"/>
          <w:szCs w:val="21"/>
        </w:rPr>
        <w:t> 收入的金额能够可靠地计量。</w:t>
      </w:r>
    </w:p>
    <w:p>
      <w:pPr>
        <w:spacing w:line="436" w:lineRule="auto" w:before="73"/>
        <w:ind w:left="138" w:right="212" w:firstLine="420"/>
        <w:jc w:val="both"/>
        <w:rPr>
          <w:rFonts w:ascii="宋体" w:hAnsi="宋体" w:cs="宋体" w:eastAsia="宋体" w:hint="default"/>
          <w:sz w:val="21"/>
          <w:szCs w:val="21"/>
        </w:rPr>
      </w:pPr>
      <w:r>
        <w:rPr>
          <w:rFonts w:ascii="宋体" w:hAnsi="宋体" w:cs="宋体" w:eastAsia="宋体" w:hint="default"/>
          <w:sz w:val="21"/>
          <w:szCs w:val="21"/>
        </w:rPr>
        <w:t>按照业务分别下列情况确定让渡资产使用权收入金额：利息收入金额，按照他人使用本企业货 币资金的时间和实际利率计算确定；其他使用费收入金额，按照有关合同或协议约定的收费时间和</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方法计算确定。</w:t>
      </w:r>
    </w:p>
    <w:p>
      <w:pPr>
        <w:spacing w:line="424" w:lineRule="auto" w:before="52"/>
        <w:ind w:left="138" w:right="212" w:firstLine="420"/>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5</w:t>
      </w:r>
      <w:r>
        <w:rPr>
          <w:rFonts w:ascii="宋体" w:hAnsi="宋体" w:cs="宋体" w:eastAsia="宋体" w:hint="default"/>
          <w:spacing w:val="-2"/>
          <w:sz w:val="21"/>
          <w:szCs w:val="21"/>
        </w:rPr>
        <w:t>、提供劳务：在劳务已经提供、收到价款或取得收取价款的证据时，确认劳务收入的实现；如</w:t>
      </w:r>
      <w:r>
        <w:rPr>
          <w:rFonts w:ascii="宋体" w:hAnsi="宋体" w:cs="宋体" w:eastAsia="宋体" w:hint="default"/>
          <w:sz w:val="21"/>
          <w:szCs w:val="21"/>
        </w:rPr>
        <w:t> 劳务的开始和完成分属不同的会计年度，在提供劳务交易的结果能够可靠估计的情况下，在资产负</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债表日按完工百分比法确认相关的劳务收入。具体处理方法如下：</w:t>
      </w:r>
    </w:p>
    <w:p>
      <w:pPr>
        <w:spacing w:line="412" w:lineRule="auto" w:before="62"/>
        <w:ind w:left="138" w:right="100" w:firstLine="420"/>
        <w:jc w:val="left"/>
        <w:rPr>
          <w:rFonts w:ascii="宋体" w:hAnsi="宋体" w:cs="宋体" w:eastAsia="宋体" w:hint="default"/>
          <w:sz w:val="21"/>
          <w:szCs w:val="21"/>
        </w:rPr>
      </w:pPr>
      <w:r>
        <w:rPr>
          <w:rFonts w:ascii="Times New Roman" w:hAnsi="Times New Roman" w:cs="Times New Roman" w:eastAsia="Times New Roman" w:hint="default"/>
          <w:spacing w:val="-3"/>
          <w:w w:val="99"/>
          <w:sz w:val="21"/>
          <w:szCs w:val="21"/>
        </w:rPr>
        <w:t>(1)</w:t>
      </w:r>
      <w:r>
        <w:rPr>
          <w:rFonts w:ascii="宋体" w:hAnsi="宋体" w:cs="宋体" w:eastAsia="宋体" w:hint="default"/>
          <w:spacing w:val="-3"/>
          <w:w w:val="99"/>
          <w:sz w:val="21"/>
          <w:szCs w:val="21"/>
        </w:rPr>
        <w:t>在资产负债表日提供劳务交易的结果能够可靠估计的，采用完工百分比法确认提供劳务收入。</w:t>
      </w:r>
      <w:r>
        <w:rPr>
          <w:rFonts w:ascii="宋体" w:hAnsi="宋体" w:cs="宋体" w:eastAsia="宋体" w:hint="default"/>
          <w:w w:val="99"/>
          <w:sz w:val="21"/>
          <w:szCs w:val="21"/>
        </w:rPr>
        <w:t> </w:t>
      </w:r>
      <w:r>
        <w:rPr>
          <w:rFonts w:ascii="宋体" w:hAnsi="宋体" w:cs="宋体" w:eastAsia="宋体" w:hint="default"/>
          <w:sz w:val="21"/>
          <w:szCs w:val="21"/>
        </w:rPr>
        <w:t>按照从接受劳务方已收或应收的合同或协议价款确定提供劳务收入总额。</w:t>
      </w:r>
    </w:p>
    <w:p>
      <w:pPr>
        <w:spacing w:line="424" w:lineRule="auto" w:before="74"/>
        <w:ind w:left="138" w:right="212"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在资产负债表日按照提供劳务收入总额乘以完工进度扣除以前会计期间累计已确认提供劳务</w:t>
      </w:r>
      <w:r>
        <w:rPr>
          <w:rFonts w:ascii="宋体" w:hAnsi="宋体" w:cs="宋体" w:eastAsia="宋体" w:hint="default"/>
          <w:w w:val="99"/>
          <w:sz w:val="21"/>
          <w:szCs w:val="21"/>
        </w:rPr>
        <w:t> </w:t>
      </w:r>
      <w:r>
        <w:rPr>
          <w:rFonts w:ascii="宋体" w:hAnsi="宋体" w:cs="宋体" w:eastAsia="宋体" w:hint="default"/>
          <w:sz w:val="21"/>
          <w:szCs w:val="21"/>
        </w:rPr>
        <w:t>收入后的金额，确认当期提供劳务收入；同时，按照提供劳务估计总成本乘以完工进度扣除以前会</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计期间累计已确认劳务成本后的金额，结转当期劳务成本。</w:t>
      </w:r>
    </w:p>
    <w:p>
      <w:pPr>
        <w:spacing w:after="0" w:line="424" w:lineRule="auto"/>
        <w:jc w:val="both"/>
        <w:rPr>
          <w:rFonts w:ascii="宋体" w:hAnsi="宋体" w:cs="宋体" w:eastAsia="宋体" w:hint="default"/>
          <w:sz w:val="21"/>
          <w:szCs w:val="21"/>
        </w:rPr>
        <w:sectPr>
          <w:pgSz w:w="11910" w:h="16840"/>
          <w:pgMar w:header="0" w:footer="710" w:top="580" w:bottom="900" w:left="1280" w:right="120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3136"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13"/>
          <w:szCs w:val="13"/>
        </w:rPr>
      </w:pPr>
    </w:p>
    <w:p>
      <w:pPr>
        <w:spacing w:line="429" w:lineRule="auto" w:before="35"/>
        <w:ind w:left="138" w:right="152"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在资产负债表日提供劳务交易结果不能够可靠估计的，分别下列情况处理：已经发生的劳务</w:t>
      </w:r>
      <w:r>
        <w:rPr>
          <w:rFonts w:ascii="宋体" w:hAnsi="宋体" w:cs="宋体" w:eastAsia="宋体" w:hint="default"/>
          <w:w w:val="99"/>
          <w:sz w:val="21"/>
          <w:szCs w:val="21"/>
        </w:rPr>
        <w:t> </w:t>
      </w:r>
      <w:r>
        <w:rPr>
          <w:rFonts w:ascii="宋体" w:hAnsi="宋体" w:cs="宋体" w:eastAsia="宋体" w:hint="default"/>
          <w:sz w:val="21"/>
          <w:szCs w:val="21"/>
        </w:rPr>
        <w:t>成本预计能够得到补偿的，按照已经发生的劳务成本金额确认提供劳务收入，并按相同金额结转劳</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务成本；已经发生的劳务成本预计不能够得到补偿的，将已经发生的劳务成本计入当期损益，不确</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认提供劳务收入。</w:t>
      </w:r>
    </w:p>
    <w:p>
      <w:pPr>
        <w:spacing w:line="420" w:lineRule="auto" w:before="39"/>
        <w:ind w:left="558" w:right="4376" w:firstLine="0"/>
        <w:jc w:val="left"/>
        <w:rPr>
          <w:rFonts w:ascii="宋体" w:hAnsi="宋体" w:cs="宋体" w:eastAsia="宋体" w:hint="default"/>
          <w:sz w:val="21"/>
          <w:szCs w:val="21"/>
        </w:rPr>
      </w:pPr>
      <w:r>
        <w:rPr>
          <w:rFonts w:ascii="宋体" w:hAnsi="宋体" w:cs="宋体" w:eastAsia="宋体" w:hint="default"/>
          <w:sz w:val="21"/>
          <w:szCs w:val="21"/>
        </w:rPr>
        <w:t>（十五）确认递延所得税资产的依据 公司所得税的会计处理采用资产负债表债务法。</w:t>
      </w:r>
    </w:p>
    <w:p>
      <w:pPr>
        <w:spacing w:line="420" w:lineRule="auto" w:before="47"/>
        <w:ind w:left="138" w:right="152" w:firstLine="420"/>
        <w:jc w:val="both"/>
        <w:rPr>
          <w:rFonts w:ascii="宋体" w:hAnsi="宋体" w:cs="宋体" w:eastAsia="宋体" w:hint="default"/>
          <w:sz w:val="21"/>
          <w:szCs w:val="21"/>
        </w:rPr>
      </w:pPr>
      <w:r>
        <w:rPr>
          <w:rFonts w:ascii="宋体" w:hAnsi="宋体" w:cs="宋体" w:eastAsia="宋体" w:hint="default"/>
          <w:sz w:val="21"/>
          <w:szCs w:val="21"/>
        </w:rPr>
        <w:t>公司将当期和以前期间应交未交的所得税确认为负债，将已支付的所得税超过应支付的部分确 认为资产。存在应纳税暂时性差异或可抵扣暂时性差异的，按以下要求确认递延所得税资产或递延</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所得税负债：</w:t>
      </w:r>
    </w:p>
    <w:p>
      <w:pPr>
        <w:spacing w:line="396" w:lineRule="auto" w:before="47"/>
        <w:ind w:left="138" w:right="154"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）除下列交易中产生的递延所得税负债以外，本公司确认所有应纳税暂时性差异产生的递延</w:t>
      </w:r>
      <w:r>
        <w:rPr>
          <w:rFonts w:ascii="宋体" w:hAnsi="宋体" w:cs="宋体" w:eastAsia="宋体" w:hint="default"/>
          <w:sz w:val="21"/>
          <w:szCs w:val="21"/>
        </w:rPr>
        <w:t> 所得税负债：</w:t>
      </w:r>
    </w:p>
    <w:p>
      <w:pPr>
        <w:spacing w:before="68"/>
        <w:ind w:left="558" w:right="0" w:firstLine="0"/>
        <w:jc w:val="left"/>
        <w:rPr>
          <w:rFonts w:ascii="宋体" w:hAnsi="宋体" w:cs="宋体" w:eastAsia="宋体" w:hint="default"/>
          <w:sz w:val="21"/>
          <w:szCs w:val="21"/>
        </w:rPr>
      </w:pPr>
      <w:r>
        <w:rPr>
          <w:rFonts w:ascii="宋体" w:hAnsi="宋体" w:cs="宋体" w:eastAsia="宋体" w:hint="default"/>
          <w:sz w:val="21"/>
          <w:szCs w:val="21"/>
        </w:rPr>
        <w:t>①商誉的初始确认；</w:t>
      </w:r>
    </w:p>
    <w:p>
      <w:pPr>
        <w:spacing w:line="240" w:lineRule="auto" w:before="9"/>
        <w:rPr>
          <w:rFonts w:ascii="宋体" w:hAnsi="宋体" w:cs="宋体" w:eastAsia="宋体" w:hint="default"/>
          <w:sz w:val="15"/>
          <w:szCs w:val="15"/>
        </w:rPr>
      </w:pPr>
    </w:p>
    <w:p>
      <w:pPr>
        <w:spacing w:line="420" w:lineRule="auto" w:before="0"/>
        <w:ind w:left="138" w:right="155" w:firstLine="420"/>
        <w:jc w:val="both"/>
        <w:rPr>
          <w:rFonts w:ascii="宋体" w:hAnsi="宋体" w:cs="宋体" w:eastAsia="宋体" w:hint="default"/>
          <w:sz w:val="21"/>
          <w:szCs w:val="21"/>
        </w:rPr>
      </w:pPr>
      <w:r>
        <w:rPr>
          <w:rFonts w:ascii="宋体" w:hAnsi="宋体" w:cs="宋体" w:eastAsia="宋体" w:hint="default"/>
          <w:sz w:val="21"/>
          <w:szCs w:val="21"/>
        </w:rPr>
        <w:t>②不是企业合并，且交易发生时既不影响会计利润也不影响应纳税所得额的交易中产生的资产 或负债的初始确认；</w:t>
      </w:r>
    </w:p>
    <w:p>
      <w:pPr>
        <w:spacing w:line="420" w:lineRule="auto" w:before="47"/>
        <w:ind w:left="138" w:right="155" w:firstLine="420"/>
        <w:jc w:val="both"/>
        <w:rPr>
          <w:rFonts w:ascii="宋体" w:hAnsi="宋体" w:cs="宋体" w:eastAsia="宋体" w:hint="default"/>
          <w:sz w:val="21"/>
          <w:szCs w:val="21"/>
        </w:rPr>
      </w:pPr>
      <w:r>
        <w:rPr>
          <w:rFonts w:ascii="宋体" w:hAnsi="宋体" w:cs="宋体" w:eastAsia="宋体" w:hint="default"/>
          <w:sz w:val="21"/>
          <w:szCs w:val="21"/>
        </w:rPr>
        <w:t>③对与子公司、联营企业及合营企业投资相关的应纳税暂时性差异，投资企业能够控制暂时性 差异转回的时间，且该暂时性差异在可预见的未来很可能不含转回。</w:t>
      </w:r>
    </w:p>
    <w:p>
      <w:pPr>
        <w:spacing w:line="420" w:lineRule="auto" w:before="47"/>
        <w:ind w:left="138" w:right="155" w:firstLine="420"/>
        <w:jc w:val="both"/>
        <w:rPr>
          <w:rFonts w:ascii="宋体" w:hAnsi="宋体" w:cs="宋体" w:eastAsia="宋体" w:hint="default"/>
          <w:sz w:val="21"/>
          <w:szCs w:val="21"/>
        </w:rPr>
      </w:pPr>
      <w:r>
        <w:rPr>
          <w:rFonts w:ascii="宋体" w:hAnsi="宋体" w:cs="宋体" w:eastAsia="宋体" w:hint="default"/>
          <w:sz w:val="21"/>
          <w:szCs w:val="21"/>
        </w:rPr>
        <w:t>公司以很可能取得用来抵扣可抵扣暂时性差异的应纳税所得额为限，确认由可抵扣暂时性差异 产生的递延所得税资产。</w:t>
      </w:r>
    </w:p>
    <w:p>
      <w:pPr>
        <w:spacing w:line="420" w:lineRule="auto" w:before="47"/>
        <w:ind w:left="138" w:right="152" w:firstLine="420"/>
        <w:jc w:val="both"/>
        <w:rPr>
          <w:rFonts w:ascii="宋体" w:hAnsi="宋体" w:cs="宋体" w:eastAsia="宋体" w:hint="default"/>
          <w:sz w:val="21"/>
          <w:szCs w:val="21"/>
        </w:rPr>
      </w:pPr>
      <w:r>
        <w:rPr>
          <w:rFonts w:ascii="宋体" w:hAnsi="宋体" w:cs="宋体" w:eastAsia="宋体" w:hint="default"/>
          <w:sz w:val="21"/>
          <w:szCs w:val="21"/>
        </w:rPr>
        <w:t>公司期末对递延所得税资产的账面价值进行复核。如果未来期间很可能无法获得足够的应纳税 所得额用以抵扣递延所得税资产的利益，应当减记递延所得税资产的账面价值。在很可能获得足够</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的应纳税所得额时，本公司以原减记的金额为限，予以转回。</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spacing w:line="436" w:lineRule="auto" w:before="0"/>
        <w:ind w:left="558" w:right="0" w:firstLine="0"/>
        <w:jc w:val="left"/>
        <w:rPr>
          <w:rFonts w:ascii="宋体" w:hAnsi="宋体" w:cs="宋体" w:eastAsia="宋体" w:hint="default"/>
          <w:sz w:val="21"/>
          <w:szCs w:val="21"/>
        </w:rPr>
      </w:pPr>
      <w:r>
        <w:rPr>
          <w:rFonts w:ascii="宋体" w:hAnsi="宋体" w:cs="宋体" w:eastAsia="宋体" w:hint="default"/>
          <w:sz w:val="21"/>
          <w:szCs w:val="21"/>
        </w:rPr>
        <w:t>（十六）资产减值 资产减值，是指资产的可收回金额低于其账面价值。公司应在资产负债表日判断资产是否存在</w:t>
      </w:r>
    </w:p>
    <w:p>
      <w:pPr>
        <w:spacing w:line="436" w:lineRule="auto" w:before="52"/>
        <w:ind w:left="138" w:right="152" w:firstLine="0"/>
        <w:jc w:val="both"/>
        <w:rPr>
          <w:rFonts w:ascii="宋体" w:hAnsi="宋体" w:cs="宋体" w:eastAsia="宋体" w:hint="default"/>
          <w:sz w:val="21"/>
          <w:szCs w:val="21"/>
        </w:rPr>
      </w:pPr>
      <w:r>
        <w:rPr>
          <w:rFonts w:ascii="宋体" w:hAnsi="宋体" w:cs="宋体" w:eastAsia="宋体" w:hint="default"/>
          <w:sz w:val="21"/>
          <w:szCs w:val="21"/>
        </w:rPr>
        <w:t>可能发生减值的迹象。当资产存在减值迹象时，估计其可收回金额，资产的可收回金额低于其账面</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价值的，将资产的账面价值减记至可收回金额，减记的金额确认为资产减值损失，计入当期损益，</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同时计提相应的资产减值准备。资产减值损失一经确认，在以后会计期间不得转回。资产减值损失</w:t>
      </w:r>
    </w:p>
    <w:p>
      <w:pPr>
        <w:spacing w:after="0" w:line="436" w:lineRule="auto"/>
        <w:jc w:val="both"/>
        <w:rPr>
          <w:rFonts w:ascii="宋体" w:hAnsi="宋体" w:cs="宋体" w:eastAsia="宋体" w:hint="default"/>
          <w:sz w:val="21"/>
          <w:szCs w:val="21"/>
        </w:rPr>
        <w:sectPr>
          <w:pgSz w:w="11910" w:h="16840"/>
          <w:pgMar w:header="0" w:footer="710" w:top="580" w:bottom="900" w:left="1280" w:right="126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3184"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13"/>
          <w:szCs w:val="13"/>
        </w:rPr>
      </w:pPr>
    </w:p>
    <w:p>
      <w:pPr>
        <w:spacing w:line="436" w:lineRule="auto" w:before="35"/>
        <w:ind w:left="138" w:right="0" w:firstLine="0"/>
        <w:jc w:val="left"/>
        <w:rPr>
          <w:rFonts w:ascii="宋体" w:hAnsi="宋体" w:cs="宋体" w:eastAsia="宋体" w:hint="default"/>
          <w:sz w:val="21"/>
          <w:szCs w:val="21"/>
        </w:rPr>
      </w:pPr>
      <w:r>
        <w:rPr>
          <w:rFonts w:ascii="宋体" w:hAnsi="宋体" w:cs="宋体" w:eastAsia="宋体" w:hint="default"/>
          <w:sz w:val="21"/>
          <w:szCs w:val="21"/>
        </w:rPr>
        <w:t>确认后，减值资产的折旧或者摊销费用在未来期间作相应调整，以使该资产在剩余使用寿命内，系</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统地分摊调整后的资产账面价值。</w:t>
      </w:r>
    </w:p>
    <w:p>
      <w:pPr>
        <w:spacing w:before="53"/>
        <w:ind w:left="558" w:right="0" w:firstLine="0"/>
        <w:jc w:val="left"/>
        <w:rPr>
          <w:rFonts w:ascii="宋体" w:hAnsi="宋体" w:cs="宋体" w:eastAsia="宋体" w:hint="default"/>
          <w:sz w:val="21"/>
          <w:szCs w:val="21"/>
        </w:rPr>
      </w:pPr>
      <w:r>
        <w:rPr>
          <w:rFonts w:ascii="宋体" w:hAnsi="宋体" w:cs="宋体" w:eastAsia="宋体" w:hint="default"/>
          <w:sz w:val="21"/>
          <w:szCs w:val="21"/>
        </w:rPr>
        <w:t>当存在下列迹象时，表明资产可能发生了减值：</w:t>
      </w:r>
    </w:p>
    <w:p>
      <w:pPr>
        <w:spacing w:line="240" w:lineRule="auto" w:before="3"/>
        <w:rPr>
          <w:rFonts w:ascii="宋体" w:hAnsi="宋体" w:cs="宋体" w:eastAsia="宋体" w:hint="default"/>
          <w:sz w:val="17"/>
          <w:szCs w:val="17"/>
        </w:rPr>
      </w:pPr>
    </w:p>
    <w:p>
      <w:pPr>
        <w:spacing w:before="0"/>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、资产的市价当期大幅度下跌，其跌幅明显高于因时间的推移或者正</w:t>
      </w:r>
      <w:r>
        <w:rPr>
          <w:rFonts w:ascii="宋体" w:hAnsi="宋体" w:cs="宋体" w:eastAsia="宋体" w:hint="default"/>
          <w:spacing w:val="-3"/>
          <w:sz w:val="21"/>
          <w:szCs w:val="21"/>
        </w:rPr>
        <w:t> </w:t>
      </w:r>
      <w:r>
        <w:rPr>
          <w:rFonts w:ascii="宋体" w:hAnsi="宋体" w:cs="宋体" w:eastAsia="宋体" w:hint="default"/>
          <w:sz w:val="21"/>
          <w:szCs w:val="21"/>
        </w:rPr>
        <w:t>常使用而预计的下跌。</w:t>
      </w:r>
    </w:p>
    <w:p>
      <w:pPr>
        <w:spacing w:line="240" w:lineRule="auto" w:before="12"/>
        <w:rPr>
          <w:rFonts w:ascii="宋体" w:hAnsi="宋体" w:cs="宋体" w:eastAsia="宋体" w:hint="default"/>
          <w:sz w:val="15"/>
          <w:szCs w:val="15"/>
        </w:rPr>
      </w:pPr>
    </w:p>
    <w:p>
      <w:pPr>
        <w:spacing w:line="412" w:lineRule="auto" w:before="0"/>
        <w:ind w:left="138" w:right="153"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、公司经营所处的经济、技术或者法律等环境以及资产所处的市场在</w:t>
      </w:r>
      <w:r>
        <w:rPr>
          <w:rFonts w:ascii="宋体" w:hAnsi="宋体" w:cs="宋体" w:eastAsia="宋体" w:hint="default"/>
          <w:spacing w:val="28"/>
          <w:sz w:val="21"/>
          <w:szCs w:val="21"/>
        </w:rPr>
        <w:t> </w:t>
      </w:r>
      <w:r>
        <w:rPr>
          <w:rFonts w:ascii="宋体" w:hAnsi="宋体" w:cs="宋体" w:eastAsia="宋体" w:hint="default"/>
          <w:sz w:val="21"/>
          <w:szCs w:val="21"/>
        </w:rPr>
        <w:t>当期或者将在近期发生</w:t>
      </w:r>
      <w:r>
        <w:rPr>
          <w:rFonts w:ascii="宋体" w:hAnsi="宋体" w:cs="宋体" w:eastAsia="宋体" w:hint="default"/>
          <w:spacing w:val="1"/>
          <w:sz w:val="21"/>
          <w:szCs w:val="21"/>
        </w:rPr>
        <w:t> </w:t>
      </w:r>
      <w:r>
        <w:rPr>
          <w:rFonts w:ascii="宋体" w:hAnsi="宋体" w:cs="宋体" w:eastAsia="宋体" w:hint="default"/>
          <w:sz w:val="21"/>
          <w:szCs w:val="21"/>
        </w:rPr>
        <w:t>重大变化，从而对公司产生不利影响。</w:t>
      </w:r>
    </w:p>
    <w:p>
      <w:pPr>
        <w:spacing w:line="412" w:lineRule="auto" w:before="74"/>
        <w:ind w:left="138" w:right="154" w:firstLine="420"/>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3</w:t>
      </w:r>
      <w:r>
        <w:rPr>
          <w:rFonts w:ascii="宋体" w:hAnsi="宋体" w:cs="宋体" w:eastAsia="宋体" w:hint="default"/>
          <w:spacing w:val="-2"/>
          <w:sz w:val="21"/>
          <w:szCs w:val="21"/>
        </w:rPr>
        <w:t>、市场利率或者其他市场投资报酬率在当期已经提高，从而影响公司计算资产预计未来现金流</w:t>
      </w:r>
      <w:r>
        <w:rPr>
          <w:rFonts w:ascii="宋体" w:hAnsi="宋体" w:cs="宋体" w:eastAsia="宋体" w:hint="default"/>
          <w:sz w:val="21"/>
          <w:szCs w:val="21"/>
        </w:rPr>
        <w:t> 量现值的折现率，导致资产可收回金额大幅度降低。</w:t>
      </w:r>
    </w:p>
    <w:p>
      <w:pPr>
        <w:spacing w:before="74"/>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、有证据表明资产已经陈旧过时或者其实体已经损坏。</w:t>
      </w:r>
    </w:p>
    <w:p>
      <w:pPr>
        <w:spacing w:line="240" w:lineRule="auto" w:before="0"/>
        <w:rPr>
          <w:rFonts w:ascii="宋体" w:hAnsi="宋体" w:cs="宋体" w:eastAsia="宋体" w:hint="default"/>
          <w:sz w:val="16"/>
          <w:szCs w:val="16"/>
        </w:rPr>
      </w:pPr>
    </w:p>
    <w:p>
      <w:pPr>
        <w:spacing w:before="0"/>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、资产已经或者将被闲置、终止使用或者计划提前处置。</w:t>
      </w:r>
    </w:p>
    <w:p>
      <w:pPr>
        <w:spacing w:line="240" w:lineRule="auto" w:before="12"/>
        <w:rPr>
          <w:rFonts w:ascii="宋体" w:hAnsi="宋体" w:cs="宋体" w:eastAsia="宋体" w:hint="default"/>
          <w:sz w:val="15"/>
          <w:szCs w:val="15"/>
        </w:rPr>
      </w:pPr>
    </w:p>
    <w:p>
      <w:pPr>
        <w:spacing w:line="412" w:lineRule="auto" w:before="0"/>
        <w:ind w:left="138" w:right="153"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、公司内部报告的证据表明资产的经济绩效已经低于或者将低于预期，</w:t>
      </w:r>
      <w:r>
        <w:rPr>
          <w:rFonts w:ascii="宋体" w:hAnsi="宋体" w:cs="宋体" w:eastAsia="宋体" w:hint="default"/>
          <w:spacing w:val="30"/>
          <w:sz w:val="21"/>
          <w:szCs w:val="21"/>
        </w:rPr>
        <w:t> </w:t>
      </w:r>
      <w:r>
        <w:rPr>
          <w:rFonts w:ascii="宋体" w:hAnsi="宋体" w:cs="宋体" w:eastAsia="宋体" w:hint="default"/>
          <w:sz w:val="21"/>
          <w:szCs w:val="21"/>
        </w:rPr>
        <w:t>如资产所创造的净现</w:t>
      </w:r>
      <w:r>
        <w:rPr>
          <w:rFonts w:ascii="宋体" w:hAnsi="宋体" w:cs="宋体" w:eastAsia="宋体" w:hint="default"/>
          <w:spacing w:val="1"/>
          <w:sz w:val="21"/>
          <w:szCs w:val="21"/>
        </w:rPr>
        <w:t> </w:t>
      </w:r>
      <w:r>
        <w:rPr>
          <w:rFonts w:ascii="宋体" w:hAnsi="宋体" w:cs="宋体" w:eastAsia="宋体" w:hint="default"/>
          <w:sz w:val="21"/>
          <w:szCs w:val="21"/>
        </w:rPr>
        <w:t>金流量或者实现的营业利润（或者亏损）远远低于（或者高于）预计金额等。</w:t>
      </w:r>
    </w:p>
    <w:p>
      <w:pPr>
        <w:spacing w:line="412" w:lineRule="auto" w:before="74"/>
        <w:ind w:left="138" w:right="154" w:firstLine="420"/>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7</w:t>
      </w:r>
      <w:r>
        <w:rPr>
          <w:rFonts w:ascii="宋体" w:hAnsi="宋体" w:cs="宋体" w:eastAsia="宋体" w:hint="default"/>
          <w:spacing w:val="-2"/>
          <w:sz w:val="21"/>
          <w:szCs w:val="21"/>
        </w:rPr>
        <w:t>、其他表明资产可能已经发生减值的迹象。商誉和使用寿命不确定的无形资产，无论是否存在</w:t>
      </w:r>
      <w:r>
        <w:rPr>
          <w:rFonts w:ascii="宋体" w:hAnsi="宋体" w:cs="宋体" w:eastAsia="宋体" w:hint="default"/>
          <w:sz w:val="21"/>
          <w:szCs w:val="21"/>
        </w:rPr>
        <w:t> 减值迹象，每年都应当进行减值测试。商誉结合与其相关的资产组或者资产组组合进行减值测试。</w:t>
      </w:r>
    </w:p>
    <w:p>
      <w:pPr>
        <w:spacing w:before="74"/>
        <w:ind w:left="558" w:right="0" w:firstLine="0"/>
        <w:jc w:val="left"/>
        <w:rPr>
          <w:rFonts w:ascii="宋体" w:hAnsi="宋体" w:cs="宋体" w:eastAsia="宋体" w:hint="default"/>
          <w:sz w:val="21"/>
          <w:szCs w:val="21"/>
        </w:rPr>
      </w:pPr>
      <w:r>
        <w:rPr>
          <w:rFonts w:ascii="宋体" w:hAnsi="宋体" w:cs="宋体" w:eastAsia="宋体" w:hint="default"/>
          <w:sz w:val="21"/>
          <w:szCs w:val="21"/>
        </w:rPr>
        <w:t>（十七）所得税的会计处理</w:t>
      </w:r>
    </w:p>
    <w:p>
      <w:pPr>
        <w:spacing w:line="240" w:lineRule="auto" w:before="3"/>
        <w:rPr>
          <w:rFonts w:ascii="宋体" w:hAnsi="宋体" w:cs="宋体" w:eastAsia="宋体" w:hint="default"/>
          <w:sz w:val="17"/>
          <w:szCs w:val="17"/>
        </w:rPr>
      </w:pPr>
    </w:p>
    <w:p>
      <w:pPr>
        <w:spacing w:before="0"/>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、所得税会计处理采用资产负债表债务法。</w:t>
      </w:r>
    </w:p>
    <w:p>
      <w:pPr>
        <w:spacing w:line="240" w:lineRule="auto" w:before="12"/>
        <w:rPr>
          <w:rFonts w:ascii="宋体" w:hAnsi="宋体" w:cs="宋体" w:eastAsia="宋体" w:hint="default"/>
          <w:sz w:val="15"/>
          <w:szCs w:val="15"/>
        </w:rPr>
      </w:pPr>
    </w:p>
    <w:p>
      <w:pPr>
        <w:spacing w:line="429" w:lineRule="auto" w:before="0"/>
        <w:ind w:left="138" w:right="152" w:firstLine="420"/>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、资产的账面价值大于其计税基础或者负债的账面价值小于其计税基础的差额，为应纳税暂时</w:t>
      </w:r>
      <w:r>
        <w:rPr>
          <w:rFonts w:ascii="宋体" w:hAnsi="宋体" w:cs="宋体" w:eastAsia="宋体" w:hint="default"/>
          <w:sz w:val="21"/>
          <w:szCs w:val="21"/>
        </w:rPr>
        <w:t> 性差异；资产的账面价值小于其计税基础或者负债的账面价值大于其计税基础的差额，为可抵扣暂</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时性差异。期末和企业合并的购买日，按暂时性差异乘以适用所得税税率，确认递延所得税负债、</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4"/>
          <w:sz w:val="21"/>
          <w:szCs w:val="21"/>
        </w:rPr>
        <w:t>递延所得税资产以及相应的递延所得税费用（或收益）。确认递延所得税资产以未来期间很可能取得</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用以抵扣可抵扣暂时性差异的应纳税所得额为限。</w:t>
      </w:r>
    </w:p>
    <w:p>
      <w:pPr>
        <w:spacing w:line="420" w:lineRule="auto" w:before="59"/>
        <w:ind w:left="558" w:right="3116" w:firstLine="0"/>
        <w:jc w:val="left"/>
        <w:rPr>
          <w:rFonts w:ascii="宋体" w:hAnsi="宋体" w:cs="宋体" w:eastAsia="宋体" w:hint="default"/>
          <w:sz w:val="21"/>
          <w:szCs w:val="21"/>
        </w:rPr>
      </w:pPr>
      <w:r>
        <w:rPr>
          <w:rFonts w:ascii="宋体" w:hAnsi="宋体" w:cs="宋体" w:eastAsia="宋体" w:hint="default"/>
          <w:sz w:val="21"/>
          <w:szCs w:val="21"/>
        </w:rPr>
        <w:t>（十八）合并财务报表编制方法 公司将能够控制的全部子公司纳入合并财务报表的合并范围。</w:t>
      </w:r>
    </w:p>
    <w:p>
      <w:pPr>
        <w:spacing w:line="420" w:lineRule="auto" w:before="47"/>
        <w:ind w:left="138" w:right="152" w:firstLine="420"/>
        <w:jc w:val="both"/>
        <w:rPr>
          <w:rFonts w:ascii="宋体" w:hAnsi="宋体" w:cs="宋体" w:eastAsia="宋体" w:hint="default"/>
          <w:sz w:val="21"/>
          <w:szCs w:val="21"/>
        </w:rPr>
      </w:pPr>
      <w:r>
        <w:rPr>
          <w:rFonts w:ascii="宋体" w:hAnsi="宋体" w:cs="宋体" w:eastAsia="宋体" w:hint="default"/>
          <w:sz w:val="21"/>
          <w:szCs w:val="21"/>
        </w:rPr>
        <w:t>公司合并财务报表以母公司和子公司的财务报表为基础，根据其他有关资料，按照权益法调整 对子公司的长期股权投资后，由母公司编制。在编制合并财务报表时，母子公司的会计政策和会计</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期间要求保持一致，公司间的重大交易和往来余额予以抵销。</w:t>
      </w:r>
    </w:p>
    <w:p>
      <w:pPr>
        <w:spacing w:before="47"/>
        <w:ind w:left="558" w:right="0" w:firstLine="0"/>
        <w:jc w:val="left"/>
        <w:rPr>
          <w:rFonts w:ascii="宋体" w:hAnsi="宋体" w:cs="宋体" w:eastAsia="宋体" w:hint="default"/>
          <w:sz w:val="21"/>
          <w:szCs w:val="21"/>
        </w:rPr>
      </w:pPr>
      <w:r>
        <w:rPr>
          <w:rFonts w:ascii="宋体" w:hAnsi="宋体" w:cs="宋体" w:eastAsia="宋体" w:hint="default"/>
          <w:sz w:val="21"/>
          <w:szCs w:val="21"/>
        </w:rPr>
        <w:t>在报告期内因同一控制下企业合并增加的子公司，公司将该子公司合并当期期初至报告期末的</w:t>
      </w:r>
    </w:p>
    <w:p>
      <w:pPr>
        <w:spacing w:after="0"/>
        <w:jc w:val="left"/>
        <w:rPr>
          <w:rFonts w:ascii="宋体" w:hAnsi="宋体" w:cs="宋体" w:eastAsia="宋体" w:hint="default"/>
          <w:sz w:val="21"/>
          <w:szCs w:val="21"/>
        </w:rPr>
        <w:sectPr>
          <w:pgSz w:w="11910" w:h="16840"/>
          <w:pgMar w:header="0" w:footer="710" w:top="580" w:bottom="900" w:left="1280" w:right="126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4312"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6"/>
        <w:rPr>
          <w:rFonts w:ascii="Times New Roman" w:hAnsi="Times New Roman" w:cs="Times New Roman" w:eastAsia="Times New Roman" w:hint="default"/>
          <w:sz w:val="11"/>
          <w:szCs w:val="11"/>
        </w:rPr>
      </w:pPr>
    </w:p>
    <w:p>
      <w:pPr>
        <w:spacing w:line="420" w:lineRule="auto" w:before="35"/>
        <w:ind w:left="138" w:right="152" w:firstLine="0"/>
        <w:jc w:val="both"/>
        <w:rPr>
          <w:rFonts w:ascii="宋体" w:hAnsi="宋体" w:cs="宋体" w:eastAsia="宋体" w:hint="default"/>
          <w:sz w:val="21"/>
          <w:szCs w:val="21"/>
        </w:rPr>
      </w:pPr>
      <w:r>
        <w:rPr>
          <w:rFonts w:ascii="宋体" w:hAnsi="宋体" w:cs="宋体" w:eastAsia="宋体" w:hint="default"/>
          <w:sz w:val="21"/>
          <w:szCs w:val="21"/>
        </w:rPr>
        <w:t>收入、费用、利润纳入合并利润表，将其现金流量纳入合并现金流量表；因非同一控制下企业合并</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增加的子公司，公司将该子公司购买日至报告期末的收入、费用、利润纳入合并利润表，将其现金</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流量纳入合并现金流量表。</w:t>
      </w:r>
    </w:p>
    <w:p>
      <w:pPr>
        <w:spacing w:line="420" w:lineRule="auto" w:before="27"/>
        <w:ind w:left="558" w:right="5006" w:firstLine="0"/>
        <w:jc w:val="left"/>
        <w:rPr>
          <w:rFonts w:ascii="宋体" w:hAnsi="宋体" w:cs="宋体" w:eastAsia="宋体" w:hint="default"/>
          <w:sz w:val="21"/>
          <w:szCs w:val="21"/>
        </w:rPr>
      </w:pPr>
      <w:r>
        <w:rPr>
          <w:rFonts w:ascii="宋体" w:hAnsi="宋体" w:cs="宋体" w:eastAsia="宋体" w:hint="default"/>
          <w:sz w:val="21"/>
          <w:szCs w:val="21"/>
        </w:rPr>
        <w:t>（十九）会计政策及估计变更 本公司本期无会计政策和会计估计变更。</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spacing w:before="0"/>
        <w:ind w:left="558" w:right="0" w:firstLine="0"/>
        <w:jc w:val="left"/>
        <w:rPr>
          <w:rFonts w:ascii="黑体" w:hAnsi="黑体" w:cs="黑体" w:eastAsia="黑体" w:hint="default"/>
          <w:sz w:val="21"/>
          <w:szCs w:val="21"/>
        </w:rPr>
      </w:pPr>
      <w:r>
        <w:rPr>
          <w:rFonts w:ascii="黑体" w:hAnsi="黑体" w:cs="黑体" w:eastAsia="黑体" w:hint="default"/>
          <w:sz w:val="21"/>
          <w:szCs w:val="21"/>
        </w:rPr>
        <w:t>附注五、本公司税项</w:t>
      </w:r>
    </w:p>
    <w:p>
      <w:pPr>
        <w:spacing w:line="240" w:lineRule="auto" w:before="0"/>
        <w:rPr>
          <w:rFonts w:ascii="黑体" w:hAnsi="黑体" w:cs="黑体" w:eastAsia="黑体" w:hint="default"/>
          <w:sz w:val="20"/>
          <w:szCs w:val="20"/>
        </w:rPr>
      </w:pPr>
    </w:p>
    <w:p>
      <w:pPr>
        <w:spacing w:line="240" w:lineRule="auto" w:before="4"/>
        <w:rPr>
          <w:rFonts w:ascii="黑体" w:hAnsi="黑体" w:cs="黑体" w:eastAsia="黑体" w:hint="default"/>
          <w:sz w:val="29"/>
          <w:szCs w:val="29"/>
        </w:rPr>
      </w:pPr>
    </w:p>
    <w:p>
      <w:pPr>
        <w:spacing w:before="0"/>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母公司公司税项：</w:t>
      </w:r>
    </w:p>
    <w:p>
      <w:pPr>
        <w:spacing w:line="2800" w:lineRule="exact"/>
        <w:ind w:left="529" w:right="0" w:firstLine="0"/>
        <w:rPr>
          <w:rFonts w:ascii="宋体" w:hAnsi="宋体" w:cs="宋体" w:eastAsia="宋体" w:hint="default"/>
          <w:sz w:val="20"/>
          <w:szCs w:val="20"/>
        </w:rPr>
      </w:pPr>
      <w:r>
        <w:rPr>
          <w:rFonts w:ascii="宋体" w:hAnsi="宋体" w:cs="宋体" w:eastAsia="宋体" w:hint="default"/>
          <w:position w:val="-55"/>
          <w:sz w:val="20"/>
          <w:szCs w:val="20"/>
        </w:rPr>
        <w:pict>
          <v:group style="width:420.75pt;height:140.050pt;mso-position-horizontal-relative:char;mso-position-vertical-relative:line" coordorigin="0,0" coordsize="8415,2801">
            <v:group style="position:absolute;left:29;top:15;width:8362;height:2" coordorigin="29,15" coordsize="8362,2">
              <v:shape style="position:absolute;left:29;top:15;width:8362;height:2" coordorigin="29,15" coordsize="8362,0" path="m29,15l8391,15e" filled="false" stroked="true" strokeweight="1.5pt" strokecolor="#000000">
                <v:path arrowok="t"/>
              </v:shape>
              <v:shape style="position:absolute;left:1721;top:11;width:4150;height:578" type="#_x0000_t75" stroked="false">
                <v:imagedata r:id="rId23" o:title=""/>
              </v:shape>
            </v:group>
            <v:group style="position:absolute;left:15;top:2786;width:1726;height:2" coordorigin="15,2786" coordsize="1726,2">
              <v:shape style="position:absolute;left:15;top:2786;width:1726;height:2" coordorigin="15,2786" coordsize="1726,0" path="m15,2786l1741,2786e" filled="false" stroked="true" strokeweight="1.5pt" strokecolor="#000000">
                <v:path arrowok="t"/>
              </v:shape>
              <v:shape style="position:absolute;left:10;top:551;width:8405;height:2239" type="#_x0000_t75" stroked="false">
                <v:imagedata r:id="rId24" o:title=""/>
              </v:shape>
            </v:group>
            <v:group style="position:absolute;left:1741;top:2786;width:4102;height:2" coordorigin="1741,2786" coordsize="4102,2">
              <v:shape style="position:absolute;left:1741;top:2786;width:4102;height:2" coordorigin="1741,2786" coordsize="4102,0" path="m1741,2786l5842,2786e" filled="false" stroked="true" strokeweight="1.5pt" strokecolor="#000000">
                <v:path arrowok="t"/>
              </v:shape>
              <v:shape style="position:absolute;left:5823;top:2210;width:48;height:580" type="#_x0000_t75" stroked="false">
                <v:imagedata r:id="rId25" o:title=""/>
              </v:shape>
            </v:group>
            <v:group style="position:absolute;left:5842;top:2786;width:2556;height:2" coordorigin="5842,2786" coordsize="2556,2">
              <v:shape style="position:absolute;left:5842;top:2786;width:2556;height:2" coordorigin="5842,2786" coordsize="2556,0" path="m5842,2786l8398,2786e" filled="false" stroked="true" strokeweight="1.5pt" strokecolor="#000000">
                <v:path arrowok="t"/>
              </v:shape>
              <v:shape style="position:absolute;left:617;top:3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税  项</w:t>
                      </w:r>
                    </w:p>
                  </w:txbxContent>
                </v:textbox>
                <w10:wrap type="none"/>
              </v:shape>
              <v:shape style="position:absolute;left:3436;top:3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计税依据</w:t>
                      </w:r>
                    </w:p>
                  </w:txbxContent>
                </v:textbox>
                <w10:wrap type="none"/>
              </v:shape>
              <v:shape style="position:absolute;left:6763;top:3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适用税率</w:t>
                      </w:r>
                    </w:p>
                  </w:txbxContent>
                </v:textbox>
                <w10:wrap type="none"/>
              </v:shape>
              <v:shape style="position:absolute;left:617;top:91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增值税</w:t>
                      </w:r>
                    </w:p>
                  </w:txbxContent>
                </v:textbox>
                <w10:wrap type="none"/>
              </v:shape>
              <v:shape style="position:absolute;left:2356;top:912;width:28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商品、产品销售收入以及进出口货物</w:t>
                      </w:r>
                    </w:p>
                  </w:txbxContent>
                </v:textbox>
                <w10:wrap type="none"/>
              </v:shape>
              <v:shape style="position:absolute;left:6845;top:932;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17.00%</w:t>
                      </w:r>
                    </w:p>
                  </w:txbxContent>
                </v:textbox>
                <w10:wrap type="none"/>
              </v:shape>
              <v:shape style="position:absolute;left:617;top:14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营业税</w:t>
                      </w:r>
                    </w:p>
                  </w:txbxContent>
                </v:textbox>
                <w10:wrap type="none"/>
              </v:shape>
              <v:shape style="position:absolute;left:2356;top:1463;width:28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提供劳务、销售不动产、租赁不动产</w:t>
                      </w:r>
                    </w:p>
                  </w:txbxContent>
                </v:textbox>
                <w10:wrap type="none"/>
              </v:shape>
              <v:shape style="position:absolute;left:6890;top:1482;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w:t>
                      </w:r>
                    </w:p>
                  </w:txbxContent>
                </v:textbox>
                <w10:wrap type="none"/>
              </v:shape>
              <v:shape style="position:absolute;left:617;top:201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城建税</w:t>
                      </w:r>
                    </w:p>
                  </w:txbxContent>
                </v:textbox>
                <w10:wrap type="none"/>
              </v:shape>
              <v:shape style="position:absolute;left:2626;top:2013;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应交增值税、营业税等流转税</w:t>
                      </w:r>
                    </w:p>
                  </w:txbxContent>
                </v:textbox>
                <w10:wrap type="none"/>
              </v:shape>
              <v:shape style="position:absolute;left:6890;top:2032;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437;top:256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企业所得税</w:t>
                      </w:r>
                    </w:p>
                  </w:txbxContent>
                </v:textbox>
                <w10:wrap type="none"/>
              </v:shape>
              <v:shape style="position:absolute;left:3256;top:256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应纳税所得额</w:t>
                      </w:r>
                    </w:p>
                  </w:txbxContent>
                </v:textbox>
                <w10:wrap type="none"/>
              </v:shape>
              <v:shape style="position:absolute;left:6845;top:2582;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15.00%</w:t>
                      </w:r>
                    </w:p>
                  </w:txbxContent>
                </v:textbox>
                <w10:wrap type="none"/>
              </v:shape>
            </v:group>
          </v:group>
        </w:pict>
      </w:r>
      <w:r>
        <w:rPr>
          <w:rFonts w:ascii="宋体" w:hAnsi="宋体" w:cs="宋体" w:eastAsia="宋体" w:hint="default"/>
          <w:position w:val="-55"/>
          <w:sz w:val="20"/>
          <w:szCs w:val="20"/>
        </w:rPr>
      </w:r>
    </w:p>
    <w:p>
      <w:pPr>
        <w:spacing w:line="240" w:lineRule="auto" w:before="9"/>
        <w:rPr>
          <w:rFonts w:ascii="宋体" w:hAnsi="宋体" w:cs="宋体" w:eastAsia="宋体" w:hint="default"/>
          <w:sz w:val="28"/>
          <w:szCs w:val="28"/>
        </w:rPr>
      </w:pPr>
    </w:p>
    <w:p>
      <w:pPr>
        <w:spacing w:before="35"/>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子公司税项：</w:t>
      </w:r>
    </w:p>
    <w:p>
      <w:pPr>
        <w:spacing w:line="4460" w:lineRule="exact"/>
        <w:ind w:left="529" w:right="0" w:firstLine="0"/>
        <w:rPr>
          <w:rFonts w:ascii="宋体" w:hAnsi="宋体" w:cs="宋体" w:eastAsia="宋体" w:hint="default"/>
          <w:sz w:val="20"/>
          <w:szCs w:val="20"/>
        </w:rPr>
      </w:pPr>
      <w:r>
        <w:rPr>
          <w:rFonts w:ascii="宋体" w:hAnsi="宋体" w:cs="宋体" w:eastAsia="宋体" w:hint="default"/>
          <w:position w:val="-88"/>
          <w:sz w:val="20"/>
          <w:szCs w:val="20"/>
        </w:rPr>
        <w:pict>
          <v:group style="width:434.95pt;height:223.05pt;mso-position-horizontal-relative:char;mso-position-vertical-relative:line" coordorigin="0,0" coordsize="8699,4461">
            <v:group style="position:absolute;left:29;top:15;width:8645;height:2" coordorigin="29,15" coordsize="8645,2">
              <v:shape style="position:absolute;left:29;top:15;width:8645;height:2" coordorigin="29,15" coordsize="8645,0" path="m29,15l8674,15e" filled="false" stroked="true" strokeweight="1.5pt" strokecolor="#000000">
                <v:path arrowok="t"/>
              </v:shape>
              <v:shape style="position:absolute;left:2704;top:11;width:3450;height:518" type="#_x0000_t75" stroked="false">
                <v:imagedata r:id="rId26" o:title=""/>
              </v:shape>
            </v:group>
            <v:group style="position:absolute;left:15;top:4445;width:2709;height:2" coordorigin="15,4445" coordsize="2709,2">
              <v:shape style="position:absolute;left:15;top:4445;width:2709;height:2" coordorigin="15,4445" coordsize="2709,0" path="m15,4445l2723,4445e" filled="false" stroked="true" strokeweight="1.5pt" strokecolor="#000000">
                <v:path arrowok="t"/>
              </v:shape>
              <v:shape style="position:absolute;left:10;top:491;width:8688;height:3959" type="#_x0000_t75" stroked="false">
                <v:imagedata r:id="rId27" o:title=""/>
              </v:shape>
            </v:group>
            <v:group style="position:absolute;left:2723;top:4445;width:3402;height:2" coordorigin="2723,4445" coordsize="3402,2">
              <v:shape style="position:absolute;left:2723;top:4445;width:3402;height:2" coordorigin="2723,4445" coordsize="3402,0" path="m2723,4445l6125,4445e" filled="false" stroked="true" strokeweight="1.5pt" strokecolor="#000000">
                <v:path arrowok="t"/>
              </v:shape>
              <v:shape style="position:absolute;left:6106;top:3931;width:48;height:518" type="#_x0000_t75" stroked="false">
                <v:imagedata r:id="rId28" o:title=""/>
              </v:shape>
            </v:group>
            <v:group style="position:absolute;left:6125;top:4445;width:2556;height:2" coordorigin="6125,4445" coordsize="2556,2">
              <v:shape style="position:absolute;left:6125;top:4445;width:2556;height:2" coordorigin="6125,4445" coordsize="2556,0" path="m6125,4445l8681,4445e" filled="false" stroked="true" strokeweight="1.5pt" strokecolor="#000000">
                <v:path arrowok="t"/>
              </v:shape>
              <v:shape style="position:absolute;left:958;top:26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税</w:t>
                      </w:r>
                    </w:p>
                  </w:txbxContent>
                </v:textbox>
                <w10:wrap type="none"/>
              </v:shape>
              <v:shape style="position:absolute;left:1589;top:26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3851;top:268;width:115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 税 基</w:t>
                      </w:r>
                      <w:r>
                        <w:rPr>
                          <w:rFonts w:ascii="宋体" w:hAnsi="宋体" w:cs="宋体" w:eastAsia="宋体" w:hint="default"/>
                          <w:spacing w:val="-1"/>
                          <w:sz w:val="21"/>
                          <w:szCs w:val="21"/>
                        </w:rPr>
                        <w:t> </w:t>
                      </w:r>
                      <w:r>
                        <w:rPr>
                          <w:rFonts w:ascii="宋体" w:hAnsi="宋体" w:cs="宋体" w:eastAsia="宋体" w:hint="default"/>
                          <w:sz w:val="21"/>
                          <w:szCs w:val="21"/>
                        </w:rPr>
                        <w:t>础</w:t>
                      </w:r>
                    </w:p>
                  </w:txbxContent>
                </v:textbox>
                <w10:wrap type="none"/>
              </v:shape>
              <v:shape style="position:absolute;left:7004;top:268;width:911;height:222" type="#_x0000_t202" filled="false" stroked="false">
                <v:textbox inset="0,0,0,0">
                  <w:txbxContent>
                    <w:p>
                      <w:pPr>
                        <w:tabs>
                          <w:tab w:pos="421" w:val="left" w:leader="none"/>
                        </w:tabs>
                        <w:spacing w:line="221" w:lineRule="exact" w:before="0"/>
                        <w:ind w:left="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税</w:t>
                        <w:tab/>
                        <w:t>率</w:t>
                      </w:r>
                      <w:r>
                        <w:rPr>
                          <w:rFonts w:ascii="宋体" w:hAnsi="宋体" w:cs="宋体" w:eastAsia="宋体" w:hint="default"/>
                          <w:spacing w:val="-1"/>
                          <w:sz w:val="21"/>
                          <w:szCs w:val="21"/>
                        </w:rPr>
                        <w:t> </w:t>
                      </w:r>
                      <w:r>
                        <w:rPr>
                          <w:rFonts w:ascii="Times New Roman" w:hAnsi="Times New Roman" w:cs="Times New Roman" w:eastAsia="Times New Roman" w:hint="default"/>
                          <w:sz w:val="21"/>
                          <w:szCs w:val="21"/>
                        </w:rPr>
                        <w:t>%</w:t>
                      </w:r>
                    </w:p>
                  </w:txbxContent>
                </v:textbox>
                <w10:wrap type="none"/>
              </v:shape>
              <v:shape style="position:absolute;left:31;top:758;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营业税</w:t>
                      </w:r>
                    </w:p>
                  </w:txbxContent>
                </v:textbox>
                <w10:wrap type="none"/>
              </v:shape>
              <v:shape style="position:absolute;left:2836;top:758;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营业额</w:t>
                      </w:r>
                    </w:p>
                  </w:txbxContent>
                </v:textbox>
                <w10:wrap type="none"/>
              </v:shape>
              <v:shape style="position:absolute;left:7311;top:784;width:28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5%</w:t>
                      </w:r>
                    </w:p>
                  </w:txbxContent>
                </v:textbox>
                <w10:wrap type="none"/>
              </v:shape>
              <v:shape style="position:absolute;left:31;top:1249;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城市维护建设税</w:t>
                      </w:r>
                    </w:p>
                  </w:txbxContent>
                </v:textbox>
                <w10:wrap type="none"/>
              </v:shape>
              <v:shape style="position:absolute;left:2836;top:1249;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应纳流转税额</w:t>
                      </w:r>
                    </w:p>
                  </w:txbxContent>
                </v:textbox>
                <w10:wrap type="none"/>
              </v:shape>
              <v:shape style="position:absolute;left:7311;top:1275;width:28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7%</w:t>
                      </w:r>
                    </w:p>
                  </w:txbxContent>
                </v:textbox>
                <w10:wrap type="none"/>
              </v:shape>
              <v:shape style="position:absolute;left:31;top:1738;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教育费附加</w:t>
                      </w:r>
                    </w:p>
                  </w:txbxContent>
                </v:textbox>
                <w10:wrap type="none"/>
              </v:shape>
              <v:shape style="position:absolute;left:2836;top:173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应纳流转税额</w:t>
                      </w:r>
                    </w:p>
                  </w:txbxContent>
                </v:textbox>
                <w10:wrap type="none"/>
              </v:shape>
              <v:shape style="position:absolute;left:7311;top:1764;width:28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w:t>
                      </w:r>
                    </w:p>
                  </w:txbxContent>
                </v:textbox>
                <w10:wrap type="none"/>
              </v:shape>
              <v:shape style="position:absolute;left:31;top:2228;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地方教育费附加</w:t>
                      </w:r>
                    </w:p>
                  </w:txbxContent>
                </v:textbox>
                <w10:wrap type="none"/>
              </v:shape>
              <v:shape style="position:absolute;left:2836;top:222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应纳流转税额</w:t>
                      </w:r>
                    </w:p>
                  </w:txbxContent>
                </v:textbox>
                <w10:wrap type="none"/>
              </v:shape>
              <v:shape style="position:absolute;left:7311;top:2254;width:28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w:t>
                      </w:r>
                    </w:p>
                  </w:txbxContent>
                </v:textbox>
                <w10:wrap type="none"/>
              </v:shape>
              <v:shape style="position:absolute;left:31;top:2719;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土地增值税</w:t>
                      </w:r>
                    </w:p>
                  </w:txbxContent>
                </v:textbox>
                <w10:wrap type="none"/>
              </v:shape>
              <v:shape style="position:absolute;left:2836;top:2719;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土地增值额</w:t>
                      </w:r>
                    </w:p>
                  </w:txbxContent>
                </v:textbox>
                <w10:wrap type="none"/>
              </v:shape>
              <v:shape style="position:absolute;left:6401;top:2719;width:21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增值额的超率累进税率</w:t>
                      </w:r>
                    </w:p>
                  </w:txbxContent>
                </v:textbox>
                <w10:wrap type="none"/>
              </v:shape>
              <v:shape style="position:absolute;left:31;top:3208;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企业所得税</w:t>
                      </w:r>
                    </w:p>
                  </w:txbxContent>
                </v:textbox>
                <w10:wrap type="none"/>
              </v:shape>
              <v:shape style="position:absolute;left:2836;top:320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应纳税所得额</w:t>
                      </w:r>
                    </w:p>
                  </w:txbxContent>
                </v:textbox>
                <w10:wrap type="none"/>
              </v:shape>
              <v:shape style="position:absolute;left:7258;top:3234;width:387;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25%</w:t>
                      </w:r>
                    </w:p>
                  </w:txbxContent>
                </v:textbox>
                <w10:wrap type="none"/>
              </v:shape>
              <v:shape style="position:absolute;left:31;top:3698;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房产税</w:t>
                      </w:r>
                    </w:p>
                  </w:txbxContent>
                </v:textbox>
                <w10:wrap type="none"/>
              </v:shape>
              <v:shape style="position:absolute;left:2836;top:3698;width:2537;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房产原值的</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70%</w:t>
                      </w:r>
                      <w:r>
                        <w:rPr>
                          <w:rFonts w:ascii="宋体" w:hAnsi="宋体" w:cs="宋体" w:eastAsia="宋体" w:hint="default"/>
                          <w:sz w:val="21"/>
                          <w:szCs w:val="21"/>
                        </w:rPr>
                        <w:t>或租金收入</w:t>
                      </w:r>
                    </w:p>
                  </w:txbxContent>
                </v:textbox>
                <w10:wrap type="none"/>
              </v:shape>
              <v:shape style="position:absolute;left:6909;top:3698;width:1086;height:222" type="#_x0000_t202" filled="false" stroked="false">
                <v:textbox inset="0,0,0,0">
                  <w:txbxContent>
                    <w:p>
                      <w:pPr>
                        <w:spacing w:line="221" w:lineRule="exact" w:before="0"/>
                        <w:ind w:left="0" w:right="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1.2%</w:t>
                      </w:r>
                      <w:r>
                        <w:rPr>
                          <w:rFonts w:ascii="宋体" w:hAnsi="宋体" w:cs="宋体" w:eastAsia="宋体" w:hint="default"/>
                          <w:sz w:val="21"/>
                          <w:szCs w:val="21"/>
                        </w:rPr>
                        <w:t>或</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p>
                  </w:txbxContent>
                </v:textbox>
                <w10:wrap type="none"/>
              </v:shape>
              <v:shape style="position:absolute;left:31;top:4189;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企业所得税</w:t>
                      </w:r>
                    </w:p>
                  </w:txbxContent>
                </v:textbox>
                <w10:wrap type="none"/>
              </v:shape>
              <v:shape style="position:absolute;left:2729;top:4189;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应纳税所得额</w:t>
                      </w:r>
                    </w:p>
                  </w:txbxContent>
                </v:textbox>
                <w10:wrap type="none"/>
              </v:shape>
              <v:shape style="position:absolute;left:7082;top:4215;width:65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25.00%</w:t>
                      </w:r>
                    </w:p>
                  </w:txbxContent>
                </v:textbox>
                <w10:wrap type="none"/>
              </v:shape>
            </v:group>
          </v:group>
        </w:pict>
      </w:r>
      <w:r>
        <w:rPr>
          <w:rFonts w:ascii="宋体" w:hAnsi="宋体" w:cs="宋体" w:eastAsia="宋体" w:hint="default"/>
          <w:position w:val="-88"/>
          <w:sz w:val="20"/>
          <w:szCs w:val="20"/>
        </w:rPr>
      </w:r>
    </w:p>
    <w:p>
      <w:pPr>
        <w:spacing w:line="240" w:lineRule="auto" w:before="11"/>
        <w:rPr>
          <w:rFonts w:ascii="宋体" w:hAnsi="宋体" w:cs="宋体" w:eastAsia="宋体" w:hint="default"/>
          <w:sz w:val="11"/>
          <w:szCs w:val="11"/>
        </w:rPr>
      </w:pPr>
    </w:p>
    <w:p>
      <w:pPr>
        <w:spacing w:line="396" w:lineRule="auto" w:before="35"/>
        <w:ind w:left="138" w:right="139" w:firstLine="507"/>
        <w:jc w:val="left"/>
        <w:rPr>
          <w:rFonts w:ascii="宋体" w:hAnsi="宋体" w:cs="宋体" w:eastAsia="宋体" w:hint="default"/>
          <w:sz w:val="21"/>
          <w:szCs w:val="21"/>
        </w:rPr>
      </w:pPr>
      <w:r>
        <w:rPr>
          <w:rFonts w:ascii="宋体" w:hAnsi="宋体" w:cs="宋体" w:eastAsia="宋体" w:hint="default"/>
          <w:sz w:val="21"/>
          <w:szCs w:val="21"/>
        </w:rPr>
        <w:t>说明：房产税按照房产原值的 </w:t>
      </w:r>
      <w:r>
        <w:rPr>
          <w:rFonts w:ascii="Times New Roman" w:hAnsi="Times New Roman" w:cs="Times New Roman" w:eastAsia="Times New Roman" w:hint="default"/>
          <w:sz w:val="21"/>
          <w:szCs w:val="21"/>
        </w:rPr>
        <w:t>70%</w:t>
      </w:r>
      <w:r>
        <w:rPr>
          <w:rFonts w:ascii="宋体" w:hAnsi="宋体" w:cs="宋体" w:eastAsia="宋体" w:hint="default"/>
          <w:sz w:val="21"/>
          <w:szCs w:val="21"/>
        </w:rPr>
        <w:t>为纳税基准，税率为</w:t>
      </w:r>
      <w:r>
        <w:rPr>
          <w:rFonts w:ascii="宋体" w:hAnsi="宋体" w:cs="宋体" w:eastAsia="宋体" w:hint="default"/>
          <w:spacing w:val="-32"/>
          <w:sz w:val="21"/>
          <w:szCs w:val="21"/>
        </w:rPr>
        <w:t> </w:t>
      </w:r>
      <w:r>
        <w:rPr>
          <w:rFonts w:ascii="Times New Roman" w:hAnsi="Times New Roman" w:cs="Times New Roman" w:eastAsia="Times New Roman" w:hint="default"/>
          <w:sz w:val="21"/>
          <w:szCs w:val="21"/>
        </w:rPr>
        <w:t>1.2%</w:t>
      </w:r>
      <w:r>
        <w:rPr>
          <w:rFonts w:ascii="宋体" w:hAnsi="宋体" w:cs="宋体" w:eastAsia="宋体" w:hint="default"/>
          <w:sz w:val="21"/>
          <w:szCs w:val="21"/>
        </w:rPr>
        <w:t>，或以租金收入为纳税基准，税 率为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宋体" w:hAnsi="宋体" w:cs="宋体" w:eastAsia="宋体" w:hint="default"/>
          <w:sz w:val="21"/>
          <w:szCs w:val="21"/>
        </w:rPr>
        <w:t>。</w:t>
      </w:r>
    </w:p>
    <w:p>
      <w:pPr>
        <w:spacing w:before="38"/>
        <w:ind w:left="646" w:right="0" w:firstLine="0"/>
        <w:jc w:val="left"/>
        <w:rPr>
          <w:rFonts w:ascii="宋体" w:hAnsi="宋体" w:cs="宋体" w:eastAsia="宋体" w:hint="default"/>
          <w:sz w:val="21"/>
          <w:szCs w:val="21"/>
        </w:rPr>
      </w:pPr>
      <w:r>
        <w:rPr>
          <w:rFonts w:ascii="宋体" w:hAnsi="宋体" w:cs="宋体" w:eastAsia="宋体" w:hint="default"/>
          <w:sz w:val="21"/>
          <w:szCs w:val="21"/>
        </w:rPr>
        <w:t>员工个人所得税由本公司代扣代缴。</w:t>
      </w:r>
    </w:p>
    <w:p>
      <w:pPr>
        <w:spacing w:after="0"/>
        <w:jc w:val="left"/>
        <w:rPr>
          <w:rFonts w:ascii="宋体" w:hAnsi="宋体" w:cs="宋体" w:eastAsia="宋体" w:hint="default"/>
          <w:sz w:val="21"/>
          <w:szCs w:val="21"/>
        </w:rPr>
        <w:sectPr>
          <w:pgSz w:w="11910" w:h="16840"/>
          <w:pgMar w:header="0" w:footer="710" w:top="580" w:bottom="900" w:left="1280" w:right="1260"/>
        </w:sectPr>
      </w:pPr>
    </w:p>
    <w:p>
      <w:pPr>
        <w:pStyle w:val="Heading2"/>
        <w:spacing w:line="310" w:lineRule="exact"/>
        <w:ind w:left="2898" w:right="2936"/>
        <w:jc w:val="center"/>
        <w:rPr>
          <w:b w:val="0"/>
          <w:bCs w:val="0"/>
        </w:rPr>
      </w:pPr>
      <w:r>
        <w:rPr/>
        <w:pict>
          <v:shape style="position:absolute;margin-left:88.919998pt;margin-top:3.990308pt;width:57.0pt;height:31.5pt;mso-position-horizontal-relative:page;mso-position-vertical-relative:paragraph;z-index:4816"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2091" w:right="2131"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6"/>
          <w:szCs w:val="16"/>
        </w:rPr>
      </w:pPr>
    </w:p>
    <w:p>
      <w:pPr>
        <w:spacing w:before="0"/>
        <w:ind w:left="558" w:right="126" w:firstLine="0"/>
        <w:jc w:val="left"/>
        <w:rPr>
          <w:rFonts w:ascii="黑体" w:hAnsi="黑体" w:cs="黑体" w:eastAsia="黑体" w:hint="default"/>
          <w:sz w:val="21"/>
          <w:szCs w:val="21"/>
        </w:rPr>
      </w:pPr>
      <w:r>
        <w:rPr>
          <w:rFonts w:ascii="黑体" w:hAnsi="黑体" w:cs="黑体" w:eastAsia="黑体" w:hint="default"/>
          <w:sz w:val="21"/>
          <w:szCs w:val="21"/>
        </w:rPr>
        <w:t>附注六、企业合并及合并财务报表</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5"/>
          <w:szCs w:val="15"/>
        </w:rPr>
      </w:pPr>
    </w:p>
    <w:p>
      <w:pPr>
        <w:spacing w:before="0"/>
        <w:ind w:left="558" w:right="126" w:firstLine="0"/>
        <w:jc w:val="left"/>
        <w:rPr>
          <w:rFonts w:ascii="宋体" w:hAnsi="宋体" w:cs="宋体" w:eastAsia="宋体" w:hint="default"/>
          <w:sz w:val="21"/>
          <w:szCs w:val="21"/>
        </w:rPr>
      </w:pPr>
      <w:r>
        <w:rPr>
          <w:rFonts w:ascii="宋体" w:hAnsi="宋体" w:cs="宋体" w:eastAsia="宋体" w:hint="default"/>
          <w:sz w:val="21"/>
          <w:szCs w:val="21"/>
        </w:rPr>
        <w:t>所控制的子公司及合并范围：</w:t>
      </w:r>
    </w:p>
    <w:p>
      <w:pPr>
        <w:spacing w:line="240" w:lineRule="auto" w:before="7"/>
        <w:rPr>
          <w:rFonts w:ascii="宋体" w:hAnsi="宋体" w:cs="宋体" w:eastAsia="宋体" w:hint="default"/>
          <w:sz w:val="2"/>
          <w:szCs w:val="2"/>
        </w:rPr>
      </w:pPr>
    </w:p>
    <w:p>
      <w:pPr>
        <w:spacing w:line="2719" w:lineRule="exact"/>
        <w:ind w:left="535" w:right="0" w:firstLine="0"/>
        <w:rPr>
          <w:rFonts w:ascii="宋体" w:hAnsi="宋体" w:cs="宋体" w:eastAsia="宋体" w:hint="default"/>
          <w:sz w:val="20"/>
          <w:szCs w:val="20"/>
        </w:rPr>
      </w:pPr>
      <w:r>
        <w:rPr>
          <w:rFonts w:ascii="宋体" w:hAnsi="宋体" w:cs="宋体" w:eastAsia="宋体" w:hint="default"/>
          <w:position w:val="-53"/>
          <w:sz w:val="20"/>
          <w:szCs w:val="20"/>
        </w:rPr>
        <w:pict>
          <v:group style="width:434.55pt;height:136pt;mso-position-horizontal-relative:char;mso-position-vertical-relative:line" coordorigin="0,0" coordsize="8691,2720">
            <v:group style="position:absolute;left:37;top:15;width:8632;height:2" coordorigin="37,15" coordsize="8632,2">
              <v:shape style="position:absolute;left:37;top:15;width:8632;height:2" coordorigin="37,15" coordsize="8632,0" path="m37,15l8668,15e" filled="false" stroked="true" strokeweight="1.5pt" strokecolor="#000000">
                <v:path arrowok="t"/>
              </v:shape>
              <v:shape style="position:absolute;left:2557;top:16;width:5718;height:1172" type="#_x0000_t75" stroked="false">
                <v:imagedata r:id="rId29" o:title=""/>
              </v:shape>
            </v:group>
            <v:group style="position:absolute;left:15;top:2704;width:2561;height:2" coordorigin="15,2704" coordsize="2561,2">
              <v:shape style="position:absolute;left:15;top:2704;width:2561;height:2" coordorigin="15,2704" coordsize="2561,0" path="m15,2704l2576,2704e" filled="false" stroked="true" strokeweight="1.5pt" strokecolor="#000000">
                <v:path arrowok="t"/>
              </v:shape>
              <v:shape style="position:absolute;left:17;top:1156;width:8664;height:1552" type="#_x0000_t75" stroked="false">
                <v:imagedata r:id="rId30" o:title=""/>
              </v:shape>
            </v:group>
            <v:group style="position:absolute;left:2576;top:2704;width:710;height:2" coordorigin="2576,2704" coordsize="710,2">
              <v:shape style="position:absolute;left:2576;top:2704;width:710;height:2" coordorigin="2576,2704" coordsize="710,0" path="m2576,2704l3285,2704e" filled="false" stroked="true" strokeweight="1.5pt" strokecolor="#000000">
                <v:path arrowok="t"/>
              </v:shape>
              <v:shape style="position:absolute;left:3266;top:1669;width:48;height:1039" type="#_x0000_t75" stroked="false">
                <v:imagedata r:id="rId31" o:title=""/>
              </v:shape>
            </v:group>
            <v:group style="position:absolute;left:3285;top:2704;width:1028;height:2" coordorigin="3285,2704" coordsize="1028,2">
              <v:shape style="position:absolute;left:3285;top:2704;width:1028;height:2" coordorigin="3285,2704" coordsize="1028,0" path="m3285,2704l4312,2704e" filled="false" stroked="true" strokeweight="1.5pt" strokecolor="#000000">
                <v:path arrowok="t"/>
              </v:shape>
              <v:shape style="position:absolute;left:4293;top:1669;width:48;height:1039" type="#_x0000_t75" stroked="false">
                <v:imagedata r:id="rId31" o:title=""/>
              </v:shape>
            </v:group>
            <v:group style="position:absolute;left:4312;top:2704;width:710;height:2" coordorigin="4312,2704" coordsize="710,2">
              <v:shape style="position:absolute;left:4312;top:2704;width:710;height:2" coordorigin="4312,2704" coordsize="710,0" path="m4312,2704l5021,2704e" filled="false" stroked="true" strokeweight="1.5pt" strokecolor="#000000">
                <v:path arrowok="t"/>
              </v:shape>
              <v:shape style="position:absolute;left:5002;top:1669;width:48;height:1039" type="#_x0000_t75" stroked="false">
                <v:imagedata r:id="rId31" o:title=""/>
              </v:shape>
            </v:group>
            <v:group style="position:absolute;left:5021;top:2704;width:674;height:2" coordorigin="5021,2704" coordsize="674,2">
              <v:shape style="position:absolute;left:5021;top:2704;width:674;height:2" coordorigin="5021,2704" coordsize="674,0" path="m5021,2704l5695,2704e" filled="false" stroked="true" strokeweight="1.5pt" strokecolor="#000000">
                <v:path arrowok="t"/>
              </v:shape>
              <v:shape style="position:absolute;left:5675;top:1669;width:48;height:1039" type="#_x0000_t75" stroked="false">
                <v:imagedata r:id="rId31" o:title=""/>
              </v:shape>
            </v:group>
            <v:group style="position:absolute;left:5695;top:2704;width:1120;height:2" coordorigin="5695,2704" coordsize="1120,2">
              <v:shape style="position:absolute;left:5695;top:2704;width:1120;height:2" coordorigin="5695,2704" coordsize="1120,0" path="m5695,2704l6814,2704e" filled="false" stroked="true" strokeweight="1.5pt" strokecolor="#000000">
                <v:path arrowok="t"/>
              </v:shape>
              <v:shape style="position:absolute;left:6795;top:1669;width:48;height:1037" type="#_x0000_t75" stroked="false">
                <v:imagedata r:id="rId32" o:title=""/>
              </v:shape>
            </v:group>
            <v:group style="position:absolute;left:6814;top:2704;width:1432;height:2" coordorigin="6814,2704" coordsize="1432,2">
              <v:shape style="position:absolute;left:6814;top:2704;width:1432;height:2" coordorigin="6814,2704" coordsize="1432,0" path="m6814,2704l8246,2704e" filled="false" stroked="true" strokeweight="1.5pt" strokecolor="#000000">
                <v:path arrowok="t"/>
              </v:shape>
              <v:shape style="position:absolute;left:8227;top:1669;width:48;height:1039" type="#_x0000_t75" stroked="false">
                <v:imagedata r:id="rId33" o:title=""/>
              </v:shape>
            </v:group>
            <v:group style="position:absolute;left:8246;top:2704;width:430;height:2" coordorigin="8246,2704" coordsize="430,2">
              <v:shape style="position:absolute;left:8246;top:2704;width:430;height:2" coordorigin="8246,2704" coordsize="430,0" path="m8246,2704l8675,2704e" filled="false" stroked="true" strokeweight="1.5pt" strokecolor="#000000">
                <v:path arrowok="t"/>
              </v:shape>
              <v:shape style="position:absolute;left:4558;top:171;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持股及表决权</w:t>
                      </w:r>
                    </w:p>
                  </w:txbxContent>
                </v:textbox>
                <w10:wrap type="none"/>
              </v:shape>
              <v:shape style="position:absolute;left:3503;top:41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注册资本</w:t>
                      </w:r>
                    </w:p>
                  </w:txbxContent>
                </v:textbox>
                <w10:wrap type="none"/>
              </v:shape>
              <v:shape style="position:absolute;left:4858;top:48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5884;top:419;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实际投资额</w:t>
                      </w:r>
                    </w:p>
                  </w:txbxContent>
                </v:textbox>
                <w10:wrap type="none"/>
              </v:shape>
              <v:shape style="position:absolute;left:1005;top:65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公司名称</w:t>
                      </w:r>
                    </w:p>
                  </w:txbxContent>
                </v:textbox>
                <w10:wrap type="none"/>
              </v:shape>
              <v:shape style="position:absolute;left:2710;top:659;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注册地</w:t>
                      </w:r>
                    </w:p>
                  </w:txbxContent>
                </v:textbox>
                <w10:wrap type="none"/>
              </v:shape>
              <v:shape style="position:absolute;left:3603;top:725;width:401;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万元</w:t>
                      </w:r>
                      <w:r>
                        <w:rPr>
                          <w:rFonts w:ascii="Times New Roman" w:hAnsi="Times New Roman" w:cs="Times New Roman" w:eastAsia="Times New Roman" w:hint="default"/>
                          <w:sz w:val="15"/>
                          <w:szCs w:val="15"/>
                        </w:rPr>
                        <w:t>)</w:t>
                      </w:r>
                    </w:p>
                  </w:txbxContent>
                </v:textbox>
                <w10:wrap type="none"/>
              </v:shape>
              <v:shape style="position:absolute;left:7234;top:65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主营业务</w:t>
                      </w:r>
                    </w:p>
                  </w:txbxContent>
                </v:textbox>
                <w10:wrap type="none"/>
              </v:shape>
              <v:shape style="position:absolute;left:8387;top:471;width:150;height:345" type="#_x0000_t202" filled="false" stroked="false">
                <v:textbox inset="0,0,0,0">
                  <w:txbxContent>
                    <w:p>
                      <w:pPr>
                        <w:spacing w:line="149"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w:t>
                      </w:r>
                    </w:p>
                    <w:p>
                      <w:pPr>
                        <w:spacing w:line="195"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并</w:t>
                      </w:r>
                    </w:p>
                  </w:txbxContent>
                </v:textbox>
                <w10:wrap type="none"/>
              </v:shape>
              <v:shape style="position:absolute;left:4521;top:994;width:992;height:150" type="#_x0000_t202" filled="false" stroked="false">
                <v:textbox inset="0,0,0,0">
                  <w:txbxContent>
                    <w:p>
                      <w:pPr>
                        <w:tabs>
                          <w:tab w:pos="691"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直接</w:t>
                        <w:tab/>
                        <w:t>间接</w:t>
                      </w:r>
                    </w:p>
                  </w:txbxContent>
                </v:textbox>
                <w10:wrap type="none"/>
              </v:shape>
              <v:shape style="position:absolute;left:6058;top:994;width:401;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万元</w:t>
                      </w:r>
                      <w:r>
                        <w:rPr>
                          <w:rFonts w:ascii="Times New Roman" w:hAnsi="Times New Roman" w:cs="Times New Roman" w:eastAsia="Times New Roman" w:hint="default"/>
                          <w:sz w:val="15"/>
                          <w:szCs w:val="15"/>
                        </w:rPr>
                        <w:t>)</w:t>
                      </w:r>
                    </w:p>
                  </w:txbxContent>
                </v:textbox>
                <w10:wrap type="none"/>
              </v:shape>
              <v:shape style="position:absolute;left:137;top:1504;width:1802;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青岛广顺房地产有限公司</w:t>
                      </w:r>
                      <w:r>
                        <w:rPr>
                          <w:rFonts w:ascii="Times New Roman" w:hAnsi="Times New Roman" w:cs="Times New Roman" w:eastAsia="Times New Roman" w:hint="default"/>
                          <w:sz w:val="15"/>
                          <w:szCs w:val="15"/>
                        </w:rPr>
                        <w:t>*1</w:t>
                      </w:r>
                    </w:p>
                  </w:txbxContent>
                </v:textbox>
                <w10:wrap type="none"/>
              </v:shape>
              <v:shape style="position:absolute;left:2785;top:1504;width:1338;height:159" type="#_x0000_t202" filled="false" stroked="false">
                <v:textbox inset="0,0,0,0">
                  <w:txbxContent>
                    <w:p>
                      <w:pPr>
                        <w:tabs>
                          <w:tab w:pos="699" w:val="left" w:leader="none"/>
                        </w:tabs>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青岛</w:t>
                        <w:tab/>
                      </w:r>
                      <w:r>
                        <w:rPr>
                          <w:rFonts w:ascii="Times New Roman" w:hAnsi="Times New Roman" w:cs="Times New Roman" w:eastAsia="Times New Roman" w:hint="default"/>
                          <w:sz w:val="15"/>
                          <w:szCs w:val="15"/>
                        </w:rPr>
                        <w:t>1000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万元</w:t>
                      </w:r>
                    </w:p>
                  </w:txbxContent>
                </v:textbox>
                <w10:wrap type="none"/>
              </v:shape>
              <v:shape style="position:absolute;left:4533;top:1521;width:277;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83%</w:t>
                      </w:r>
                    </w:p>
                  </w:txbxContent>
                </v:textbox>
                <w10:wrap type="none"/>
              </v:shape>
              <v:shape style="position:absolute;left:5337;top:1521;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6234;top:1521;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6934;top:1504;width:1604;height:660" type="#_x0000_t202" filled="false" stroked="false">
                <v:textbox inset="0,0,0,0">
                  <w:txbxContent>
                    <w:p>
                      <w:pPr>
                        <w:tabs>
                          <w:tab w:pos="1453"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房地产开发经营等</w:t>
                        <w:tab/>
                        <w:t>是</w:t>
                      </w:r>
                    </w:p>
                    <w:p>
                      <w:pPr>
                        <w:spacing w:line="240" w:lineRule="auto" w:before="0"/>
                        <w:rPr>
                          <w:rFonts w:ascii="宋体" w:hAnsi="宋体" w:cs="宋体" w:eastAsia="宋体" w:hint="default"/>
                          <w:sz w:val="14"/>
                          <w:szCs w:val="14"/>
                        </w:rPr>
                      </w:pPr>
                    </w:p>
                    <w:p>
                      <w:pPr>
                        <w:spacing w:line="240" w:lineRule="auto" w:before="13"/>
                        <w:rPr>
                          <w:rFonts w:ascii="宋体" w:hAnsi="宋体" w:cs="宋体" w:eastAsia="宋体" w:hint="default"/>
                          <w:sz w:val="9"/>
                          <w:szCs w:val="9"/>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房地产开发及商品</w:t>
                      </w:r>
                    </w:p>
                  </w:txbxContent>
                </v:textbox>
                <w10:wrap type="none"/>
              </v:shape>
              <v:shape style="position:absolute;left:137;top:2264;width:8400;height:401" type="#_x0000_t202" filled="false" stroked="false">
                <v:textbox inset="0,0,0,0">
                  <w:txbxContent>
                    <w:p>
                      <w:pPr>
                        <w:tabs>
                          <w:tab w:pos="2647" w:val="left" w:leader="none"/>
                          <w:tab w:pos="3346" w:val="left" w:leader="none"/>
                          <w:tab w:pos="4395" w:val="left" w:leader="none"/>
                          <w:tab w:pos="5199" w:val="left" w:leader="none"/>
                          <w:tab w:pos="6096" w:val="left" w:leader="none"/>
                          <w:tab w:pos="8249" w:val="left" w:leader="none"/>
                        </w:tabs>
                        <w:spacing w:line="170" w:lineRule="exact" w:before="0"/>
                        <w:ind w:left="0" w:right="0" w:firstLine="0"/>
                        <w:jc w:val="left"/>
                        <w:rPr>
                          <w:rFonts w:ascii="宋体" w:hAnsi="宋体" w:cs="宋体" w:eastAsia="宋体" w:hint="default"/>
                          <w:sz w:val="15"/>
                          <w:szCs w:val="15"/>
                        </w:rPr>
                      </w:pPr>
                      <w:r>
                        <w:rPr>
                          <w:rFonts w:ascii="宋体" w:hAnsi="宋体" w:cs="宋体" w:eastAsia="宋体" w:hint="default"/>
                          <w:position w:val="1"/>
                          <w:sz w:val="15"/>
                          <w:szCs w:val="15"/>
                        </w:rPr>
                        <w:t>兖州海情置业有限公司</w:t>
                      </w:r>
                      <w:r>
                        <w:rPr>
                          <w:rFonts w:ascii="Times New Roman" w:hAnsi="Times New Roman" w:cs="Times New Roman" w:eastAsia="Times New Roman" w:hint="default"/>
                          <w:position w:val="1"/>
                          <w:sz w:val="15"/>
                          <w:szCs w:val="15"/>
                        </w:rPr>
                        <w:t>*2</w:t>
                        <w:tab/>
                      </w:r>
                      <w:r>
                        <w:rPr>
                          <w:rFonts w:ascii="宋体" w:hAnsi="宋体" w:cs="宋体" w:eastAsia="宋体" w:hint="default"/>
                          <w:position w:val="1"/>
                          <w:sz w:val="15"/>
                          <w:szCs w:val="15"/>
                        </w:rPr>
                        <w:t>苏州</w:t>
                        <w:tab/>
                      </w:r>
                      <w:r>
                        <w:rPr>
                          <w:rFonts w:ascii="Times New Roman" w:hAnsi="Times New Roman" w:cs="Times New Roman" w:eastAsia="Times New Roman" w:hint="default"/>
                          <w:position w:val="1"/>
                          <w:sz w:val="15"/>
                          <w:szCs w:val="15"/>
                        </w:rPr>
                        <w:t>2000</w:t>
                      </w:r>
                      <w:r>
                        <w:rPr>
                          <w:rFonts w:ascii="Times New Roman" w:hAnsi="Times New Roman" w:cs="Times New Roman" w:eastAsia="Times New Roman" w:hint="default"/>
                          <w:spacing w:val="-1"/>
                          <w:position w:val="1"/>
                          <w:sz w:val="15"/>
                          <w:szCs w:val="15"/>
                        </w:rPr>
                        <w:t> </w:t>
                      </w:r>
                      <w:r>
                        <w:rPr>
                          <w:rFonts w:ascii="宋体" w:hAnsi="宋体" w:cs="宋体" w:eastAsia="宋体" w:hint="default"/>
                          <w:position w:val="1"/>
                          <w:sz w:val="15"/>
                          <w:szCs w:val="15"/>
                        </w:rPr>
                        <w:t>万元</w:t>
                        <w:tab/>
                      </w:r>
                      <w:r>
                        <w:rPr>
                          <w:rFonts w:ascii="Times New Roman" w:hAnsi="Times New Roman" w:cs="Times New Roman" w:eastAsia="Times New Roman" w:hint="default"/>
                          <w:sz w:val="15"/>
                          <w:szCs w:val="15"/>
                        </w:rPr>
                        <w:t>90%</w:t>
                        <w:tab/>
                        <w:t>-</w:t>
                        <w:tab/>
                        <w:t>-</w:t>
                        <w:tab/>
                      </w:r>
                      <w:r>
                        <w:rPr>
                          <w:rFonts w:ascii="宋体" w:hAnsi="宋体" w:cs="宋体" w:eastAsia="宋体" w:hint="default"/>
                          <w:position w:val="1"/>
                          <w:sz w:val="15"/>
                          <w:szCs w:val="15"/>
                        </w:rPr>
                        <w:t>是</w:t>
                      </w:r>
                      <w:r>
                        <w:rPr>
                          <w:rFonts w:ascii="宋体" w:hAnsi="宋体" w:cs="宋体" w:eastAsia="宋体" w:hint="default"/>
                          <w:sz w:val="15"/>
                          <w:szCs w:val="15"/>
                        </w:rPr>
                      </w:r>
                    </w:p>
                    <w:p>
                      <w:pPr>
                        <w:spacing w:before="34"/>
                        <w:ind w:left="0" w:right="775" w:firstLine="0"/>
                        <w:jc w:val="right"/>
                        <w:rPr>
                          <w:rFonts w:ascii="宋体" w:hAnsi="宋体" w:cs="宋体" w:eastAsia="宋体" w:hint="default"/>
                          <w:sz w:val="15"/>
                          <w:szCs w:val="15"/>
                        </w:rPr>
                      </w:pPr>
                      <w:r>
                        <w:rPr>
                          <w:rFonts w:ascii="宋体" w:hAnsi="宋体" w:cs="宋体" w:eastAsia="宋体" w:hint="default"/>
                          <w:sz w:val="15"/>
                          <w:szCs w:val="15"/>
                        </w:rPr>
                        <w:t>房销售</w:t>
                      </w:r>
                    </w:p>
                  </w:txbxContent>
                </v:textbox>
                <w10:wrap type="none"/>
              </v:shape>
            </v:group>
          </v:group>
        </w:pict>
      </w:r>
      <w:r>
        <w:rPr>
          <w:rFonts w:ascii="宋体" w:hAnsi="宋体" w:cs="宋体" w:eastAsia="宋体" w:hint="default"/>
          <w:position w:val="-53"/>
          <w:sz w:val="20"/>
          <w:szCs w:val="20"/>
        </w:rPr>
      </w:r>
    </w:p>
    <w:p>
      <w:pPr>
        <w:spacing w:line="240" w:lineRule="auto" w:before="10"/>
        <w:rPr>
          <w:rFonts w:ascii="宋体" w:hAnsi="宋体" w:cs="宋体" w:eastAsia="宋体" w:hint="default"/>
          <w:sz w:val="10"/>
          <w:szCs w:val="10"/>
        </w:rPr>
      </w:pPr>
    </w:p>
    <w:p>
      <w:pPr>
        <w:spacing w:line="400" w:lineRule="auto" w:before="35"/>
        <w:ind w:left="138" w:right="108" w:firstLine="525"/>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、青岛广顺房地产有限公司于</w:t>
      </w:r>
      <w:r>
        <w:rPr>
          <w:rFonts w:ascii="Times New Roman" w:hAnsi="Times New Roman" w:cs="Times New Roman" w:eastAsia="Times New Roman" w:hint="default"/>
          <w:spacing w:val="-2"/>
          <w:sz w:val="21"/>
          <w:szCs w:val="21"/>
        </w:rPr>
        <w:t>2001</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14</w:t>
      </w:r>
      <w:r>
        <w:rPr>
          <w:rFonts w:ascii="宋体" w:hAnsi="宋体" w:cs="宋体" w:eastAsia="宋体" w:hint="default"/>
          <w:spacing w:val="-2"/>
          <w:sz w:val="21"/>
          <w:szCs w:val="21"/>
        </w:rPr>
        <w:t>日成立，注册号为</w:t>
      </w:r>
      <w:r>
        <w:rPr>
          <w:rFonts w:ascii="Times New Roman" w:hAnsi="Times New Roman" w:cs="Times New Roman" w:eastAsia="Times New Roman" w:hint="default"/>
          <w:spacing w:val="-2"/>
          <w:sz w:val="21"/>
          <w:szCs w:val="21"/>
        </w:rPr>
        <w:t>370200018070767</w:t>
      </w:r>
      <w:r>
        <w:rPr>
          <w:rFonts w:ascii="宋体" w:hAnsi="宋体" w:cs="宋体" w:eastAsia="宋体" w:hint="default"/>
          <w:spacing w:val="-2"/>
          <w:sz w:val="21"/>
          <w:szCs w:val="21"/>
        </w:rPr>
        <w:t>号，注册地址</w:t>
      </w:r>
      <w:r>
        <w:rPr>
          <w:rFonts w:ascii="宋体" w:hAnsi="宋体" w:cs="宋体" w:eastAsia="宋体" w:hint="default"/>
          <w:sz w:val="21"/>
          <w:szCs w:val="21"/>
        </w:rPr>
        <w:t> 为青岛市市南区东海西路</w:t>
      </w:r>
      <w:r>
        <w:rPr>
          <w:rFonts w:ascii="Times New Roman" w:hAnsi="Times New Roman" w:cs="Times New Roman" w:eastAsia="Times New Roman" w:hint="default"/>
          <w:sz w:val="21"/>
          <w:szCs w:val="21"/>
        </w:rPr>
        <w:t>43</w:t>
      </w:r>
      <w:r>
        <w:rPr>
          <w:rFonts w:ascii="宋体" w:hAnsi="宋体" w:cs="宋体" w:eastAsia="宋体" w:hint="default"/>
          <w:sz w:val="21"/>
          <w:szCs w:val="21"/>
        </w:rPr>
        <w:t>号凯旋大厦东塔</w:t>
      </w:r>
      <w:r>
        <w:rPr>
          <w:rFonts w:ascii="Times New Roman" w:hAnsi="Times New Roman" w:cs="Times New Roman" w:eastAsia="Times New Roman" w:hint="default"/>
          <w:sz w:val="21"/>
          <w:szCs w:val="21"/>
        </w:rPr>
        <w:t>15</w:t>
      </w:r>
      <w:r>
        <w:rPr>
          <w:rFonts w:ascii="宋体" w:hAnsi="宋体" w:cs="宋体" w:eastAsia="宋体" w:hint="default"/>
          <w:sz w:val="21"/>
          <w:szCs w:val="21"/>
        </w:rPr>
        <w:t>楼</w:t>
      </w:r>
      <w:r>
        <w:rPr>
          <w:rFonts w:ascii="Times New Roman" w:hAnsi="Times New Roman" w:cs="Times New Roman" w:eastAsia="Times New Roman" w:hint="default"/>
          <w:sz w:val="21"/>
          <w:szCs w:val="21"/>
        </w:rPr>
        <w:t>1502</w:t>
      </w:r>
      <w:r>
        <w:rPr>
          <w:rFonts w:ascii="宋体" w:hAnsi="宋体" w:cs="宋体" w:eastAsia="宋体" w:hint="default"/>
          <w:sz w:val="21"/>
          <w:szCs w:val="21"/>
        </w:rPr>
        <w:t>房间，公司注册资本为</w:t>
      </w:r>
      <w:r>
        <w:rPr>
          <w:rFonts w:ascii="Times New Roman" w:hAnsi="Times New Roman" w:cs="Times New Roman" w:eastAsia="Times New Roman" w:hint="default"/>
          <w:sz w:val="21"/>
          <w:szCs w:val="21"/>
        </w:rPr>
        <w:t>1000</w:t>
      </w:r>
      <w:r>
        <w:rPr>
          <w:rFonts w:ascii="宋体" w:hAnsi="宋体" w:cs="宋体" w:eastAsia="宋体" w:hint="default"/>
          <w:sz w:val="21"/>
          <w:szCs w:val="21"/>
        </w:rPr>
        <w:t>万元人民币。公司</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2"/>
          <w:sz w:val="21"/>
          <w:szCs w:val="21"/>
        </w:rPr>
        <w:t>主要经营范围：房地产开发、经营；销售：建筑材料、装饰装潢材料。</w:t>
      </w:r>
      <w:r>
        <w:rPr>
          <w:rFonts w:ascii="Times New Roman" w:hAnsi="Times New Roman" w:cs="Times New Roman" w:eastAsia="Times New Roman" w:hint="default"/>
          <w:spacing w:val="2"/>
          <w:sz w:val="21"/>
          <w:szCs w:val="21"/>
        </w:rPr>
        <w:t>2008</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4</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22</w:t>
      </w:r>
      <w:r>
        <w:rPr>
          <w:rFonts w:ascii="宋体" w:hAnsi="宋体" w:cs="宋体" w:eastAsia="宋体" w:hint="default"/>
          <w:spacing w:val="2"/>
          <w:sz w:val="21"/>
          <w:szCs w:val="21"/>
        </w:rPr>
        <w:t>日本公司</w:t>
      </w:r>
      <w:r>
        <w:rPr>
          <w:rFonts w:ascii="Times New Roman" w:hAnsi="Times New Roman" w:cs="Times New Roman" w:eastAsia="Times New Roman" w:hint="default"/>
          <w:spacing w:val="2"/>
          <w:sz w:val="21"/>
          <w:szCs w:val="21"/>
        </w:rPr>
        <w:t>2008</w:t>
      </w:r>
      <w:r>
        <w:rPr>
          <w:rFonts w:ascii="Times New Roman" w:hAnsi="Times New Roman" w:cs="Times New Roman" w:eastAsia="Times New Roman" w:hint="default"/>
          <w:spacing w:val="-31"/>
          <w:sz w:val="21"/>
          <w:szCs w:val="21"/>
        </w:rPr>
        <w:t> </w:t>
      </w:r>
      <w:r>
        <w:rPr>
          <w:rFonts w:ascii="Times New Roman" w:hAnsi="Times New Roman" w:cs="Times New Roman" w:eastAsia="Times New Roman" w:hint="default"/>
          <w:spacing w:val="-31"/>
          <w:sz w:val="21"/>
          <w:szCs w:val="21"/>
        </w:rPr>
      </w:r>
      <w:r>
        <w:rPr>
          <w:rFonts w:ascii="宋体" w:hAnsi="宋体" w:cs="宋体" w:eastAsia="宋体" w:hint="default"/>
          <w:spacing w:val="-3"/>
          <w:sz w:val="21"/>
          <w:szCs w:val="21"/>
        </w:rPr>
        <w:t>年第一次临时股东大会通过了《资产赠与、资本公积金定向转增股本暨股权分置改革方案的议案》，</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Times New Roman" w:hAnsi="Times New Roman" w:cs="Times New Roman" w:eastAsia="Times New Roman" w:hint="default"/>
          <w:spacing w:val="-2"/>
          <w:sz w:val="21"/>
          <w:szCs w:val="21"/>
        </w:rPr>
        <w:t>2008</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9</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20</w:t>
      </w:r>
      <w:r>
        <w:rPr>
          <w:rFonts w:ascii="宋体" w:hAnsi="宋体" w:cs="宋体" w:eastAsia="宋体" w:hint="default"/>
          <w:spacing w:val="-2"/>
          <w:sz w:val="21"/>
          <w:szCs w:val="21"/>
        </w:rPr>
        <w:t>日青岛亚星实业有限公司与本公司签订股权转让协议，将其持有的青岛广顺房地产有限</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公司的</w:t>
      </w:r>
      <w:r>
        <w:rPr>
          <w:rFonts w:ascii="Times New Roman" w:hAnsi="Times New Roman" w:cs="Times New Roman" w:eastAsia="Times New Roman" w:hint="default"/>
          <w:sz w:val="21"/>
          <w:szCs w:val="21"/>
        </w:rPr>
        <w:t>83%</w:t>
      </w:r>
      <w:r>
        <w:rPr>
          <w:rFonts w:ascii="宋体" w:hAnsi="宋体" w:cs="宋体" w:eastAsia="宋体" w:hint="default"/>
          <w:sz w:val="21"/>
          <w:szCs w:val="21"/>
        </w:rPr>
        <w:t>的股份捐赠给本公司，并已于</w:t>
      </w:r>
      <w:r>
        <w:rPr>
          <w:rFonts w:ascii="Times New Roman" w:hAnsi="Times New Roman" w:cs="Times New Roman" w:eastAsia="Times New Roman" w:hint="default"/>
          <w:sz w:val="21"/>
          <w:szCs w:val="21"/>
        </w:rPr>
        <w:t>2008</w:t>
      </w:r>
      <w:r>
        <w:rPr>
          <w:rFonts w:ascii="宋体" w:hAnsi="宋体" w:cs="宋体" w:eastAsia="宋体" w:hint="default"/>
          <w:sz w:val="21"/>
          <w:szCs w:val="21"/>
        </w:rPr>
        <w:t>年</w:t>
      </w:r>
      <w:r>
        <w:rPr>
          <w:rFonts w:ascii="Times New Roman" w:hAnsi="Times New Roman" w:cs="Times New Roman" w:eastAsia="Times New Roman" w:hint="default"/>
          <w:sz w:val="21"/>
          <w:szCs w:val="21"/>
        </w:rPr>
        <w:t>9</w:t>
      </w:r>
      <w:r>
        <w:rPr>
          <w:rFonts w:ascii="宋体" w:hAnsi="宋体" w:cs="宋体" w:eastAsia="宋体" w:hint="default"/>
          <w:sz w:val="21"/>
          <w:szCs w:val="21"/>
        </w:rPr>
        <w:t>月</w:t>
      </w:r>
      <w:r>
        <w:rPr>
          <w:rFonts w:ascii="Times New Roman" w:hAnsi="Times New Roman" w:cs="Times New Roman" w:eastAsia="Times New Roman" w:hint="default"/>
          <w:sz w:val="21"/>
          <w:szCs w:val="21"/>
        </w:rPr>
        <w:t>28</w:t>
      </w:r>
      <w:r>
        <w:rPr>
          <w:rFonts w:ascii="宋体" w:hAnsi="宋体" w:cs="宋体" w:eastAsia="宋体" w:hint="default"/>
          <w:sz w:val="21"/>
          <w:szCs w:val="21"/>
        </w:rPr>
        <w:t>日办理工商变更手续，</w:t>
      </w:r>
      <w:r>
        <w:rPr>
          <w:rFonts w:ascii="Times New Roman" w:hAnsi="Times New Roman" w:cs="Times New Roman" w:eastAsia="Times New Roman" w:hint="default"/>
          <w:sz w:val="21"/>
          <w:szCs w:val="21"/>
        </w:rPr>
        <w:t>2008</w:t>
      </w:r>
      <w:r>
        <w:rPr>
          <w:rFonts w:ascii="宋体" w:hAnsi="宋体" w:cs="宋体" w:eastAsia="宋体" w:hint="default"/>
          <w:sz w:val="21"/>
          <w:szCs w:val="21"/>
        </w:rPr>
        <w:t>年将其纳入合并报 表范围。</w:t>
      </w:r>
    </w:p>
    <w:p>
      <w:pPr>
        <w:spacing w:line="396" w:lineRule="auto" w:before="124"/>
        <w:ind w:left="138" w:right="173" w:firstLine="525"/>
        <w:jc w:val="both"/>
        <w:rPr>
          <w:rFonts w:ascii="宋体" w:hAnsi="宋体" w:cs="宋体" w:eastAsia="宋体" w:hint="default"/>
          <w:sz w:val="21"/>
          <w:szCs w:val="21"/>
        </w:rPr>
      </w:pPr>
      <w:r>
        <w:rPr>
          <w:rFonts w:ascii="Times New Roman" w:hAnsi="Times New Roman" w:cs="Times New Roman" w:eastAsia="Times New Roman" w:hint="default"/>
          <w:spacing w:val="-4"/>
          <w:sz w:val="21"/>
          <w:szCs w:val="21"/>
        </w:rPr>
        <w:t>*2</w:t>
      </w:r>
      <w:r>
        <w:rPr>
          <w:rFonts w:ascii="宋体" w:hAnsi="宋体" w:cs="宋体" w:eastAsia="宋体" w:hint="default"/>
          <w:spacing w:val="-4"/>
          <w:sz w:val="21"/>
          <w:szCs w:val="21"/>
        </w:rPr>
        <w:t>、兖州海情置业有限公司（以下简称“本公司”或“公司”）于</w:t>
      </w:r>
      <w:r>
        <w:rPr>
          <w:rFonts w:ascii="Times New Roman" w:hAnsi="Times New Roman" w:cs="Times New Roman" w:eastAsia="Times New Roman" w:hint="default"/>
          <w:spacing w:val="-4"/>
          <w:sz w:val="21"/>
          <w:szCs w:val="21"/>
        </w:rPr>
        <w:t>2003</w:t>
      </w:r>
      <w:r>
        <w:rPr>
          <w:rFonts w:ascii="宋体" w:hAnsi="宋体" w:cs="宋体" w:eastAsia="宋体" w:hint="default"/>
          <w:spacing w:val="-4"/>
          <w:sz w:val="21"/>
          <w:szCs w:val="21"/>
        </w:rPr>
        <w:t>年</w:t>
      </w:r>
      <w:r>
        <w:rPr>
          <w:rFonts w:ascii="Times New Roman" w:hAnsi="Times New Roman" w:cs="Times New Roman" w:eastAsia="Times New Roman" w:hint="default"/>
          <w:spacing w:val="-4"/>
          <w:sz w:val="21"/>
          <w:szCs w:val="21"/>
        </w:rPr>
        <w:t>1</w:t>
      </w:r>
      <w:r>
        <w:rPr>
          <w:rFonts w:ascii="宋体" w:hAnsi="宋体" w:cs="宋体" w:eastAsia="宋体" w:hint="default"/>
          <w:spacing w:val="-4"/>
          <w:sz w:val="21"/>
          <w:szCs w:val="21"/>
        </w:rPr>
        <w:t>月</w:t>
      </w:r>
      <w:r>
        <w:rPr>
          <w:rFonts w:ascii="Times New Roman" w:hAnsi="Times New Roman" w:cs="Times New Roman" w:eastAsia="Times New Roman" w:hint="default"/>
          <w:spacing w:val="-4"/>
          <w:sz w:val="21"/>
          <w:szCs w:val="21"/>
        </w:rPr>
        <w:t>19</w:t>
      </w:r>
      <w:r>
        <w:rPr>
          <w:rFonts w:ascii="宋体" w:hAnsi="宋体" w:cs="宋体" w:eastAsia="宋体" w:hint="default"/>
          <w:spacing w:val="-4"/>
          <w:sz w:val="21"/>
          <w:szCs w:val="21"/>
        </w:rPr>
        <w:t>日成立，注册号</w:t>
      </w:r>
      <w:r>
        <w:rPr>
          <w:rFonts w:ascii="宋体" w:hAnsi="宋体" w:cs="宋体" w:eastAsia="宋体" w:hint="default"/>
          <w:sz w:val="21"/>
          <w:szCs w:val="21"/>
        </w:rPr>
        <w:t> </w:t>
      </w:r>
      <w:r>
        <w:rPr>
          <w:rFonts w:ascii="Times New Roman" w:hAnsi="Times New Roman" w:cs="Times New Roman" w:eastAsia="Times New Roman" w:hint="default"/>
          <w:spacing w:val="-2"/>
          <w:sz w:val="21"/>
          <w:szCs w:val="21"/>
        </w:rPr>
        <w:t>370882228005422</w:t>
      </w:r>
      <w:r>
        <w:rPr>
          <w:rFonts w:ascii="宋体" w:hAnsi="宋体" w:cs="宋体" w:eastAsia="宋体" w:hint="default"/>
          <w:spacing w:val="-2"/>
          <w:sz w:val="21"/>
          <w:szCs w:val="21"/>
        </w:rPr>
        <w:t>号，注册地址为兖州市委党委</w:t>
      </w:r>
      <w:r>
        <w:rPr>
          <w:rFonts w:ascii="Times New Roman" w:hAnsi="Times New Roman" w:cs="Times New Roman" w:eastAsia="Times New Roman" w:hint="default"/>
          <w:spacing w:val="-2"/>
          <w:sz w:val="21"/>
          <w:szCs w:val="21"/>
        </w:rPr>
        <w:t>307</w:t>
      </w:r>
      <w:r>
        <w:rPr>
          <w:rFonts w:ascii="宋体" w:hAnsi="宋体" w:cs="宋体" w:eastAsia="宋体" w:hint="default"/>
          <w:spacing w:val="-2"/>
          <w:sz w:val="21"/>
          <w:szCs w:val="21"/>
        </w:rPr>
        <w:t>房间，公司法定代表人：姜剑。</w:t>
      </w:r>
      <w:r>
        <w:rPr>
          <w:rFonts w:ascii="Times New Roman" w:hAnsi="Times New Roman" w:cs="Times New Roman" w:eastAsia="Times New Roman" w:hint="default"/>
          <w:spacing w:val="-2"/>
          <w:sz w:val="21"/>
          <w:szCs w:val="21"/>
        </w:rPr>
        <w:t>2008</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4</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22</w:t>
      </w:r>
      <w:r>
        <w:rPr>
          <w:rFonts w:ascii="宋体" w:hAnsi="宋体" w:cs="宋体" w:eastAsia="宋体" w:hint="default"/>
          <w:spacing w:val="-2"/>
          <w:sz w:val="21"/>
          <w:szCs w:val="21"/>
        </w:rPr>
        <w:t>日本</w:t>
      </w:r>
      <w:r>
        <w:rPr>
          <w:rFonts w:ascii="宋体" w:hAnsi="宋体" w:cs="宋体" w:eastAsia="宋体" w:hint="default"/>
          <w:spacing w:val="-76"/>
          <w:sz w:val="21"/>
          <w:szCs w:val="21"/>
        </w:rPr>
        <w:t> </w:t>
      </w:r>
      <w:r>
        <w:rPr>
          <w:rFonts w:ascii="宋体" w:hAnsi="宋体" w:cs="宋体" w:eastAsia="宋体" w:hint="default"/>
          <w:sz w:val="21"/>
          <w:szCs w:val="21"/>
        </w:rPr>
        <w:t>公司</w:t>
      </w:r>
      <w:r>
        <w:rPr>
          <w:rFonts w:ascii="Times New Roman" w:hAnsi="Times New Roman" w:cs="Times New Roman" w:eastAsia="Times New Roman" w:hint="default"/>
          <w:sz w:val="21"/>
          <w:szCs w:val="21"/>
        </w:rPr>
        <w:t>2008</w:t>
      </w:r>
      <w:r>
        <w:rPr>
          <w:rFonts w:ascii="宋体" w:hAnsi="宋体" w:cs="宋体" w:eastAsia="宋体" w:hint="default"/>
          <w:sz w:val="21"/>
          <w:szCs w:val="21"/>
        </w:rPr>
        <w:t>年第一次临时股东大会通过了《资产赠与、资本公积金定向转增股本暨股权分置改革方案</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2"/>
          <w:sz w:val="21"/>
          <w:szCs w:val="21"/>
        </w:rPr>
        <w:t>的议案》，</w:t>
      </w:r>
      <w:r>
        <w:rPr>
          <w:rFonts w:ascii="Times New Roman" w:hAnsi="Times New Roman" w:cs="Times New Roman" w:eastAsia="Times New Roman" w:hint="default"/>
          <w:spacing w:val="-2"/>
          <w:sz w:val="21"/>
          <w:szCs w:val="21"/>
        </w:rPr>
        <w:t>2008</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9</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20</w:t>
      </w:r>
      <w:r>
        <w:rPr>
          <w:rFonts w:ascii="宋体" w:hAnsi="宋体" w:cs="宋体" w:eastAsia="宋体" w:hint="default"/>
          <w:spacing w:val="-2"/>
          <w:sz w:val="21"/>
          <w:szCs w:val="21"/>
        </w:rPr>
        <w:t>日青岛亚星实业有限公司与本公司签订股权转让协，青岛亚星实业有限公司</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1"/>
          <w:sz w:val="21"/>
          <w:szCs w:val="21"/>
        </w:rPr>
        <w:t>将其持有的兖州海情置业有限公司</w:t>
      </w:r>
      <w:r>
        <w:rPr>
          <w:rFonts w:ascii="Times New Roman" w:hAnsi="Times New Roman" w:cs="Times New Roman" w:eastAsia="Times New Roman" w:hint="default"/>
          <w:spacing w:val="-1"/>
          <w:sz w:val="21"/>
          <w:szCs w:val="21"/>
        </w:rPr>
        <w:t>83%</w:t>
      </w:r>
      <w:r>
        <w:rPr>
          <w:rFonts w:ascii="宋体" w:hAnsi="宋体" w:cs="宋体" w:eastAsia="宋体" w:hint="default"/>
          <w:spacing w:val="-1"/>
          <w:sz w:val="21"/>
          <w:szCs w:val="21"/>
        </w:rPr>
        <w:t>的股份捐赠给本公司，并已于</w:t>
      </w:r>
      <w:r>
        <w:rPr>
          <w:rFonts w:ascii="Times New Roman" w:hAnsi="Times New Roman" w:cs="Times New Roman" w:eastAsia="Times New Roman" w:hint="default"/>
          <w:spacing w:val="-1"/>
          <w:sz w:val="21"/>
          <w:szCs w:val="21"/>
        </w:rPr>
        <w:t>2008</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9</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29</w:t>
      </w:r>
      <w:r>
        <w:rPr>
          <w:rFonts w:ascii="宋体" w:hAnsi="宋体" w:cs="宋体" w:eastAsia="宋体" w:hint="default"/>
          <w:spacing w:val="-1"/>
          <w:sz w:val="21"/>
          <w:szCs w:val="21"/>
        </w:rPr>
        <w:t>日办理工商变更手</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续，</w:t>
      </w:r>
      <w:r>
        <w:rPr>
          <w:rFonts w:ascii="Times New Roman" w:hAnsi="Times New Roman" w:cs="Times New Roman" w:eastAsia="Times New Roman" w:hint="default"/>
          <w:sz w:val="21"/>
          <w:szCs w:val="21"/>
        </w:rPr>
        <w:t>2008</w:t>
      </w:r>
      <w:r>
        <w:rPr>
          <w:rFonts w:ascii="宋体" w:hAnsi="宋体" w:cs="宋体" w:eastAsia="宋体" w:hint="default"/>
          <w:sz w:val="21"/>
          <w:szCs w:val="21"/>
        </w:rPr>
        <w:t>年将其纳入合并报表范围。</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80"/>
        <w:ind w:left="558" w:right="126" w:firstLine="0"/>
        <w:jc w:val="left"/>
        <w:rPr>
          <w:rFonts w:ascii="黑体" w:hAnsi="黑体" w:cs="黑体" w:eastAsia="黑体" w:hint="default"/>
          <w:sz w:val="21"/>
          <w:szCs w:val="21"/>
        </w:rPr>
      </w:pPr>
      <w:r>
        <w:rPr>
          <w:rFonts w:ascii="黑体" w:hAnsi="黑体" w:cs="黑体" w:eastAsia="黑体" w:hint="default"/>
          <w:sz w:val="21"/>
          <w:szCs w:val="21"/>
        </w:rPr>
        <w:t>附注七、合并财务报表主要项目注释</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21"/>
          <w:szCs w:val="21"/>
        </w:rPr>
      </w:pPr>
    </w:p>
    <w:p>
      <w:pPr>
        <w:spacing w:before="0"/>
        <w:ind w:left="558" w:right="12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、货币资金</w:t>
      </w:r>
    </w:p>
    <w:p>
      <w:pPr>
        <w:spacing w:after="0"/>
        <w:jc w:val="left"/>
        <w:rPr>
          <w:rFonts w:ascii="宋体" w:hAnsi="宋体" w:cs="宋体" w:eastAsia="宋体" w:hint="default"/>
          <w:sz w:val="21"/>
          <w:szCs w:val="21"/>
        </w:rPr>
        <w:sectPr>
          <w:pgSz w:w="11910" w:h="16840"/>
          <w:pgMar w:header="0" w:footer="710" w:top="580" w:bottom="900" w:left="1280" w:right="1240"/>
        </w:sectPr>
      </w:pPr>
    </w:p>
    <w:p>
      <w:pPr>
        <w:pStyle w:val="Heading2"/>
        <w:spacing w:line="310" w:lineRule="exact"/>
        <w:ind w:right="3076"/>
        <w:jc w:val="center"/>
        <w:rPr>
          <w:b w:val="0"/>
          <w:bCs w:val="0"/>
        </w:rPr>
      </w:pPr>
      <w:r>
        <w:rPr/>
        <w:pict>
          <v:shape style="position:absolute;margin-left:88.919998pt;margin-top:3.990308pt;width:57.0pt;height:31.5pt;mso-position-horizontal-relative:page;mso-position-vertical-relative:paragraph;z-index:5416"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2111" w:right="2271" w:firstLine="0"/>
        <w:jc w:val="center"/>
        <w:rPr>
          <w:rFonts w:ascii="Times New Roman" w:hAnsi="Times New Roman" w:cs="Times New Roman" w:eastAsia="Times New Roman" w:hint="default"/>
          <w:sz w:val="16"/>
          <w:szCs w:val="16"/>
        </w:rPr>
      </w:pPr>
      <w:r>
        <w:rPr/>
        <w:pict>
          <v:group style="position:absolute;margin-left:69.060013pt;margin-top:20.989061pt;width:465pt;height:132.2pt;mso-position-horizontal-relative:page;mso-position-vertical-relative:paragraph;z-index:-451384" coordorigin="1381,420" coordsize="9300,2644">
            <v:group style="position:absolute;left:1388;top:427;width:9130;height:2" coordorigin="1388,427" coordsize="9130,2">
              <v:shape style="position:absolute;left:1388;top:427;width:9130;height:2" coordorigin="1388,427" coordsize="9130,0" path="m1388,427l10518,427e" filled="false" stroked="true" strokeweight=".71997pt" strokecolor="#000000">
                <v:path arrowok="t"/>
              </v:shape>
            </v:group>
            <v:group style="position:absolute;left:1852;top:449;width:8814;height:2" coordorigin="1852,449" coordsize="8814,2">
              <v:shape style="position:absolute;left:1852;top:449;width:8814;height:2" coordorigin="1852,449" coordsize="8814,0" path="m1852,449l10666,449e" filled="false" stroked="true" strokeweight="1.5pt" strokecolor="#000000">
                <v:path arrowok="t"/>
              </v:shape>
              <v:shape style="position:absolute;left:3096;top:445;width:4016;height:558" type="#_x0000_t75" stroked="false">
                <v:imagedata r:id="rId34" o:title=""/>
              </v:shape>
              <v:shape style="position:absolute;left:3102;top:971;width:7578;height:556" type="#_x0000_t75" stroked="false">
                <v:imagedata r:id="rId35" o:title=""/>
              </v:shape>
              <v:shape style="position:absolute;left:1832;top:1501;width:8814;height:1562" type="#_x0000_t75" stroked="false">
                <v:imagedata r:id="rId36" o:title=""/>
              </v:shape>
              <v:shape style="position:absolute;left:4020;top:2525;width:48;height:539" type="#_x0000_t75" stroked="false">
                <v:imagedata r:id="rId37" o:title=""/>
              </v:shape>
              <v:shape style="position:absolute;left:5490;top:2525;width:48;height:539" type="#_x0000_t75" stroked="false">
                <v:imagedata r:id="rId37" o:title=""/>
              </v:shape>
              <v:shape style="position:absolute;left:7064;top:2525;width:48;height:539" type="#_x0000_t75" stroked="false">
                <v:imagedata r:id="rId37" o:title=""/>
              </v:shape>
              <v:shape style="position:absolute;left:9049;top:2525;width:48;height:539" type="#_x0000_t75" stroked="false">
                <v:imagedata r:id="rId37" o:title=""/>
              </v:shape>
            </v:group>
            <w10:wrap type="none"/>
          </v:group>
        </w:pict>
      </w: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1"/>
          <w:szCs w:val="21"/>
        </w:rPr>
      </w:pPr>
    </w:p>
    <w:tbl>
      <w:tblPr>
        <w:tblW w:w="0" w:type="auto"/>
        <w:jc w:val="left"/>
        <w:tblInd w:w="550" w:type="dxa"/>
        <w:tblLayout w:type="fixed"/>
        <w:tblCellMar>
          <w:top w:w="0" w:type="dxa"/>
          <w:left w:w="0" w:type="dxa"/>
          <w:bottom w:w="0" w:type="dxa"/>
          <w:right w:w="0" w:type="dxa"/>
        </w:tblCellMar>
        <w:tblLook w:val="01E0"/>
      </w:tblPr>
      <w:tblGrid>
        <w:gridCol w:w="1280"/>
        <w:gridCol w:w="914"/>
        <w:gridCol w:w="3349"/>
        <w:gridCol w:w="3259"/>
      </w:tblGrid>
      <w:tr>
        <w:trPr>
          <w:trHeight w:val="569" w:hRule="exact"/>
        </w:trPr>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tabs>
                <w:tab w:pos="757" w:val="left" w:leader="none"/>
              </w:tabs>
              <w:spacing w:line="240" w:lineRule="auto"/>
              <w:ind w:left="335"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230"/>
              <w:jc w:val="right"/>
              <w:rPr>
                <w:rFonts w:ascii="宋体" w:hAnsi="宋体" w:cs="宋体" w:eastAsia="宋体" w:hint="default"/>
                <w:sz w:val="21"/>
                <w:szCs w:val="21"/>
              </w:rPr>
            </w:pPr>
            <w:r>
              <w:rPr>
                <w:rFonts w:ascii="宋体" w:hAnsi="宋体" w:cs="宋体" w:eastAsia="宋体" w:hint="default"/>
                <w:sz w:val="21"/>
                <w:szCs w:val="21"/>
              </w:rPr>
              <w:t>币种</w:t>
            </w:r>
          </w:p>
        </w:tc>
        <w:tc>
          <w:tcPr>
            <w:tcW w:w="3349"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050" w:right="0"/>
              <w:jc w:val="left"/>
              <w:rPr>
                <w:rFonts w:ascii="Times New Roman" w:hAnsi="Times New Roman" w:cs="Times New Roman" w:eastAsia="Times New Roman" w:hint="default"/>
                <w:sz w:val="21"/>
                <w:szCs w:val="21"/>
              </w:rPr>
            </w:pPr>
            <w:r>
              <w:rPr>
                <w:rFonts w:ascii="Times New Roman"/>
                <w:sz w:val="21"/>
              </w:rPr>
              <w:t>2008-12-31</w:t>
            </w:r>
          </w:p>
        </w:tc>
        <w:tc>
          <w:tcPr>
            <w:tcW w:w="3259"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016" w:right="0"/>
              <w:jc w:val="left"/>
              <w:rPr>
                <w:rFonts w:ascii="Times New Roman" w:hAnsi="Times New Roman" w:cs="Times New Roman" w:eastAsia="Times New Roman" w:hint="default"/>
                <w:sz w:val="21"/>
                <w:szCs w:val="21"/>
              </w:rPr>
            </w:pPr>
            <w:r>
              <w:rPr>
                <w:rFonts w:ascii="Times New Roman"/>
                <w:sz w:val="21"/>
              </w:rPr>
              <w:t>2007-12-31</w:t>
            </w:r>
          </w:p>
        </w:tc>
      </w:tr>
      <w:tr>
        <w:trPr>
          <w:trHeight w:val="395" w:hRule="exact"/>
        </w:trPr>
        <w:tc>
          <w:tcPr>
            <w:tcW w:w="1280"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
        </w:tc>
        <w:tc>
          <w:tcPr>
            <w:tcW w:w="3349" w:type="dxa"/>
            <w:tcBorders>
              <w:top w:val="nil" w:sz="6" w:space="0" w:color="auto"/>
              <w:left w:val="nil" w:sz="6" w:space="0" w:color="auto"/>
              <w:bottom w:val="nil" w:sz="6" w:space="0" w:color="auto"/>
              <w:right w:val="nil" w:sz="6" w:space="0" w:color="auto"/>
            </w:tcBorders>
          </w:tcPr>
          <w:p>
            <w:pPr>
              <w:pStyle w:val="TableParagraph"/>
              <w:tabs>
                <w:tab w:pos="859" w:val="left" w:leader="none"/>
                <w:tab w:pos="1751" w:val="left" w:leader="none"/>
              </w:tabs>
              <w:spacing w:line="245" w:lineRule="exact"/>
              <w:ind w:left="438" w:right="0"/>
              <w:jc w:val="left"/>
              <w:rPr>
                <w:rFonts w:ascii="宋体" w:hAnsi="宋体" w:cs="宋体" w:eastAsia="宋体" w:hint="default"/>
                <w:sz w:val="21"/>
                <w:szCs w:val="21"/>
              </w:rPr>
            </w:pPr>
            <w:r>
              <w:rPr>
                <w:rFonts w:ascii="宋体" w:hAnsi="宋体" w:cs="宋体" w:eastAsia="宋体" w:hint="default"/>
                <w:sz w:val="21"/>
                <w:szCs w:val="21"/>
              </w:rPr>
              <w:t>原</w:t>
              <w:tab/>
              <w:t>币</w:t>
              <w:tab/>
              <w:t>折合人民币</w:t>
            </w:r>
          </w:p>
        </w:tc>
        <w:tc>
          <w:tcPr>
            <w:tcW w:w="3259" w:type="dxa"/>
            <w:tcBorders>
              <w:top w:val="nil" w:sz="6" w:space="0" w:color="auto"/>
              <w:left w:val="nil" w:sz="6" w:space="0" w:color="auto"/>
              <w:bottom w:val="nil" w:sz="6" w:space="0" w:color="auto"/>
              <w:right w:val="nil" w:sz="6" w:space="0" w:color="auto"/>
            </w:tcBorders>
          </w:tcPr>
          <w:p>
            <w:pPr>
              <w:pStyle w:val="TableParagraph"/>
              <w:tabs>
                <w:tab w:pos="813" w:val="left" w:leader="none"/>
                <w:tab w:pos="1954" w:val="left" w:leader="none"/>
              </w:tabs>
              <w:spacing w:line="245" w:lineRule="exact"/>
              <w:ind w:left="392" w:right="0"/>
              <w:jc w:val="left"/>
              <w:rPr>
                <w:rFonts w:ascii="宋体" w:hAnsi="宋体" w:cs="宋体" w:eastAsia="宋体" w:hint="default"/>
                <w:sz w:val="21"/>
                <w:szCs w:val="21"/>
              </w:rPr>
            </w:pPr>
            <w:r>
              <w:rPr>
                <w:rFonts w:ascii="宋体" w:hAnsi="宋体" w:cs="宋体" w:eastAsia="宋体" w:hint="default"/>
                <w:sz w:val="21"/>
                <w:szCs w:val="21"/>
              </w:rPr>
              <w:t>原</w:t>
              <w:tab/>
              <w:t>币</w:t>
              <w:tab/>
              <w:t>折合人民币</w:t>
            </w:r>
          </w:p>
        </w:tc>
      </w:tr>
      <w:tr>
        <w:trPr>
          <w:trHeight w:val="523" w:hRule="exact"/>
        </w:trPr>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22" w:right="0"/>
              <w:jc w:val="left"/>
              <w:rPr>
                <w:rFonts w:ascii="宋体" w:hAnsi="宋体" w:cs="宋体" w:eastAsia="宋体" w:hint="default"/>
                <w:sz w:val="21"/>
                <w:szCs w:val="21"/>
              </w:rPr>
            </w:pPr>
            <w:r>
              <w:rPr>
                <w:rFonts w:ascii="宋体" w:hAnsi="宋体" w:cs="宋体" w:eastAsia="宋体" w:hint="default"/>
                <w:sz w:val="21"/>
                <w:szCs w:val="21"/>
              </w:rPr>
              <w:t>现 金</w:t>
            </w: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235"/>
              <w:jc w:val="right"/>
              <w:rPr>
                <w:rFonts w:ascii="Times New Roman" w:hAnsi="Times New Roman" w:cs="Times New Roman" w:eastAsia="Times New Roman" w:hint="default"/>
                <w:sz w:val="21"/>
                <w:szCs w:val="21"/>
              </w:rPr>
            </w:pPr>
            <w:r>
              <w:rPr>
                <w:rFonts w:ascii="Times New Roman"/>
                <w:w w:val="95"/>
                <w:sz w:val="21"/>
              </w:rPr>
              <w:t>RMB</w:t>
            </w:r>
            <w:r>
              <w:rPr>
                <w:rFonts w:ascii="Times New Roman"/>
                <w:sz w:val="21"/>
              </w:rPr>
            </w:r>
          </w:p>
        </w:tc>
        <w:tc>
          <w:tcPr>
            <w:tcW w:w="3349" w:type="dxa"/>
            <w:tcBorders>
              <w:top w:val="nil" w:sz="6" w:space="0" w:color="auto"/>
              <w:left w:val="nil" w:sz="6" w:space="0" w:color="auto"/>
              <w:bottom w:val="nil" w:sz="6" w:space="0" w:color="auto"/>
              <w:right w:val="nil" w:sz="6" w:space="0" w:color="auto"/>
            </w:tcBorders>
          </w:tcPr>
          <w:p>
            <w:pPr>
              <w:pStyle w:val="TableParagraph"/>
              <w:tabs>
                <w:tab w:pos="1573" w:val="left" w:leader="none"/>
              </w:tabs>
              <w:spacing w:line="240" w:lineRule="auto" w:before="159"/>
              <w:ind w:right="392"/>
              <w:jc w:val="right"/>
              <w:rPr>
                <w:rFonts w:ascii="Times New Roman" w:hAnsi="Times New Roman" w:cs="Times New Roman" w:eastAsia="Times New Roman" w:hint="default"/>
                <w:sz w:val="20"/>
                <w:szCs w:val="20"/>
              </w:rPr>
            </w:pPr>
            <w:r>
              <w:rPr>
                <w:rFonts w:ascii="Times New Roman"/>
                <w:spacing w:val="-1"/>
                <w:sz w:val="20"/>
              </w:rPr>
              <w:t>121,482.07</w:t>
              <w:tab/>
              <w:t>121,482.07</w:t>
            </w:r>
            <w:r>
              <w:rPr>
                <w:rFonts w:ascii="Times New Roman"/>
                <w:sz w:val="20"/>
              </w:rPr>
            </w:r>
          </w:p>
        </w:tc>
        <w:tc>
          <w:tcPr>
            <w:tcW w:w="3259"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59"/>
              <w:ind w:right="107"/>
              <w:jc w:val="right"/>
              <w:rPr>
                <w:rFonts w:ascii="Times New Roman" w:hAnsi="Times New Roman" w:cs="Times New Roman" w:eastAsia="Times New Roman" w:hint="default"/>
                <w:sz w:val="20"/>
                <w:szCs w:val="20"/>
              </w:rPr>
            </w:pPr>
            <w:r>
              <w:rPr>
                <w:rFonts w:ascii="Times New Roman"/>
                <w:spacing w:val="-1"/>
                <w:sz w:val="20"/>
              </w:rPr>
              <w:t>47,772.06</w:t>
              <w:tab/>
              <w:t>47,772.06</w:t>
            </w:r>
          </w:p>
        </w:tc>
      </w:tr>
      <w:tr>
        <w:trPr>
          <w:trHeight w:val="510" w:hRule="exact"/>
        </w:trPr>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银行存款</w:t>
            </w: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35"/>
              <w:jc w:val="right"/>
              <w:rPr>
                <w:rFonts w:ascii="Times New Roman" w:hAnsi="Times New Roman" w:cs="Times New Roman" w:eastAsia="Times New Roman" w:hint="default"/>
                <w:sz w:val="21"/>
                <w:szCs w:val="21"/>
              </w:rPr>
            </w:pPr>
            <w:r>
              <w:rPr>
                <w:rFonts w:ascii="Times New Roman"/>
                <w:w w:val="95"/>
                <w:sz w:val="21"/>
              </w:rPr>
              <w:t>RMB</w:t>
            </w:r>
            <w:r>
              <w:rPr>
                <w:rFonts w:ascii="Times New Roman"/>
                <w:sz w:val="21"/>
              </w:rPr>
            </w:r>
          </w:p>
        </w:tc>
        <w:tc>
          <w:tcPr>
            <w:tcW w:w="3349" w:type="dxa"/>
            <w:tcBorders>
              <w:top w:val="nil" w:sz="6" w:space="0" w:color="auto"/>
              <w:left w:val="nil" w:sz="6" w:space="0" w:color="auto"/>
              <w:bottom w:val="nil" w:sz="6" w:space="0" w:color="auto"/>
              <w:right w:val="nil" w:sz="6" w:space="0" w:color="auto"/>
            </w:tcBorders>
          </w:tcPr>
          <w:p>
            <w:pPr>
              <w:pStyle w:val="TableParagraph"/>
              <w:tabs>
                <w:tab w:pos="1574" w:val="left" w:leader="none"/>
              </w:tabs>
              <w:spacing w:line="240" w:lineRule="auto" w:before="146"/>
              <w:ind w:right="390"/>
              <w:jc w:val="right"/>
              <w:rPr>
                <w:rFonts w:ascii="Times New Roman" w:hAnsi="Times New Roman" w:cs="Times New Roman" w:eastAsia="Times New Roman" w:hint="default"/>
                <w:sz w:val="20"/>
                <w:szCs w:val="20"/>
              </w:rPr>
            </w:pPr>
            <w:r>
              <w:rPr>
                <w:rFonts w:ascii="Times New Roman"/>
                <w:spacing w:val="-1"/>
                <w:sz w:val="20"/>
              </w:rPr>
              <w:t>32,409,132.67</w:t>
              <w:tab/>
              <w:t>32,409,132.67</w:t>
            </w:r>
            <w:r>
              <w:rPr>
                <w:rFonts w:ascii="Times New Roman"/>
                <w:sz w:val="20"/>
              </w:rPr>
            </w:r>
          </w:p>
        </w:tc>
        <w:tc>
          <w:tcPr>
            <w:tcW w:w="3259"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46"/>
              <w:ind w:right="108"/>
              <w:jc w:val="right"/>
              <w:rPr>
                <w:rFonts w:ascii="Times New Roman" w:hAnsi="Times New Roman" w:cs="Times New Roman" w:eastAsia="Times New Roman" w:hint="default"/>
                <w:sz w:val="20"/>
                <w:szCs w:val="20"/>
              </w:rPr>
            </w:pPr>
            <w:r>
              <w:rPr>
                <w:rFonts w:ascii="Times New Roman"/>
                <w:spacing w:val="-1"/>
                <w:sz w:val="20"/>
              </w:rPr>
              <w:t>154,474.38</w:t>
              <w:tab/>
              <w:t>154,474.38</w:t>
            </w:r>
            <w:r>
              <w:rPr>
                <w:rFonts w:ascii="Times New Roman"/>
                <w:sz w:val="20"/>
              </w:rPr>
            </w:r>
          </w:p>
        </w:tc>
      </w:tr>
      <w:tr>
        <w:trPr>
          <w:trHeight w:val="395" w:hRule="exact"/>
        </w:trPr>
        <w:tc>
          <w:tcPr>
            <w:tcW w:w="1280" w:type="dxa"/>
            <w:tcBorders>
              <w:top w:val="nil" w:sz="6" w:space="0" w:color="auto"/>
              <w:left w:val="nil" w:sz="6" w:space="0" w:color="auto"/>
              <w:bottom w:val="single" w:sz="12" w:space="0" w:color="000000"/>
              <w:right w:val="nil" w:sz="6" w:space="0" w:color="auto"/>
            </w:tcBorders>
          </w:tcPr>
          <w:p>
            <w:pPr>
              <w:pStyle w:val="TableParagraph"/>
              <w:tabs>
                <w:tab w:pos="861" w:val="left" w:leader="none"/>
              </w:tabs>
              <w:spacing w:line="240" w:lineRule="auto" w:before="72"/>
              <w:ind w:left="230"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914" w:type="dxa"/>
            <w:tcBorders>
              <w:top w:val="nil" w:sz="6" w:space="0" w:color="auto"/>
              <w:left w:val="nil" w:sz="6" w:space="0" w:color="auto"/>
              <w:bottom w:val="single" w:sz="12" w:space="0" w:color="000000"/>
              <w:right w:val="nil" w:sz="6" w:space="0" w:color="auto"/>
            </w:tcBorders>
          </w:tcPr>
          <w:p>
            <w:pPr/>
          </w:p>
        </w:tc>
        <w:tc>
          <w:tcPr>
            <w:tcW w:w="3349" w:type="dxa"/>
            <w:tcBorders>
              <w:top w:val="nil" w:sz="6" w:space="0" w:color="auto"/>
              <w:left w:val="nil" w:sz="6" w:space="0" w:color="auto"/>
              <w:bottom w:val="single" w:sz="12" w:space="0" w:color="000000"/>
              <w:right w:val="nil" w:sz="6" w:space="0" w:color="auto"/>
            </w:tcBorders>
          </w:tcPr>
          <w:p>
            <w:pPr>
              <w:pStyle w:val="TableParagraph"/>
              <w:tabs>
                <w:tab w:pos="1574" w:val="left" w:leader="none"/>
              </w:tabs>
              <w:spacing w:line="240" w:lineRule="auto" w:before="146"/>
              <w:ind w:right="390"/>
              <w:jc w:val="right"/>
              <w:rPr>
                <w:rFonts w:ascii="Times New Roman" w:hAnsi="Times New Roman" w:cs="Times New Roman" w:eastAsia="Times New Roman" w:hint="default"/>
                <w:sz w:val="20"/>
                <w:szCs w:val="20"/>
              </w:rPr>
            </w:pPr>
            <w:r>
              <w:rPr>
                <w:rFonts w:ascii="Times New Roman"/>
                <w:spacing w:val="-1"/>
                <w:sz w:val="20"/>
              </w:rPr>
              <w:t>32,530,614.74</w:t>
              <w:tab/>
              <w:t>32,530,614.74</w:t>
            </w:r>
            <w:r>
              <w:rPr>
                <w:rFonts w:ascii="Times New Roman"/>
                <w:sz w:val="20"/>
              </w:rPr>
            </w:r>
          </w:p>
        </w:tc>
        <w:tc>
          <w:tcPr>
            <w:tcW w:w="3259" w:type="dxa"/>
            <w:tcBorders>
              <w:top w:val="nil" w:sz="6" w:space="0" w:color="auto"/>
              <w:left w:val="nil" w:sz="6" w:space="0" w:color="auto"/>
              <w:bottom w:val="single" w:sz="12" w:space="0" w:color="000000"/>
              <w:right w:val="nil" w:sz="6" w:space="0" w:color="auto"/>
            </w:tcBorders>
          </w:tcPr>
          <w:p>
            <w:pPr>
              <w:pStyle w:val="TableParagraph"/>
              <w:tabs>
                <w:tab w:pos="1558" w:val="left" w:leader="none"/>
              </w:tabs>
              <w:spacing w:line="240" w:lineRule="auto" w:before="146"/>
              <w:ind w:right="108"/>
              <w:jc w:val="right"/>
              <w:rPr>
                <w:rFonts w:ascii="Times New Roman" w:hAnsi="Times New Roman" w:cs="Times New Roman" w:eastAsia="Times New Roman" w:hint="default"/>
                <w:sz w:val="20"/>
                <w:szCs w:val="20"/>
              </w:rPr>
            </w:pPr>
            <w:r>
              <w:rPr>
                <w:rFonts w:ascii="Times New Roman"/>
                <w:spacing w:val="-1"/>
                <w:sz w:val="20"/>
              </w:rPr>
              <w:t>202,246.44</w:t>
              <w:tab/>
              <w:t>202,246.44</w:t>
            </w:r>
            <w:r>
              <w:rPr>
                <w:rFonts w:ascii="Times New Roman"/>
                <w:sz w:val="20"/>
              </w:rPr>
            </w:r>
          </w:p>
        </w:tc>
      </w:tr>
    </w:tbl>
    <w:p>
      <w:pPr>
        <w:spacing w:line="240" w:lineRule="auto" w:before="11"/>
        <w:rPr>
          <w:rFonts w:ascii="Times New Roman" w:hAnsi="Times New Roman" w:cs="Times New Roman" w:eastAsia="Times New Roman" w:hint="default"/>
          <w:sz w:val="15"/>
          <w:szCs w:val="15"/>
        </w:rPr>
      </w:pPr>
    </w:p>
    <w:p>
      <w:pPr>
        <w:spacing w:line="472" w:lineRule="auto" w:before="35"/>
        <w:ind w:left="138" w:right="0" w:firstLine="420"/>
        <w:jc w:val="left"/>
        <w:rPr>
          <w:rFonts w:ascii="宋体" w:hAnsi="宋体" w:cs="宋体" w:eastAsia="宋体" w:hint="default"/>
          <w:sz w:val="21"/>
          <w:szCs w:val="21"/>
        </w:rPr>
      </w:pPr>
      <w:r>
        <w:rPr>
          <w:rFonts w:ascii="宋体" w:hAnsi="宋体" w:cs="宋体" w:eastAsia="宋体" w:hint="default"/>
          <w:sz w:val="21"/>
          <w:szCs w:val="21"/>
        </w:rPr>
        <w:t>本公司期末货币资金较期初增加较大原因，系由于本公司期末控股合并两个子公司货币资金所 致。</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2"/>
          <w:szCs w:val="22"/>
        </w:rPr>
      </w:pPr>
    </w:p>
    <w:p>
      <w:pPr>
        <w:spacing w:before="0"/>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、应收账款</w:t>
      </w:r>
    </w:p>
    <w:p>
      <w:pPr>
        <w:spacing w:line="240" w:lineRule="auto" w:before="12"/>
        <w:rPr>
          <w:rFonts w:ascii="宋体" w:hAnsi="宋体" w:cs="宋体" w:eastAsia="宋体" w:hint="default"/>
          <w:sz w:val="15"/>
          <w:szCs w:val="15"/>
        </w:rPr>
      </w:pPr>
    </w:p>
    <w:p>
      <w:pPr>
        <w:spacing w:before="0"/>
        <w:ind w:left="55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）应收账款按层次列示如下：</w:t>
      </w:r>
    </w:p>
    <w:p>
      <w:pPr>
        <w:spacing w:line="3196" w:lineRule="exact"/>
        <w:ind w:left="109" w:right="0" w:firstLine="0"/>
        <w:rPr>
          <w:rFonts w:ascii="宋体" w:hAnsi="宋体" w:cs="宋体" w:eastAsia="宋体" w:hint="default"/>
          <w:sz w:val="20"/>
          <w:szCs w:val="20"/>
        </w:rPr>
      </w:pPr>
      <w:r>
        <w:rPr>
          <w:rFonts w:ascii="宋体" w:hAnsi="宋体" w:cs="宋体" w:eastAsia="宋体" w:hint="default"/>
          <w:position w:val="-63"/>
          <w:sz w:val="20"/>
          <w:szCs w:val="20"/>
        </w:rPr>
        <w:pict>
          <v:group style="width:456pt;height:159.85pt;mso-position-horizontal-relative:char;mso-position-vertical-relative:line" coordorigin="0,0" coordsize="9120,3197">
            <v:group style="position:absolute;left:37;top:15;width:9058;height:2" coordorigin="37,15" coordsize="9058,2">
              <v:shape style="position:absolute;left:37;top:15;width:9058;height:2" coordorigin="37,15" coordsize="9058,0" path="m37,15l9094,15e" filled="false" stroked="true" strokeweight="1.5pt" strokecolor="#000000">
                <v:path arrowok="t"/>
              </v:shape>
              <v:shape style="position:absolute;left:2885;top:11;width:48;height:539" type="#_x0000_t75" stroked="false">
                <v:imagedata r:id="rId38" o:title=""/>
              </v:shape>
              <v:shape style="position:absolute;left:2885;top:511;width:6234;height:1058" type="#_x0000_t75" stroked="false">
                <v:imagedata r:id="rId39" o:title=""/>
              </v:shape>
            </v:group>
            <v:group style="position:absolute;left:15;top:3182;width:2890;height:2" coordorigin="15,3182" coordsize="2890,2">
              <v:shape style="position:absolute;left:15;top:3182;width:2890;height:2" coordorigin="15,3182" coordsize="2890,0" path="m15,3182l2905,3182e" filled="false" stroked="true" strokeweight="1.5pt" strokecolor="#000000">
                <v:path arrowok="t"/>
              </v:shape>
              <v:shape style="position:absolute;left:10;top:1531;width:9109;height:1655" type="#_x0000_t75" stroked="false">
                <v:imagedata r:id="rId40" o:title=""/>
              </v:shape>
            </v:group>
            <v:group style="position:absolute;left:2905;top:3182;width:1800;height:2" coordorigin="2905,3182" coordsize="1800,2">
              <v:shape style="position:absolute;left:2905;top:3182;width:1800;height:2" coordorigin="2905,3182" coordsize="1800,0" path="m2905,3182l4705,3182e" filled="false" stroked="true" strokeweight="1.5pt" strokecolor="#000000">
                <v:path arrowok="t"/>
              </v:shape>
              <v:shape style="position:absolute;left:4685;top:2647;width:48;height:539" type="#_x0000_t75" stroked="false">
                <v:imagedata r:id="rId41" o:title=""/>
              </v:shape>
            </v:group>
            <v:group style="position:absolute;left:4705;top:3182;width:1260;height:2" coordorigin="4705,3182" coordsize="1260,2">
              <v:shape style="position:absolute;left:4705;top:3182;width:1260;height:2" coordorigin="4705,3182" coordsize="1260,0" path="m4705,3182l5965,3182e" filled="false" stroked="true" strokeweight="1.5pt" strokecolor="#000000">
                <v:path arrowok="t"/>
              </v:shape>
              <v:shape style="position:absolute;left:5945;top:2647;width:48;height:539" type="#_x0000_t75" stroked="false">
                <v:imagedata r:id="rId42" o:title=""/>
              </v:shape>
            </v:group>
            <v:group style="position:absolute;left:5965;top:3182;width:1725;height:2" coordorigin="5965,3182" coordsize="1725,2">
              <v:shape style="position:absolute;left:5965;top:3182;width:1725;height:2" coordorigin="5965,3182" coordsize="1725,0" path="m5965,3182l7689,3182e" filled="false" stroked="true" strokeweight="1.5pt" strokecolor="#000000">
                <v:path arrowok="t"/>
              </v:shape>
              <v:shape style="position:absolute;left:7670;top:2647;width:48;height:539" type="#_x0000_t75" stroked="false">
                <v:imagedata r:id="rId41" o:title=""/>
              </v:shape>
            </v:group>
            <v:group style="position:absolute;left:7689;top:3182;width:1413;height:2" coordorigin="7689,3182" coordsize="1413,2">
              <v:shape style="position:absolute;left:7689;top:3182;width:1413;height:2" coordorigin="7689,3182" coordsize="1413,0" path="m7689,3182l9101,3182e" filled="false" stroked="true" strokeweight="1.5pt" strokecolor="#000000">
                <v:path arrowok="t"/>
              </v:shape>
              <v:shape style="position:absolute;left:5585;top:341;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1289;top:8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079;top:83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175;top:83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3629;top:134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4904;top:1342;width:87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6651;top:134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7963;top:1342;width:87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37;top:1852;width:2674;height:77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单项金额重大应收款项</w:t>
                      </w:r>
                    </w:p>
                    <w:p>
                      <w:pPr>
                        <w:spacing w:line="232" w:lineRule="exact" w:before="152"/>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单项金额不大但按风险特征组合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后风险较大应收款项</w:t>
                      </w:r>
                    </w:p>
                  </w:txbxContent>
                </v:textbox>
                <w10:wrap type="none"/>
              </v:shape>
              <v:shape style="position:absolute;left:4541;top:1871;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5801;top:1871;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7526;top:1871;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8933;top:1871;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4541;top:2469;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5801;top:2469;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7526;top:2469;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8933;top:2469;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37;top:2958;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其他不重大应收款项</w:t>
                      </w:r>
                    </w:p>
                  </w:txbxContent>
                </v:textbox>
                <w10:wrap type="none"/>
              </v:shape>
              <v:shape style="position:absolute;left:4541;top:2978;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5801;top:2978;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7526;top:2978;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8933;top:2978;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group>
          </v:group>
        </w:pict>
      </w:r>
      <w:r>
        <w:rPr>
          <w:rFonts w:ascii="宋体" w:hAnsi="宋体" w:cs="宋体" w:eastAsia="宋体" w:hint="default"/>
          <w:position w:val="-63"/>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tbl>
      <w:tblPr>
        <w:tblW w:w="0" w:type="auto"/>
        <w:jc w:val="left"/>
        <w:tblInd w:w="123" w:type="dxa"/>
        <w:tblLayout w:type="fixed"/>
        <w:tblCellMar>
          <w:top w:w="0" w:type="dxa"/>
          <w:left w:w="0" w:type="dxa"/>
          <w:bottom w:w="0" w:type="dxa"/>
          <w:right w:w="0" w:type="dxa"/>
        </w:tblCellMar>
        <w:tblLook w:val="01E0"/>
      </w:tblPr>
      <w:tblGrid>
        <w:gridCol w:w="2647"/>
        <w:gridCol w:w="2247"/>
        <w:gridCol w:w="1297"/>
        <w:gridCol w:w="1635"/>
        <w:gridCol w:w="1009"/>
      </w:tblGrid>
      <w:tr>
        <w:trPr>
          <w:trHeight w:val="865" w:hRule="exact"/>
        </w:trPr>
        <w:tc>
          <w:tcPr>
            <w:tcW w:w="2647"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后风险较大应收款项</w:t>
            </w:r>
          </w:p>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其他不重大应收款项</w:t>
            </w:r>
          </w:p>
        </w:tc>
        <w:tc>
          <w:tcPr>
            <w:tcW w:w="22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305"/>
              <w:jc w:val="right"/>
              <w:rPr>
                <w:rFonts w:ascii="Times New Roman" w:hAnsi="Times New Roman" w:cs="Times New Roman" w:eastAsia="Times New Roman" w:hint="default"/>
                <w:sz w:val="18"/>
                <w:szCs w:val="18"/>
              </w:rPr>
            </w:pPr>
            <w:r>
              <w:rPr>
                <w:rFonts w:ascii="Times New Roman"/>
                <w:spacing w:val="-1"/>
                <w:sz w:val="18"/>
              </w:rPr>
              <w:t>3,535,443.76</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10.75%</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253"/>
              <w:jc w:val="right"/>
              <w:rPr>
                <w:rFonts w:ascii="Times New Roman" w:hAnsi="Times New Roman" w:cs="Times New Roman" w:eastAsia="Times New Roman" w:hint="default"/>
                <w:sz w:val="18"/>
                <w:szCs w:val="18"/>
              </w:rPr>
            </w:pPr>
            <w:r>
              <w:rPr>
                <w:rFonts w:ascii="Times New Roman"/>
                <w:spacing w:val="-1"/>
                <w:sz w:val="18"/>
              </w:rPr>
              <w:t>3,535,443.76</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10.75%</w:t>
            </w:r>
          </w:p>
        </w:tc>
      </w:tr>
      <w:tr>
        <w:trPr>
          <w:trHeight w:val="379" w:hRule="exact"/>
        </w:trPr>
        <w:tc>
          <w:tcPr>
            <w:tcW w:w="2647"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262"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47" w:type="dxa"/>
            <w:tcBorders>
              <w:top w:val="nil" w:sz="6" w:space="0" w:color="auto"/>
              <w:left w:val="nil" w:sz="6" w:space="0" w:color="auto"/>
              <w:bottom w:val="single" w:sz="12" w:space="0" w:color="000000"/>
              <w:right w:val="nil" w:sz="6" w:space="0" w:color="auto"/>
            </w:tcBorders>
          </w:tcPr>
          <w:p>
            <w:pPr>
              <w:pStyle w:val="TableParagraph"/>
              <w:spacing w:line="240" w:lineRule="auto" w:before="151"/>
              <w:ind w:right="305"/>
              <w:jc w:val="right"/>
              <w:rPr>
                <w:rFonts w:ascii="Times New Roman" w:hAnsi="Times New Roman" w:cs="Times New Roman" w:eastAsia="Times New Roman" w:hint="default"/>
                <w:sz w:val="18"/>
                <w:szCs w:val="18"/>
              </w:rPr>
            </w:pPr>
            <w:r>
              <w:rPr>
                <w:rFonts w:ascii="Times New Roman"/>
                <w:spacing w:val="-1"/>
                <w:sz w:val="18"/>
              </w:rPr>
              <w:t>32,891,971.04</w:t>
            </w:r>
          </w:p>
        </w:tc>
        <w:tc>
          <w:tcPr>
            <w:tcW w:w="1297" w:type="dxa"/>
            <w:tcBorders>
              <w:top w:val="nil" w:sz="6" w:space="0" w:color="auto"/>
              <w:left w:val="nil" w:sz="6" w:space="0" w:color="auto"/>
              <w:bottom w:val="single" w:sz="12" w:space="0" w:color="000000"/>
              <w:right w:val="nil" w:sz="6" w:space="0" w:color="auto"/>
            </w:tcBorders>
          </w:tcPr>
          <w:p>
            <w:pPr>
              <w:pStyle w:val="TableParagraph"/>
              <w:spacing w:line="240" w:lineRule="auto" w:before="151"/>
              <w:ind w:right="35"/>
              <w:jc w:val="center"/>
              <w:rPr>
                <w:rFonts w:ascii="Times New Roman" w:hAnsi="Times New Roman" w:cs="Times New Roman" w:eastAsia="Times New Roman" w:hint="default"/>
                <w:sz w:val="18"/>
                <w:szCs w:val="18"/>
              </w:rPr>
            </w:pPr>
            <w:r>
              <w:rPr>
                <w:rFonts w:ascii="Times New Roman"/>
                <w:sz w:val="18"/>
              </w:rPr>
              <w:t>100.00%</w:t>
            </w:r>
          </w:p>
        </w:tc>
        <w:tc>
          <w:tcPr>
            <w:tcW w:w="1635" w:type="dxa"/>
            <w:tcBorders>
              <w:top w:val="nil" w:sz="6" w:space="0" w:color="auto"/>
              <w:left w:val="nil" w:sz="6" w:space="0" w:color="auto"/>
              <w:bottom w:val="single" w:sz="12" w:space="0" w:color="000000"/>
              <w:right w:val="nil" w:sz="6" w:space="0" w:color="auto"/>
            </w:tcBorders>
          </w:tcPr>
          <w:p>
            <w:pPr>
              <w:pStyle w:val="TableParagraph"/>
              <w:spacing w:line="240" w:lineRule="auto" w:before="151"/>
              <w:ind w:right="254"/>
              <w:jc w:val="right"/>
              <w:rPr>
                <w:rFonts w:ascii="Times New Roman" w:hAnsi="Times New Roman" w:cs="Times New Roman" w:eastAsia="Times New Roman" w:hint="default"/>
                <w:sz w:val="18"/>
                <w:szCs w:val="18"/>
              </w:rPr>
            </w:pPr>
            <w:r>
              <w:rPr>
                <w:rFonts w:ascii="Times New Roman"/>
                <w:spacing w:val="-1"/>
                <w:sz w:val="18"/>
              </w:rPr>
              <w:t>32,891,971.04</w:t>
            </w:r>
          </w:p>
        </w:tc>
        <w:tc>
          <w:tcPr>
            <w:tcW w:w="1009" w:type="dxa"/>
            <w:tcBorders>
              <w:top w:val="nil" w:sz="6" w:space="0" w:color="auto"/>
              <w:left w:val="nil" w:sz="6" w:space="0" w:color="auto"/>
              <w:bottom w:val="single" w:sz="12" w:space="0" w:color="000000"/>
              <w:right w:val="nil" w:sz="6" w:space="0" w:color="auto"/>
            </w:tcBorders>
          </w:tcPr>
          <w:p>
            <w:pPr>
              <w:pStyle w:val="TableParagraph"/>
              <w:spacing w:line="240" w:lineRule="auto" w:before="151"/>
              <w:ind w:right="106"/>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bl>
    <w:p>
      <w:pPr>
        <w:spacing w:line="240" w:lineRule="auto" w:before="12"/>
        <w:rPr>
          <w:rFonts w:ascii="宋体" w:hAnsi="宋体" w:cs="宋体" w:eastAsia="宋体" w:hint="default"/>
          <w:sz w:val="10"/>
          <w:szCs w:val="10"/>
        </w:rPr>
      </w:pPr>
    </w:p>
    <w:p>
      <w:pPr>
        <w:spacing w:line="436" w:lineRule="auto" w:before="35"/>
        <w:ind w:left="138" w:right="0" w:firstLine="420"/>
        <w:jc w:val="left"/>
        <w:rPr>
          <w:rFonts w:ascii="宋体" w:hAnsi="宋体" w:cs="宋体" w:eastAsia="宋体" w:hint="default"/>
          <w:sz w:val="21"/>
          <w:szCs w:val="21"/>
        </w:rPr>
      </w:pPr>
      <w:r>
        <w:rPr/>
        <w:pict>
          <v:group style="position:absolute;margin-left:69.959999pt;margin-top:-193.226028pt;width:443pt;height:184.8pt;mso-position-horizontal-relative:page;mso-position-vertical-relative:paragraph;z-index:-451000" coordorigin="1399,-3865" coordsize="8860,3696">
            <v:group style="position:absolute;left:1426;top:-3850;width:8806;height:2" coordorigin="1426,-3850" coordsize="8806,2">
              <v:shape style="position:absolute;left:1426;top:-3850;width:8806;height:2" coordorigin="1426,-3850" coordsize="8806,0" path="m1426,-3850l10231,-3850e" filled="false" stroked="true" strokeweight="1.5pt" strokecolor="#000000">
                <v:path arrowok="t"/>
              </v:shape>
              <v:shape style="position:absolute;left:4274;top:-3854;width:48;height:538" type="#_x0000_t75" stroked="false">
                <v:imagedata r:id="rId17" o:title=""/>
              </v:shape>
              <v:shape style="position:absolute;left:4274;top:-3355;width:5984;height:1058" type="#_x0000_t75" stroked="false">
                <v:imagedata r:id="rId43" o:title=""/>
              </v:shape>
              <v:shape style="position:absolute;left:1399;top:-2335;width:8860;height:2166" type="#_x0000_t75" stroked="false">
                <v:imagedata r:id="rId44" o:title=""/>
              </v:shape>
              <v:shape style="position:absolute;left:6074;top:-707;width:48;height:539" type="#_x0000_t75" stroked="false">
                <v:imagedata r:id="rId45" o:title=""/>
              </v:shape>
              <v:shape style="position:absolute;left:7334;top:-707;width:48;height:539" type="#_x0000_t75" stroked="false">
                <v:imagedata r:id="rId46" o:title=""/>
              </v:shape>
              <v:shape style="position:absolute;left:9059;top:-707;width:48;height:539" type="#_x0000_t75" stroked="false">
                <v:imagedata r:id="rId45" o:title=""/>
              </v:shape>
              <v:shape style="position:absolute;left:6848;top:-3523;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2678;top:-304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5468;top:-303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8438;top:-303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5018;top:-252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6293;top:-2524;width:87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8040;top:-252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9226;top:-2524;width:87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526;top:-2014;width:2674;height:54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单项金额重大应收款项</w:t>
                      </w:r>
                    </w:p>
                    <w:p>
                      <w:pPr>
                        <w:spacing w:before="128"/>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单项金额不大但按风险特征组合</w:t>
                      </w:r>
                      <w:r>
                        <w:rPr>
                          <w:rFonts w:ascii="宋体" w:hAnsi="宋体" w:cs="宋体" w:eastAsia="宋体" w:hint="default"/>
                          <w:sz w:val="18"/>
                          <w:szCs w:val="18"/>
                        </w:rPr>
                      </w:r>
                    </w:p>
                  </w:txbxContent>
                </v:textbox>
                <w10:wrap type="none"/>
              </v:shape>
              <v:shape style="position:absolute;left:4955;top:-199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25,724,075.47</w:t>
                      </w:r>
                    </w:p>
                  </w:txbxContent>
                </v:textbox>
                <w10:wrap type="none"/>
              </v:shape>
              <v:shape style="position:absolute;left:6694;top:-1995;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78.21%</w:t>
                      </w:r>
                    </w:p>
                  </w:txbxContent>
                </v:textbox>
                <w10:wrap type="none"/>
              </v:shape>
              <v:shape style="position:absolute;left:7939;top:-199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25,724,075.47</w:t>
                      </w:r>
                    </w:p>
                  </w:txbxContent>
                </v:textbox>
                <w10:wrap type="none"/>
              </v:shape>
              <v:shape style="position:absolute;left:9574;top:-1995;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78.21%</w:t>
                      </w:r>
                    </w:p>
                  </w:txbxContent>
                </v:textbox>
                <w10:wrap type="none"/>
              </v:shape>
              <v:shape style="position:absolute;left:5045;top:-1528;width:5085;height:180" type="#_x0000_t202" filled="false" stroked="false">
                <v:textbox inset="0,0,0,0">
                  <w:txbxContent>
                    <w:p>
                      <w:pPr>
                        <w:tabs>
                          <w:tab w:pos="1656" w:val="left" w:leader="none"/>
                          <w:tab w:pos="2983" w:val="left" w:leader="none"/>
                          <w:tab w:pos="4536"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3,632,451.81</w:t>
                        <w:tab/>
                      </w:r>
                      <w:r>
                        <w:rPr>
                          <w:rFonts w:ascii="Times New Roman"/>
                          <w:spacing w:val="-2"/>
                          <w:sz w:val="18"/>
                        </w:rPr>
                        <w:t>11.04%</w:t>
                        <w:tab/>
                      </w:r>
                      <w:r>
                        <w:rPr>
                          <w:rFonts w:ascii="Times New Roman"/>
                          <w:spacing w:val="-1"/>
                          <w:sz w:val="18"/>
                        </w:rPr>
                        <w:t>3,632,451.81</w:t>
                        <w:tab/>
                      </w:r>
                      <w:r>
                        <w:rPr>
                          <w:rFonts w:ascii="Times New Roman"/>
                          <w:spacing w:val="-2"/>
                          <w:sz w:val="18"/>
                        </w:rPr>
                        <w:t>11.04%</w:t>
                      </w:r>
                    </w:p>
                  </w:txbxContent>
                </v:textbox>
                <w10:wrap type="none"/>
              </v:shape>
            </v:group>
            <w10:wrap type="none"/>
          </v:group>
        </w:pict>
      </w:r>
      <w:r>
        <w:rPr>
          <w:rFonts w:ascii="宋体" w:hAnsi="宋体" w:cs="宋体" w:eastAsia="宋体" w:hint="default"/>
          <w:spacing w:val="-2"/>
          <w:sz w:val="21"/>
          <w:szCs w:val="21"/>
        </w:rPr>
        <w:t>A、结合公司资产结构及应收款信用情况，以50万元或以上作为单项金额重大划分标准，公司单</w:t>
      </w:r>
      <w:r>
        <w:rPr>
          <w:rFonts w:ascii="宋体" w:hAnsi="宋体" w:cs="宋体" w:eastAsia="宋体" w:hint="default"/>
          <w:sz w:val="21"/>
          <w:szCs w:val="21"/>
        </w:rPr>
        <w:t> 项金额重大应收账款已经全额计提坏账准备；</w:t>
      </w:r>
    </w:p>
    <w:p>
      <w:pPr>
        <w:spacing w:after="0" w:line="436" w:lineRule="auto"/>
        <w:jc w:val="left"/>
        <w:rPr>
          <w:rFonts w:ascii="宋体" w:hAnsi="宋体" w:cs="宋体" w:eastAsia="宋体" w:hint="default"/>
          <w:sz w:val="21"/>
          <w:szCs w:val="21"/>
        </w:rPr>
        <w:sectPr>
          <w:pgSz w:w="11910" w:h="16840"/>
          <w:pgMar w:header="0" w:footer="710" w:top="580" w:bottom="900" w:left="1280" w:right="112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6568"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9"/>
        <w:rPr>
          <w:rFonts w:ascii="Times New Roman" w:hAnsi="Times New Roman" w:cs="Times New Roman" w:eastAsia="Times New Roman" w:hint="default"/>
          <w:sz w:val="16"/>
          <w:szCs w:val="16"/>
        </w:rPr>
      </w:pPr>
    </w:p>
    <w:p>
      <w:pPr>
        <w:spacing w:line="446" w:lineRule="auto" w:before="35"/>
        <w:ind w:left="138" w:right="0" w:firstLine="42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B</w:t>
      </w:r>
      <w:r>
        <w:rPr>
          <w:rFonts w:ascii="宋体" w:hAnsi="宋体" w:cs="宋体" w:eastAsia="宋体" w:hint="default"/>
          <w:spacing w:val="2"/>
          <w:sz w:val="21"/>
          <w:szCs w:val="21"/>
        </w:rPr>
        <w:t>、单项金额不重大但按信用风险特征组合后该组合的风险较大的应收账款，是指单笔金额为</w:t>
      </w:r>
      <w:r>
        <w:rPr>
          <w:rFonts w:ascii="宋体" w:hAnsi="宋体" w:cs="宋体" w:eastAsia="宋体" w:hint="default"/>
          <w:sz w:val="21"/>
          <w:szCs w:val="21"/>
        </w:rPr>
        <w:t> </w:t>
      </w:r>
      <w:r>
        <w:rPr>
          <w:rFonts w:ascii="Times New Roman" w:hAnsi="Times New Roman" w:cs="Times New Roman" w:eastAsia="Times New Roman" w:hint="default"/>
          <w:sz w:val="21"/>
          <w:szCs w:val="21"/>
        </w:rPr>
        <w:t>100,000.00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元以上低于</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500,000.00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元的应收账款，已经全额计提坏账准备；</w:t>
      </w:r>
    </w:p>
    <w:p>
      <w:pPr>
        <w:spacing w:line="446" w:lineRule="auto" w:before="49"/>
        <w:ind w:left="138" w:right="147" w:firstLine="42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C</w:t>
      </w:r>
      <w:r>
        <w:rPr>
          <w:rFonts w:ascii="宋体" w:hAnsi="宋体" w:cs="宋体" w:eastAsia="宋体" w:hint="default"/>
          <w:spacing w:val="-3"/>
          <w:sz w:val="21"/>
          <w:szCs w:val="21"/>
        </w:rPr>
        <w:t>、单项金额不重大的应收账款是指单笔金额为</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100,000.00</w:t>
      </w:r>
      <w:r>
        <w:rPr>
          <w:rFonts w:ascii="Times New Roman" w:hAnsi="Times New Roman" w:cs="Times New Roman" w:eastAsia="Times New Roman" w:hint="default"/>
          <w:spacing w:val="8"/>
          <w:sz w:val="21"/>
          <w:szCs w:val="21"/>
        </w:rPr>
        <w:t> </w:t>
      </w:r>
      <w:r>
        <w:rPr>
          <w:rFonts w:ascii="宋体" w:hAnsi="宋体" w:cs="宋体" w:eastAsia="宋体" w:hint="default"/>
          <w:spacing w:val="-4"/>
          <w:sz w:val="21"/>
          <w:szCs w:val="21"/>
        </w:rPr>
        <w:t>元以下的应收账款，已经全额计提坏</w:t>
      </w:r>
      <w:r>
        <w:rPr>
          <w:rFonts w:ascii="宋体" w:hAnsi="宋体" w:cs="宋体" w:eastAsia="宋体" w:hint="default"/>
          <w:sz w:val="21"/>
          <w:szCs w:val="21"/>
        </w:rPr>
        <w:t> 账准备。</w:t>
      </w:r>
    </w:p>
    <w:p>
      <w:pPr>
        <w:spacing w:before="64"/>
        <w:ind w:left="55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）应收账款账龄分析如下：</w:t>
      </w:r>
    </w:p>
    <w:p>
      <w:pPr>
        <w:spacing w:line="3759" w:lineRule="exact"/>
        <w:ind w:left="289" w:right="0" w:firstLine="0"/>
        <w:rPr>
          <w:rFonts w:ascii="宋体" w:hAnsi="宋体" w:cs="宋体" w:eastAsia="宋体" w:hint="default"/>
          <w:sz w:val="20"/>
          <w:szCs w:val="20"/>
        </w:rPr>
      </w:pPr>
      <w:r>
        <w:rPr>
          <w:rFonts w:ascii="宋体" w:hAnsi="宋体" w:cs="宋体" w:eastAsia="宋体" w:hint="default"/>
          <w:position w:val="-74"/>
          <w:sz w:val="20"/>
          <w:szCs w:val="20"/>
        </w:rPr>
        <w:pict>
          <v:group style="width:418.5pt;height:188pt;mso-position-horizontal-relative:char;mso-position-vertical-relative:line" coordorigin="0,0" coordsize="8370,3760">
            <v:group style="position:absolute;left:29;top:15;width:8277;height:2" coordorigin="29,15" coordsize="8277,2">
              <v:shape style="position:absolute;left:29;top:15;width:8277;height:2" coordorigin="29,15" coordsize="8277,0" path="m29,15l8306,15e" filled="false" stroked="true" strokeweight="1.5pt" strokecolor="#000000">
                <v:path arrowok="t"/>
              </v:shape>
              <v:shape style="position:absolute;left:1364;top:11;width:3187;height:558" type="#_x0000_t75" stroked="false">
                <v:imagedata r:id="rId47" o:title=""/>
              </v:shape>
            </v:group>
            <v:group style="position:absolute;left:15;top:3745;width:1368;height:2" coordorigin="15,3745" coordsize="1368,2">
              <v:shape style="position:absolute;left:15;top:3745;width:1368;height:2" coordorigin="15,3745" coordsize="1368,0" path="m15,3745l1383,3745e" filled="false" stroked="true" strokeweight="1.5pt" strokecolor="#000000">
                <v:path arrowok="t"/>
              </v:shape>
              <v:shape style="position:absolute;left:10;top:530;width:8358;height:3218" type="#_x0000_t75" stroked="false">
                <v:imagedata r:id="rId48" o:title=""/>
              </v:shape>
            </v:group>
            <v:group style="position:absolute;left:1383;top:3745;width:1592;height:2" coordorigin="1383,3745" coordsize="1592,2">
              <v:shape style="position:absolute;left:1383;top:3745;width:1592;height:2" coordorigin="1383,3745" coordsize="1592,0" path="m1383,3745l2974,3745e" filled="false" stroked="true" strokeweight="1.5pt" strokecolor="#000000">
                <v:path arrowok="t"/>
              </v:shape>
              <v:shape style="position:absolute;left:2955;top:3191;width:48;height:558" type="#_x0000_t75" stroked="false">
                <v:imagedata r:id="rId49" o:title=""/>
              </v:shape>
            </v:group>
            <v:group style="position:absolute;left:2974;top:3745;width:1548;height:2" coordorigin="2974,3745" coordsize="1548,2">
              <v:shape style="position:absolute;left:2974;top:3745;width:1548;height:2" coordorigin="2974,3745" coordsize="1548,0" path="m2974,3745l4522,3745e" filled="false" stroked="true" strokeweight="1.5pt" strokecolor="#000000">
                <v:path arrowok="t"/>
              </v:shape>
              <v:shape style="position:absolute;left:4503;top:3191;width:48;height:558" type="#_x0000_t75" stroked="false">
                <v:imagedata r:id="rId49" o:title=""/>
              </v:shape>
            </v:group>
            <v:group style="position:absolute;left:4522;top:3745;width:1560;height:2" coordorigin="4522,3745" coordsize="1560,2">
              <v:shape style="position:absolute;left:4522;top:3745;width:1560;height:2" coordorigin="4522,3745" coordsize="1560,0" path="m4522,3745l6082,3745e" filled="false" stroked="true" strokeweight="1.5pt" strokecolor="#000000">
                <v:path arrowok="t"/>
              </v:shape>
              <v:shape style="position:absolute;left:6063;top:3191;width:48;height:558" type="#_x0000_t75" stroked="false">
                <v:imagedata r:id="rId50" o:title=""/>
              </v:shape>
            </v:group>
            <v:group style="position:absolute;left:6082;top:3745;width:2273;height:2" coordorigin="6082,3745" coordsize="2273,2">
              <v:shape style="position:absolute;left:6082;top:3745;width:2273;height:2" coordorigin="6082,3745" coordsize="2273,0" path="m6082,3745l8355,3745e" filled="false" stroked="true" strokeweight="1.5pt" strokecolor="#000000">
                <v:path arrowok="t"/>
              </v:shape>
              <v:shape style="position:absolute;left:2467;top:334;width:9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2008-12-31</w:t>
                      </w:r>
                    </w:p>
                  </w:txbxContent>
                </v:textbox>
                <w10:wrap type="none"/>
              </v:shape>
              <v:shape style="position:absolute;left:5929;top:334;width:9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2007-12-31</w:t>
                      </w:r>
                    </w:p>
                  </w:txbxContent>
                </v:textbox>
                <w10:wrap type="none"/>
              </v:shape>
              <v:shape style="position:absolute;left:137;top:837;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w:t>
                        <w:tab/>
                        <w:t>龄</w:t>
                      </w:r>
                    </w:p>
                  </w:txbxContent>
                </v:textbox>
                <w10:wrap type="none"/>
              </v:shape>
              <v:shape style="position:absolute;left:1816;top:837;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tab/>
                        <w:t>额</w:t>
                      </w:r>
                    </w:p>
                  </w:txbxContent>
                </v:textbox>
                <w10:wrap type="none"/>
              </v:shape>
              <v:shape style="position:absolute;left:3437;top:837;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w:t>
                        <w:tab/>
                        <w:t>例</w:t>
                      </w:r>
                    </w:p>
                  </w:txbxContent>
                </v:textbox>
                <w10:wrap type="none"/>
              </v:shape>
              <v:shape style="position:absolute;left:4939;top:837;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tab/>
                        <w:t>额</w:t>
                      </w:r>
                    </w:p>
                  </w:txbxContent>
                </v:textbox>
                <w10:wrap type="none"/>
              </v:shape>
              <v:shape style="position:absolute;left:6905;top:837;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w:t>
                        <w:tab/>
                        <w:t>例</w:t>
                      </w:r>
                    </w:p>
                  </w:txbxContent>
                </v:textbox>
                <w10:wrap type="none"/>
              </v:shape>
              <v:shape style="position:absolute;left:137;top:1368;width:789;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xbxContent>
                </v:textbox>
                <w10:wrap type="none"/>
              </v:shape>
              <v:shape style="position:absolute;left:2803;top:139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4349;top:139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5908;top:139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8177;top:139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137;top:1898;width:789;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xbxContent>
                </v:textbox>
                <w10:wrap type="none"/>
              </v:shape>
              <v:shape style="position:absolute;left:2803;top:1924;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4349;top:1924;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5908;top:1924;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8177;top:1924;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137;top:2427;width:789;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xbxContent>
                </v:textbox>
                <w10:wrap type="none"/>
              </v:shape>
              <v:shape style="position:absolute;left:2803;top:245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4349;top:245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5908;top:245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8177;top:245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137;top:2958;width:789;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年以上</w:t>
                      </w:r>
                    </w:p>
                  </w:txbxContent>
                </v:textbox>
                <w10:wrap type="none"/>
              </v:shape>
              <v:shape style="position:absolute;left:2803;top:298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4350;top:2983;width:1629;height:210" type="#_x0000_t202" filled="false" stroked="false">
                <v:textbox inset="0,0,0,0">
                  <w:txbxContent>
                    <w:p>
                      <w:pPr>
                        <w:tabs>
                          <w:tab w:pos="421" w:val="left" w:leader="none"/>
                        </w:tabs>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w:t>
                        <w:tab/>
                      </w:r>
                      <w:r>
                        <w:rPr>
                          <w:rFonts w:ascii="Times New Roman"/>
                          <w:spacing w:val="-1"/>
                          <w:sz w:val="21"/>
                        </w:rPr>
                        <w:t>32,891,971.04</w:t>
                      </w:r>
                    </w:p>
                  </w:txbxContent>
                </v:textbox>
                <w10:wrap type="none"/>
              </v:shape>
              <v:shape style="position:absolute;left:7493;top:2983;width:75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100.00%</w:t>
                      </w:r>
                    </w:p>
                  </w:txbxContent>
                </v:textbox>
                <w10:wrap type="none"/>
              </v:shape>
              <v:shape style="position:absolute;left:393;top:3488;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2803;top:3514;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4350;top:3514;width:1524;height:210" type="#_x0000_t202" filled="false" stroked="false">
                <v:textbox inset="0,0,0,0">
                  <w:txbxContent>
                    <w:p>
                      <w:pPr>
                        <w:tabs>
                          <w:tab w:pos="316" w:val="left" w:leader="none"/>
                        </w:tabs>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w:t>
                        <w:tab/>
                      </w:r>
                      <w:r>
                        <w:rPr>
                          <w:rFonts w:ascii="Times New Roman"/>
                          <w:spacing w:val="-1"/>
                          <w:sz w:val="21"/>
                        </w:rPr>
                        <w:t>32,891,971.04</w:t>
                      </w:r>
                    </w:p>
                  </w:txbxContent>
                </v:textbox>
                <w10:wrap type="none"/>
              </v:shape>
              <v:shape style="position:absolute;left:7493;top:3514;width:75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100.00%</w:t>
                      </w:r>
                    </w:p>
                  </w:txbxContent>
                </v:textbox>
                <w10:wrap type="none"/>
              </v:shape>
            </v:group>
          </v:group>
        </w:pict>
      </w:r>
      <w:r>
        <w:rPr>
          <w:rFonts w:ascii="宋体" w:hAnsi="宋体" w:cs="宋体" w:eastAsia="宋体" w:hint="default"/>
          <w:position w:val="-74"/>
          <w:sz w:val="20"/>
          <w:szCs w:val="20"/>
        </w:rPr>
      </w:r>
    </w:p>
    <w:p>
      <w:pPr>
        <w:spacing w:line="240" w:lineRule="auto" w:before="11"/>
        <w:rPr>
          <w:rFonts w:ascii="宋体" w:hAnsi="宋体" w:cs="宋体" w:eastAsia="宋体" w:hint="default"/>
          <w:sz w:val="11"/>
          <w:szCs w:val="11"/>
        </w:rPr>
      </w:pPr>
    </w:p>
    <w:p>
      <w:pPr>
        <w:spacing w:line="273" w:lineRule="exact" w:before="35"/>
        <w:ind w:left="454" w:right="0" w:firstLine="0"/>
        <w:jc w:val="left"/>
        <w:rPr>
          <w:rFonts w:ascii="宋体" w:hAnsi="宋体" w:cs="宋体" w:eastAsia="宋体" w:hint="default"/>
          <w:sz w:val="21"/>
          <w:szCs w:val="21"/>
        </w:rPr>
      </w:pPr>
      <w:r>
        <w:rPr>
          <w:rFonts w:ascii="宋体" w:hAnsi="宋体" w:cs="宋体" w:eastAsia="宋体" w:hint="default"/>
          <w:sz w:val="21"/>
          <w:szCs w:val="21"/>
        </w:rPr>
        <w:t>（3）期末应收款项中无持有公司5%（含5%）以上表决权股份的股东欠款。</w:t>
      </w:r>
    </w:p>
    <w:p>
      <w:pPr>
        <w:spacing w:line="289" w:lineRule="exact" w:before="0"/>
        <w:ind w:left="45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）为了支持深大通实施股改方案，</w:t>
      </w:r>
      <w:r>
        <w:rPr>
          <w:rFonts w:ascii="Times New Roman" w:hAnsi="Times New Roman" w:cs="Times New Roman" w:eastAsia="Times New Roman" w:hint="default"/>
          <w:sz w:val="21"/>
          <w:szCs w:val="21"/>
        </w:rPr>
        <w:t>2008 </w:t>
      </w:r>
      <w:r>
        <w:rPr>
          <w:rFonts w:ascii="宋体" w:hAnsi="宋体" w:cs="宋体" w:eastAsia="宋体" w:hint="default"/>
          <w:sz w:val="21"/>
          <w:szCs w:val="21"/>
        </w:rPr>
        <w:t>年 </w:t>
      </w:r>
      <w:r>
        <w:rPr>
          <w:rFonts w:ascii="Times New Roman" w:hAnsi="Times New Roman" w:cs="Times New Roman" w:eastAsia="Times New Roman" w:hint="default"/>
          <w:sz w:val="21"/>
          <w:szCs w:val="21"/>
        </w:rPr>
        <w:t>8 </w:t>
      </w:r>
      <w:r>
        <w:rPr>
          <w:rFonts w:ascii="宋体" w:hAnsi="宋体" w:cs="宋体" w:eastAsia="宋体" w:hint="default"/>
          <w:sz w:val="21"/>
          <w:szCs w:val="21"/>
        </w:rPr>
        <w:t>月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日，深大通与股东方正延中传媒有限公司</w:t>
      </w:r>
    </w:p>
    <w:p>
      <w:pPr>
        <w:spacing w:line="240" w:lineRule="auto" w:before="5"/>
        <w:rPr>
          <w:rFonts w:ascii="宋体" w:hAnsi="宋体" w:cs="宋体" w:eastAsia="宋体" w:hint="default"/>
          <w:sz w:val="19"/>
          <w:szCs w:val="19"/>
        </w:rPr>
      </w:pPr>
    </w:p>
    <w:p>
      <w:pPr>
        <w:spacing w:before="0"/>
        <w:ind w:left="138" w:right="0" w:firstLine="0"/>
        <w:jc w:val="left"/>
        <w:rPr>
          <w:rFonts w:ascii="宋体" w:hAnsi="宋体" w:cs="宋体" w:eastAsia="宋体" w:hint="default"/>
          <w:sz w:val="21"/>
          <w:szCs w:val="21"/>
        </w:rPr>
      </w:pPr>
      <w:r>
        <w:rPr>
          <w:rFonts w:ascii="宋体" w:hAnsi="宋体" w:cs="宋体" w:eastAsia="宋体" w:hint="default"/>
          <w:sz w:val="21"/>
          <w:szCs w:val="21"/>
        </w:rPr>
        <w:t>签订</w:t>
      </w:r>
      <w:r>
        <w:rPr>
          <w:rFonts w:ascii="宋体" w:hAnsi="宋体" w:cs="宋体" w:eastAsia="宋体" w:hint="default"/>
          <w:spacing w:val="-14"/>
          <w:sz w:val="21"/>
          <w:szCs w:val="21"/>
        </w:rPr>
        <w:t>的</w:t>
      </w:r>
      <w:r>
        <w:rPr>
          <w:rFonts w:ascii="宋体" w:hAnsi="宋体" w:cs="宋体" w:eastAsia="宋体" w:hint="default"/>
          <w:sz w:val="21"/>
          <w:szCs w:val="21"/>
        </w:rPr>
        <w:t>“资产转让协议</w:t>
      </w:r>
      <w:r>
        <w:rPr>
          <w:rFonts w:ascii="宋体" w:hAnsi="宋体" w:cs="宋体" w:eastAsia="宋体" w:hint="default"/>
          <w:spacing w:val="-106"/>
          <w:sz w:val="21"/>
          <w:szCs w:val="21"/>
        </w:rPr>
        <w:t>”</w:t>
      </w:r>
      <w:r>
        <w:rPr>
          <w:rFonts w:ascii="宋体" w:hAnsi="宋体" w:cs="宋体" w:eastAsia="宋体" w:hint="default"/>
          <w:spacing w:val="-14"/>
          <w:sz w:val="21"/>
          <w:szCs w:val="21"/>
        </w:rPr>
        <w:t>，</w:t>
      </w:r>
      <w:r>
        <w:rPr>
          <w:rFonts w:ascii="宋体" w:hAnsi="宋体" w:cs="宋体" w:eastAsia="宋体" w:hint="default"/>
          <w:sz w:val="21"/>
          <w:szCs w:val="21"/>
        </w:rPr>
        <w:t>根据沃克</w:t>
      </w:r>
      <w:r>
        <w:rPr>
          <w:rFonts w:ascii="宋体" w:hAnsi="宋体" w:cs="宋体" w:eastAsia="宋体" w:hint="default"/>
          <w:spacing w:val="-14"/>
          <w:sz w:val="21"/>
          <w:szCs w:val="21"/>
        </w:rPr>
        <w:t>森</w:t>
      </w:r>
      <w:r>
        <w:rPr>
          <w:rFonts w:ascii="宋体" w:hAnsi="宋体" w:cs="宋体" w:eastAsia="宋体" w:hint="default"/>
          <w:sz w:val="21"/>
          <w:szCs w:val="21"/>
        </w:rPr>
        <w:t>（北京</w:t>
      </w:r>
      <w:r>
        <w:rPr>
          <w:rFonts w:ascii="宋体" w:hAnsi="宋体" w:cs="宋体" w:eastAsia="宋体" w:hint="default"/>
          <w:spacing w:val="-14"/>
          <w:sz w:val="21"/>
          <w:szCs w:val="21"/>
        </w:rPr>
        <w:t>）</w:t>
      </w:r>
      <w:r>
        <w:rPr>
          <w:rFonts w:ascii="宋体" w:hAnsi="宋体" w:cs="宋体" w:eastAsia="宋体" w:hint="default"/>
          <w:sz w:val="21"/>
          <w:szCs w:val="21"/>
        </w:rPr>
        <w:t>国际资产评估有限公司</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8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5 </w:t>
      </w:r>
      <w:r>
        <w:rPr>
          <w:rFonts w:ascii="宋体" w:hAnsi="宋体" w:cs="宋体" w:eastAsia="宋体" w:hint="default"/>
          <w:sz w:val="21"/>
          <w:szCs w:val="21"/>
        </w:rPr>
        <w:t>日出具</w:t>
      </w:r>
      <w:r>
        <w:rPr>
          <w:rFonts w:ascii="宋体" w:hAnsi="宋体" w:cs="宋体" w:eastAsia="宋体" w:hint="default"/>
          <w:spacing w:val="-14"/>
          <w:sz w:val="21"/>
          <w:szCs w:val="21"/>
        </w:rPr>
        <w:t>的</w:t>
      </w:r>
      <w:r>
        <w:rPr>
          <w:rFonts w:ascii="宋体" w:hAnsi="宋体" w:cs="宋体" w:eastAsia="宋体" w:hint="default"/>
          <w:sz w:val="21"/>
          <w:szCs w:val="21"/>
        </w:rPr>
        <w:t>《深</w:t>
      </w:r>
    </w:p>
    <w:p>
      <w:pPr>
        <w:spacing w:line="240" w:lineRule="auto" w:before="5"/>
        <w:rPr>
          <w:rFonts w:ascii="宋体" w:hAnsi="宋体" w:cs="宋体" w:eastAsia="宋体" w:hint="default"/>
          <w:sz w:val="19"/>
          <w:szCs w:val="19"/>
        </w:rPr>
      </w:pPr>
    </w:p>
    <w:p>
      <w:pPr>
        <w:spacing w:before="0"/>
        <w:ind w:left="138" w:right="0" w:firstLine="0"/>
        <w:jc w:val="left"/>
        <w:rPr>
          <w:rFonts w:ascii="宋体" w:hAnsi="宋体" w:cs="宋体" w:eastAsia="宋体" w:hint="default"/>
          <w:sz w:val="21"/>
          <w:szCs w:val="21"/>
        </w:rPr>
      </w:pPr>
      <w:r>
        <w:rPr>
          <w:rFonts w:ascii="宋体" w:hAnsi="宋体" w:cs="宋体" w:eastAsia="宋体" w:hint="default"/>
          <w:sz w:val="21"/>
          <w:szCs w:val="21"/>
        </w:rPr>
        <w:t>大通实业股份有限公司拟转让资产评估报告书》沃克森评报字</w:t>
      </w:r>
      <w:r>
        <w:rPr>
          <w:rFonts w:ascii="Times New Roman" w:hAnsi="Times New Roman" w:cs="Times New Roman" w:eastAsia="Times New Roman" w:hint="default"/>
          <w:sz w:val="21"/>
          <w:szCs w:val="21"/>
        </w:rPr>
        <w:t>[2008] 0096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号评估报告，双方同意将</w:t>
      </w:r>
    </w:p>
    <w:p>
      <w:pPr>
        <w:spacing w:line="240" w:lineRule="auto" w:before="5"/>
        <w:rPr>
          <w:rFonts w:ascii="宋体" w:hAnsi="宋体" w:cs="宋体" w:eastAsia="宋体" w:hint="default"/>
          <w:sz w:val="19"/>
          <w:szCs w:val="19"/>
        </w:rPr>
      </w:pPr>
    </w:p>
    <w:p>
      <w:pPr>
        <w:spacing w:line="448" w:lineRule="auto" w:before="0"/>
        <w:ind w:left="138" w:right="153" w:firstLine="0"/>
        <w:jc w:val="left"/>
        <w:rPr>
          <w:rFonts w:ascii="宋体" w:hAnsi="宋体" w:cs="宋体" w:eastAsia="宋体" w:hint="default"/>
          <w:sz w:val="21"/>
          <w:szCs w:val="21"/>
        </w:rPr>
      </w:pPr>
      <w:r>
        <w:rPr>
          <w:rFonts w:ascii="宋体" w:hAnsi="宋体" w:cs="宋体" w:eastAsia="宋体" w:hint="default"/>
          <w:sz w:val="21"/>
          <w:szCs w:val="21"/>
        </w:rPr>
        <w:t>深大通公司截止</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2008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30 </w:t>
      </w:r>
      <w:r>
        <w:rPr>
          <w:rFonts w:ascii="宋体" w:hAnsi="宋体" w:cs="宋体" w:eastAsia="宋体" w:hint="default"/>
          <w:sz w:val="21"/>
          <w:szCs w:val="21"/>
        </w:rPr>
        <w:t>日的应收账款等按照评估值</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27,198.72 </w:t>
      </w:r>
      <w:r>
        <w:rPr>
          <w:rFonts w:ascii="宋体" w:hAnsi="宋体" w:cs="宋体" w:eastAsia="宋体" w:hint="default"/>
          <w:spacing w:val="-6"/>
          <w:sz w:val="21"/>
          <w:szCs w:val="21"/>
        </w:rPr>
        <w:t>元，转让给方正延中传媒有限</w:t>
      </w:r>
      <w:r>
        <w:rPr>
          <w:rFonts w:ascii="宋体" w:hAnsi="宋体" w:cs="宋体" w:eastAsia="宋体" w:hint="default"/>
          <w:sz w:val="21"/>
          <w:szCs w:val="21"/>
        </w:rPr>
        <w:t> 公司。其中，应收账款的评估值为零。</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p>
      <w:pPr>
        <w:spacing w:before="0"/>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预付款项</w:t>
      </w:r>
    </w:p>
    <w:p>
      <w:pPr>
        <w:spacing w:line="240" w:lineRule="auto" w:before="12"/>
        <w:rPr>
          <w:rFonts w:ascii="宋体" w:hAnsi="宋体" w:cs="宋体" w:eastAsia="宋体" w:hint="default"/>
          <w:sz w:val="15"/>
          <w:szCs w:val="15"/>
        </w:rPr>
      </w:pPr>
    </w:p>
    <w:p>
      <w:pPr>
        <w:spacing w:before="0"/>
        <w:ind w:left="558" w:right="0" w:firstLine="0"/>
        <w:jc w:val="left"/>
        <w:rPr>
          <w:rFonts w:ascii="宋体" w:hAnsi="宋体" w:cs="宋体" w:eastAsia="宋体" w:hint="default"/>
          <w:sz w:val="21"/>
          <w:szCs w:val="21"/>
        </w:rPr>
      </w:pPr>
      <w:r>
        <w:rPr/>
        <w:pict>
          <v:group style="position:absolute;margin-left:90.540001pt;margin-top:15.383677pt;width:436.35pt;height:119.95pt;mso-position-horizontal-relative:page;mso-position-vertical-relative:paragraph;z-index:-450016" coordorigin="1811,308" coordsize="8727,2399">
            <v:group style="position:absolute;left:1852;top:323;width:8666;height:2" coordorigin="1852,323" coordsize="8666,2">
              <v:shape style="position:absolute;left:1852;top:323;width:8666;height:2" coordorigin="1852,323" coordsize="8666,0" path="m1852,323l10517,323e" filled="false" stroked="true" strokeweight="1.5pt" strokecolor="#000000">
                <v:path arrowok="t"/>
              </v:shape>
              <v:shape style="position:absolute;left:3680;top:320;width:3406;height:496" type="#_x0000_t75" stroked="false">
                <v:imagedata r:id="rId51" o:title=""/>
              </v:shape>
              <v:shape style="position:absolute;left:3679;top:778;width:6858;height:509" type="#_x0000_t75" stroked="false">
                <v:imagedata r:id="rId52" o:title=""/>
              </v:shape>
              <v:shape style="position:absolute;left:1811;top:1248;width:8726;height:1458" type="#_x0000_t75" stroked="false">
                <v:imagedata r:id="rId53" o:title=""/>
              </v:shape>
              <v:shape style="position:absolute;left:4892;top:581;width:9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2008-12-31</w:t>
                      </w:r>
                    </w:p>
                  </w:txbxContent>
                </v:textbox>
                <w10:wrap type="none"/>
              </v:shape>
              <v:shape style="position:absolute;left:8302;top:581;width:9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2007-12-31</w:t>
                      </w:r>
                    </w:p>
                  </w:txbxContent>
                </v:textbox>
                <w10:wrap type="none"/>
              </v:shape>
              <v:shape style="position:absolute;left:2458;top:775;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w:t>
                        <w:tab/>
                        <w:t>龄</w:t>
                      </w:r>
                    </w:p>
                  </w:txbxContent>
                </v:textbox>
                <w10:wrap type="none"/>
              </v:shape>
              <v:shape style="position:absolute;left:4277;top:1025;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tab/>
                        <w:t>额</w:t>
                      </w:r>
                    </w:p>
                  </w:txbxContent>
                </v:textbox>
                <w10:wrap type="none"/>
              </v:shape>
              <v:shape style="position:absolute;left:6011;top:1025;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 例</w:t>
                      </w:r>
                    </w:p>
                  </w:txbxContent>
                </v:textbox>
                <w10:wrap type="none"/>
              </v:shape>
              <v:shape style="position:absolute;left:7627;top:1025;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tab/>
                        <w:t>额</w:t>
                      </w:r>
                    </w:p>
                  </w:txbxContent>
                </v:textbox>
                <w10:wrap type="none"/>
              </v:shape>
              <v:shape style="position:absolute;left:9410;top:1025;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 例</w:t>
                      </w:r>
                    </w:p>
                  </w:txbxContent>
                </v:textbox>
                <w10:wrap type="none"/>
              </v:shape>
            </v:group>
            <w10:wrap type="none"/>
          </v:group>
        </w:pict>
      </w:r>
      <w:r>
        <w:rPr>
          <w:rFonts w:ascii="Times New Roman" w:hAnsi="Times New Roman" w:cs="Times New Roman" w:eastAsia="Times New Roman" w:hint="default"/>
          <w:sz w:val="21"/>
          <w:szCs w:val="21"/>
        </w:rPr>
        <w:t>( 1 )</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预付款项的账龄分析列示如下：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4"/>
          <w:szCs w:val="24"/>
        </w:rPr>
      </w:pPr>
    </w:p>
    <w:tbl>
      <w:tblPr>
        <w:tblW w:w="0" w:type="auto"/>
        <w:jc w:val="left"/>
        <w:tblInd w:w="1064" w:type="dxa"/>
        <w:tblLayout w:type="fixed"/>
        <w:tblCellMar>
          <w:top w:w="0" w:type="dxa"/>
          <w:left w:w="0" w:type="dxa"/>
          <w:bottom w:w="0" w:type="dxa"/>
          <w:right w:w="0" w:type="dxa"/>
        </w:tblCellMar>
        <w:tblLook w:val="01E0"/>
      </w:tblPr>
      <w:tblGrid>
        <w:gridCol w:w="1375"/>
        <w:gridCol w:w="2069"/>
        <w:gridCol w:w="2012"/>
        <w:gridCol w:w="2650"/>
      </w:tblGrid>
      <w:tr>
        <w:trPr>
          <w:trHeight w:val="453" w:hRule="exact"/>
        </w:trPr>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2069"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411"/>
              <w:jc w:val="right"/>
              <w:rPr>
                <w:rFonts w:ascii="Times New Roman" w:hAnsi="Times New Roman" w:cs="Times New Roman" w:eastAsia="Times New Roman" w:hint="default"/>
                <w:sz w:val="21"/>
                <w:szCs w:val="21"/>
              </w:rPr>
            </w:pPr>
            <w:r>
              <w:rPr>
                <w:rFonts w:ascii="Times New Roman"/>
                <w:spacing w:val="-1"/>
                <w:sz w:val="21"/>
              </w:rPr>
              <w:t>4,967,905.96</w:t>
            </w:r>
          </w:p>
        </w:tc>
        <w:tc>
          <w:tcPr>
            <w:tcW w:w="201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843"/>
              <w:jc w:val="right"/>
              <w:rPr>
                <w:rFonts w:ascii="Times New Roman" w:hAnsi="Times New Roman" w:cs="Times New Roman" w:eastAsia="Times New Roman" w:hint="default"/>
                <w:sz w:val="21"/>
                <w:szCs w:val="21"/>
              </w:rPr>
            </w:pPr>
            <w:r>
              <w:rPr>
                <w:rFonts w:ascii="Times New Roman"/>
                <w:spacing w:val="-1"/>
                <w:sz w:val="21"/>
              </w:rPr>
              <w:t>100.00%</w:t>
            </w:r>
          </w:p>
        </w:tc>
        <w:tc>
          <w:tcPr>
            <w:tcW w:w="2650" w:type="dxa"/>
            <w:tcBorders>
              <w:top w:val="nil" w:sz="6" w:space="0" w:color="auto"/>
              <w:left w:val="nil" w:sz="6" w:space="0" w:color="auto"/>
              <w:bottom w:val="nil" w:sz="6" w:space="0" w:color="auto"/>
              <w:right w:val="nil" w:sz="6" w:space="0" w:color="auto"/>
            </w:tcBorders>
          </w:tcPr>
          <w:p>
            <w:pPr>
              <w:pStyle w:val="TableParagraph"/>
              <w:tabs>
                <w:tab w:pos="1700" w:val="left" w:leader="none"/>
              </w:tabs>
              <w:spacing w:line="240" w:lineRule="auto" w:before="99"/>
              <w:ind w:right="33"/>
              <w:jc w:val="right"/>
              <w:rPr>
                <w:rFonts w:ascii="Times New Roman" w:hAnsi="Times New Roman" w:cs="Times New Roman" w:eastAsia="Times New Roman" w:hint="default"/>
                <w:sz w:val="21"/>
                <w:szCs w:val="21"/>
              </w:rPr>
            </w:pPr>
            <w:r>
              <w:rPr>
                <w:rFonts w:ascii="Times New Roman"/>
                <w:sz w:val="21"/>
              </w:rPr>
              <w:t>-</w:t>
              <w:tab/>
              <w:t>-</w:t>
            </w:r>
          </w:p>
        </w:tc>
      </w:tr>
      <w:tr>
        <w:trPr>
          <w:trHeight w:val="470" w:hRule="exact"/>
        </w:trPr>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5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年</w:t>
            </w:r>
          </w:p>
        </w:tc>
        <w:tc>
          <w:tcPr>
            <w:tcW w:w="2069"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412"/>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2012"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842"/>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2650" w:type="dxa"/>
            <w:tcBorders>
              <w:top w:val="nil" w:sz="6" w:space="0" w:color="auto"/>
              <w:left w:val="nil" w:sz="6" w:space="0" w:color="auto"/>
              <w:bottom w:val="nil" w:sz="6" w:space="0" w:color="auto"/>
              <w:right w:val="nil" w:sz="6" w:space="0" w:color="auto"/>
            </w:tcBorders>
          </w:tcPr>
          <w:p>
            <w:pPr>
              <w:pStyle w:val="TableParagraph"/>
              <w:tabs>
                <w:tab w:pos="1700" w:val="left" w:leader="none"/>
              </w:tabs>
              <w:spacing w:line="240" w:lineRule="auto" w:before="116"/>
              <w:ind w:right="33"/>
              <w:jc w:val="right"/>
              <w:rPr>
                <w:rFonts w:ascii="Times New Roman" w:hAnsi="Times New Roman" w:cs="Times New Roman" w:eastAsia="Times New Roman" w:hint="default"/>
                <w:sz w:val="21"/>
                <w:szCs w:val="21"/>
              </w:rPr>
            </w:pPr>
            <w:r>
              <w:rPr>
                <w:rFonts w:ascii="Times New Roman"/>
                <w:sz w:val="21"/>
              </w:rPr>
              <w:t>-</w:t>
              <w:tab/>
              <w:t>-</w:t>
            </w:r>
          </w:p>
        </w:tc>
      </w:tr>
      <w:tr>
        <w:trPr>
          <w:trHeight w:val="453" w:hRule="exact"/>
        </w:trPr>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5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 </w:t>
            </w:r>
            <w:r>
              <w:rPr>
                <w:rFonts w:ascii="宋体" w:hAnsi="宋体" w:cs="宋体" w:eastAsia="宋体" w:hint="default"/>
                <w:sz w:val="21"/>
                <w:szCs w:val="21"/>
              </w:rPr>
              <w:t>年</w:t>
            </w:r>
          </w:p>
        </w:tc>
        <w:tc>
          <w:tcPr>
            <w:tcW w:w="2069"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412"/>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2012"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842"/>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2650" w:type="dxa"/>
            <w:tcBorders>
              <w:top w:val="nil" w:sz="6" w:space="0" w:color="auto"/>
              <w:left w:val="nil" w:sz="6" w:space="0" w:color="auto"/>
              <w:bottom w:val="nil" w:sz="6" w:space="0" w:color="auto"/>
              <w:right w:val="nil" w:sz="6" w:space="0" w:color="auto"/>
            </w:tcBorders>
          </w:tcPr>
          <w:p>
            <w:pPr>
              <w:pStyle w:val="TableParagraph"/>
              <w:tabs>
                <w:tab w:pos="1700" w:val="left" w:leader="none"/>
              </w:tabs>
              <w:spacing w:line="240" w:lineRule="auto" w:before="115"/>
              <w:ind w:right="33"/>
              <w:jc w:val="right"/>
              <w:rPr>
                <w:rFonts w:ascii="Times New Roman" w:hAnsi="Times New Roman" w:cs="Times New Roman" w:eastAsia="Times New Roman" w:hint="default"/>
                <w:sz w:val="21"/>
                <w:szCs w:val="21"/>
              </w:rPr>
            </w:pPr>
            <w:r>
              <w:rPr>
                <w:rFonts w:ascii="Times New Roman"/>
                <w:sz w:val="21"/>
              </w:rPr>
              <w:t>-</w:t>
              <w:tab/>
              <w:t>-</w:t>
            </w:r>
          </w:p>
        </w:tc>
      </w:tr>
    </w:tbl>
    <w:p>
      <w:pPr>
        <w:spacing w:after="0" w:line="240" w:lineRule="auto"/>
        <w:jc w:val="right"/>
        <w:rPr>
          <w:rFonts w:ascii="Times New Roman" w:hAnsi="Times New Roman" w:cs="Times New Roman" w:eastAsia="Times New Roman" w:hint="default"/>
          <w:sz w:val="21"/>
          <w:szCs w:val="21"/>
        </w:rPr>
        <w:sectPr>
          <w:pgSz w:w="11910" w:h="16840"/>
          <w:pgMar w:header="0" w:footer="710" w:top="580" w:bottom="900" w:left="1280" w:right="126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7312"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9"/>
        <w:rPr>
          <w:rFonts w:ascii="Times New Roman" w:hAnsi="Times New Roman" w:cs="Times New Roman" w:eastAsia="Times New Roman" w:hint="default"/>
          <w:sz w:val="19"/>
          <w:szCs w:val="19"/>
        </w:rPr>
      </w:pPr>
    </w:p>
    <w:p>
      <w:pPr>
        <w:spacing w:line="518" w:lineRule="exact"/>
        <w:ind w:left="10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9"/>
          <w:sz w:val="20"/>
          <w:szCs w:val="20"/>
        </w:rPr>
        <w:pict>
          <v:group style="width:457.9pt;height:25.95pt;mso-position-horizontal-relative:char;mso-position-vertical-relative:line" coordorigin="0,0" coordsize="9158,519">
            <v:group style="position:absolute;left:7;top:12;width:9130;height:2" coordorigin="7,12" coordsize="9130,2">
              <v:shape style="position:absolute;left:7;top:12;width:9130;height:2" coordorigin="7,12" coordsize="9130,0" path="m7,12l9137,12e" filled="false" stroked="true" strokeweight=".71997pt" strokecolor="#000000">
                <v:path arrowok="t"/>
              </v:shape>
            </v:group>
            <v:group style="position:absolute;left:449;top:503;width:1869;height:2" coordorigin="449,503" coordsize="1869,2">
              <v:shape style="position:absolute;left:449;top:503;width:1869;height:2" coordorigin="449,503" coordsize="1869,0" path="m449,503l2317,503e" filled="false" stroked="true" strokeweight="1.5pt" strokecolor="#000000">
                <v:path arrowok="t"/>
              </v:shape>
            </v:group>
            <v:group style="position:absolute;left:2317;top:503;width:1781;height:2" coordorigin="2317,503" coordsize="1781,2">
              <v:shape style="position:absolute;left:2317;top:503;width:1781;height:2" coordorigin="2317,503" coordsize="1781,0" path="m2317,503l4098,503e" filled="false" stroked="true" strokeweight="1.5pt" strokecolor="#000000">
                <v:path arrowok="t"/>
              </v:shape>
            </v:group>
            <v:group style="position:absolute;left:4098;top:503;width:1580;height:2" coordorigin="4098,503" coordsize="1580,2">
              <v:shape style="position:absolute;left:4098;top:503;width:1580;height:2" coordorigin="4098,503" coordsize="1580,0" path="m4098,503l5677,503e" filled="false" stroked="true" strokeweight="1.5pt" strokecolor="#000000">
                <v:path arrowok="t"/>
              </v:shape>
            </v:group>
            <v:group style="position:absolute;left:5677;top:503;width:1761;height:2" coordorigin="5677,503" coordsize="1761,2">
              <v:shape style="position:absolute;left:5677;top:503;width:1761;height:2" coordorigin="5677,503" coordsize="1761,0" path="m5677,503l7438,503e" filled="false" stroked="true" strokeweight="1.5pt" strokecolor="#000000">
                <v:path arrowok="t"/>
              </v:shape>
              <v:shape style="position:absolute;left:444;top:0;width:8693;height:488" type="#_x0000_t75" stroked="false">
                <v:imagedata r:id="rId54" o:title=""/>
              </v:shape>
            </v:group>
            <v:group style="position:absolute;left:7438;top:503;width:1706;height:2" coordorigin="7438,503" coordsize="1706,2">
              <v:shape style="position:absolute;left:7438;top:503;width:1706;height:2" coordorigin="7438,503" coordsize="1706,0" path="m7438,503l9143,503e" filled="false" stroked="true" strokeweight="1.5pt" strokecolor="#000000">
                <v:path arrowok="t"/>
              </v:shape>
              <v:shape style="position:absolute;left:1076;top:247;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2891;top:273;width:110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4,967,905.96</w:t>
                      </w:r>
                    </w:p>
                  </w:txbxContent>
                </v:textbox>
                <w10:wrap type="none"/>
              </v:shape>
              <v:shape style="position:absolute;left:4822;top:273;width:75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100.00%</w:t>
                      </w:r>
                    </w:p>
                  </w:txbxContent>
                </v:textbox>
                <w10:wrap type="none"/>
              </v:shape>
              <v:shape style="position:absolute;left:7265;top:27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8965;top:27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group>
          </v:group>
        </w:pict>
      </w:r>
      <w:r>
        <w:rPr>
          <w:rFonts w:ascii="Times New Roman" w:hAnsi="Times New Roman" w:cs="Times New Roman" w:eastAsia="Times New Roman" w:hint="default"/>
          <w:position w:val="-9"/>
          <w:sz w:val="20"/>
          <w:szCs w:val="20"/>
        </w:rPr>
      </w:r>
    </w:p>
    <w:p>
      <w:pPr>
        <w:spacing w:line="240" w:lineRule="auto" w:before="8"/>
        <w:rPr>
          <w:rFonts w:ascii="Times New Roman" w:hAnsi="Times New Roman" w:cs="Times New Roman" w:eastAsia="Times New Roman" w:hint="default"/>
          <w:sz w:val="13"/>
          <w:szCs w:val="13"/>
        </w:rPr>
      </w:pPr>
    </w:p>
    <w:p>
      <w:pPr>
        <w:spacing w:before="35"/>
        <w:ind w:left="558" w:right="0" w:firstLine="0"/>
        <w:jc w:val="left"/>
        <w:rPr>
          <w:rFonts w:ascii="宋体" w:hAnsi="宋体" w:cs="宋体" w:eastAsia="宋体" w:hint="default"/>
          <w:sz w:val="21"/>
          <w:szCs w:val="21"/>
        </w:rPr>
      </w:pPr>
      <w:r>
        <w:rPr/>
        <w:pict>
          <v:group style="position:absolute;margin-left:90.239998pt;margin-top:17.133989pt;width:414.85pt;height:215.5pt;mso-position-horizontal-relative:page;mso-position-vertical-relative:paragraph;z-index:-449440" coordorigin="1805,343" coordsize="8297,4310">
            <v:group style="position:absolute;left:1824;top:358;width:8253;height:2" coordorigin="1824,358" coordsize="8253,2">
              <v:shape style="position:absolute;left:1824;top:358;width:8253;height:2" coordorigin="1824,358" coordsize="8253,0" path="m1824,358l10076,358e" filled="false" stroked="true" strokeweight="1.5pt" strokecolor="#000000">
                <v:path arrowok="t"/>
              </v:shape>
              <v:shape style="position:absolute;left:4459;top:353;width:3809;height:638" type="#_x0000_t75" stroked="false">
                <v:imagedata r:id="rId55" o:title=""/>
              </v:shape>
              <v:shape style="position:absolute;left:1805;top:953;width:8297;height:3698" type="#_x0000_t75" stroked="false">
                <v:imagedata r:id="rId56" o:title=""/>
              </v:shape>
              <v:shape style="position:absolute;left:6379;top:4013;width:48;height:638" type="#_x0000_t75" stroked="false">
                <v:imagedata r:id="rId57" o:title=""/>
              </v:shape>
              <v:shape style="position:absolute;left:8220;top:4013;width:48;height:638" type="#_x0000_t75" stroked="false">
                <v:imagedata r:id="rId57" o:titl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日前五名欠款单位情况如下：</w:t>
      </w:r>
    </w:p>
    <w:p>
      <w:pPr>
        <w:spacing w:line="240" w:lineRule="auto" w:before="3"/>
        <w:rPr>
          <w:rFonts w:ascii="宋体" w:hAnsi="宋体" w:cs="宋体" w:eastAsia="宋体" w:hint="default"/>
          <w:sz w:val="24"/>
          <w:szCs w:val="24"/>
        </w:rPr>
      </w:pPr>
    </w:p>
    <w:tbl>
      <w:tblPr>
        <w:tblW w:w="0" w:type="auto"/>
        <w:jc w:val="left"/>
        <w:tblInd w:w="529" w:type="dxa"/>
        <w:tblLayout w:type="fixed"/>
        <w:tblCellMar>
          <w:top w:w="0" w:type="dxa"/>
          <w:left w:w="0" w:type="dxa"/>
          <w:bottom w:w="0" w:type="dxa"/>
          <w:right w:w="0" w:type="dxa"/>
        </w:tblCellMar>
        <w:tblLook w:val="01E0"/>
      </w:tblPr>
      <w:tblGrid>
        <w:gridCol w:w="2778"/>
        <w:gridCol w:w="2122"/>
        <w:gridCol w:w="1716"/>
        <w:gridCol w:w="1659"/>
      </w:tblGrid>
      <w:tr>
        <w:trPr>
          <w:trHeight w:val="1126" w:hRule="exact"/>
        </w:trPr>
        <w:tc>
          <w:tcPr>
            <w:tcW w:w="277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943" w:right="0"/>
              <w:jc w:val="left"/>
              <w:rPr>
                <w:rFonts w:ascii="宋体" w:hAnsi="宋体" w:cs="宋体" w:eastAsia="宋体" w:hint="default"/>
                <w:sz w:val="20"/>
                <w:szCs w:val="20"/>
              </w:rPr>
            </w:pPr>
            <w:r>
              <w:rPr>
                <w:rFonts w:ascii="宋体" w:hAnsi="宋体" w:cs="宋体" w:eastAsia="宋体" w:hint="default"/>
                <w:sz w:val="20"/>
                <w:szCs w:val="20"/>
              </w:rPr>
              <w:t>单位名称</w:t>
            </w: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青岛市胶建集团有限公司</w:t>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54" w:right="0"/>
              <w:jc w:val="left"/>
              <w:rPr>
                <w:rFonts w:ascii="宋体" w:hAnsi="宋体" w:cs="宋体" w:eastAsia="宋体" w:hint="default"/>
                <w:sz w:val="20"/>
                <w:szCs w:val="20"/>
              </w:rPr>
            </w:pPr>
            <w:r>
              <w:rPr>
                <w:rFonts w:ascii="宋体" w:hAnsi="宋体" w:cs="宋体" w:eastAsia="宋体" w:hint="default"/>
                <w:sz w:val="20"/>
                <w:szCs w:val="20"/>
              </w:rPr>
              <w:t>所欠金额</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5"/>
              <w:ind w:left="657" w:right="0"/>
              <w:jc w:val="left"/>
              <w:rPr>
                <w:rFonts w:ascii="Times New Roman" w:hAnsi="Times New Roman" w:cs="Times New Roman" w:eastAsia="Times New Roman" w:hint="default"/>
                <w:sz w:val="20"/>
                <w:szCs w:val="20"/>
              </w:rPr>
            </w:pPr>
            <w:r>
              <w:rPr>
                <w:rFonts w:ascii="Times New Roman"/>
                <w:sz w:val="20"/>
              </w:rPr>
              <w:t>4,388,925.38</w:t>
            </w: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12" w:right="0"/>
              <w:jc w:val="left"/>
              <w:rPr>
                <w:rFonts w:ascii="宋体" w:hAnsi="宋体" w:cs="宋体" w:eastAsia="宋体" w:hint="default"/>
                <w:sz w:val="20"/>
                <w:szCs w:val="20"/>
              </w:rPr>
            </w:pPr>
            <w:r>
              <w:rPr>
                <w:rFonts w:ascii="宋体" w:hAnsi="宋体" w:cs="宋体" w:eastAsia="宋体" w:hint="default"/>
                <w:sz w:val="20"/>
                <w:szCs w:val="20"/>
              </w:rPr>
              <w:t>比例</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4"/>
              <w:ind w:left="777" w:right="0"/>
              <w:jc w:val="left"/>
              <w:rPr>
                <w:rFonts w:ascii="Times New Roman" w:hAnsi="Times New Roman" w:cs="Times New Roman" w:eastAsia="Times New Roman" w:hint="default"/>
                <w:sz w:val="21"/>
                <w:szCs w:val="21"/>
              </w:rPr>
            </w:pPr>
            <w:r>
              <w:rPr>
                <w:rFonts w:ascii="Times New Roman"/>
                <w:sz w:val="21"/>
              </w:rPr>
              <w:t>89.49%</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88" w:right="0" w:firstLine="49"/>
              <w:jc w:val="left"/>
              <w:rPr>
                <w:rFonts w:ascii="宋体" w:hAnsi="宋体" w:cs="宋体" w:eastAsia="宋体" w:hint="default"/>
                <w:sz w:val="20"/>
                <w:szCs w:val="20"/>
              </w:rPr>
            </w:pPr>
            <w:r>
              <w:rPr>
                <w:rFonts w:ascii="宋体" w:hAnsi="宋体" w:cs="宋体" w:eastAsia="宋体" w:hint="default"/>
                <w:sz w:val="20"/>
                <w:szCs w:val="20"/>
              </w:rPr>
              <w:t>欠款内容</w:t>
            </w:r>
          </w:p>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288" w:right="0"/>
              <w:jc w:val="left"/>
              <w:rPr>
                <w:rFonts w:ascii="宋体" w:hAnsi="宋体" w:cs="宋体" w:eastAsia="宋体" w:hint="default"/>
                <w:sz w:val="18"/>
                <w:szCs w:val="18"/>
              </w:rPr>
            </w:pPr>
            <w:r>
              <w:rPr>
                <w:rFonts w:ascii="宋体" w:hAnsi="宋体" w:cs="宋体" w:eastAsia="宋体" w:hint="default"/>
                <w:sz w:val="18"/>
                <w:szCs w:val="18"/>
              </w:rPr>
              <w:t>预付工程款</w:t>
            </w:r>
          </w:p>
        </w:tc>
      </w:tr>
      <w:tr>
        <w:trPr>
          <w:trHeight w:val="610" w:hRule="exact"/>
        </w:trPr>
        <w:tc>
          <w:tcPr>
            <w:tcW w:w="2778"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22" w:right="0"/>
              <w:jc w:val="left"/>
              <w:rPr>
                <w:rFonts w:ascii="宋体" w:hAnsi="宋体" w:cs="宋体" w:eastAsia="宋体" w:hint="default"/>
                <w:sz w:val="20"/>
                <w:szCs w:val="20"/>
              </w:rPr>
            </w:pPr>
            <w:r>
              <w:rPr>
                <w:rFonts w:ascii="宋体" w:hAnsi="宋体" w:cs="宋体" w:eastAsia="宋体" w:hint="default"/>
                <w:sz w:val="20"/>
                <w:szCs w:val="20"/>
              </w:rPr>
              <w:t>上海晶奈设计公司</w:t>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413"/>
              <w:jc w:val="right"/>
              <w:rPr>
                <w:rFonts w:ascii="Times New Roman" w:hAnsi="Times New Roman" w:cs="Times New Roman" w:eastAsia="Times New Roman" w:hint="default"/>
                <w:sz w:val="20"/>
                <w:szCs w:val="20"/>
              </w:rPr>
            </w:pPr>
            <w:r>
              <w:rPr>
                <w:rFonts w:ascii="Times New Roman"/>
                <w:spacing w:val="-1"/>
                <w:sz w:val="20"/>
              </w:rPr>
              <w:t>240,400.00</w:t>
            </w:r>
            <w:r>
              <w:rPr>
                <w:rFonts w:ascii="Times New Roman"/>
                <w:sz w:val="20"/>
              </w:rPr>
            </w: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179"/>
              <w:ind w:right="288"/>
              <w:jc w:val="right"/>
              <w:rPr>
                <w:rFonts w:ascii="Times New Roman" w:hAnsi="Times New Roman" w:cs="Times New Roman" w:eastAsia="Times New Roman" w:hint="default"/>
                <w:sz w:val="21"/>
                <w:szCs w:val="21"/>
              </w:rPr>
            </w:pPr>
            <w:r>
              <w:rPr>
                <w:rFonts w:ascii="Times New Roman"/>
                <w:spacing w:val="-1"/>
                <w:sz w:val="21"/>
              </w:rPr>
              <w:t>4.90%</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438" w:right="0"/>
              <w:jc w:val="left"/>
              <w:rPr>
                <w:rFonts w:ascii="宋体" w:hAnsi="宋体" w:cs="宋体" w:eastAsia="宋体" w:hint="default"/>
                <w:sz w:val="20"/>
                <w:szCs w:val="20"/>
              </w:rPr>
            </w:pPr>
            <w:r>
              <w:rPr>
                <w:rFonts w:ascii="宋体" w:hAnsi="宋体" w:cs="宋体" w:eastAsia="宋体" w:hint="default"/>
                <w:sz w:val="20"/>
                <w:szCs w:val="20"/>
              </w:rPr>
              <w:t>设计费</w:t>
            </w:r>
          </w:p>
        </w:tc>
      </w:tr>
      <w:tr>
        <w:trPr>
          <w:trHeight w:val="610" w:hRule="exact"/>
        </w:trPr>
        <w:tc>
          <w:tcPr>
            <w:tcW w:w="2778"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122" w:right="0"/>
              <w:jc w:val="left"/>
              <w:rPr>
                <w:rFonts w:ascii="宋体" w:hAnsi="宋体" w:cs="宋体" w:eastAsia="宋体" w:hint="default"/>
                <w:sz w:val="20"/>
                <w:szCs w:val="20"/>
              </w:rPr>
            </w:pPr>
            <w:r>
              <w:rPr>
                <w:rFonts w:ascii="宋体" w:hAnsi="宋体" w:cs="宋体" w:eastAsia="宋体" w:hint="default"/>
                <w:sz w:val="20"/>
                <w:szCs w:val="20"/>
              </w:rPr>
              <w:t>济宁市建筑设计研究院</w:t>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413"/>
              <w:jc w:val="right"/>
              <w:rPr>
                <w:rFonts w:ascii="Times New Roman" w:hAnsi="Times New Roman" w:cs="Times New Roman" w:eastAsia="Times New Roman" w:hint="default"/>
                <w:sz w:val="20"/>
                <w:szCs w:val="20"/>
              </w:rPr>
            </w:pPr>
            <w:r>
              <w:rPr>
                <w:rFonts w:ascii="Times New Roman"/>
                <w:spacing w:val="-1"/>
                <w:sz w:val="20"/>
              </w:rPr>
              <w:t>150,000.00</w:t>
            </w:r>
            <w:r>
              <w:rPr>
                <w:rFonts w:ascii="Times New Roman"/>
                <w:sz w:val="20"/>
              </w:rPr>
            </w: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88"/>
              <w:jc w:val="right"/>
              <w:rPr>
                <w:rFonts w:ascii="Times New Roman" w:hAnsi="Times New Roman" w:cs="Times New Roman" w:eastAsia="Times New Roman" w:hint="default"/>
                <w:sz w:val="21"/>
                <w:szCs w:val="21"/>
              </w:rPr>
            </w:pPr>
            <w:r>
              <w:rPr>
                <w:rFonts w:ascii="Times New Roman"/>
                <w:spacing w:val="-1"/>
                <w:sz w:val="21"/>
              </w:rPr>
              <w:t>3.06%</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438" w:right="0"/>
              <w:jc w:val="left"/>
              <w:rPr>
                <w:rFonts w:ascii="宋体" w:hAnsi="宋体" w:cs="宋体" w:eastAsia="宋体" w:hint="default"/>
                <w:sz w:val="20"/>
                <w:szCs w:val="20"/>
              </w:rPr>
            </w:pPr>
            <w:r>
              <w:rPr>
                <w:rFonts w:ascii="宋体" w:hAnsi="宋体" w:cs="宋体" w:eastAsia="宋体" w:hint="default"/>
                <w:sz w:val="20"/>
                <w:szCs w:val="20"/>
              </w:rPr>
              <w:t>设计费</w:t>
            </w:r>
          </w:p>
        </w:tc>
      </w:tr>
      <w:tr>
        <w:trPr>
          <w:trHeight w:val="610" w:hRule="exact"/>
        </w:trPr>
        <w:tc>
          <w:tcPr>
            <w:tcW w:w="2778"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22" w:right="0"/>
              <w:jc w:val="left"/>
              <w:rPr>
                <w:rFonts w:ascii="宋体" w:hAnsi="宋体" w:cs="宋体" w:eastAsia="宋体" w:hint="default"/>
                <w:sz w:val="20"/>
                <w:szCs w:val="20"/>
              </w:rPr>
            </w:pPr>
            <w:r>
              <w:rPr>
                <w:rFonts w:ascii="宋体" w:hAnsi="宋体" w:cs="宋体" w:eastAsia="宋体" w:hint="default"/>
                <w:sz w:val="20"/>
                <w:szCs w:val="20"/>
              </w:rPr>
              <w:t>济宁环境保护研究所</w:t>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414"/>
              <w:jc w:val="right"/>
              <w:rPr>
                <w:rFonts w:ascii="Times New Roman" w:hAnsi="Times New Roman" w:cs="Times New Roman" w:eastAsia="Times New Roman" w:hint="default"/>
                <w:sz w:val="20"/>
                <w:szCs w:val="20"/>
              </w:rPr>
            </w:pPr>
            <w:r>
              <w:rPr>
                <w:rFonts w:ascii="Times New Roman"/>
                <w:spacing w:val="-1"/>
                <w:sz w:val="20"/>
              </w:rPr>
              <w:t>85,000.00</w:t>
            </w: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179"/>
              <w:ind w:right="288"/>
              <w:jc w:val="right"/>
              <w:rPr>
                <w:rFonts w:ascii="Times New Roman" w:hAnsi="Times New Roman" w:cs="Times New Roman" w:eastAsia="Times New Roman" w:hint="default"/>
                <w:sz w:val="21"/>
                <w:szCs w:val="21"/>
              </w:rPr>
            </w:pPr>
            <w:r>
              <w:rPr>
                <w:rFonts w:ascii="Times New Roman"/>
                <w:spacing w:val="-1"/>
                <w:sz w:val="21"/>
              </w:rPr>
              <w:t>1.73%</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438" w:right="0"/>
              <w:jc w:val="left"/>
              <w:rPr>
                <w:rFonts w:ascii="宋体" w:hAnsi="宋体" w:cs="宋体" w:eastAsia="宋体" w:hint="default"/>
                <w:sz w:val="20"/>
                <w:szCs w:val="20"/>
              </w:rPr>
            </w:pPr>
            <w:r>
              <w:rPr>
                <w:rFonts w:ascii="宋体" w:hAnsi="宋体" w:cs="宋体" w:eastAsia="宋体" w:hint="default"/>
                <w:sz w:val="20"/>
                <w:szCs w:val="20"/>
              </w:rPr>
              <w:t>中介费</w:t>
            </w:r>
          </w:p>
        </w:tc>
      </w:tr>
      <w:tr>
        <w:trPr>
          <w:trHeight w:val="610" w:hRule="exact"/>
        </w:trPr>
        <w:tc>
          <w:tcPr>
            <w:tcW w:w="2778"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22" w:right="0"/>
              <w:jc w:val="left"/>
              <w:rPr>
                <w:rFonts w:ascii="宋体" w:hAnsi="宋体" w:cs="宋体" w:eastAsia="宋体" w:hint="default"/>
                <w:sz w:val="20"/>
                <w:szCs w:val="20"/>
              </w:rPr>
            </w:pPr>
            <w:r>
              <w:rPr>
                <w:rFonts w:ascii="宋体" w:hAnsi="宋体" w:cs="宋体" w:eastAsia="宋体" w:hint="default"/>
                <w:sz w:val="20"/>
                <w:szCs w:val="20"/>
              </w:rPr>
              <w:t>山东恒诚信工程咨询公司</w:t>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414"/>
              <w:jc w:val="right"/>
              <w:rPr>
                <w:rFonts w:ascii="Times New Roman" w:hAnsi="Times New Roman" w:cs="Times New Roman" w:eastAsia="Times New Roman" w:hint="default"/>
                <w:sz w:val="20"/>
                <w:szCs w:val="20"/>
              </w:rPr>
            </w:pPr>
            <w:r>
              <w:rPr>
                <w:rFonts w:ascii="Times New Roman"/>
                <w:spacing w:val="-1"/>
                <w:sz w:val="20"/>
              </w:rPr>
              <w:t>40,000.00</w:t>
            </w: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179"/>
              <w:ind w:right="288"/>
              <w:jc w:val="right"/>
              <w:rPr>
                <w:rFonts w:ascii="Times New Roman" w:hAnsi="Times New Roman" w:cs="Times New Roman" w:eastAsia="Times New Roman" w:hint="default"/>
                <w:sz w:val="21"/>
                <w:szCs w:val="21"/>
              </w:rPr>
            </w:pPr>
            <w:r>
              <w:rPr>
                <w:rFonts w:ascii="Times New Roman"/>
                <w:spacing w:val="-1"/>
                <w:sz w:val="21"/>
              </w:rPr>
              <w:t>0.82%</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438" w:right="0"/>
              <w:jc w:val="left"/>
              <w:rPr>
                <w:rFonts w:ascii="宋体" w:hAnsi="宋体" w:cs="宋体" w:eastAsia="宋体" w:hint="default"/>
                <w:sz w:val="20"/>
                <w:szCs w:val="20"/>
              </w:rPr>
            </w:pPr>
            <w:r>
              <w:rPr>
                <w:rFonts w:ascii="宋体" w:hAnsi="宋体" w:cs="宋体" w:eastAsia="宋体" w:hint="default"/>
                <w:sz w:val="20"/>
                <w:szCs w:val="20"/>
              </w:rPr>
              <w:t>咨询费</w:t>
            </w:r>
          </w:p>
        </w:tc>
      </w:tr>
      <w:tr>
        <w:trPr>
          <w:trHeight w:val="438" w:hRule="exact"/>
        </w:trPr>
        <w:tc>
          <w:tcPr>
            <w:tcW w:w="2778" w:type="dxa"/>
            <w:tcBorders>
              <w:top w:val="nil" w:sz="6" w:space="0" w:color="auto"/>
              <w:left w:val="nil" w:sz="6" w:space="0" w:color="auto"/>
              <w:bottom w:val="single" w:sz="12" w:space="0" w:color="000000"/>
              <w:right w:val="nil" w:sz="6" w:space="0" w:color="auto"/>
            </w:tcBorders>
          </w:tcPr>
          <w:p>
            <w:pPr>
              <w:pStyle w:val="TableParagraph"/>
              <w:tabs>
                <w:tab w:pos="400" w:val="left" w:leader="none"/>
              </w:tabs>
              <w:spacing w:line="240" w:lineRule="auto" w:before="132"/>
              <w:ind w:right="86"/>
              <w:jc w:val="center"/>
              <w:rPr>
                <w:rFonts w:ascii="宋体" w:hAnsi="宋体" w:cs="宋体" w:eastAsia="宋体" w:hint="default"/>
                <w:sz w:val="20"/>
                <w:szCs w:val="20"/>
              </w:rPr>
            </w:pPr>
            <w:r>
              <w:rPr>
                <w:rFonts w:ascii="宋体" w:hAnsi="宋体" w:cs="宋体" w:eastAsia="宋体" w:hint="default"/>
                <w:sz w:val="20"/>
                <w:szCs w:val="20"/>
              </w:rPr>
              <w:t>合</w:t>
              <w:tab/>
              <w:t>计</w:t>
            </w:r>
          </w:p>
        </w:tc>
        <w:tc>
          <w:tcPr>
            <w:tcW w:w="212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410"/>
              <w:jc w:val="right"/>
              <w:rPr>
                <w:rFonts w:ascii="Times New Roman" w:hAnsi="Times New Roman" w:cs="Times New Roman" w:eastAsia="Times New Roman" w:hint="default"/>
                <w:sz w:val="21"/>
                <w:szCs w:val="21"/>
              </w:rPr>
            </w:pPr>
            <w:r>
              <w:rPr>
                <w:rFonts w:ascii="Times New Roman"/>
                <w:spacing w:val="-1"/>
                <w:sz w:val="21"/>
              </w:rPr>
              <w:t>4,904,325.38</w:t>
            </w:r>
          </w:p>
        </w:tc>
        <w:tc>
          <w:tcPr>
            <w:tcW w:w="171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88"/>
              <w:jc w:val="right"/>
              <w:rPr>
                <w:rFonts w:ascii="Times New Roman" w:hAnsi="Times New Roman" w:cs="Times New Roman" w:eastAsia="Times New Roman" w:hint="default"/>
                <w:sz w:val="21"/>
                <w:szCs w:val="21"/>
              </w:rPr>
            </w:pPr>
            <w:r>
              <w:rPr>
                <w:rFonts w:ascii="Times New Roman"/>
                <w:spacing w:val="-1"/>
                <w:sz w:val="21"/>
              </w:rPr>
              <w:t>100.00%</w:t>
            </w:r>
          </w:p>
        </w:tc>
        <w:tc>
          <w:tcPr>
            <w:tcW w:w="1659"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sz w:val="14"/>
          <w:szCs w:val="14"/>
        </w:rPr>
      </w:pPr>
    </w:p>
    <w:p>
      <w:pPr>
        <w:spacing w:before="35"/>
        <w:ind w:left="55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）本公司期末预付账款较期初增加较大原因，本公司期末新增两子公司预付账款所致。</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72"/>
        <w:ind w:left="546" w:right="0" w:firstLine="0"/>
        <w:jc w:val="left"/>
        <w:rPr>
          <w:rFonts w:ascii="宋体" w:hAnsi="宋体" w:cs="宋体" w:eastAsia="宋体" w:hint="default"/>
          <w:sz w:val="21"/>
          <w:szCs w:val="21"/>
        </w:rPr>
      </w:pPr>
      <w:r>
        <w:rPr/>
        <w:pict>
          <v:group style="position:absolute;margin-left:91.260002pt;margin-top:51.523666pt;width:433.9pt;height:169.75pt;mso-position-horizontal-relative:page;mso-position-vertical-relative:paragraph;z-index:-449416" coordorigin="1825,1030" coordsize="8678,3395">
            <v:shape style="position:absolute;left:5078;top:1030;width:48;height:558" type="#_x0000_t75" stroked="false">
              <v:imagedata r:id="rId58" o:title=""/>
            </v:shape>
            <v:shape style="position:absolute;left:5078;top:1550;width:5424;height:569" type="#_x0000_t75" stroked="false">
              <v:imagedata r:id="rId59" o:title=""/>
            </v:shape>
            <v:shape style="position:absolute;left:1825;top:2080;width:8677;height:2345" type="#_x0000_t75" stroked="false">
              <v:imagedata r:id="rId60" o:title=""/>
            </v:shape>
            <v:shape style="position:absolute;left:6426;top:3866;width:48;height:559" type="#_x0000_t75" stroked="false">
              <v:imagedata r:id="rId49" o:title=""/>
            </v:shape>
            <v:shape style="position:absolute;left:7772;top:3866;width:48;height:559" type="#_x0000_t75" stroked="false">
              <v:imagedata r:id="rId49" o:title=""/>
            </v:shape>
            <v:shape style="position:absolute;left:9120;top:3866;width:48;height:559" type="#_x0000_t75" stroked="false">
              <v:imagedata r:id="rId61" o:title=""/>
            </v:shape>
            <w10:wrap type="none"/>
          </v:group>
        </w:pict>
      </w:r>
      <w:r>
        <w:rPr>
          <w:rFonts w:ascii="Times New Roman" w:hAnsi="Times New Roman" w:cs="Times New Roman" w:eastAsia="Times New Roman" w:hint="default"/>
          <w:sz w:val="21"/>
          <w:szCs w:val="21"/>
        </w:rPr>
        <w:t>4</w:t>
      </w:r>
      <w:r>
        <w:rPr>
          <w:rFonts w:ascii="宋体" w:hAnsi="宋体" w:cs="宋体" w:eastAsia="宋体" w:hint="default"/>
          <w:sz w:val="21"/>
          <w:szCs w:val="21"/>
        </w:rPr>
        <w:t>、其他应收款</w:t>
      </w:r>
    </w:p>
    <w:p>
      <w:pPr>
        <w:spacing w:line="240" w:lineRule="auto" w:before="6"/>
        <w:rPr>
          <w:rFonts w:ascii="宋体" w:hAnsi="宋体" w:cs="宋体" w:eastAsia="宋体" w:hint="default"/>
          <w:sz w:val="16"/>
          <w:szCs w:val="16"/>
        </w:rPr>
      </w:pPr>
    </w:p>
    <w:tbl>
      <w:tblPr>
        <w:tblW w:w="0" w:type="auto"/>
        <w:jc w:val="left"/>
        <w:tblInd w:w="313" w:type="dxa"/>
        <w:tblLayout w:type="fixed"/>
        <w:tblCellMar>
          <w:top w:w="0" w:type="dxa"/>
          <w:left w:w="0" w:type="dxa"/>
          <w:bottom w:w="0" w:type="dxa"/>
          <w:right w:w="0" w:type="dxa"/>
        </w:tblCellMar>
        <w:tblLook w:val="01E0"/>
      </w:tblPr>
      <w:tblGrid>
        <w:gridCol w:w="3552"/>
        <w:gridCol w:w="1347"/>
        <w:gridCol w:w="2410"/>
        <w:gridCol w:w="1580"/>
      </w:tblGrid>
      <w:tr>
        <w:trPr>
          <w:trHeight w:val="357" w:hRule="exact"/>
        </w:trPr>
        <w:tc>
          <w:tcPr>
            <w:tcW w:w="3552"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）其他应收款风险分析</w:t>
            </w:r>
          </w:p>
        </w:tc>
        <w:tc>
          <w:tcPr>
            <w:tcW w:w="5338" w:type="dxa"/>
            <w:gridSpan w:val="3"/>
            <w:tcBorders>
              <w:top w:val="nil" w:sz="6" w:space="0" w:color="auto"/>
              <w:left w:val="nil" w:sz="6" w:space="0" w:color="auto"/>
              <w:bottom w:val="single" w:sz="12" w:space="0" w:color="000000"/>
              <w:right w:val="nil" w:sz="6" w:space="0" w:color="auto"/>
            </w:tcBorders>
          </w:tcPr>
          <w:p>
            <w:pPr/>
          </w:p>
        </w:tc>
      </w:tr>
      <w:tr>
        <w:trPr>
          <w:trHeight w:val="807" w:hRule="exact"/>
        </w:trPr>
        <w:tc>
          <w:tcPr>
            <w:tcW w:w="355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206" w:right="0"/>
              <w:jc w:val="center"/>
              <w:rPr>
                <w:rFonts w:ascii="宋体" w:hAnsi="宋体" w:cs="宋体" w:eastAsia="宋体" w:hint="default"/>
                <w:sz w:val="18"/>
                <w:szCs w:val="18"/>
              </w:rPr>
            </w:pPr>
            <w:r>
              <w:rPr>
                <w:rFonts w:ascii="宋体" w:hAnsi="宋体" w:cs="宋体" w:eastAsia="宋体" w:hint="default"/>
                <w:sz w:val="18"/>
                <w:szCs w:val="18"/>
              </w:rPr>
              <w:t>账  龄</w:t>
            </w:r>
          </w:p>
        </w:tc>
        <w:tc>
          <w:tcPr>
            <w:tcW w:w="1347" w:type="dxa"/>
            <w:tcBorders>
              <w:top w:val="single" w:sz="12" w:space="0" w:color="000000"/>
              <w:left w:val="nil" w:sz="6" w:space="0" w:color="auto"/>
              <w:bottom w:val="nil" w:sz="6" w:space="0" w:color="auto"/>
              <w:right w:val="nil" w:sz="6" w:space="0" w:color="auto"/>
            </w:tcBorders>
          </w:tcPr>
          <w:p>
            <w:pPr/>
          </w:p>
        </w:tc>
        <w:tc>
          <w:tcPr>
            <w:tcW w:w="2410"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883" w:right="0"/>
              <w:jc w:val="left"/>
              <w:rPr>
                <w:rFonts w:ascii="Times New Roman" w:hAnsi="Times New Roman" w:cs="Times New Roman" w:eastAsia="Times New Roman" w:hint="default"/>
                <w:sz w:val="18"/>
                <w:szCs w:val="18"/>
              </w:rPr>
            </w:pPr>
            <w:r>
              <w:rPr>
                <w:rFonts w:ascii="Times New Roman"/>
                <w:sz w:val="18"/>
              </w:rPr>
              <w:t>2008-12-31</w:t>
            </w:r>
          </w:p>
        </w:tc>
        <w:tc>
          <w:tcPr>
            <w:tcW w:w="1580" w:type="dxa"/>
            <w:tcBorders>
              <w:top w:val="single" w:sz="12" w:space="0" w:color="000000"/>
              <w:left w:val="nil" w:sz="6" w:space="0" w:color="auto"/>
              <w:bottom w:val="nil" w:sz="6" w:space="0" w:color="auto"/>
              <w:right w:val="nil" w:sz="6" w:space="0" w:color="auto"/>
            </w:tcBorders>
          </w:tcPr>
          <w:p>
            <w:pPr/>
          </w:p>
        </w:tc>
      </w:tr>
      <w:tr>
        <w:trPr>
          <w:trHeight w:val="410" w:hRule="exact"/>
        </w:trPr>
        <w:tc>
          <w:tcPr>
            <w:tcW w:w="3552"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Style w:val="TableParagraph"/>
              <w:tabs>
                <w:tab w:pos="765" w:val="left" w:leader="none"/>
              </w:tabs>
              <w:spacing w:line="230" w:lineRule="exact"/>
              <w:ind w:left="315" w:right="0"/>
              <w:jc w:val="left"/>
              <w:rPr>
                <w:rFonts w:ascii="宋体" w:hAnsi="宋体" w:cs="宋体" w:eastAsia="宋体" w:hint="default"/>
                <w:sz w:val="18"/>
                <w:szCs w:val="18"/>
              </w:rPr>
            </w:pPr>
            <w:r>
              <w:rPr>
                <w:rFonts w:ascii="宋体" w:hAnsi="宋体" w:cs="宋体" w:eastAsia="宋体" w:hint="default"/>
                <w:sz w:val="18"/>
                <w:szCs w:val="18"/>
              </w:rPr>
              <w:t>金</w:t>
              <w:tab/>
              <w:t>额</w:t>
            </w:r>
          </w:p>
        </w:tc>
        <w:tc>
          <w:tcPr>
            <w:tcW w:w="2410" w:type="dxa"/>
            <w:tcBorders>
              <w:top w:val="nil" w:sz="6" w:space="0" w:color="auto"/>
              <w:left w:val="nil" w:sz="6" w:space="0" w:color="auto"/>
              <w:bottom w:val="nil" w:sz="6" w:space="0" w:color="auto"/>
              <w:right w:val="nil" w:sz="6" w:space="0" w:color="auto"/>
            </w:tcBorders>
          </w:tcPr>
          <w:p>
            <w:pPr>
              <w:pStyle w:val="TableParagraph"/>
              <w:tabs>
                <w:tab w:pos="1616" w:val="left" w:leader="none"/>
              </w:tabs>
              <w:spacing w:line="243" w:lineRule="exact"/>
              <w:ind w:left="150" w:right="0"/>
              <w:jc w:val="left"/>
              <w:rPr>
                <w:rFonts w:ascii="宋体" w:hAnsi="宋体" w:cs="宋体" w:eastAsia="宋体" w:hint="default"/>
                <w:sz w:val="18"/>
                <w:szCs w:val="18"/>
              </w:rPr>
            </w:pPr>
            <w:r>
              <w:rPr>
                <w:rFonts w:ascii="宋体" w:hAnsi="宋体" w:cs="宋体" w:eastAsia="宋体" w:hint="default"/>
                <w:sz w:val="18"/>
                <w:szCs w:val="18"/>
              </w:rPr>
              <w:t>比 例（</w:t>
            </w:r>
            <w:r>
              <w:rPr>
                <w:rFonts w:ascii="Times New Roman" w:hAnsi="Times New Roman" w:cs="Times New Roman" w:eastAsia="Times New Roman" w:hint="default"/>
                <w:sz w:val="18"/>
                <w:szCs w:val="18"/>
              </w:rPr>
              <w:t>%</w:t>
            </w:r>
            <w:r>
              <w:rPr>
                <w:rFonts w:ascii="宋体" w:hAnsi="宋体" w:cs="宋体" w:eastAsia="宋体" w:hint="default"/>
                <w:sz w:val="18"/>
                <w:szCs w:val="18"/>
              </w:rPr>
              <w:t>）</w:t>
              <w:tab/>
              <w:t>坏账准备</w:t>
            </w:r>
          </w:p>
        </w:tc>
        <w:tc>
          <w:tcPr>
            <w:tcW w:w="1580" w:type="dxa"/>
            <w:tcBorders>
              <w:top w:val="nil" w:sz="6" w:space="0" w:color="auto"/>
              <w:left w:val="nil" w:sz="6" w:space="0" w:color="auto"/>
              <w:bottom w:val="nil" w:sz="6" w:space="0" w:color="auto"/>
              <w:right w:val="nil" w:sz="6" w:space="0" w:color="auto"/>
            </w:tcBorders>
          </w:tcPr>
          <w:p>
            <w:pPr>
              <w:pStyle w:val="TableParagraph"/>
              <w:spacing w:line="230" w:lineRule="exact"/>
              <w:ind w:left="644" w:right="0"/>
              <w:jc w:val="left"/>
              <w:rPr>
                <w:rFonts w:ascii="宋体" w:hAnsi="宋体" w:cs="宋体" w:eastAsia="宋体" w:hint="default"/>
                <w:sz w:val="18"/>
                <w:szCs w:val="18"/>
              </w:rPr>
            </w:pPr>
            <w:r>
              <w:rPr>
                <w:rFonts w:ascii="宋体" w:hAnsi="宋体" w:cs="宋体" w:eastAsia="宋体" w:hint="default"/>
                <w:sz w:val="18"/>
                <w:szCs w:val="18"/>
              </w:rPr>
              <w:t>净  额</w:t>
            </w:r>
          </w:p>
        </w:tc>
      </w:tr>
      <w:tr>
        <w:trPr>
          <w:trHeight w:val="512" w:hRule="exact"/>
        </w:trPr>
        <w:tc>
          <w:tcPr>
            <w:tcW w:w="3552"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358" w:right="0"/>
              <w:jc w:val="left"/>
              <w:rPr>
                <w:rFonts w:ascii="宋体" w:hAnsi="宋体" w:cs="宋体" w:eastAsia="宋体" w:hint="default"/>
                <w:sz w:val="18"/>
                <w:szCs w:val="18"/>
              </w:rPr>
            </w:pPr>
            <w:r>
              <w:rPr>
                <w:rFonts w:ascii="宋体" w:hAnsi="宋体" w:cs="宋体" w:eastAsia="宋体" w:hint="default"/>
                <w:sz w:val="18"/>
                <w:szCs w:val="18"/>
              </w:rPr>
              <w:t>单项金额重大的其他应收款</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149"/>
              <w:jc w:val="right"/>
              <w:rPr>
                <w:rFonts w:ascii="Times New Roman" w:hAnsi="Times New Roman" w:cs="Times New Roman" w:eastAsia="Times New Roman" w:hint="default"/>
                <w:sz w:val="20"/>
                <w:szCs w:val="20"/>
              </w:rPr>
            </w:pPr>
            <w:r>
              <w:rPr>
                <w:rFonts w:ascii="Times New Roman"/>
                <w:spacing w:val="-1"/>
                <w:sz w:val="20"/>
              </w:rPr>
              <w:t>9,725,678.88</w:t>
            </w:r>
            <w:r>
              <w:rPr>
                <w:rFonts w:ascii="Times New Roman"/>
                <w:sz w:val="20"/>
              </w:rPr>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578" w:right="0"/>
              <w:jc w:val="left"/>
              <w:rPr>
                <w:rFonts w:ascii="Times New Roman" w:hAnsi="Times New Roman" w:cs="Times New Roman" w:eastAsia="Times New Roman" w:hint="default"/>
                <w:sz w:val="20"/>
                <w:szCs w:val="20"/>
              </w:rPr>
            </w:pPr>
            <w:r>
              <w:rPr>
                <w:rFonts w:ascii="Times New Roman"/>
                <w:sz w:val="20"/>
              </w:rPr>
              <w:t>93.24%</w:t>
            </w:r>
          </w:p>
        </w:tc>
        <w:tc>
          <w:tcPr>
            <w:tcW w:w="1580" w:type="dxa"/>
            <w:tcBorders>
              <w:top w:val="nil" w:sz="6" w:space="0" w:color="auto"/>
              <w:left w:val="nil" w:sz="6" w:space="0" w:color="auto"/>
              <w:bottom w:val="nil" w:sz="6" w:space="0" w:color="auto"/>
              <w:right w:val="nil" w:sz="6" w:space="0" w:color="auto"/>
            </w:tcBorders>
          </w:tcPr>
          <w:p>
            <w:pPr>
              <w:pStyle w:val="TableParagraph"/>
              <w:tabs>
                <w:tab w:pos="430" w:val="left" w:leader="none"/>
              </w:tabs>
              <w:spacing w:line="240" w:lineRule="auto" w:before="148"/>
              <w:ind w:left="73" w:right="0"/>
              <w:jc w:val="left"/>
              <w:rPr>
                <w:rFonts w:ascii="Times New Roman" w:hAnsi="Times New Roman" w:cs="Times New Roman" w:eastAsia="Times New Roman" w:hint="default"/>
                <w:sz w:val="20"/>
                <w:szCs w:val="20"/>
              </w:rPr>
            </w:pPr>
            <w:r>
              <w:rPr>
                <w:rFonts w:ascii="Times New Roman"/>
                <w:sz w:val="18"/>
              </w:rPr>
              <w:t>-</w:t>
              <w:tab/>
            </w:r>
            <w:r>
              <w:rPr>
                <w:rFonts w:ascii="Times New Roman"/>
                <w:sz w:val="20"/>
              </w:rPr>
              <w:t>9,725,678.88</w:t>
            </w:r>
          </w:p>
        </w:tc>
      </w:tr>
      <w:tr>
        <w:trPr>
          <w:trHeight w:val="740" w:hRule="exact"/>
        </w:trPr>
        <w:tc>
          <w:tcPr>
            <w:tcW w:w="355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8" w:right="144"/>
              <w:jc w:val="left"/>
              <w:rPr>
                <w:rFonts w:ascii="宋体" w:hAnsi="宋体" w:cs="宋体" w:eastAsia="宋体" w:hint="default"/>
                <w:sz w:val="18"/>
                <w:szCs w:val="18"/>
              </w:rPr>
            </w:pPr>
            <w:r>
              <w:rPr>
                <w:rFonts w:ascii="宋体" w:hAnsi="宋体" w:cs="宋体" w:eastAsia="宋体" w:hint="default"/>
                <w:spacing w:val="-2"/>
                <w:sz w:val="18"/>
                <w:szCs w:val="18"/>
              </w:rPr>
              <w:t>单项金额不重大但按信用风险特征组合</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后该组合的风险较大的其他应收款</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48"/>
              <w:jc w:val="right"/>
              <w:rPr>
                <w:rFonts w:ascii="Times New Roman" w:hAnsi="Times New Roman" w:cs="Times New Roman" w:eastAsia="Times New Roman" w:hint="default"/>
                <w:sz w:val="20"/>
                <w:szCs w:val="20"/>
              </w:rPr>
            </w:pPr>
            <w:r>
              <w:rPr>
                <w:rFonts w:ascii="Times New Roman"/>
                <w:spacing w:val="-1"/>
                <w:sz w:val="20"/>
              </w:rPr>
              <w:t>591,430.20</w:t>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679" w:right="0"/>
              <w:jc w:val="left"/>
              <w:rPr>
                <w:rFonts w:ascii="Times New Roman" w:hAnsi="Times New Roman" w:cs="Times New Roman" w:eastAsia="Times New Roman" w:hint="default"/>
                <w:sz w:val="20"/>
                <w:szCs w:val="20"/>
              </w:rPr>
            </w:pPr>
            <w:r>
              <w:rPr>
                <w:rFonts w:ascii="Times New Roman"/>
                <w:sz w:val="20"/>
              </w:rPr>
              <w:t>5.67%</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tabs>
                <w:tab w:pos="580" w:val="left" w:leader="none"/>
              </w:tabs>
              <w:spacing w:line="240" w:lineRule="auto"/>
              <w:ind w:left="73" w:right="0"/>
              <w:jc w:val="left"/>
              <w:rPr>
                <w:rFonts w:ascii="Times New Roman" w:hAnsi="Times New Roman" w:cs="Times New Roman" w:eastAsia="Times New Roman" w:hint="default"/>
                <w:sz w:val="20"/>
                <w:szCs w:val="20"/>
              </w:rPr>
            </w:pPr>
            <w:r>
              <w:rPr>
                <w:rFonts w:ascii="Times New Roman"/>
                <w:sz w:val="18"/>
              </w:rPr>
              <w:t>-</w:t>
              <w:tab/>
            </w:r>
            <w:r>
              <w:rPr>
                <w:rFonts w:ascii="Times New Roman"/>
                <w:sz w:val="20"/>
              </w:rPr>
              <w:t>591,430.20</w:t>
            </w:r>
          </w:p>
        </w:tc>
      </w:tr>
      <w:tr>
        <w:trPr>
          <w:trHeight w:val="530" w:hRule="exact"/>
        </w:trPr>
        <w:tc>
          <w:tcPr>
            <w:tcW w:w="355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58" w:right="0"/>
              <w:jc w:val="left"/>
              <w:rPr>
                <w:rFonts w:ascii="宋体" w:hAnsi="宋体" w:cs="宋体" w:eastAsia="宋体" w:hint="default"/>
                <w:sz w:val="18"/>
                <w:szCs w:val="18"/>
              </w:rPr>
            </w:pPr>
            <w:r>
              <w:rPr>
                <w:rFonts w:ascii="宋体" w:hAnsi="宋体" w:cs="宋体" w:eastAsia="宋体" w:hint="default"/>
                <w:sz w:val="18"/>
                <w:szCs w:val="18"/>
              </w:rPr>
              <w:t>其他单项金额不重大其他应收款</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48"/>
              <w:jc w:val="right"/>
              <w:rPr>
                <w:rFonts w:ascii="Times New Roman" w:hAnsi="Times New Roman" w:cs="Times New Roman" w:eastAsia="Times New Roman" w:hint="default"/>
                <w:sz w:val="20"/>
                <w:szCs w:val="20"/>
              </w:rPr>
            </w:pPr>
            <w:r>
              <w:rPr>
                <w:rFonts w:ascii="Times New Roman"/>
                <w:spacing w:val="-2"/>
                <w:sz w:val="20"/>
              </w:rPr>
              <w:t>113,494.24</w:t>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679" w:right="0"/>
              <w:jc w:val="left"/>
              <w:rPr>
                <w:rFonts w:ascii="Times New Roman" w:hAnsi="Times New Roman" w:cs="Times New Roman" w:eastAsia="Times New Roman" w:hint="default"/>
                <w:sz w:val="20"/>
                <w:szCs w:val="20"/>
              </w:rPr>
            </w:pPr>
            <w:r>
              <w:rPr>
                <w:rFonts w:ascii="Times New Roman"/>
                <w:sz w:val="20"/>
              </w:rPr>
              <w:t>1.09%</w:t>
            </w:r>
          </w:p>
        </w:tc>
        <w:tc>
          <w:tcPr>
            <w:tcW w:w="1580" w:type="dxa"/>
            <w:tcBorders>
              <w:top w:val="nil" w:sz="6" w:space="0" w:color="auto"/>
              <w:left w:val="nil" w:sz="6" w:space="0" w:color="auto"/>
              <w:bottom w:val="nil" w:sz="6" w:space="0" w:color="auto"/>
              <w:right w:val="nil" w:sz="6" w:space="0" w:color="auto"/>
            </w:tcBorders>
          </w:tcPr>
          <w:p>
            <w:pPr>
              <w:pStyle w:val="TableParagraph"/>
              <w:tabs>
                <w:tab w:pos="587" w:val="left" w:leader="none"/>
              </w:tabs>
              <w:spacing w:line="240" w:lineRule="auto" w:before="142"/>
              <w:ind w:left="73" w:right="0"/>
              <w:jc w:val="left"/>
              <w:rPr>
                <w:rFonts w:ascii="Times New Roman" w:hAnsi="Times New Roman" w:cs="Times New Roman" w:eastAsia="Times New Roman" w:hint="default"/>
                <w:sz w:val="20"/>
                <w:szCs w:val="20"/>
              </w:rPr>
            </w:pPr>
            <w:r>
              <w:rPr>
                <w:rFonts w:ascii="Times New Roman"/>
                <w:sz w:val="18"/>
              </w:rPr>
              <w:t>-</w:t>
              <w:tab/>
            </w:r>
            <w:r>
              <w:rPr>
                <w:rFonts w:ascii="Times New Roman"/>
                <w:sz w:val="20"/>
              </w:rPr>
              <w:t>113,494.24</w:t>
            </w:r>
          </w:p>
        </w:tc>
      </w:tr>
      <w:tr>
        <w:trPr>
          <w:trHeight w:val="388" w:hRule="exact"/>
        </w:trPr>
        <w:tc>
          <w:tcPr>
            <w:tcW w:w="3552" w:type="dxa"/>
            <w:tcBorders>
              <w:top w:val="nil" w:sz="6" w:space="0" w:color="auto"/>
              <w:left w:val="nil" w:sz="6" w:space="0" w:color="auto"/>
              <w:bottom w:val="single" w:sz="12" w:space="0" w:color="000000"/>
              <w:right w:val="nil" w:sz="6" w:space="0" w:color="auto"/>
            </w:tcBorders>
          </w:tcPr>
          <w:p>
            <w:pPr>
              <w:pStyle w:val="TableParagraph"/>
              <w:spacing w:line="240" w:lineRule="auto" w:before="108"/>
              <w:ind w:left="206" w:right="0"/>
              <w:jc w:val="center"/>
              <w:rPr>
                <w:rFonts w:ascii="宋体" w:hAnsi="宋体" w:cs="宋体" w:eastAsia="宋体" w:hint="default"/>
                <w:sz w:val="18"/>
                <w:szCs w:val="18"/>
              </w:rPr>
            </w:pPr>
            <w:r>
              <w:rPr>
                <w:rFonts w:ascii="宋体" w:hAnsi="宋体" w:cs="宋体" w:eastAsia="宋体" w:hint="default"/>
                <w:sz w:val="18"/>
                <w:szCs w:val="18"/>
              </w:rPr>
              <w:t>小  计</w:t>
            </w:r>
          </w:p>
        </w:tc>
        <w:tc>
          <w:tcPr>
            <w:tcW w:w="1347" w:type="dxa"/>
            <w:tcBorders>
              <w:top w:val="nil" w:sz="6" w:space="0" w:color="auto"/>
              <w:left w:val="nil" w:sz="6" w:space="0" w:color="auto"/>
              <w:bottom w:val="single" w:sz="12" w:space="0" w:color="000000"/>
              <w:right w:val="nil" w:sz="6" w:space="0" w:color="auto"/>
            </w:tcBorders>
          </w:tcPr>
          <w:p>
            <w:pPr>
              <w:pStyle w:val="TableParagraph"/>
              <w:spacing w:line="240" w:lineRule="auto" w:before="160"/>
              <w:ind w:right="148"/>
              <w:jc w:val="right"/>
              <w:rPr>
                <w:rFonts w:ascii="Times New Roman" w:hAnsi="Times New Roman" w:cs="Times New Roman" w:eastAsia="Times New Roman" w:hint="default"/>
                <w:sz w:val="18"/>
                <w:szCs w:val="18"/>
              </w:rPr>
            </w:pPr>
            <w:r>
              <w:rPr>
                <w:rFonts w:ascii="Times New Roman"/>
                <w:spacing w:val="-1"/>
                <w:sz w:val="18"/>
              </w:rPr>
              <w:t>10,430,603.32</w:t>
            </w:r>
          </w:p>
        </w:tc>
        <w:tc>
          <w:tcPr>
            <w:tcW w:w="2410" w:type="dxa"/>
            <w:tcBorders>
              <w:top w:val="nil" w:sz="6" w:space="0" w:color="auto"/>
              <w:left w:val="nil" w:sz="6" w:space="0" w:color="auto"/>
              <w:bottom w:val="single" w:sz="12" w:space="0" w:color="000000"/>
              <w:right w:val="nil" w:sz="6" w:space="0" w:color="auto"/>
            </w:tcBorders>
          </w:tcPr>
          <w:p>
            <w:pPr>
              <w:pStyle w:val="TableParagraph"/>
              <w:spacing w:line="240" w:lineRule="auto" w:before="139"/>
              <w:ind w:left="479" w:right="0"/>
              <w:jc w:val="left"/>
              <w:rPr>
                <w:rFonts w:ascii="Times New Roman" w:hAnsi="Times New Roman" w:cs="Times New Roman" w:eastAsia="Times New Roman" w:hint="default"/>
                <w:sz w:val="20"/>
                <w:szCs w:val="20"/>
              </w:rPr>
            </w:pPr>
            <w:r>
              <w:rPr>
                <w:rFonts w:ascii="Times New Roman"/>
                <w:sz w:val="20"/>
              </w:rPr>
              <w:t>100.00%</w:t>
            </w:r>
          </w:p>
        </w:tc>
        <w:tc>
          <w:tcPr>
            <w:tcW w:w="1580" w:type="dxa"/>
            <w:tcBorders>
              <w:top w:val="nil" w:sz="6" w:space="0" w:color="auto"/>
              <w:left w:val="nil" w:sz="6" w:space="0" w:color="auto"/>
              <w:bottom w:val="single" w:sz="12" w:space="0" w:color="000000"/>
              <w:right w:val="nil" w:sz="6" w:space="0" w:color="auto"/>
            </w:tcBorders>
          </w:tcPr>
          <w:p>
            <w:pPr>
              <w:pStyle w:val="TableParagraph"/>
              <w:tabs>
                <w:tab w:pos="445" w:val="left" w:leader="none"/>
              </w:tabs>
              <w:spacing w:line="240" w:lineRule="auto" w:before="160"/>
              <w:ind w:left="73" w:right="0"/>
              <w:jc w:val="left"/>
              <w:rPr>
                <w:rFonts w:ascii="Times New Roman" w:hAnsi="Times New Roman" w:cs="Times New Roman" w:eastAsia="Times New Roman" w:hint="default"/>
                <w:sz w:val="18"/>
                <w:szCs w:val="18"/>
              </w:rPr>
            </w:pPr>
            <w:r>
              <w:rPr>
                <w:rFonts w:ascii="Times New Roman"/>
                <w:sz w:val="18"/>
              </w:rPr>
              <w:t>-</w:t>
              <w:tab/>
              <w:t>10,430,603.32</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p>
      <w:pPr>
        <w:spacing w:line="2268" w:lineRule="exact"/>
        <w:ind w:left="535"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34.55pt;height:113.4pt;mso-position-horizontal-relative:char;mso-position-vertical-relative:line" coordorigin="0,0" coordsize="8691,2268">
            <v:group style="position:absolute;left:37;top:15;width:8632;height:2" coordorigin="37,15" coordsize="8632,2">
              <v:shape style="position:absolute;left:37;top:15;width:8632;height:2" coordorigin="37,15" coordsize="8632,0" path="m37,15l8668,15e" filled="false" stroked="true" strokeweight="1.5pt" strokecolor="#000000">
                <v:path arrowok="t"/>
              </v:shape>
              <v:shape style="position:absolute;left:3263;top:11;width:48;height:559" type="#_x0000_t75" stroked="false">
                <v:imagedata r:id="rId62" o:title=""/>
              </v:shape>
              <v:shape style="position:absolute;left:3263;top:532;width:5424;height:568" type="#_x0000_t75" stroked="false">
                <v:imagedata r:id="rId63" o:title=""/>
              </v:shape>
            </v:group>
            <v:group style="position:absolute;left:15;top:2253;width:3268;height:2" coordorigin="15,2253" coordsize="3268,2">
              <v:shape style="position:absolute;left:15;top:2253;width:3268;height:2" coordorigin="15,2253" coordsize="3268,0" path="m15,2253l3283,2253e" filled="false" stroked="true" strokeweight="1.5pt" strokecolor="#000000">
                <v:path arrowok="t"/>
              </v:shape>
              <v:shape style="position:absolute;left:10;top:1061;width:8677;height:1196" type="#_x0000_t75" stroked="false">
                <v:imagedata r:id="rId64" o:title=""/>
              </v:shape>
            </v:group>
            <v:group style="position:absolute;left:3283;top:2253;width:1348;height:2" coordorigin="3283,2253" coordsize="1348,2">
              <v:shape style="position:absolute;left:3283;top:2253;width:1348;height:2" coordorigin="3283,2253" coordsize="1348,0" path="m3283,2253l4630,2253e" filled="false" stroked="true" strokeweight="1.5pt" strokecolor="#000000">
                <v:path arrowok="t"/>
              </v:shape>
              <v:shape style="position:absolute;left:4611;top:1601;width:48;height:656" type="#_x0000_t75" stroked="false">
                <v:imagedata r:id="rId65" o:title=""/>
              </v:shape>
            </v:group>
            <v:group style="position:absolute;left:4630;top:2253;width:1347;height:2" coordorigin="4630,2253" coordsize="1347,2">
              <v:shape style="position:absolute;left:4630;top:2253;width:1347;height:2" coordorigin="4630,2253" coordsize="1347,0" path="m4630,2253l5977,2253e" filled="false" stroked="true" strokeweight="1.5pt" strokecolor="#000000">
                <v:path arrowok="t"/>
              </v:shape>
              <v:shape style="position:absolute;left:5957;top:1601;width:48;height:656" type="#_x0000_t75" stroked="false">
                <v:imagedata r:id="rId65" o:title=""/>
              </v:shape>
            </v:group>
            <v:group style="position:absolute;left:5977;top:2253;width:1348;height:2" coordorigin="5977,2253" coordsize="1348,2">
              <v:shape style="position:absolute;left:5977;top:2253;width:1348;height:2" coordorigin="5977,2253" coordsize="1348,0" path="m5977,2253l7324,2253e" filled="false" stroked="true" strokeweight="1.5pt" strokecolor="#000000">
                <v:path arrowok="t"/>
              </v:shape>
              <v:shape style="position:absolute;left:7305;top:1601;width:48;height:656" type="#_x0000_t75" stroked="false">
                <v:imagedata r:id="rId66" o:title=""/>
              </v:shape>
            </v:group>
            <v:group style="position:absolute;left:7324;top:2253;width:1352;height:2" coordorigin="7324,2253" coordsize="1352,2">
              <v:shape style="position:absolute;left:7324;top:2253;width:1352;height:2" coordorigin="7324,2253" coordsize="1352,0" path="m7324,2253l8675,2253e" filled="false" stroked="true" strokeweight="1.5pt" strokecolor="#000000">
                <v:path arrowok="t"/>
              </v:shape>
              <v:shape style="position:absolute;left:5561;top:362;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1388;top:59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  龄</w:t>
                      </w:r>
                    </w:p>
                  </w:txbxContent>
                </v:textbox>
                <w10:wrap type="none"/>
              </v:shape>
              <v:shape style="position:absolute;left:3646;top:873;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tab/>
                        <w:t>额</w:t>
                      </w:r>
                    </w:p>
                  </w:txbxContent>
                </v:textbox>
                <w10:wrap type="none"/>
              </v:shape>
              <v:shape style="position:absolute;left:4828;top:873;width:96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6295;top:87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732;top:87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  额</w:t>
                      </w:r>
                    </w:p>
                  </w:txbxContent>
                </v:textbox>
                <w10:wrap type="none"/>
              </v:shape>
              <v:shape style="position:absolute;left:137;top:140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单项金额重大的应收账款</w:t>
                      </w:r>
                    </w:p>
                  </w:txbxContent>
                </v:textbox>
                <w10:wrap type="none"/>
              </v:shape>
              <v:shape style="position:absolute;left:3403;top:142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200,238,501.27</w:t>
                      </w:r>
                    </w:p>
                  </w:txbxContent>
                </v:textbox>
                <w10:wrap type="none"/>
              </v:shape>
              <v:shape style="position:absolute;left:5319;top:1421;width:1904;height:180" type="#_x0000_t202" filled="false" stroked="false">
                <v:textbox inset="0,0,0,0">
                  <w:txbxContent>
                    <w:p>
                      <w:pPr>
                        <w:tabs>
                          <w:tab w:pos="77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98.27%</w:t>
                        <w:tab/>
                        <w:t>199,187,147.49</w:t>
                      </w:r>
                    </w:p>
                  </w:txbxContent>
                </v:textbox>
                <w10:wrap type="none"/>
              </v:shape>
              <v:shape style="position:absolute;left:7623;top:142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1,051,353.78</w:t>
                      </w:r>
                    </w:p>
                  </w:txbxContent>
                </v:textbox>
                <w10:wrap type="none"/>
              </v:shape>
              <v:shape style="position:absolute;left:137;top:1885;width:304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单项金额不重大但按信用风险特征组合</w:t>
                      </w:r>
                    </w:p>
                  </w:txbxContent>
                </v:textbox>
                <w10:wrap type="none"/>
              </v:shape>
              <v:shape style="position:absolute;left:3581;top:204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2,600,378.54</w:t>
                      </w:r>
                    </w:p>
                  </w:txbxContent>
                </v:textbox>
                <w10:wrap type="none"/>
              </v:shape>
              <v:shape style="position:absolute;left:5409;top:2049;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1.28%</w:t>
                      </w:r>
                    </w:p>
                  </w:txbxContent>
                </v:textbox>
                <w10:wrap type="none"/>
              </v:shape>
              <v:shape style="position:absolute;left:6275;top:204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2,600,378.54</w:t>
                      </w:r>
                    </w:p>
                  </w:txbxContent>
                </v:textbox>
                <w10:wrap type="none"/>
              </v:shape>
              <v:shape style="position:absolute;left:8508;top:2049;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group>
          </v:group>
        </w:pict>
      </w:r>
      <w:r>
        <w:rPr>
          <w:rFonts w:ascii="宋体" w:hAnsi="宋体" w:cs="宋体" w:eastAsia="宋体" w:hint="default"/>
          <w:position w:val="-44"/>
          <w:sz w:val="20"/>
          <w:szCs w:val="20"/>
        </w:rPr>
      </w:r>
    </w:p>
    <w:p>
      <w:pPr>
        <w:spacing w:after="0" w:line="2268" w:lineRule="exact"/>
        <w:rPr>
          <w:rFonts w:ascii="宋体" w:hAnsi="宋体" w:cs="宋体" w:eastAsia="宋体" w:hint="default"/>
          <w:sz w:val="20"/>
          <w:szCs w:val="20"/>
        </w:rPr>
        <w:sectPr>
          <w:pgSz w:w="11910" w:h="16840"/>
          <w:pgMar w:header="0" w:footer="710" w:top="580" w:bottom="900" w:left="1280" w:right="126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7912"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1750" w:lineRule="exact"/>
        <w:ind w:left="10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4"/>
          <w:sz w:val="20"/>
          <w:szCs w:val="20"/>
        </w:rPr>
        <w:pict>
          <v:group style="width:457.2pt;height:87.55pt;mso-position-horizontal-relative:char;mso-position-vertical-relative:line" coordorigin="0,0" coordsize="9144,1751">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style="position:absolute;left:463;top:29;width:8639;height:2" coordorigin="463,29" coordsize="8639,2">
              <v:shape style="position:absolute;left:463;top:29;width:8639;height:2" coordorigin="463,29" coordsize="8639,0" path="m463,29l9102,29e" filled="false" stroked="true" strokeweight="1.5pt" strokecolor="#000000">
                <v:path arrowok="t"/>
              </v:shape>
              <v:shape style="position:absolute;left:3697;top:25;width:4090;height:655" type="#_x0000_t75" stroked="false">
                <v:imagedata r:id="rId67" o:title=""/>
              </v:shape>
            </v:group>
            <v:group style="position:absolute;left:449;top:1736;width:3268;height:2" coordorigin="449,1736" coordsize="3268,2">
              <v:shape style="position:absolute;left:449;top:1736;width:3268;height:2" coordorigin="449,1736" coordsize="3268,0" path="m449,1736l3716,1736e" filled="false" stroked="true" strokeweight="1.5pt" strokecolor="#000000">
                <v:path arrowok="t"/>
              </v:shape>
              <v:shape style="position:absolute;left:444;top:642;width:8677;height:1098" type="#_x0000_t75" stroked="false">
                <v:imagedata r:id="rId68" o:title=""/>
              </v:shape>
            </v:group>
            <v:group style="position:absolute;left:3716;top:1736;width:1348;height:2" coordorigin="3716,1736" coordsize="1348,2">
              <v:shape style="position:absolute;left:3716;top:1736;width:1348;height:2" coordorigin="3716,1736" coordsize="1348,0" path="m3716,1736l5064,1736e" filled="false" stroked="true" strokeweight="1.5pt" strokecolor="#000000">
                <v:path arrowok="t"/>
              </v:shape>
              <v:shape style="position:absolute;left:5045;top:1182;width:48;height:558" type="#_x0000_t75" stroked="false">
                <v:imagedata r:id="rId69" o:title=""/>
              </v:shape>
            </v:group>
            <v:group style="position:absolute;left:5064;top:1736;width:1347;height:2" coordorigin="5064,1736" coordsize="1347,2">
              <v:shape style="position:absolute;left:5064;top:1736;width:1347;height:2" coordorigin="5064,1736" coordsize="1347,0" path="m5064,1736l6410,1736e" filled="false" stroked="true" strokeweight="1.5pt" strokecolor="#000000">
                <v:path arrowok="t"/>
              </v:shape>
              <v:shape style="position:absolute;left:6391;top:1182;width:48;height:558" type="#_x0000_t75" stroked="false">
                <v:imagedata r:id="rId69" o:title=""/>
              </v:shape>
            </v:group>
            <v:group style="position:absolute;left:6410;top:1736;width:1348;height:2" coordorigin="6410,1736" coordsize="1348,2">
              <v:shape style="position:absolute;left:6410;top:1736;width:1348;height:2" coordorigin="6410,1736" coordsize="1348,0" path="m6410,1736l7758,1736e" filled="false" stroked="true" strokeweight="1.5pt" strokecolor="#000000">
                <v:path arrowok="t"/>
              </v:shape>
              <v:shape style="position:absolute;left:7739;top:1182;width:48;height:558" type="#_x0000_t75" stroked="false">
                <v:imagedata r:id="rId70" o:title=""/>
              </v:shape>
            </v:group>
            <v:group style="position:absolute;left:7758;top:1736;width:1352;height:2" coordorigin="7758,1736" coordsize="1352,2">
              <v:shape style="position:absolute;left:7758;top:1736;width:1352;height:2" coordorigin="7758,1736" coordsize="1352,0" path="m7758,1736l9109,1736e" filled="false" stroked="true" strokeweight="1.5pt" strokecolor="#000000">
                <v:path arrowok="t"/>
              </v:shape>
              <v:shape style="position:absolute;left:571;top:70;width:246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5"/>
                          <w:sz w:val="18"/>
                          <w:szCs w:val="18"/>
                        </w:rPr>
                        <w:t>后该组合的风险较大的应收账款</w:t>
                      </w:r>
                    </w:p>
                  </w:txbxContent>
                </v:textbox>
                <w10:wrap type="none"/>
              </v:shape>
              <v:shape style="position:absolute;left:571;top:983;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其他单项金额不重大应收款项</w:t>
                      </w:r>
                    </w:p>
                  </w:txbxContent>
                </v:textbox>
                <w10:wrap type="none"/>
              </v:shape>
              <v:shape style="position:absolute;left:4150;top:100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922,956.79</w:t>
                      </w:r>
                    </w:p>
                  </w:txbxContent>
                </v:textbox>
                <w10:wrap type="none"/>
              </v:shape>
              <v:shape style="position:absolute;left:5843;top:1002;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0.45%</w:t>
                      </w:r>
                    </w:p>
                  </w:txbxContent>
                </v:textbox>
                <w10:wrap type="none"/>
              </v:shape>
              <v:shape style="position:absolute;left:6851;top:1002;width:80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898,011.43</w:t>
                      </w:r>
                    </w:p>
                  </w:txbxContent>
                </v:textbox>
                <w10:wrap type="none"/>
              </v:shape>
              <v:shape style="position:absolute;left:8281;top:100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24,945.36</w:t>
                      </w:r>
                    </w:p>
                  </w:txbxContent>
                </v:textbox>
                <w10:wrap type="none"/>
              </v:shape>
              <v:shape style="position:absolute;left:1822;top:151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  计</w:t>
                      </w:r>
                    </w:p>
                  </w:txbxContent>
                </v:textbox>
                <w10:wrap type="none"/>
              </v:shape>
              <v:shape style="position:absolute;left:3836;top:1533;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203,761,836.60</w:t>
                      </w:r>
                    </w:p>
                  </w:txbxContent>
                </v:textbox>
                <w10:wrap type="none"/>
              </v:shape>
              <v:shape style="position:absolute;left:5663;top:1533;width:1994;height:180" type="#_x0000_t202" filled="false" stroked="false">
                <v:textbox inset="0,0,0,0">
                  <w:txbxContent>
                    <w:p>
                      <w:pPr>
                        <w:tabs>
                          <w:tab w:pos="86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tab/>
                        <w:t>202,685,537.46</w:t>
                      </w:r>
                    </w:p>
                  </w:txbxContent>
                </v:textbox>
                <w10:wrap type="none"/>
              </v:shape>
              <v:shape style="position:absolute;left:8057;top:153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1,076,299.14</w:t>
                      </w:r>
                    </w:p>
                  </w:txbxContent>
                </v:textbox>
                <w10:wrap type="none"/>
              </v:shape>
            </v:group>
          </v:group>
        </w:pict>
      </w:r>
      <w:r>
        <w:rPr>
          <w:rFonts w:ascii="Times New Roman" w:hAnsi="Times New Roman" w:cs="Times New Roman" w:eastAsia="Times New Roman" w:hint="default"/>
          <w:position w:val="-34"/>
          <w:sz w:val="20"/>
          <w:szCs w:val="20"/>
        </w:rPr>
      </w:r>
    </w:p>
    <w:p>
      <w:pPr>
        <w:spacing w:line="240" w:lineRule="auto" w:before="4"/>
        <w:rPr>
          <w:rFonts w:ascii="Times New Roman" w:hAnsi="Times New Roman" w:cs="Times New Roman" w:eastAsia="Times New Roman" w:hint="default"/>
          <w:sz w:val="10"/>
          <w:szCs w:val="10"/>
        </w:rPr>
      </w:pPr>
    </w:p>
    <w:p>
      <w:pPr>
        <w:spacing w:line="381" w:lineRule="auto" w:before="35"/>
        <w:ind w:left="138" w:right="0"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、本公司根据公司经营规模、业务性质及客户结算状况等确定单项金额重大的其他应收款标</w:t>
      </w:r>
      <w:r>
        <w:rPr>
          <w:rFonts w:ascii="宋体" w:hAnsi="宋体" w:cs="宋体" w:eastAsia="宋体" w:hint="default"/>
          <w:spacing w:val="2"/>
          <w:sz w:val="21"/>
          <w:szCs w:val="21"/>
        </w:rPr>
        <w:t> </w:t>
      </w:r>
      <w:r>
        <w:rPr>
          <w:rFonts w:ascii="宋体" w:hAnsi="宋体" w:cs="宋体" w:eastAsia="宋体" w:hint="default"/>
          <w:sz w:val="21"/>
          <w:szCs w:val="21"/>
        </w:rPr>
        <w:t>准为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w:t>
      </w:r>
    </w:p>
    <w:p>
      <w:pPr>
        <w:spacing w:line="453" w:lineRule="auto" w:before="91"/>
        <w:ind w:left="138" w:right="0" w:firstLine="420"/>
        <w:jc w:val="left"/>
        <w:rPr>
          <w:rFonts w:ascii="宋体" w:hAnsi="宋体" w:cs="宋体" w:eastAsia="宋体" w:hint="default"/>
          <w:sz w:val="21"/>
          <w:szCs w:val="21"/>
        </w:rPr>
      </w:pPr>
      <w:r>
        <w:rPr>
          <w:rFonts w:ascii="宋体" w:hAnsi="宋体" w:cs="宋体" w:eastAsia="宋体" w:hint="default"/>
          <w:spacing w:val="-2"/>
          <w:sz w:val="21"/>
          <w:szCs w:val="21"/>
        </w:rPr>
        <w:t>B、单项金额不重大但按信用风险特征组合后该组合的风险较大的其他应收款，是指单笔金额为</w:t>
      </w:r>
      <w:r>
        <w:rPr>
          <w:rFonts w:ascii="宋体" w:hAnsi="宋体" w:cs="宋体" w:eastAsia="宋体" w:hint="default"/>
          <w:sz w:val="21"/>
          <w:szCs w:val="21"/>
        </w:rPr>
        <w:t> 100,000.00元以上低于500,000.00元；</w:t>
      </w:r>
    </w:p>
    <w:p>
      <w:pPr>
        <w:spacing w:before="59"/>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C</w:t>
      </w:r>
      <w:r>
        <w:rPr>
          <w:rFonts w:ascii="宋体" w:hAnsi="宋体" w:cs="宋体" w:eastAsia="宋体" w:hint="default"/>
          <w:sz w:val="21"/>
          <w:szCs w:val="21"/>
        </w:rPr>
        <w:t>、单项金额不重大的其他应收款是指单笔金额为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元以下的款项。</w:t>
      </w:r>
    </w:p>
    <w:p>
      <w:pPr>
        <w:spacing w:line="240" w:lineRule="auto" w:before="6"/>
        <w:rPr>
          <w:rFonts w:ascii="宋体" w:hAnsi="宋体" w:cs="宋体" w:eastAsia="宋体" w:hint="default"/>
          <w:sz w:val="17"/>
          <w:szCs w:val="17"/>
        </w:rPr>
      </w:pPr>
    </w:p>
    <w:p>
      <w:pPr>
        <w:spacing w:before="0"/>
        <w:ind w:left="454" w:right="0" w:firstLine="0"/>
        <w:jc w:val="left"/>
        <w:rPr>
          <w:rFonts w:ascii="宋体" w:hAnsi="宋体" w:cs="宋体" w:eastAsia="宋体" w:hint="default"/>
          <w:sz w:val="21"/>
          <w:szCs w:val="21"/>
        </w:rPr>
      </w:pPr>
      <w:r>
        <w:rPr/>
        <w:pict>
          <v:group style="position:absolute;margin-left:90.959999pt;margin-top:15.323355pt;width:434.2pt;height:134.5pt;mso-position-horizontal-relative:page;mso-position-vertical-relative:paragraph;z-index:-448696" coordorigin="1819,306" coordsize="8684,2690">
            <v:group style="position:absolute;left:1846;top:321;width:8638;height:2" coordorigin="1846,321" coordsize="8638,2">
              <v:shape style="position:absolute;left:1846;top:321;width:8638;height:2" coordorigin="1846,321" coordsize="8638,0" path="m1846,321l10483,321e" filled="false" stroked="true" strokeweight="1.5pt" strokecolor="#000000">
                <v:path arrowok="t"/>
              </v:shape>
              <v:shape style="position:absolute;left:3545;top:317;width:48;height:559" type="#_x0000_t75" stroked="false">
                <v:imagedata r:id="rId71" o:title=""/>
              </v:shape>
              <v:shape style="position:absolute;left:3545;top:838;width:6958;height:568" type="#_x0000_t75" stroked="false">
                <v:imagedata r:id="rId72" o:title=""/>
              </v:shape>
              <v:shape style="position:absolute;left:1819;top:1367;width:8683;height:1628" type="#_x0000_t75" stroked="false">
                <v:imagedata r:id="rId73" o:title=""/>
              </v:shape>
              <v:shape style="position:absolute;left:5274;top:2438;width:48;height:558" type="#_x0000_t75" stroked="false">
                <v:imagedata r:id="rId74" o:title=""/>
              </v:shape>
              <v:shape style="position:absolute;left:7006;top:2438;width:48;height:558" type="#_x0000_t75" stroked="false">
                <v:imagedata r:id="rId74" o:title=""/>
              </v:shape>
              <v:shape style="position:absolute;left:8736;top:2438;width:48;height:558" type="#_x0000_t75" stroked="false">
                <v:imagedata r:id="rId75" o:title=""/>
              </v:shape>
              <v:shape style="position:absolute;left:6539;top:640;width:9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2008-12-31</w:t>
                      </w:r>
                    </w:p>
                  </w:txbxContent>
                </v:textbox>
                <w10:wrap type="none"/>
              </v:shape>
              <v:shape style="position:absolute;left:2388;top:864;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w:t>
                        <w:tab/>
                        <w:t>龄</w:t>
                      </w:r>
                    </w:p>
                  </w:txbxContent>
                </v:textbox>
                <w10:wrap type="none"/>
              </v:shape>
              <v:shape style="position:absolute;left:4066;top:1145;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tab/>
                        <w:t>额</w:t>
                      </w:r>
                    </w:p>
                  </w:txbxContent>
                </v:textbox>
                <w10:wrap type="none"/>
              </v:shape>
              <v:shape style="position:absolute;left:5990;top:1145;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 例</w:t>
                      </w:r>
                    </w:p>
                  </w:txbxContent>
                </v:textbox>
                <w10:wrap type="none"/>
              </v:shape>
              <v:shape style="position:absolute;left:7475;top:114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shape style="position:absolute;left:9310;top:1145;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净</w:t>
                        <w:tab/>
                        <w:t>额</w:t>
                      </w:r>
                    </w:p>
                  </w:txbxContent>
                </v:textbox>
                <w10:wrap type="non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）其他应收款账龄分析如下：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tbl>
      <w:tblPr>
        <w:tblW w:w="0" w:type="auto"/>
        <w:jc w:val="left"/>
        <w:tblInd w:w="544" w:type="dxa"/>
        <w:tblLayout w:type="fixed"/>
        <w:tblCellMar>
          <w:top w:w="0" w:type="dxa"/>
          <w:left w:w="0" w:type="dxa"/>
          <w:bottom w:w="0" w:type="dxa"/>
          <w:right w:w="0" w:type="dxa"/>
        </w:tblCellMar>
        <w:tblLook w:val="01E0"/>
      </w:tblPr>
      <w:tblGrid>
        <w:gridCol w:w="974"/>
        <w:gridCol w:w="730"/>
        <w:gridCol w:w="2153"/>
        <w:gridCol w:w="2072"/>
        <w:gridCol w:w="2738"/>
      </w:tblGrid>
      <w:tr>
        <w:trPr>
          <w:trHeight w:val="483" w:hRule="exact"/>
        </w:trPr>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730"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486"/>
              <w:jc w:val="right"/>
              <w:rPr>
                <w:rFonts w:ascii="Times New Roman" w:hAnsi="Times New Roman" w:cs="Times New Roman" w:eastAsia="Times New Roman" w:hint="default"/>
                <w:sz w:val="21"/>
                <w:szCs w:val="21"/>
              </w:rPr>
            </w:pPr>
            <w:r>
              <w:rPr>
                <w:rFonts w:ascii="Times New Roman"/>
                <w:spacing w:val="-1"/>
                <w:sz w:val="21"/>
              </w:rPr>
              <w:t>10,421,503.32</w:t>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827"/>
              <w:jc w:val="right"/>
              <w:rPr>
                <w:rFonts w:ascii="Times New Roman" w:hAnsi="Times New Roman" w:cs="Times New Roman" w:eastAsia="Times New Roman" w:hint="default"/>
                <w:sz w:val="21"/>
                <w:szCs w:val="21"/>
              </w:rPr>
            </w:pPr>
            <w:r>
              <w:rPr>
                <w:rFonts w:ascii="Times New Roman"/>
                <w:spacing w:val="-1"/>
                <w:sz w:val="21"/>
              </w:rPr>
              <w:t>99.91%</w:t>
            </w:r>
          </w:p>
        </w:tc>
        <w:tc>
          <w:tcPr>
            <w:tcW w:w="2738" w:type="dxa"/>
            <w:tcBorders>
              <w:top w:val="nil" w:sz="6" w:space="0" w:color="auto"/>
              <w:left w:val="nil" w:sz="6" w:space="0" w:color="auto"/>
              <w:bottom w:val="nil" w:sz="6" w:space="0" w:color="auto"/>
              <w:right w:val="nil" w:sz="6" w:space="0" w:color="auto"/>
            </w:tcBorders>
          </w:tcPr>
          <w:p>
            <w:pPr>
              <w:pStyle w:val="TableParagraph"/>
              <w:tabs>
                <w:tab w:pos="594" w:val="left" w:leader="none"/>
              </w:tabs>
              <w:spacing w:line="240" w:lineRule="auto" w:before="99"/>
              <w:ind w:right="104"/>
              <w:jc w:val="right"/>
              <w:rPr>
                <w:rFonts w:ascii="Times New Roman" w:hAnsi="Times New Roman" w:cs="Times New Roman" w:eastAsia="Times New Roman" w:hint="default"/>
                <w:sz w:val="21"/>
                <w:szCs w:val="21"/>
              </w:rPr>
            </w:pPr>
            <w:r>
              <w:rPr>
                <w:rFonts w:ascii="Times New Roman"/>
                <w:sz w:val="21"/>
              </w:rPr>
              <w:t>-</w:t>
              <w:tab/>
            </w:r>
            <w:r>
              <w:rPr>
                <w:rFonts w:ascii="Times New Roman"/>
                <w:spacing w:val="-1"/>
                <w:sz w:val="21"/>
              </w:rPr>
              <w:t>10,421,503.32</w:t>
            </w:r>
          </w:p>
        </w:tc>
      </w:tr>
      <w:tr>
        <w:trPr>
          <w:trHeight w:val="530" w:hRule="exact"/>
        </w:trPr>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730"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488"/>
              <w:jc w:val="right"/>
              <w:rPr>
                <w:rFonts w:ascii="Times New Roman" w:hAnsi="Times New Roman" w:cs="Times New Roman" w:eastAsia="Times New Roman" w:hint="default"/>
                <w:sz w:val="21"/>
                <w:szCs w:val="21"/>
              </w:rPr>
            </w:pPr>
            <w:r>
              <w:rPr>
                <w:rFonts w:ascii="Times New Roman"/>
                <w:spacing w:val="-1"/>
                <w:sz w:val="21"/>
              </w:rPr>
              <w:t>9,100.00</w:t>
            </w:r>
            <w:r>
              <w:rPr>
                <w:rFonts w:ascii="Times New Roman"/>
                <w:sz w:val="21"/>
              </w:rPr>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829"/>
              <w:jc w:val="right"/>
              <w:rPr>
                <w:rFonts w:ascii="Times New Roman" w:hAnsi="Times New Roman" w:cs="Times New Roman" w:eastAsia="Times New Roman" w:hint="default"/>
                <w:sz w:val="21"/>
                <w:szCs w:val="21"/>
              </w:rPr>
            </w:pPr>
            <w:r>
              <w:rPr>
                <w:rFonts w:ascii="Times New Roman"/>
                <w:spacing w:val="-1"/>
                <w:sz w:val="21"/>
              </w:rPr>
              <w:t>0.09%</w:t>
            </w:r>
          </w:p>
        </w:tc>
        <w:tc>
          <w:tcPr>
            <w:tcW w:w="2738" w:type="dxa"/>
            <w:tcBorders>
              <w:top w:val="nil" w:sz="6" w:space="0" w:color="auto"/>
              <w:left w:val="nil" w:sz="6" w:space="0" w:color="auto"/>
              <w:bottom w:val="nil" w:sz="6" w:space="0" w:color="auto"/>
              <w:right w:val="nil" w:sz="6" w:space="0" w:color="auto"/>
            </w:tcBorders>
          </w:tcPr>
          <w:p>
            <w:pPr>
              <w:pStyle w:val="TableParagraph"/>
              <w:tabs>
                <w:tab w:pos="1065" w:val="left" w:leader="none"/>
              </w:tabs>
              <w:spacing w:line="240" w:lineRule="auto" w:before="146"/>
              <w:ind w:right="106"/>
              <w:jc w:val="right"/>
              <w:rPr>
                <w:rFonts w:ascii="Times New Roman" w:hAnsi="Times New Roman" w:cs="Times New Roman" w:eastAsia="Times New Roman" w:hint="default"/>
                <w:sz w:val="21"/>
                <w:szCs w:val="21"/>
              </w:rPr>
            </w:pPr>
            <w:r>
              <w:rPr>
                <w:rFonts w:ascii="Times New Roman"/>
                <w:sz w:val="21"/>
              </w:rPr>
              <w:t>-</w:t>
              <w:tab/>
            </w:r>
            <w:r>
              <w:rPr>
                <w:rFonts w:ascii="Times New Roman"/>
                <w:spacing w:val="-1"/>
                <w:sz w:val="21"/>
              </w:rPr>
              <w:t>9,100.00</w:t>
            </w:r>
            <w:r>
              <w:rPr>
                <w:rFonts w:ascii="Times New Roman"/>
                <w:sz w:val="21"/>
              </w:rPr>
            </w:r>
          </w:p>
        </w:tc>
      </w:tr>
      <w:tr>
        <w:trPr>
          <w:trHeight w:val="404" w:hRule="exact"/>
        </w:trPr>
        <w:tc>
          <w:tcPr>
            <w:tcW w:w="974"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left="511" w:right="0"/>
              <w:jc w:val="left"/>
              <w:rPr>
                <w:rFonts w:ascii="宋体" w:hAnsi="宋体" w:cs="宋体" w:eastAsia="宋体" w:hint="default"/>
                <w:sz w:val="21"/>
                <w:szCs w:val="21"/>
              </w:rPr>
            </w:pPr>
            <w:r>
              <w:rPr>
                <w:rFonts w:ascii="宋体" w:hAnsi="宋体" w:cs="宋体" w:eastAsia="宋体" w:hint="default"/>
                <w:sz w:val="21"/>
                <w:szCs w:val="21"/>
              </w:rPr>
              <w:t>合</w:t>
            </w:r>
          </w:p>
        </w:tc>
        <w:tc>
          <w:tcPr>
            <w:tcW w:w="730"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left="63"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153" w:type="dxa"/>
            <w:tcBorders>
              <w:top w:val="nil" w:sz="6" w:space="0" w:color="auto"/>
              <w:left w:val="nil" w:sz="6" w:space="0" w:color="auto"/>
              <w:bottom w:val="single" w:sz="12" w:space="0" w:color="000000"/>
              <w:right w:val="nil" w:sz="6" w:space="0" w:color="auto"/>
            </w:tcBorders>
          </w:tcPr>
          <w:p>
            <w:pPr>
              <w:pStyle w:val="TableParagraph"/>
              <w:spacing w:line="240" w:lineRule="auto" w:before="146"/>
              <w:ind w:right="486"/>
              <w:jc w:val="right"/>
              <w:rPr>
                <w:rFonts w:ascii="Times New Roman" w:hAnsi="Times New Roman" w:cs="Times New Roman" w:eastAsia="Times New Roman" w:hint="default"/>
                <w:sz w:val="21"/>
                <w:szCs w:val="21"/>
              </w:rPr>
            </w:pPr>
            <w:r>
              <w:rPr>
                <w:rFonts w:ascii="Times New Roman"/>
                <w:spacing w:val="-1"/>
                <w:sz w:val="21"/>
              </w:rPr>
              <w:t>10,430,603.32</w:t>
            </w:r>
          </w:p>
        </w:tc>
        <w:tc>
          <w:tcPr>
            <w:tcW w:w="2072" w:type="dxa"/>
            <w:tcBorders>
              <w:top w:val="nil" w:sz="6" w:space="0" w:color="auto"/>
              <w:left w:val="nil" w:sz="6" w:space="0" w:color="auto"/>
              <w:bottom w:val="single" w:sz="12" w:space="0" w:color="000000"/>
              <w:right w:val="nil" w:sz="6" w:space="0" w:color="auto"/>
            </w:tcBorders>
          </w:tcPr>
          <w:p>
            <w:pPr>
              <w:pStyle w:val="TableParagraph"/>
              <w:spacing w:line="240" w:lineRule="auto" w:before="146"/>
              <w:ind w:right="828"/>
              <w:jc w:val="right"/>
              <w:rPr>
                <w:rFonts w:ascii="Times New Roman" w:hAnsi="Times New Roman" w:cs="Times New Roman" w:eastAsia="Times New Roman" w:hint="default"/>
                <w:sz w:val="21"/>
                <w:szCs w:val="21"/>
              </w:rPr>
            </w:pPr>
            <w:r>
              <w:rPr>
                <w:rFonts w:ascii="Times New Roman"/>
                <w:spacing w:val="-1"/>
                <w:sz w:val="21"/>
              </w:rPr>
              <w:t>100.00%</w:t>
            </w:r>
          </w:p>
        </w:tc>
        <w:tc>
          <w:tcPr>
            <w:tcW w:w="2738" w:type="dxa"/>
            <w:tcBorders>
              <w:top w:val="nil" w:sz="6" w:space="0" w:color="auto"/>
              <w:left w:val="nil" w:sz="6" w:space="0" w:color="auto"/>
              <w:bottom w:val="single" w:sz="12" w:space="0" w:color="000000"/>
              <w:right w:val="nil" w:sz="6" w:space="0" w:color="auto"/>
            </w:tcBorders>
          </w:tcPr>
          <w:p>
            <w:pPr>
              <w:pStyle w:val="TableParagraph"/>
              <w:tabs>
                <w:tab w:pos="593" w:val="left" w:leader="none"/>
              </w:tabs>
              <w:spacing w:line="240" w:lineRule="auto" w:before="146"/>
              <w:ind w:right="103"/>
              <w:jc w:val="right"/>
              <w:rPr>
                <w:rFonts w:ascii="Times New Roman" w:hAnsi="Times New Roman" w:cs="Times New Roman" w:eastAsia="Times New Roman" w:hint="default"/>
                <w:sz w:val="21"/>
                <w:szCs w:val="21"/>
              </w:rPr>
            </w:pPr>
            <w:r>
              <w:rPr>
                <w:rFonts w:ascii="Times New Roman"/>
                <w:sz w:val="21"/>
              </w:rPr>
              <w:t>-</w:t>
              <w:tab/>
            </w:r>
            <w:r>
              <w:rPr>
                <w:rFonts w:ascii="Times New Roman"/>
                <w:spacing w:val="-1"/>
                <w:sz w:val="21"/>
              </w:rPr>
              <w:t>10,430,603.32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544" w:type="dxa"/>
        <w:tblLayout w:type="fixed"/>
        <w:tblCellMar>
          <w:top w:w="0" w:type="dxa"/>
          <w:left w:w="0" w:type="dxa"/>
          <w:bottom w:w="0" w:type="dxa"/>
          <w:right w:w="0" w:type="dxa"/>
        </w:tblCellMar>
        <w:tblLook w:val="01E0"/>
      </w:tblPr>
      <w:tblGrid>
        <w:gridCol w:w="896"/>
        <w:gridCol w:w="729"/>
        <w:gridCol w:w="2143"/>
        <w:gridCol w:w="1540"/>
        <w:gridCol w:w="1850"/>
        <w:gridCol w:w="1509"/>
      </w:tblGrid>
      <w:tr>
        <w:trPr>
          <w:trHeight w:val="630" w:hRule="exact"/>
        </w:trPr>
        <w:tc>
          <w:tcPr>
            <w:tcW w:w="896" w:type="dxa"/>
            <w:tcBorders>
              <w:top w:val="nil" w:sz="6" w:space="0" w:color="auto"/>
              <w:left w:val="nil" w:sz="6" w:space="0" w:color="auto"/>
              <w:bottom w:val="nil" w:sz="6" w:space="0" w:color="auto"/>
              <w:right w:val="nil" w:sz="6" w:space="0" w:color="auto"/>
            </w:tcBorders>
          </w:tcPr>
          <w:p>
            <w:pPr>
              <w:pStyle w:val="TableParagraph"/>
              <w:spacing w:line="210" w:lineRule="exact"/>
              <w:ind w:left="564" w:right="0"/>
              <w:jc w:val="left"/>
              <w:rPr>
                <w:rFonts w:ascii="宋体" w:hAnsi="宋体" w:cs="宋体" w:eastAsia="宋体" w:hint="default"/>
                <w:sz w:val="21"/>
                <w:szCs w:val="21"/>
              </w:rPr>
            </w:pPr>
            <w:r>
              <w:rPr>
                <w:rFonts w:ascii="宋体" w:hAnsi="宋体" w:cs="宋体" w:eastAsia="宋体" w:hint="default"/>
                <w:sz w:val="21"/>
                <w:szCs w:val="21"/>
              </w:rPr>
              <w:t>账</w:t>
            </w:r>
          </w:p>
        </w:tc>
        <w:tc>
          <w:tcPr>
            <w:tcW w:w="729" w:type="dxa"/>
            <w:tcBorders>
              <w:top w:val="nil" w:sz="6" w:space="0" w:color="auto"/>
              <w:left w:val="nil" w:sz="6" w:space="0" w:color="auto"/>
              <w:bottom w:val="nil" w:sz="6" w:space="0" w:color="auto"/>
              <w:right w:val="nil" w:sz="6" w:space="0" w:color="auto"/>
            </w:tcBorders>
          </w:tcPr>
          <w:p>
            <w:pPr>
              <w:pStyle w:val="TableParagraph"/>
              <w:spacing w:line="210" w:lineRule="exact"/>
              <w:ind w:left="89" w:right="0"/>
              <w:jc w:val="left"/>
              <w:rPr>
                <w:rFonts w:ascii="宋体" w:hAnsi="宋体" w:cs="宋体" w:eastAsia="宋体" w:hint="default"/>
                <w:sz w:val="21"/>
                <w:szCs w:val="21"/>
              </w:rPr>
            </w:pPr>
            <w:r>
              <w:rPr>
                <w:rFonts w:ascii="宋体" w:hAnsi="宋体" w:cs="宋体" w:eastAsia="宋体" w:hint="default"/>
                <w:sz w:val="21"/>
                <w:szCs w:val="21"/>
              </w:rPr>
              <w:t>龄</w:t>
            </w: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tabs>
                <w:tab w:pos="1142" w:val="left" w:leader="none"/>
              </w:tabs>
              <w:spacing w:line="240" w:lineRule="auto"/>
              <w:ind w:left="616"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98" w:right="0"/>
              <w:jc w:val="left"/>
              <w:rPr>
                <w:rFonts w:ascii="宋体" w:hAnsi="宋体" w:cs="宋体" w:eastAsia="宋体" w:hint="default"/>
                <w:sz w:val="21"/>
                <w:szCs w:val="21"/>
              </w:rPr>
            </w:pPr>
            <w:r>
              <w:rPr>
                <w:rFonts w:ascii="宋体" w:hAnsi="宋体" w:cs="宋体" w:eastAsia="宋体" w:hint="default"/>
                <w:sz w:val="21"/>
                <w:szCs w:val="21"/>
              </w:rPr>
              <w:t>比 例</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tabs>
                <w:tab w:pos="749" w:val="left" w:leader="none"/>
              </w:tabs>
              <w:spacing w:line="240" w:lineRule="auto"/>
              <w:ind w:left="328" w:right="0"/>
              <w:jc w:val="left"/>
              <w:rPr>
                <w:rFonts w:ascii="宋体" w:hAnsi="宋体" w:cs="宋体" w:eastAsia="宋体" w:hint="default"/>
                <w:sz w:val="21"/>
                <w:szCs w:val="21"/>
              </w:rPr>
            </w:pPr>
            <w:r>
              <w:rPr>
                <w:rFonts w:ascii="宋体" w:hAnsi="宋体" w:cs="宋体" w:eastAsia="宋体" w:hint="default"/>
                <w:sz w:val="21"/>
                <w:szCs w:val="21"/>
              </w:rPr>
              <w:t>净</w:t>
              <w:tab/>
              <w:t>额</w:t>
            </w:r>
          </w:p>
        </w:tc>
      </w:tr>
      <w:tr>
        <w:trPr>
          <w:trHeight w:val="524" w:hRule="exact"/>
        </w:trPr>
        <w:tc>
          <w:tcPr>
            <w:tcW w:w="896"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22" w:right="-15"/>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729" w:type="dxa"/>
            <w:tcBorders>
              <w:top w:val="nil" w:sz="6" w:space="0" w:color="auto"/>
              <w:left w:val="nil" w:sz="6" w:space="0" w:color="auto"/>
              <w:bottom w:val="nil" w:sz="6" w:space="0" w:color="auto"/>
              <w:right w:val="nil" w:sz="6" w:space="0" w:color="auto"/>
            </w:tcBorders>
          </w:tcPr>
          <w:p>
            <w:pP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396"/>
              <w:jc w:val="right"/>
              <w:rPr>
                <w:rFonts w:ascii="Times New Roman" w:hAnsi="Times New Roman" w:cs="Times New Roman" w:eastAsia="Times New Roman" w:hint="default"/>
                <w:sz w:val="21"/>
                <w:szCs w:val="21"/>
              </w:rPr>
            </w:pPr>
            <w:r>
              <w:rPr>
                <w:rFonts w:ascii="Times New Roman"/>
                <w:spacing w:val="-1"/>
                <w:sz w:val="21"/>
              </w:rPr>
              <w:t>1,094,976.90</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207"/>
              <w:jc w:val="right"/>
              <w:rPr>
                <w:rFonts w:ascii="Times New Roman" w:hAnsi="Times New Roman" w:cs="Times New Roman" w:eastAsia="Times New Roman" w:hint="default"/>
                <w:sz w:val="21"/>
                <w:szCs w:val="21"/>
              </w:rPr>
            </w:pPr>
            <w:r>
              <w:rPr>
                <w:rFonts w:ascii="Times New Roman"/>
                <w:spacing w:val="-1"/>
                <w:sz w:val="21"/>
              </w:rPr>
              <w:t>0.54%</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327"/>
              <w:jc w:val="right"/>
              <w:rPr>
                <w:rFonts w:ascii="Times New Roman" w:hAnsi="Times New Roman" w:cs="Times New Roman" w:eastAsia="Times New Roman" w:hint="default"/>
                <w:sz w:val="21"/>
                <w:szCs w:val="21"/>
              </w:rPr>
            </w:pPr>
            <w:r>
              <w:rPr>
                <w:rFonts w:ascii="Times New Roman"/>
                <w:spacing w:val="-1"/>
                <w:sz w:val="21"/>
              </w:rPr>
              <w:t>18,677.76</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1,076,299.14</w:t>
            </w:r>
          </w:p>
        </w:tc>
      </w:tr>
      <w:tr>
        <w:trPr>
          <w:trHeight w:val="510" w:hRule="exact"/>
        </w:trPr>
        <w:tc>
          <w:tcPr>
            <w:tcW w:w="89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729" w:type="dxa"/>
            <w:tcBorders>
              <w:top w:val="nil" w:sz="6" w:space="0" w:color="auto"/>
              <w:left w:val="nil" w:sz="6" w:space="0" w:color="auto"/>
              <w:bottom w:val="nil" w:sz="6" w:space="0" w:color="auto"/>
              <w:right w:val="nil" w:sz="6" w:space="0" w:color="auto"/>
            </w:tcBorders>
          </w:tcPr>
          <w:p>
            <w:pP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97"/>
              <w:jc w:val="right"/>
              <w:rPr>
                <w:rFonts w:ascii="Times New Roman" w:hAnsi="Times New Roman" w:cs="Times New Roman" w:eastAsia="Times New Roman" w:hint="default"/>
                <w:sz w:val="21"/>
                <w:szCs w:val="21"/>
              </w:rPr>
            </w:pPr>
            <w:r>
              <w:rPr>
                <w:rFonts w:ascii="Times New Roman"/>
                <w:spacing w:val="-1"/>
                <w:sz w:val="21"/>
              </w:rPr>
              <w:t>35,936,817.94</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5"/>
              <w:jc w:val="right"/>
              <w:rPr>
                <w:rFonts w:ascii="Times New Roman" w:hAnsi="Times New Roman" w:cs="Times New Roman" w:eastAsia="Times New Roman" w:hint="default"/>
                <w:sz w:val="21"/>
                <w:szCs w:val="21"/>
              </w:rPr>
            </w:pPr>
            <w:r>
              <w:rPr>
                <w:rFonts w:ascii="Times New Roman"/>
                <w:spacing w:val="-1"/>
                <w:sz w:val="21"/>
              </w:rPr>
              <w:t>17.64%</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26"/>
              <w:jc w:val="right"/>
              <w:rPr>
                <w:rFonts w:ascii="Times New Roman" w:hAnsi="Times New Roman" w:cs="Times New Roman" w:eastAsia="Times New Roman" w:hint="default"/>
                <w:sz w:val="21"/>
                <w:szCs w:val="21"/>
              </w:rPr>
            </w:pPr>
            <w:r>
              <w:rPr>
                <w:rFonts w:ascii="Times New Roman"/>
                <w:spacing w:val="-1"/>
                <w:sz w:val="21"/>
              </w:rPr>
              <w:t>35,936,817.94</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0" w:hRule="exact"/>
        </w:trPr>
        <w:tc>
          <w:tcPr>
            <w:tcW w:w="89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729" w:type="dxa"/>
            <w:tcBorders>
              <w:top w:val="nil" w:sz="6" w:space="0" w:color="auto"/>
              <w:left w:val="nil" w:sz="6" w:space="0" w:color="auto"/>
              <w:bottom w:val="nil" w:sz="6" w:space="0" w:color="auto"/>
              <w:right w:val="nil" w:sz="6" w:space="0" w:color="auto"/>
            </w:tcBorders>
          </w:tcPr>
          <w:p>
            <w:pP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97"/>
              <w:jc w:val="right"/>
              <w:rPr>
                <w:rFonts w:ascii="Times New Roman" w:hAnsi="Times New Roman" w:cs="Times New Roman" w:eastAsia="Times New Roman" w:hint="default"/>
                <w:sz w:val="21"/>
                <w:szCs w:val="21"/>
              </w:rPr>
            </w:pPr>
            <w:r>
              <w:rPr>
                <w:rFonts w:ascii="Times New Roman"/>
                <w:spacing w:val="-1"/>
                <w:sz w:val="21"/>
              </w:rPr>
              <w:t>29,932,935.07</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5"/>
              <w:jc w:val="right"/>
              <w:rPr>
                <w:rFonts w:ascii="Times New Roman" w:hAnsi="Times New Roman" w:cs="Times New Roman" w:eastAsia="Times New Roman" w:hint="default"/>
                <w:sz w:val="21"/>
                <w:szCs w:val="21"/>
              </w:rPr>
            </w:pPr>
            <w:r>
              <w:rPr>
                <w:rFonts w:ascii="Times New Roman"/>
                <w:spacing w:val="-1"/>
                <w:sz w:val="21"/>
              </w:rPr>
              <w:t>14.69%</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26"/>
              <w:jc w:val="right"/>
              <w:rPr>
                <w:rFonts w:ascii="Times New Roman" w:hAnsi="Times New Roman" w:cs="Times New Roman" w:eastAsia="Times New Roman" w:hint="default"/>
                <w:sz w:val="21"/>
                <w:szCs w:val="21"/>
              </w:rPr>
            </w:pPr>
            <w:r>
              <w:rPr>
                <w:rFonts w:ascii="Times New Roman"/>
                <w:spacing w:val="-1"/>
                <w:sz w:val="21"/>
              </w:rPr>
              <w:t>29,932,935.07</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0" w:hRule="exact"/>
        </w:trPr>
        <w:tc>
          <w:tcPr>
            <w:tcW w:w="89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729" w:type="dxa"/>
            <w:tcBorders>
              <w:top w:val="nil" w:sz="6" w:space="0" w:color="auto"/>
              <w:left w:val="nil" w:sz="6" w:space="0" w:color="auto"/>
              <w:bottom w:val="nil" w:sz="6" w:space="0" w:color="auto"/>
              <w:right w:val="nil" w:sz="6" w:space="0" w:color="auto"/>
            </w:tcBorders>
          </w:tcPr>
          <w:p>
            <w:pP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98"/>
              <w:jc w:val="right"/>
              <w:rPr>
                <w:rFonts w:ascii="Times New Roman" w:hAnsi="Times New Roman" w:cs="Times New Roman" w:eastAsia="Times New Roman" w:hint="default"/>
                <w:sz w:val="21"/>
                <w:szCs w:val="21"/>
              </w:rPr>
            </w:pPr>
            <w:r>
              <w:rPr>
                <w:rFonts w:ascii="Times New Roman"/>
                <w:spacing w:val="-1"/>
                <w:sz w:val="21"/>
              </w:rPr>
              <w:t>136,797,106.69</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5"/>
              <w:jc w:val="right"/>
              <w:rPr>
                <w:rFonts w:ascii="Times New Roman" w:hAnsi="Times New Roman" w:cs="Times New Roman" w:eastAsia="Times New Roman" w:hint="default"/>
                <w:sz w:val="21"/>
                <w:szCs w:val="21"/>
              </w:rPr>
            </w:pPr>
            <w:r>
              <w:rPr>
                <w:rFonts w:ascii="Times New Roman"/>
                <w:spacing w:val="-1"/>
                <w:sz w:val="21"/>
              </w:rPr>
              <w:t>67.14%</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208" w:right="0"/>
              <w:jc w:val="left"/>
              <w:rPr>
                <w:rFonts w:ascii="Times New Roman" w:hAnsi="Times New Roman" w:cs="Times New Roman" w:eastAsia="Times New Roman" w:hint="default"/>
                <w:sz w:val="21"/>
                <w:szCs w:val="21"/>
              </w:rPr>
            </w:pPr>
            <w:r>
              <w:rPr>
                <w:rFonts w:ascii="Times New Roman"/>
                <w:sz w:val="21"/>
              </w:rPr>
              <w:t>136,797,106.69</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94" w:hRule="exact"/>
        </w:trPr>
        <w:tc>
          <w:tcPr>
            <w:tcW w:w="896"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left="564" w:right="0"/>
              <w:jc w:val="left"/>
              <w:rPr>
                <w:rFonts w:ascii="宋体" w:hAnsi="宋体" w:cs="宋体" w:eastAsia="宋体" w:hint="default"/>
                <w:sz w:val="21"/>
                <w:szCs w:val="21"/>
              </w:rPr>
            </w:pPr>
            <w:r>
              <w:rPr>
                <w:rFonts w:ascii="宋体" w:hAnsi="宋体" w:cs="宋体" w:eastAsia="宋体" w:hint="default"/>
                <w:sz w:val="21"/>
                <w:szCs w:val="21"/>
              </w:rPr>
              <w:t>合</w:t>
            </w:r>
          </w:p>
        </w:tc>
        <w:tc>
          <w:tcPr>
            <w:tcW w:w="729"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left="89"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143"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right="398"/>
              <w:jc w:val="right"/>
              <w:rPr>
                <w:rFonts w:ascii="Times New Roman" w:hAnsi="Times New Roman" w:cs="Times New Roman" w:eastAsia="Times New Roman" w:hint="default"/>
                <w:sz w:val="21"/>
                <w:szCs w:val="21"/>
              </w:rPr>
            </w:pPr>
            <w:r>
              <w:rPr>
                <w:rFonts w:ascii="Times New Roman"/>
                <w:spacing w:val="-1"/>
                <w:sz w:val="21"/>
              </w:rPr>
              <w:t>203,761,836.60</w:t>
            </w:r>
          </w:p>
        </w:tc>
        <w:tc>
          <w:tcPr>
            <w:tcW w:w="1540"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right="207"/>
              <w:jc w:val="right"/>
              <w:rPr>
                <w:rFonts w:ascii="Times New Roman" w:hAnsi="Times New Roman" w:cs="Times New Roman" w:eastAsia="Times New Roman" w:hint="default"/>
                <w:sz w:val="21"/>
                <w:szCs w:val="21"/>
              </w:rPr>
            </w:pPr>
            <w:r>
              <w:rPr>
                <w:rFonts w:ascii="Times New Roman"/>
                <w:spacing w:val="-1"/>
                <w:sz w:val="21"/>
              </w:rPr>
              <w:t>100%</w:t>
            </w:r>
          </w:p>
        </w:tc>
        <w:tc>
          <w:tcPr>
            <w:tcW w:w="1850"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left="207" w:right="0"/>
              <w:jc w:val="left"/>
              <w:rPr>
                <w:rFonts w:ascii="Times New Roman" w:hAnsi="Times New Roman" w:cs="Times New Roman" w:eastAsia="Times New Roman" w:hint="default"/>
                <w:sz w:val="21"/>
                <w:szCs w:val="21"/>
              </w:rPr>
            </w:pPr>
            <w:r>
              <w:rPr>
                <w:rFonts w:ascii="Times New Roman"/>
                <w:sz w:val="21"/>
              </w:rPr>
              <w:t>202,683,537.50</w:t>
            </w:r>
          </w:p>
        </w:tc>
        <w:tc>
          <w:tcPr>
            <w:tcW w:w="1509"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1,076,299.14</w:t>
            </w:r>
          </w:p>
        </w:tc>
      </w:tr>
    </w:tbl>
    <w:p>
      <w:pPr>
        <w:spacing w:line="240" w:lineRule="auto" w:before="6"/>
        <w:rPr>
          <w:rFonts w:ascii="宋体" w:hAnsi="宋体" w:cs="宋体" w:eastAsia="宋体" w:hint="default"/>
          <w:sz w:val="9"/>
          <w:szCs w:val="9"/>
        </w:rPr>
      </w:pPr>
    </w:p>
    <w:p>
      <w:pPr>
        <w:spacing w:before="35"/>
        <w:ind w:left="558" w:right="0" w:firstLine="0"/>
        <w:jc w:val="left"/>
        <w:rPr>
          <w:rFonts w:ascii="宋体" w:hAnsi="宋体" w:cs="宋体" w:eastAsia="宋体" w:hint="default"/>
          <w:sz w:val="21"/>
          <w:szCs w:val="21"/>
        </w:rPr>
      </w:pPr>
      <w:r>
        <w:rPr/>
        <w:pict>
          <v:group style="position:absolute;margin-left:90.959999pt;margin-top:-187.94603pt;width:434.2pt;height:180.5pt;mso-position-horizontal-relative:page;mso-position-vertical-relative:paragraph;z-index:-448648" coordorigin="1819,-3759" coordsize="8684,3610">
            <v:group style="position:absolute;left:1846;top:-3744;width:8638;height:2" coordorigin="1846,-3744" coordsize="8638,2">
              <v:shape style="position:absolute;left:1846;top:-3744;width:8638;height:2" coordorigin="1846,-3744" coordsize="8638,0" path="m1846,-3744l10483,-3744e" filled="false" stroked="true" strokeweight="1.5pt" strokecolor="#000000">
                <v:path arrowok="t"/>
              </v:shape>
              <v:shape style="position:absolute;left:3545;top:-3748;width:48;height:539" type="#_x0000_t75" stroked="false">
                <v:imagedata r:id="rId76" o:title=""/>
              </v:shape>
              <v:shape style="position:absolute;left:3545;top:-3248;width:6958;height:548" type="#_x0000_t75" stroked="false">
                <v:imagedata r:id="rId77" o:title=""/>
              </v:shape>
              <v:shape style="position:absolute;left:1819;top:-2738;width:8683;height:2588" type="#_x0000_t75" stroked="false">
                <v:imagedata r:id="rId78" o:title=""/>
              </v:shape>
              <v:shape style="position:absolute;left:5274;top:-688;width:48;height:539" type="#_x0000_t75" stroked="false">
                <v:imagedata r:id="rId79" o:title=""/>
              </v:shape>
              <v:shape style="position:absolute;left:7006;top:-688;width:48;height:539" type="#_x0000_t75" stroked="false">
                <v:imagedata r:id="rId79" o:title=""/>
              </v:shape>
              <v:shape style="position:absolute;left:8736;top:-688;width:48;height:539" type="#_x0000_t75" stroked="false">
                <v:imagedata r:id="rId80" o:title=""/>
              </v:shape>
              <v:shape style="position:absolute;left:6539;top:-3446;width:9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2007-12-31</w:t>
                      </w:r>
                    </w:p>
                  </w:txbxContent>
                </v:textbox>
                <w10:wrap type="non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）截止</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日，欠款金额较大的客户情况如下：</w:t>
      </w:r>
    </w:p>
    <w:p>
      <w:pPr>
        <w:spacing w:line="1268" w:lineRule="exact"/>
        <w:ind w:left="280"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38.7pt;height:63.45pt;mso-position-horizontal-relative:char;mso-position-vertical-relative:line" coordorigin="0,0" coordsize="8774,1269">
            <v:group style="position:absolute;left:34;top:15;width:5906;height:2" coordorigin="34,15" coordsize="5906,2">
              <v:shape style="position:absolute;left:34;top:15;width:5906;height:2" coordorigin="34,15" coordsize="5906,0" path="m34,15l5939,15e" filled="false" stroked="true" strokeweight="1.5pt" strokecolor="#000000">
                <v:path arrowok="t"/>
              </v:shape>
            </v:group>
            <v:group style="position:absolute;left:5939;top:15;width:1270;height:2" coordorigin="5939,15" coordsize="1270,2">
              <v:shape style="position:absolute;left:5939;top:15;width:1270;height:2" coordorigin="5939,15" coordsize="1270,0" path="m5939,15l7208,15e" filled="false" stroked="true" strokeweight="1.5pt" strokecolor="#000000">
                <v:path arrowok="t"/>
              </v:shape>
            </v:group>
            <v:group style="position:absolute;left:7208;top:15;width:1539;height:2" coordorigin="7208,15" coordsize="1539,2">
              <v:shape style="position:absolute;left:7208;top:15;width:1539;height:2" coordorigin="7208,15" coordsize="1539,0" path="m7208,15l8747,15e" filled="false" stroked="true" strokeweight="1.5pt" strokecolor="#000000">
                <v:path arrowok="t"/>
              </v:shape>
              <v:shape style="position:absolute;left:2929;top:11;width:4308;height:638" type="#_x0000_t75" stroked="false">
                <v:imagedata r:id="rId81" o:title=""/>
              </v:shape>
              <v:shape style="position:absolute;left:0;top:611;width:8773;height:658" type="#_x0000_t75" stroked="false">
                <v:imagedata r:id="rId82" o:title=""/>
              </v:shape>
              <v:shape style="position:absolute;left:1133;top:42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3343;top:42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期末金额</w:t>
                      </w:r>
                    </w:p>
                  </w:txbxContent>
                </v:textbox>
                <w10:wrap type="none"/>
              </v:shape>
              <v:shape style="position:absolute;left:4913;top:42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  例</w:t>
                      </w:r>
                    </w:p>
                  </w:txbxContent>
                </v:textbox>
                <w10:wrap type="none"/>
              </v:shape>
              <v:shape style="position:absolute;left:6203;top:42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欠款时间</w:t>
                      </w:r>
                    </w:p>
                  </w:txbxContent>
                </v:textbox>
                <w10:wrap type="none"/>
              </v:shape>
              <v:shape style="position:absolute;left:7622;top:42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款项性质</w:t>
                      </w:r>
                    </w:p>
                  </w:txbxContent>
                </v:textbox>
                <w10:wrap type="none"/>
              </v:shape>
              <v:shape style="position:absolute;left:142;top:1032;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青岛亚星实业有限公司</w:t>
                      </w:r>
                    </w:p>
                  </w:txbxContent>
                </v:textbox>
                <w10:wrap type="none"/>
              </v:shape>
              <v:shape style="position:absolute;left:3400;top:105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8,000,000.00</w:t>
                      </w:r>
                    </w:p>
                  </w:txbxContent>
                </v:textbox>
                <w10:wrap type="none"/>
              </v:shape>
              <v:shape style="position:absolute;left:5158;top:1024;width:65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76.70%</w:t>
                      </w:r>
                    </w:p>
                  </w:txbxContent>
                </v:textbox>
                <w10:wrap type="none"/>
              </v:shape>
              <v:shape style="position:absolute;left:6226;top:1032;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7442;top:103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关联方往来款</w:t>
                      </w:r>
                    </w:p>
                  </w:txbxContent>
                </v:textbox>
                <w10:wrap type="none"/>
              </v:shape>
            </v:group>
          </v:group>
        </w:pict>
      </w:r>
      <w:r>
        <w:rPr>
          <w:rFonts w:ascii="宋体" w:hAnsi="宋体" w:cs="宋体" w:eastAsia="宋体" w:hint="default"/>
          <w:position w:val="-24"/>
          <w:sz w:val="20"/>
          <w:szCs w:val="20"/>
        </w:rPr>
      </w:r>
    </w:p>
    <w:p>
      <w:pPr>
        <w:spacing w:after="0" w:line="1268" w:lineRule="exact"/>
        <w:rPr>
          <w:rFonts w:ascii="宋体" w:hAnsi="宋体" w:cs="宋体" w:eastAsia="宋体" w:hint="default"/>
          <w:sz w:val="20"/>
          <w:szCs w:val="20"/>
        </w:rPr>
        <w:sectPr>
          <w:pgSz w:w="11910" w:h="16840"/>
          <w:pgMar w:header="0" w:footer="710" w:top="580" w:bottom="900" w:left="1280" w:right="1260"/>
        </w:sectPr>
      </w:pPr>
    </w:p>
    <w:p>
      <w:pPr>
        <w:pStyle w:val="Heading2"/>
        <w:spacing w:line="310" w:lineRule="exact"/>
        <w:ind w:right="2916"/>
        <w:jc w:val="center"/>
        <w:rPr>
          <w:b w:val="0"/>
          <w:bCs w:val="0"/>
        </w:rPr>
      </w:pPr>
      <w:r>
        <w:rPr/>
        <w:pict>
          <v:shape style="position:absolute;margin-left:88.919998pt;margin-top:3.990308pt;width:57.0pt;height:31.5pt;mso-position-horizontal-relative:page;mso-position-vertical-relative:paragraph;z-index:9112"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2111" w:right="2111"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6"/>
          <w:szCs w:val="26"/>
        </w:rPr>
      </w:pPr>
    </w:p>
    <w:tbl>
      <w:tblPr>
        <w:tblW w:w="0" w:type="auto"/>
        <w:jc w:val="left"/>
        <w:tblInd w:w="319" w:type="dxa"/>
        <w:tblLayout w:type="fixed"/>
        <w:tblCellMar>
          <w:top w:w="0" w:type="dxa"/>
          <w:left w:w="0" w:type="dxa"/>
          <w:bottom w:w="0" w:type="dxa"/>
          <w:right w:w="0" w:type="dxa"/>
        </w:tblCellMar>
        <w:tblLook w:val="01E0"/>
      </w:tblPr>
      <w:tblGrid>
        <w:gridCol w:w="3023"/>
        <w:gridCol w:w="1710"/>
        <w:gridCol w:w="1264"/>
        <w:gridCol w:w="1200"/>
        <w:gridCol w:w="1538"/>
      </w:tblGrid>
      <w:tr>
        <w:trPr>
          <w:trHeight w:val="510" w:hRule="exact"/>
        </w:trPr>
        <w:tc>
          <w:tcPr>
            <w:tcW w:w="3023"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青岛开发区财政局</w:t>
            </w:r>
          </w:p>
        </w:tc>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404"/>
              <w:jc w:val="right"/>
              <w:rPr>
                <w:rFonts w:ascii="Times New Roman" w:hAnsi="Times New Roman" w:cs="Times New Roman" w:eastAsia="Times New Roman" w:hint="default"/>
                <w:sz w:val="18"/>
                <w:szCs w:val="18"/>
              </w:rPr>
            </w:pPr>
            <w:r>
              <w:rPr>
                <w:rFonts w:ascii="Times New Roman"/>
                <w:sz w:val="18"/>
              </w:rPr>
              <w:t>466,430.20</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209"/>
              <w:jc w:val="right"/>
              <w:rPr>
                <w:rFonts w:ascii="Times New Roman" w:hAnsi="Times New Roman" w:cs="Times New Roman" w:eastAsia="Times New Roman" w:hint="default"/>
                <w:sz w:val="21"/>
                <w:szCs w:val="21"/>
              </w:rPr>
            </w:pPr>
            <w:r>
              <w:rPr>
                <w:rFonts w:ascii="Times New Roman"/>
                <w:spacing w:val="-1"/>
                <w:sz w:val="21"/>
              </w:rPr>
              <w:t>4.47%</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0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
              <w:jc w:val="center"/>
              <w:rPr>
                <w:rFonts w:ascii="宋体" w:hAnsi="宋体" w:cs="宋体" w:eastAsia="宋体" w:hint="default"/>
                <w:sz w:val="18"/>
                <w:szCs w:val="18"/>
              </w:rPr>
            </w:pPr>
            <w:r>
              <w:rPr>
                <w:rFonts w:ascii="宋体" w:hAnsi="宋体" w:cs="宋体" w:eastAsia="宋体" w:hint="default"/>
                <w:sz w:val="18"/>
                <w:szCs w:val="18"/>
              </w:rPr>
              <w:t>保证金</w:t>
            </w:r>
          </w:p>
        </w:tc>
      </w:tr>
      <w:tr>
        <w:trPr>
          <w:trHeight w:val="610" w:hRule="exact"/>
        </w:trPr>
        <w:tc>
          <w:tcPr>
            <w:tcW w:w="3023"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122" w:right="0"/>
              <w:jc w:val="left"/>
              <w:rPr>
                <w:rFonts w:ascii="宋体" w:hAnsi="宋体" w:cs="宋体" w:eastAsia="宋体" w:hint="default"/>
                <w:sz w:val="18"/>
                <w:szCs w:val="18"/>
              </w:rPr>
            </w:pPr>
            <w:r>
              <w:rPr>
                <w:rFonts w:ascii="宋体" w:hAnsi="宋体" w:cs="宋体" w:eastAsia="宋体" w:hint="default"/>
                <w:sz w:val="18"/>
                <w:szCs w:val="18"/>
              </w:rPr>
              <w:t>山东省高级法院</w:t>
            </w:r>
          </w:p>
        </w:tc>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404"/>
              <w:jc w:val="right"/>
              <w:rPr>
                <w:rFonts w:ascii="Times New Roman" w:hAnsi="Times New Roman" w:cs="Times New Roman" w:eastAsia="Times New Roman" w:hint="default"/>
                <w:sz w:val="18"/>
                <w:szCs w:val="18"/>
              </w:rPr>
            </w:pPr>
            <w:r>
              <w:rPr>
                <w:rFonts w:ascii="Times New Roman"/>
                <w:sz w:val="18"/>
              </w:rPr>
              <w:t>125,000.00</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172"/>
              <w:ind w:right="209"/>
              <w:jc w:val="right"/>
              <w:rPr>
                <w:rFonts w:ascii="Times New Roman" w:hAnsi="Times New Roman" w:cs="Times New Roman" w:eastAsia="Times New Roman" w:hint="default"/>
                <w:sz w:val="21"/>
                <w:szCs w:val="21"/>
              </w:rPr>
            </w:pPr>
            <w:r>
              <w:rPr>
                <w:rFonts w:ascii="Times New Roman"/>
                <w:spacing w:val="-1"/>
                <w:sz w:val="21"/>
              </w:rPr>
              <w:t>1.20%</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20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3"/>
              <w:jc w:val="center"/>
              <w:rPr>
                <w:rFonts w:ascii="宋体" w:hAnsi="宋体" w:cs="宋体" w:eastAsia="宋体" w:hint="default"/>
                <w:sz w:val="18"/>
                <w:szCs w:val="18"/>
              </w:rPr>
            </w:pPr>
            <w:r>
              <w:rPr>
                <w:rFonts w:ascii="宋体" w:hAnsi="宋体" w:cs="宋体" w:eastAsia="宋体" w:hint="default"/>
                <w:sz w:val="18"/>
                <w:szCs w:val="18"/>
              </w:rPr>
              <w:t>土地执行款</w:t>
            </w:r>
          </w:p>
        </w:tc>
      </w:tr>
      <w:tr>
        <w:trPr>
          <w:trHeight w:val="610" w:hRule="exact"/>
        </w:trPr>
        <w:tc>
          <w:tcPr>
            <w:tcW w:w="3023"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122" w:right="0"/>
              <w:jc w:val="left"/>
              <w:rPr>
                <w:rFonts w:ascii="宋体" w:hAnsi="宋体" w:cs="宋体" w:eastAsia="宋体" w:hint="default"/>
                <w:sz w:val="18"/>
                <w:szCs w:val="18"/>
              </w:rPr>
            </w:pPr>
            <w:r>
              <w:rPr>
                <w:rFonts w:ascii="宋体" w:hAnsi="宋体" w:cs="宋体" w:eastAsia="宋体" w:hint="default"/>
                <w:sz w:val="18"/>
                <w:szCs w:val="18"/>
              </w:rPr>
              <w:t>深圳市北大方正数码科技有限公司</w:t>
            </w:r>
          </w:p>
        </w:tc>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404"/>
              <w:jc w:val="right"/>
              <w:rPr>
                <w:rFonts w:ascii="Times New Roman" w:hAnsi="Times New Roman" w:cs="Times New Roman" w:eastAsia="Times New Roman" w:hint="default"/>
                <w:sz w:val="18"/>
                <w:szCs w:val="18"/>
              </w:rPr>
            </w:pPr>
            <w:r>
              <w:rPr>
                <w:rFonts w:ascii="Times New Roman"/>
                <w:sz w:val="18"/>
              </w:rPr>
              <w:t>49,905.52</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172"/>
              <w:ind w:right="209"/>
              <w:jc w:val="right"/>
              <w:rPr>
                <w:rFonts w:ascii="Times New Roman" w:hAnsi="Times New Roman" w:cs="Times New Roman" w:eastAsia="Times New Roman" w:hint="default"/>
                <w:sz w:val="21"/>
                <w:szCs w:val="21"/>
              </w:rPr>
            </w:pPr>
            <w:r>
              <w:rPr>
                <w:rFonts w:ascii="Times New Roman"/>
                <w:spacing w:val="-1"/>
                <w:sz w:val="21"/>
              </w:rPr>
              <w:t>0.48%</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20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3"/>
              <w:jc w:val="center"/>
              <w:rPr>
                <w:rFonts w:ascii="宋体" w:hAnsi="宋体" w:cs="宋体" w:eastAsia="宋体" w:hint="default"/>
                <w:sz w:val="18"/>
                <w:szCs w:val="18"/>
              </w:rPr>
            </w:pPr>
            <w:r>
              <w:rPr>
                <w:rFonts w:ascii="宋体" w:hAnsi="宋体" w:cs="宋体" w:eastAsia="宋体" w:hint="default"/>
                <w:sz w:val="18"/>
                <w:szCs w:val="18"/>
              </w:rPr>
              <w:t>保证金</w:t>
            </w:r>
          </w:p>
        </w:tc>
      </w:tr>
      <w:tr>
        <w:trPr>
          <w:trHeight w:val="432" w:hRule="exact"/>
        </w:trPr>
        <w:tc>
          <w:tcPr>
            <w:tcW w:w="3023" w:type="dxa"/>
            <w:tcBorders>
              <w:top w:val="nil" w:sz="6" w:space="0" w:color="auto"/>
              <w:left w:val="nil" w:sz="6" w:space="0" w:color="auto"/>
              <w:bottom w:val="single" w:sz="12" w:space="0" w:color="000000"/>
              <w:right w:val="nil" w:sz="6" w:space="0" w:color="auto"/>
            </w:tcBorders>
          </w:tcPr>
          <w:p>
            <w:pPr>
              <w:pStyle w:val="TableParagraph"/>
              <w:spacing w:line="240" w:lineRule="auto" w:before="152"/>
              <w:ind w:right="73"/>
              <w:jc w:val="center"/>
              <w:rPr>
                <w:rFonts w:ascii="宋体" w:hAnsi="宋体" w:cs="宋体" w:eastAsia="宋体" w:hint="default"/>
                <w:sz w:val="18"/>
                <w:szCs w:val="18"/>
              </w:rPr>
            </w:pPr>
            <w:r>
              <w:rPr>
                <w:rFonts w:ascii="宋体" w:hAnsi="宋体" w:cs="宋体" w:eastAsia="宋体" w:hint="default"/>
                <w:sz w:val="18"/>
                <w:szCs w:val="18"/>
              </w:rPr>
              <w:t>合  计</w:t>
            </w:r>
          </w:p>
        </w:tc>
        <w:tc>
          <w:tcPr>
            <w:tcW w:w="1710" w:type="dxa"/>
            <w:tcBorders>
              <w:top w:val="nil" w:sz="6" w:space="0" w:color="auto"/>
              <w:left w:val="nil" w:sz="6" w:space="0" w:color="auto"/>
              <w:bottom w:val="single" w:sz="12" w:space="0" w:color="000000"/>
              <w:right w:val="nil" w:sz="6" w:space="0" w:color="auto"/>
            </w:tcBorders>
          </w:tcPr>
          <w:p>
            <w:pPr>
              <w:pStyle w:val="TableParagraph"/>
              <w:spacing w:line="240" w:lineRule="auto" w:before="172"/>
              <w:ind w:right="403"/>
              <w:jc w:val="right"/>
              <w:rPr>
                <w:rFonts w:ascii="Times New Roman" w:hAnsi="Times New Roman" w:cs="Times New Roman" w:eastAsia="Times New Roman" w:hint="default"/>
                <w:sz w:val="21"/>
                <w:szCs w:val="21"/>
              </w:rPr>
            </w:pPr>
            <w:r>
              <w:rPr>
                <w:rFonts w:ascii="Times New Roman"/>
                <w:spacing w:val="-1"/>
                <w:sz w:val="21"/>
              </w:rPr>
              <w:t>8,641,335.72</w:t>
            </w:r>
          </w:p>
        </w:tc>
        <w:tc>
          <w:tcPr>
            <w:tcW w:w="1264" w:type="dxa"/>
            <w:tcBorders>
              <w:top w:val="nil" w:sz="6" w:space="0" w:color="auto"/>
              <w:left w:val="nil" w:sz="6" w:space="0" w:color="auto"/>
              <w:bottom w:val="single" w:sz="12" w:space="0" w:color="000000"/>
              <w:right w:val="nil" w:sz="6" w:space="0" w:color="auto"/>
            </w:tcBorders>
          </w:tcPr>
          <w:p>
            <w:pPr>
              <w:pStyle w:val="TableParagraph"/>
              <w:spacing w:line="240" w:lineRule="auto" w:before="172"/>
              <w:ind w:right="207"/>
              <w:jc w:val="right"/>
              <w:rPr>
                <w:rFonts w:ascii="Times New Roman" w:hAnsi="Times New Roman" w:cs="Times New Roman" w:eastAsia="Times New Roman" w:hint="default"/>
                <w:sz w:val="21"/>
                <w:szCs w:val="21"/>
              </w:rPr>
            </w:pPr>
            <w:r>
              <w:rPr>
                <w:rFonts w:ascii="Times New Roman"/>
                <w:spacing w:val="-1"/>
                <w:sz w:val="21"/>
              </w:rPr>
              <w:t>82.85%</w:t>
            </w:r>
          </w:p>
        </w:tc>
        <w:tc>
          <w:tcPr>
            <w:tcW w:w="1200" w:type="dxa"/>
            <w:tcBorders>
              <w:top w:val="nil" w:sz="6" w:space="0" w:color="auto"/>
              <w:left w:val="nil" w:sz="6" w:space="0" w:color="auto"/>
              <w:bottom w:val="single" w:sz="12" w:space="0" w:color="000000"/>
              <w:right w:val="nil" w:sz="6" w:space="0" w:color="auto"/>
            </w:tcBorders>
          </w:tcPr>
          <w:p>
            <w:pPr/>
          </w:p>
        </w:tc>
        <w:tc>
          <w:tcPr>
            <w:tcW w:w="1538" w:type="dxa"/>
            <w:tcBorders>
              <w:top w:val="nil" w:sz="6" w:space="0" w:color="auto"/>
              <w:left w:val="nil" w:sz="6" w:space="0" w:color="auto"/>
              <w:bottom w:val="single" w:sz="12" w:space="0" w:color="000000"/>
              <w:right w:val="nil" w:sz="6" w:space="0" w:color="auto"/>
            </w:tcBorders>
          </w:tcPr>
          <w:p>
            <w:pPr/>
          </w:p>
        </w:tc>
      </w:tr>
    </w:tbl>
    <w:p>
      <w:pPr>
        <w:spacing w:line="240" w:lineRule="auto" w:before="5"/>
        <w:rPr>
          <w:rFonts w:ascii="Times New Roman" w:hAnsi="Times New Roman" w:cs="Times New Roman" w:eastAsia="Times New Roman" w:hint="default"/>
          <w:sz w:val="9"/>
          <w:szCs w:val="9"/>
        </w:rPr>
      </w:pPr>
    </w:p>
    <w:p>
      <w:pPr>
        <w:spacing w:before="26"/>
        <w:ind w:left="158" w:right="126" w:firstLine="0"/>
        <w:jc w:val="left"/>
        <w:rPr>
          <w:rFonts w:ascii="宋体" w:hAnsi="宋体" w:cs="宋体" w:eastAsia="宋体" w:hint="default"/>
          <w:sz w:val="21"/>
          <w:szCs w:val="21"/>
        </w:rPr>
      </w:pPr>
      <w:r>
        <w:rPr/>
        <w:pict>
          <v:group style="position:absolute;margin-left:69.060013pt;margin-top:-130.124054pt;width:457.2pt;height:123.45pt;mso-position-horizontal-relative:page;mso-position-vertical-relative:paragraph;z-index:-447688" coordorigin="1381,-2602" coordsize="9144,2469">
            <v:group style="position:absolute;left:1388;top:-2590;width:9130;height:2" coordorigin="1388,-2590" coordsize="9130,2">
              <v:shape style="position:absolute;left:1388;top:-2590;width:9130;height:2" coordorigin="1388,-2590" coordsize="9130,0" path="m1388,-2590l10518,-2590e" filled="false" stroked="true" strokeweight=".71997pt" strokecolor="#000000">
                <v:path arrowok="t"/>
              </v:shape>
              <v:shape style="position:absolute;left:4489;top:-2602;width:4308;height:638" type="#_x0000_t75" stroked="false">
                <v:imagedata r:id="rId83" o:title=""/>
              </v:shape>
              <v:shape style="position:absolute;left:1574;top:-2002;width:8759;height:1868" type="#_x0000_t75" stroked="false">
                <v:imagedata r:id="rId84" o:title=""/>
              </v:shape>
              <v:shape style="position:absolute;left:5989;top:-774;width:48;height:640" type="#_x0000_t75" stroked="false">
                <v:imagedata r:id="rId85" o:title=""/>
              </v:shape>
              <v:shape style="position:absolute;left:7450;top:-774;width:48;height:640" type="#_x0000_t75" stroked="false">
                <v:imagedata r:id="rId86" o:title=""/>
              </v:shape>
              <v:shape style="position:absolute;left:8749;top:-774;width:48;height:640" type="#_x0000_t75" stroked="false">
                <v:imagedata r:id="rId85" o:title=""/>
              </v:shape>
            </v:group>
            <w10:wrap type="none"/>
          </v:group>
        </w:pict>
      </w:r>
      <w:r>
        <w:rPr>
          <w:rFonts w:ascii="宋体" w:hAnsi="宋体" w:cs="宋体" w:eastAsia="宋体" w:hint="default"/>
          <w:sz w:val="24"/>
          <w:szCs w:val="24"/>
        </w:rPr>
        <w:t>（3）</w:t>
      </w:r>
      <w:r>
        <w:rPr>
          <w:rFonts w:ascii="宋体" w:hAnsi="宋体" w:cs="宋体" w:eastAsia="宋体" w:hint="default"/>
          <w:sz w:val="21"/>
          <w:szCs w:val="21"/>
        </w:rPr>
        <w:t>其他应收款期末余额中无持有本公司5%（含5%）以上股份的股东单位欠款。</w:t>
      </w:r>
    </w:p>
    <w:p>
      <w:pPr>
        <w:spacing w:line="240" w:lineRule="auto" w:before="8"/>
        <w:rPr>
          <w:rFonts w:ascii="宋体" w:hAnsi="宋体" w:cs="宋体" w:eastAsia="宋体" w:hint="default"/>
          <w:sz w:val="20"/>
          <w:szCs w:val="20"/>
        </w:rPr>
      </w:pPr>
    </w:p>
    <w:p>
      <w:pPr>
        <w:spacing w:before="0"/>
        <w:ind w:left="158" w:right="12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）本公司期末其他应收款较期初增加</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869.12%</w:t>
      </w:r>
      <w:r>
        <w:rPr>
          <w:rFonts w:ascii="宋体" w:hAnsi="宋体" w:cs="宋体" w:eastAsia="宋体" w:hint="default"/>
          <w:sz w:val="21"/>
          <w:szCs w:val="21"/>
        </w:rPr>
        <w:t>，主要为期末新增两子公司其他应收款所致。</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578" w:right="12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存货及存货跌价准备</w:t>
      </w:r>
    </w:p>
    <w:p>
      <w:pPr>
        <w:spacing w:line="240" w:lineRule="auto" w:before="0"/>
        <w:rPr>
          <w:rFonts w:ascii="宋体" w:hAnsi="宋体" w:cs="宋体" w:eastAsia="宋体" w:hint="default"/>
          <w:sz w:val="16"/>
          <w:szCs w:val="16"/>
        </w:rPr>
      </w:pPr>
    </w:p>
    <w:p>
      <w:pPr>
        <w:spacing w:before="0"/>
        <w:ind w:left="578" w:right="12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）存货及存货跌价准备明细分项列示如下：</w:t>
      </w:r>
    </w:p>
    <w:p>
      <w:pPr>
        <w:spacing w:line="2510" w:lineRule="exact"/>
        <w:ind w:left="113"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52.5pt;height:125.55pt;mso-position-horizontal-relative:char;mso-position-vertical-relative:line" coordorigin="0,0" coordsize="9050,2511">
            <v:group style="position:absolute;left:37;top:15;width:8991;height:2" coordorigin="37,15" coordsize="8991,2">
              <v:shape style="position:absolute;left:37;top:15;width:8991;height:2" coordorigin="37,15" coordsize="8991,0" path="m37,15l9027,15e" filled="false" stroked="true" strokeweight="1.5pt" strokecolor="#000000">
                <v:path arrowok="t"/>
              </v:shape>
              <v:shape style="position:absolute;left:1225;top:11;width:4260;height:638" type="#_x0000_t75" stroked="false">
                <v:imagedata r:id="rId87" o:title=""/>
              </v:shape>
              <v:shape style="position:absolute;left:1231;top:617;width:7816;height:656" type="#_x0000_t75" stroked="false">
                <v:imagedata r:id="rId88" o:title=""/>
              </v:shape>
            </v:group>
            <v:group style="position:absolute;left:15;top:2495;width:1229;height:2" coordorigin="15,2495" coordsize="1229,2">
              <v:shape style="position:absolute;left:15;top:2495;width:1229;height:2" coordorigin="15,2495" coordsize="1229,0" path="m15,2495l1244,2495e" filled="false" stroked="true" strokeweight="1.5pt" strokecolor="#000000">
                <v:path arrowok="t"/>
              </v:shape>
              <v:shape style="position:absolute;left:17;top:1247;width:9030;height:1252" type="#_x0000_t75" stroked="false">
                <v:imagedata r:id="rId89" o:title=""/>
              </v:shape>
            </v:group>
            <v:group style="position:absolute;left:1244;top:2495;width:1466;height:2" coordorigin="1244,2495" coordsize="1466,2">
              <v:shape style="position:absolute;left:1244;top:2495;width:1466;height:2" coordorigin="1244,2495" coordsize="1466,0" path="m1244,2495l2709,2495e" filled="false" stroked="true" strokeweight="1.5pt" strokecolor="#000000">
                <v:path arrowok="t"/>
              </v:shape>
              <v:shape style="position:absolute;left:2690;top:1861;width:48;height:638" type="#_x0000_t75" stroked="false">
                <v:imagedata r:id="rId90" o:title=""/>
              </v:shape>
            </v:group>
            <v:group style="position:absolute;left:2709;top:2495;width:1281;height:2" coordorigin="2709,2495" coordsize="1281,2">
              <v:shape style="position:absolute;left:2709;top:2495;width:1281;height:2" coordorigin="2709,2495" coordsize="1281,0" path="m2709,2495l3989,2495e" filled="false" stroked="true" strokeweight="1.5pt" strokecolor="#000000">
                <v:path arrowok="t"/>
              </v:shape>
              <v:shape style="position:absolute;left:3970;top:1861;width:48;height:638" type="#_x0000_t75" stroked="false">
                <v:imagedata r:id="rId90" o:title=""/>
              </v:shape>
            </v:group>
            <v:group style="position:absolute;left:3989;top:2495;width:1467;height:2" coordorigin="3989,2495" coordsize="1467,2">
              <v:shape style="position:absolute;left:3989;top:2495;width:1467;height:2" coordorigin="3989,2495" coordsize="1467,0" path="m3989,2495l5456,2495e" filled="false" stroked="true" strokeweight="1.5pt" strokecolor="#000000">
                <v:path arrowok="t"/>
              </v:shape>
              <v:shape style="position:absolute;left:5437;top:1861;width:48;height:638" type="#_x0000_t75" stroked="false">
                <v:imagedata r:id="rId90" o:title=""/>
              </v:shape>
            </v:group>
            <v:group style="position:absolute;left:5456;top:2495;width:1278;height:2" coordorigin="5456,2495" coordsize="1278,2">
              <v:shape style="position:absolute;left:5456;top:2495;width:1278;height:2" coordorigin="5456,2495" coordsize="1278,0" path="m5456,2495l6734,2495e" filled="false" stroked="true" strokeweight="1.5pt" strokecolor="#000000">
                <v:path arrowok="t"/>
              </v:shape>
              <v:shape style="position:absolute;left:6715;top:1861;width:48;height:638" type="#_x0000_t75" stroked="false">
                <v:imagedata r:id="rId90" o:title=""/>
              </v:shape>
            </v:group>
            <v:group style="position:absolute;left:6734;top:2495;width:1024;height:2" coordorigin="6734,2495" coordsize="1024,2">
              <v:shape style="position:absolute;left:6734;top:2495;width:1024;height:2" coordorigin="6734,2495" coordsize="1024,0" path="m6734,2495l7757,2495e" filled="false" stroked="true" strokeweight="1.5pt" strokecolor="#000000">
                <v:path arrowok="t"/>
              </v:shape>
              <v:shape style="position:absolute;left:7738;top:1861;width:48;height:638" type="#_x0000_t75" stroked="false">
                <v:imagedata r:id="rId90" o:title=""/>
              </v:shape>
            </v:group>
            <v:group style="position:absolute;left:7757;top:2495;width:1277;height:2" coordorigin="7757,2495" coordsize="1277,2">
              <v:shape style="position:absolute;left:7757;top:2495;width:1277;height:2" coordorigin="7757,2495" coordsize="1277,0" path="m7757,2495l9034,2495e" filled="false" stroked="true" strokeweight="1.5pt" strokecolor="#000000">
                <v:path arrowok="t"/>
              </v:shape>
              <v:shape style="position:absolute;left:2887;top:422;width:935;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spacing w:val="-1"/>
                          <w:sz w:val="20"/>
                        </w:rPr>
                        <w:t>2008-12-31</w:t>
                      </w:r>
                    </w:p>
                  </w:txbxContent>
                </v:textbox>
                <w10:wrap type="none"/>
              </v:shape>
              <v:shape style="position:absolute;left:6779;top:422;width:935;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spacing w:val="-1"/>
                          <w:sz w:val="20"/>
                        </w:rPr>
                        <w:t>2007-12-31</w:t>
                      </w:r>
                    </w:p>
                  </w:txbxContent>
                </v:textbox>
                <w10:wrap type="none"/>
              </v:shape>
              <v:shape style="position:absolute;left:439;top:100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1681;top:1030;width:602;height:201" type="#_x0000_t202" filled="false" stroked="false">
                <v:textbox inset="0,0,0,0">
                  <w:txbxContent>
                    <w:p>
                      <w:pPr>
                        <w:tabs>
                          <w:tab w:pos="400"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w:t>
                        <w:tab/>
                        <w:t>额</w:t>
                      </w:r>
                    </w:p>
                  </w:txbxContent>
                </v:textbox>
                <w10:wrap type="none"/>
              </v:shape>
              <v:shape style="position:absolute;left:2953;top:103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跌价准备</w:t>
                      </w:r>
                    </w:p>
                  </w:txbxContent>
                </v:textbox>
                <w10:wrap type="none"/>
              </v:shape>
              <v:shape style="position:absolute;left:4426;top:1030;width:602;height:201" type="#_x0000_t202" filled="false" stroked="false">
                <v:textbox inset="0,0,0,0">
                  <w:txbxContent>
                    <w:p>
                      <w:pPr>
                        <w:tabs>
                          <w:tab w:pos="400"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净</w:t>
                        <w:tab/>
                        <w:t>额</w:t>
                      </w:r>
                    </w:p>
                  </w:txbxContent>
                </v:textbox>
                <w10:wrap type="none"/>
              </v:shape>
              <v:shape style="position:absolute;left:5799;top:1030;width:602;height:201" type="#_x0000_t202" filled="false" stroked="false">
                <v:textbox inset="0,0,0,0">
                  <w:txbxContent>
                    <w:p>
                      <w:pPr>
                        <w:tabs>
                          <w:tab w:pos="400"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w:t>
                        <w:tab/>
                        <w:t>额</w:t>
                      </w:r>
                    </w:p>
                  </w:txbxContent>
                </v:textbox>
                <w10:wrap type="none"/>
              </v:shape>
              <v:shape style="position:absolute;left:6849;top:103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跌价准备</w:t>
                      </w:r>
                    </w:p>
                  </w:txbxContent>
                </v:textbox>
                <w10:wrap type="none"/>
              </v:shape>
              <v:shape style="position:absolute;left:8097;top:1030;width:602;height:201" type="#_x0000_t202" filled="false" stroked="false">
                <v:textbox inset="0,0,0,0">
                  <w:txbxContent>
                    <w:p>
                      <w:pPr>
                        <w:tabs>
                          <w:tab w:pos="400"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净</w:t>
                        <w:tab/>
                        <w:t>额</w:t>
                      </w:r>
                    </w:p>
                  </w:txbxContent>
                </v:textbox>
                <w10:wrap type="none"/>
              </v:shape>
              <v:shape style="position:absolute;left:139;top:164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开发成本</w:t>
                      </w:r>
                    </w:p>
                  </w:txbxContent>
                </v:textbox>
                <w10:wrap type="none"/>
              </v:shape>
              <v:shape style="position:absolute;left:1357;top:1663;width:1250;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spacing w:val="-1"/>
                          <w:sz w:val="20"/>
                        </w:rPr>
                        <w:t>258,037,804.47</w:t>
                      </w:r>
                      <w:r>
                        <w:rPr>
                          <w:rFonts w:ascii="Times New Roman"/>
                          <w:sz w:val="20"/>
                        </w:rPr>
                      </w:r>
                    </w:p>
                  </w:txbxContent>
                </v:textbox>
                <w10:wrap type="none"/>
              </v:shape>
              <v:shape style="position:absolute;left:3819;top:1663;width:1533;height:201" type="#_x0000_t202" filled="false" stroked="false">
                <v:textbox inset="0,0,0,0">
                  <w:txbxContent>
                    <w:p>
                      <w:pPr>
                        <w:tabs>
                          <w:tab w:pos="283" w:val="left" w:leader="none"/>
                        </w:tabs>
                        <w:spacing w:line="200" w:lineRule="exact" w:before="0"/>
                        <w:ind w:left="0" w:right="0" w:firstLine="0"/>
                        <w:jc w:val="left"/>
                        <w:rPr>
                          <w:rFonts w:ascii="Times New Roman" w:hAnsi="Times New Roman" w:cs="Times New Roman" w:eastAsia="Times New Roman" w:hint="default"/>
                          <w:sz w:val="20"/>
                          <w:szCs w:val="20"/>
                        </w:rPr>
                      </w:pPr>
                      <w:r>
                        <w:rPr>
                          <w:rFonts w:ascii="Times New Roman"/>
                          <w:sz w:val="20"/>
                        </w:rPr>
                        <w:t>-</w:t>
                        <w:tab/>
                      </w:r>
                      <w:r>
                        <w:rPr>
                          <w:rFonts w:ascii="Times New Roman"/>
                          <w:spacing w:val="-1"/>
                          <w:sz w:val="20"/>
                        </w:rPr>
                        <w:t>258,037,804.47</w:t>
                      </w:r>
                      <w:r>
                        <w:rPr>
                          <w:rFonts w:ascii="Times New Roman"/>
                          <w:sz w:val="20"/>
                        </w:rPr>
                      </w:r>
                    </w:p>
                  </w:txbxContent>
                </v:textbox>
                <w10:wrap type="none"/>
              </v:shape>
              <v:shape style="position:absolute;left:6564;top:1663;width:67;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w w:val="100"/>
                          <w:sz w:val="20"/>
                        </w:rPr>
                        <w:t>-</w:t>
                      </w:r>
                    </w:p>
                  </w:txbxContent>
                </v:textbox>
                <w10:wrap type="none"/>
              </v:shape>
              <v:shape style="position:absolute;left:7587;top:1663;width:67;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w w:val="100"/>
                          <w:sz w:val="20"/>
                        </w:rPr>
                        <w:t>-</w:t>
                      </w:r>
                    </w:p>
                  </w:txbxContent>
                </v:textbox>
                <w10:wrap type="none"/>
              </v:shape>
              <v:shape style="position:absolute;left:8859;top:1663;width:67;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w w:val="100"/>
                          <w:sz w:val="20"/>
                        </w:rPr>
                        <w:t>-</w:t>
                      </w:r>
                    </w:p>
                  </w:txbxContent>
                </v:textbox>
                <w10:wrap type="none"/>
              </v:shape>
              <v:shape style="position:absolute;left:439;top:225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1357;top:2274;width:1250;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spacing w:val="-1"/>
                          <w:sz w:val="20"/>
                        </w:rPr>
                        <w:t>258,037,804.47</w:t>
                      </w:r>
                      <w:r>
                        <w:rPr>
                          <w:rFonts w:ascii="Times New Roman"/>
                          <w:sz w:val="20"/>
                        </w:rPr>
                      </w:r>
                    </w:p>
                  </w:txbxContent>
                </v:textbox>
                <w10:wrap type="none"/>
              </v:shape>
              <v:shape style="position:absolute;left:3819;top:2274;width:1533;height:201" type="#_x0000_t202" filled="false" stroked="false">
                <v:textbox inset="0,0,0,0">
                  <w:txbxContent>
                    <w:p>
                      <w:pPr>
                        <w:tabs>
                          <w:tab w:pos="283" w:val="left" w:leader="none"/>
                        </w:tabs>
                        <w:spacing w:line="200" w:lineRule="exact" w:before="0"/>
                        <w:ind w:left="0" w:right="0" w:firstLine="0"/>
                        <w:jc w:val="left"/>
                        <w:rPr>
                          <w:rFonts w:ascii="Times New Roman" w:hAnsi="Times New Roman" w:cs="Times New Roman" w:eastAsia="Times New Roman" w:hint="default"/>
                          <w:sz w:val="20"/>
                          <w:szCs w:val="20"/>
                        </w:rPr>
                      </w:pPr>
                      <w:r>
                        <w:rPr>
                          <w:rFonts w:ascii="Times New Roman"/>
                          <w:sz w:val="20"/>
                        </w:rPr>
                        <w:t>-</w:t>
                        <w:tab/>
                      </w:r>
                      <w:r>
                        <w:rPr>
                          <w:rFonts w:ascii="Times New Roman"/>
                          <w:spacing w:val="-1"/>
                          <w:sz w:val="20"/>
                        </w:rPr>
                        <w:t>258,037,804.47</w:t>
                      </w:r>
                      <w:r>
                        <w:rPr>
                          <w:rFonts w:ascii="Times New Roman"/>
                          <w:sz w:val="20"/>
                        </w:rPr>
                      </w:r>
                    </w:p>
                  </w:txbxContent>
                </v:textbox>
                <w10:wrap type="none"/>
              </v:shape>
              <v:shape style="position:absolute;left:6564;top:2274;width:67;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w w:val="100"/>
                          <w:sz w:val="20"/>
                        </w:rPr>
                        <w:t>-</w:t>
                      </w:r>
                    </w:p>
                  </w:txbxContent>
                </v:textbox>
                <w10:wrap type="none"/>
              </v:shape>
              <v:shape style="position:absolute;left:7587;top:2274;width:67;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w w:val="100"/>
                          <w:sz w:val="20"/>
                        </w:rPr>
                        <w:t>-</w:t>
                      </w:r>
                    </w:p>
                  </w:txbxContent>
                </v:textbox>
                <w10:wrap type="none"/>
              </v:shape>
              <v:shape style="position:absolute;left:8859;top:2274;width:67;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w w:val="100"/>
                          <w:sz w:val="20"/>
                        </w:rPr>
                        <w:t>-</w:t>
                      </w:r>
                    </w:p>
                  </w:txbxContent>
                </v:textbox>
                <w10:wrap type="none"/>
              </v:shape>
            </v:group>
          </v:group>
        </w:pict>
      </w:r>
      <w:r>
        <w:rPr>
          <w:rFonts w:ascii="宋体" w:hAnsi="宋体" w:cs="宋体" w:eastAsia="宋体" w:hint="default"/>
          <w:position w:val="-49"/>
          <w:sz w:val="20"/>
          <w:szCs w:val="20"/>
        </w:rPr>
      </w:r>
    </w:p>
    <w:p>
      <w:pPr>
        <w:spacing w:line="240" w:lineRule="auto" w:before="4"/>
        <w:rPr>
          <w:rFonts w:ascii="宋体" w:hAnsi="宋体" w:cs="宋体" w:eastAsia="宋体" w:hint="default"/>
          <w:sz w:val="13"/>
          <w:szCs w:val="13"/>
        </w:rPr>
      </w:pPr>
    </w:p>
    <w:p>
      <w:pPr>
        <w:spacing w:before="35"/>
        <w:ind w:left="578" w:right="12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）开发成本余额分项列示如下：</w:t>
      </w:r>
    </w:p>
    <w:p>
      <w:pPr>
        <w:spacing w:line="2089" w:lineRule="exact"/>
        <w:ind w:left="129"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56.1pt;height:104.5pt;mso-position-horizontal-relative:char;mso-position-vertical-relative:line" coordorigin="0,0" coordsize="9122,2090">
            <v:group style="position:absolute;left:29;top:15;width:9065;height:2" coordorigin="29,15" coordsize="9065,2">
              <v:shape style="position:absolute;left:29;top:15;width:9065;height:2" coordorigin="29,15" coordsize="9065,0" path="m29,15l9094,15e" filled="false" stroked="true" strokeweight="1.5pt" strokecolor="#000000">
                <v:path arrowok="t"/>
              </v:shape>
              <v:shape style="position:absolute;left:3051;top:11;width:4516;height:538" type="#_x0000_t75" stroked="false">
                <v:imagedata r:id="rId91" o:title=""/>
              </v:shape>
            </v:group>
            <v:group style="position:absolute;left:15;top:2074;width:3056;height:2" coordorigin="15,2074" coordsize="3056,2">
              <v:shape style="position:absolute;left:15;top:2074;width:3056;height:2" coordorigin="15,2074" coordsize="3056,0" path="m15,2074l3070,2074e" filled="false" stroked="true" strokeweight="1.5pt" strokecolor="#000000">
                <v:path arrowok="t"/>
              </v:shape>
              <v:shape style="position:absolute;left:10;top:510;width:9112;height:1568" type="#_x0000_t75" stroked="false">
                <v:imagedata r:id="rId92" o:title=""/>
              </v:shape>
            </v:group>
            <v:group style="position:absolute;left:3070;top:2074;width:1040;height:2" coordorigin="3070,2074" coordsize="1040,2">
              <v:shape style="position:absolute;left:3070;top:2074;width:1040;height:2" coordorigin="3070,2074" coordsize="1040,0" path="m3070,2074l4109,2074e" filled="false" stroked="true" strokeweight="1.5pt" strokecolor="#000000">
                <v:path arrowok="t"/>
              </v:shape>
              <v:shape style="position:absolute;left:4090;top:1540;width:48;height:539" type="#_x0000_t75" stroked="false">
                <v:imagedata r:id="rId93" o:title=""/>
              </v:shape>
            </v:group>
            <v:group style="position:absolute;left:4109;top:2074;width:1560;height:2" coordorigin="4109,2074" coordsize="1560,2">
              <v:shape style="position:absolute;left:4109;top:2074;width:1560;height:2" coordorigin="4109,2074" coordsize="1560,0" path="m4109,2074l5669,2074e" filled="false" stroked="true" strokeweight="1.5pt" strokecolor="#000000">
                <v:path arrowok="t"/>
              </v:shape>
              <v:shape style="position:absolute;left:5650;top:1540;width:48;height:539" type="#_x0000_t75" stroked="false">
                <v:imagedata r:id="rId93" o:title=""/>
              </v:shape>
            </v:group>
            <v:group style="position:absolute;left:5669;top:2074;width:1869;height:2" coordorigin="5669,2074" coordsize="1869,2">
              <v:shape style="position:absolute;left:5669;top:2074;width:1869;height:2" coordorigin="5669,2074" coordsize="1869,0" path="m5669,2074l7538,2074e" filled="false" stroked="true" strokeweight="1.5pt" strokecolor="#000000">
                <v:path arrowok="t"/>
              </v:shape>
              <v:shape style="position:absolute;left:7519;top:1540;width:48;height:539" type="#_x0000_t75" stroked="false">
                <v:imagedata r:id="rId93" o:title=""/>
              </v:shape>
            </v:group>
            <v:group style="position:absolute;left:7538;top:2074;width:1564;height:2" coordorigin="7538,2074" coordsize="1564,2">
              <v:shape style="position:absolute;left:7538;top:2074;width:1564;height:2" coordorigin="7538,2074" coordsize="1564,0" path="m7538,2074l9101,2074e" filled="false" stroked="true" strokeweight="1.5pt" strokecolor="#000000">
                <v:path arrowok="t"/>
              </v:shape>
              <v:shape style="position:absolute;left:1191;top:3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项目名称</w:t>
                      </w:r>
                    </w:p>
                  </w:txbxContent>
                </v:textbox>
                <w10:wrap type="none"/>
              </v:shape>
              <v:shape style="position:absolute;left:3235;top:322;width:2200;height:180" type="#_x0000_t202" filled="false" stroked="false">
                <v:textbox inset="0,0,0,0">
                  <w:txbxContent>
                    <w:p>
                      <w:pPr>
                        <w:tabs>
                          <w:tab w:pos="111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开工时间</w:t>
                        <w:tab/>
                        <w:t>预计竣工时间</w:t>
                      </w:r>
                    </w:p>
                  </w:txbxContent>
                </v:textbox>
                <w10:wrap type="none"/>
              </v:shape>
              <v:shape style="position:absolute;left:6248;top:3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7961;top:3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796;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凤凰岛石雀滩项目</w:t>
                      </w:r>
                    </w:p>
                  </w:txbxContent>
                </v:textbox>
                <w10:wrap type="none"/>
              </v:shape>
              <v:shape style="position:absolute;left:3347;top:850;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2008.8</w:t>
                      </w:r>
                    </w:p>
                  </w:txbxContent>
                </v:textbox>
                <w10:wrap type="none"/>
              </v:shape>
              <v:shape style="position:absolute;left:4601;top:850;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2009.12</w:t>
                      </w:r>
                    </w:p>
                  </w:txbxContent>
                </v:textbox>
                <w10:wrap type="none"/>
              </v:shape>
              <v:shape style="position:absolute;left:6285;top:831;width:1150;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spacing w:val="-1"/>
                          <w:sz w:val="20"/>
                        </w:rPr>
                        <w:t>74,594,581.10</w:t>
                      </w:r>
                      <w:r>
                        <w:rPr>
                          <w:rFonts w:ascii="Times New Roman"/>
                          <w:sz w:val="20"/>
                        </w:rPr>
                      </w:r>
                    </w:p>
                  </w:txbxContent>
                </v:textbox>
                <w10:wrap type="none"/>
              </v:shape>
              <v:shape style="position:absolute;left:8933;top:85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37;top:1306;width:23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海情丽都花园一期、二期</w:t>
                      </w:r>
                    </w:p>
                  </w:txbxContent>
                </v:textbox>
                <w10:wrap type="none"/>
              </v:shape>
              <v:shape style="position:absolute;left:3302;top:1360;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2009.10</w:t>
                      </w:r>
                    </w:p>
                  </w:txbxContent>
                </v:textbox>
                <w10:wrap type="none"/>
              </v:shape>
              <v:shape style="position:absolute;left:4601;top:1360;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2009.10</w:t>
                      </w:r>
                    </w:p>
                  </w:txbxContent>
                </v:textbox>
                <w10:wrap type="none"/>
              </v:shape>
              <v:shape style="position:absolute;left:6184;top:1341;width:1250;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spacing w:val="-1"/>
                          <w:sz w:val="20"/>
                        </w:rPr>
                        <w:t>183,443,223.37</w:t>
                      </w:r>
                      <w:r>
                        <w:rPr>
                          <w:rFonts w:ascii="Times New Roman"/>
                          <w:sz w:val="20"/>
                        </w:rPr>
                      </w:r>
                    </w:p>
                  </w:txbxContent>
                </v:textbox>
                <w10:wrap type="none"/>
              </v:shape>
              <v:shape style="position:absolute;left:8933;top:136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371;top:185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6184;top:1851;width:1250;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spacing w:val="-1"/>
                          <w:sz w:val="20"/>
                        </w:rPr>
                        <w:t>258,037,804.47</w:t>
                      </w:r>
                      <w:r>
                        <w:rPr>
                          <w:rFonts w:ascii="Times New Roman"/>
                          <w:sz w:val="20"/>
                        </w:rPr>
                      </w:r>
                    </w:p>
                  </w:txbxContent>
                </v:textbox>
                <w10:wrap type="none"/>
              </v:shape>
            </v:group>
          </v:group>
        </w:pict>
      </w:r>
      <w:r>
        <w:rPr>
          <w:rFonts w:ascii="宋体" w:hAnsi="宋体" w:cs="宋体" w:eastAsia="宋体" w:hint="default"/>
          <w:position w:val="-41"/>
          <w:sz w:val="20"/>
          <w:szCs w:val="20"/>
        </w:rPr>
      </w:r>
    </w:p>
    <w:p>
      <w:pPr>
        <w:spacing w:line="240" w:lineRule="auto" w:before="12"/>
        <w:rPr>
          <w:rFonts w:ascii="宋体" w:hAnsi="宋体" w:cs="宋体" w:eastAsia="宋体" w:hint="default"/>
          <w:sz w:val="11"/>
          <w:szCs w:val="11"/>
        </w:rPr>
      </w:pPr>
    </w:p>
    <w:p>
      <w:pPr>
        <w:spacing w:before="35"/>
        <w:ind w:left="578" w:right="12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）截止</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日，本公司存货不存在所有权受限情况。</w:t>
      </w:r>
    </w:p>
    <w:p>
      <w:pPr>
        <w:spacing w:line="240" w:lineRule="auto" w:before="12"/>
        <w:rPr>
          <w:rFonts w:ascii="宋体" w:hAnsi="宋体" w:cs="宋体" w:eastAsia="宋体" w:hint="default"/>
          <w:sz w:val="15"/>
          <w:szCs w:val="15"/>
        </w:rPr>
      </w:pPr>
    </w:p>
    <w:p>
      <w:pPr>
        <w:spacing w:before="0"/>
        <w:ind w:left="578" w:right="12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）对期末存货中开发成本进行减值测试，期末存货未发生减值迹象。</w:t>
      </w:r>
    </w:p>
    <w:p>
      <w:pPr>
        <w:spacing w:line="403" w:lineRule="auto" w:before="190"/>
        <w:ind w:left="158" w:right="149"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）存货本年末余额较年初增加</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258,037,804.47</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元，系新增青岛广顺房地产有限公司凤凰岛石 </w:t>
      </w:r>
      <w:r>
        <w:rPr>
          <w:rFonts w:ascii="宋体" w:hAnsi="宋体" w:cs="宋体" w:eastAsia="宋体" w:hint="default"/>
          <w:spacing w:val="3"/>
          <w:sz w:val="21"/>
          <w:szCs w:val="21"/>
        </w:rPr>
        <w:t>雀滩房地产开发项目和兖州海情置业有限公司海情丽都花园一期</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二期房地产开发项目所致。根据</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日，深大通公司</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年第一次临时股东大会通过的《资产赠与、资本公积金定向转 </w:t>
      </w:r>
      <w:r>
        <w:rPr>
          <w:rFonts w:ascii="宋体" w:hAnsi="宋体" w:cs="宋体" w:eastAsia="宋体" w:hint="default"/>
          <w:spacing w:val="-4"/>
          <w:sz w:val="21"/>
          <w:szCs w:val="21"/>
        </w:rPr>
        <w:t>增股本暨股权分置改革方案的议案》，由青岛亚星实业有限公司作为本公司的潜在股东，将青岛广顺</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房地产有限公司</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83%</w:t>
      </w:r>
      <w:r>
        <w:rPr>
          <w:rFonts w:ascii="宋体" w:hAnsi="宋体" w:cs="宋体" w:eastAsia="宋体" w:hint="default"/>
          <w:sz w:val="21"/>
          <w:szCs w:val="21"/>
        </w:rPr>
        <w:t>股权和兖州海情置业有限公司</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90%</w:t>
      </w:r>
      <w:r>
        <w:rPr>
          <w:rFonts w:ascii="宋体" w:hAnsi="宋体" w:cs="宋体" w:eastAsia="宋体" w:hint="default"/>
          <w:sz w:val="21"/>
          <w:szCs w:val="21"/>
        </w:rPr>
        <w:t>股权赠与给本公司。北京天健兴业资产评估</w:t>
      </w:r>
    </w:p>
    <w:p>
      <w:pPr>
        <w:spacing w:after="0" w:line="403" w:lineRule="auto"/>
        <w:jc w:val="both"/>
        <w:rPr>
          <w:rFonts w:ascii="宋体" w:hAnsi="宋体" w:cs="宋体" w:eastAsia="宋体" w:hint="default"/>
          <w:sz w:val="21"/>
          <w:szCs w:val="21"/>
        </w:rPr>
        <w:sectPr>
          <w:pgSz w:w="11910" w:h="16840"/>
          <w:pgMar w:header="0" w:footer="710" w:top="580" w:bottom="900" w:left="1260" w:right="1260"/>
        </w:sectPr>
      </w:pPr>
    </w:p>
    <w:p>
      <w:pPr>
        <w:pStyle w:val="Heading2"/>
        <w:spacing w:line="310" w:lineRule="exact"/>
        <w:ind w:left="3038" w:right="3016"/>
        <w:jc w:val="center"/>
        <w:rPr>
          <w:b w:val="0"/>
          <w:bCs w:val="0"/>
        </w:rPr>
      </w:pPr>
      <w:r>
        <w:rPr/>
        <w:pict>
          <v:shape style="position:absolute;margin-left:88.919998pt;margin-top:3.990308pt;width:57.0pt;height:31.5pt;mso-position-horizontal-relative:page;mso-position-vertical-relative:paragraph;z-index:9160"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2229" w:right="2212"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2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6"/>
        <w:rPr>
          <w:rFonts w:ascii="Times New Roman" w:hAnsi="Times New Roman" w:cs="Times New Roman" w:eastAsia="Times New Roman" w:hint="default"/>
          <w:sz w:val="11"/>
          <w:szCs w:val="11"/>
        </w:rPr>
      </w:pPr>
    </w:p>
    <w:p>
      <w:pPr>
        <w:spacing w:before="35"/>
        <w:ind w:left="258"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有限公司接受本公司委托，对上述青岛广顺房地产有限公司</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83%</w:t>
      </w:r>
      <w:r>
        <w:rPr>
          <w:rFonts w:ascii="宋体" w:hAnsi="宋体" w:cs="宋体" w:eastAsia="宋体" w:hint="default"/>
          <w:sz w:val="21"/>
          <w:szCs w:val="21"/>
        </w:rPr>
        <w:t>股权和兖州海情置业有限公司</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90%</w:t>
      </w:r>
    </w:p>
    <w:p>
      <w:pPr>
        <w:spacing w:before="189"/>
        <w:ind w:left="258" w:right="0" w:firstLine="0"/>
        <w:jc w:val="left"/>
        <w:rPr>
          <w:rFonts w:ascii="宋体" w:hAnsi="宋体" w:cs="宋体" w:eastAsia="宋体" w:hint="default"/>
          <w:sz w:val="21"/>
          <w:szCs w:val="21"/>
        </w:rPr>
      </w:pPr>
      <w:r>
        <w:rPr>
          <w:rFonts w:ascii="宋体" w:hAnsi="宋体" w:cs="宋体" w:eastAsia="宋体" w:hint="default"/>
          <w:sz w:val="21"/>
          <w:szCs w:val="21"/>
        </w:rPr>
        <w:t>股权于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日的市场价值进行评估，并于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pacing w:val="-5"/>
          <w:sz w:val="21"/>
          <w:szCs w:val="21"/>
        </w:rPr>
        <w:t>日出具了天兴评报字（</w:t>
      </w:r>
      <w:r>
        <w:rPr>
          <w:rFonts w:ascii="Times New Roman" w:hAnsi="Times New Roman" w:cs="Times New Roman" w:eastAsia="Times New Roman" w:hint="default"/>
          <w:spacing w:val="-5"/>
          <w:sz w:val="21"/>
          <w:szCs w:val="21"/>
        </w:rPr>
        <w:t>2009</w:t>
      </w:r>
      <w:r>
        <w:rPr>
          <w:rFonts w:ascii="宋体" w:hAnsi="宋体" w:cs="宋体" w:eastAsia="宋体" w:hint="default"/>
          <w:spacing w:val="-5"/>
          <w:sz w:val="21"/>
          <w:szCs w:val="21"/>
        </w:rPr>
        <w:t>）第</w:t>
      </w:r>
      <w:r>
        <w:rPr>
          <w:rFonts w:ascii="宋体" w:hAnsi="宋体" w:cs="宋体" w:eastAsia="宋体" w:hint="default"/>
          <w:sz w:val="21"/>
          <w:szCs w:val="21"/>
        </w:rPr>
      </w:r>
    </w:p>
    <w:p>
      <w:pPr>
        <w:spacing w:before="189"/>
        <w:ind w:left="2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16  </w:t>
      </w:r>
      <w:r>
        <w:rPr>
          <w:rFonts w:ascii="宋体" w:hAnsi="宋体" w:cs="宋体" w:eastAsia="宋体" w:hint="default"/>
          <w:sz w:val="21"/>
          <w:szCs w:val="21"/>
        </w:rPr>
        <w:t>号资产评估报告书和天兴评报字（</w:t>
      </w:r>
      <w:r>
        <w:rPr>
          <w:rFonts w:ascii="Times New Roman" w:hAnsi="Times New Roman" w:cs="Times New Roman" w:eastAsia="Times New Roman" w:hint="default"/>
          <w:sz w:val="21"/>
          <w:szCs w:val="21"/>
        </w:rPr>
        <w:t>2009</w:t>
      </w:r>
      <w:r>
        <w:rPr>
          <w:rFonts w:ascii="宋体" w:hAnsi="宋体" w:cs="宋体" w:eastAsia="宋体" w:hint="default"/>
          <w:sz w:val="21"/>
          <w:szCs w:val="21"/>
        </w:rPr>
        <w:t>）第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号资产评估报告书。其中，青岛广顺房地产有限</w:t>
      </w:r>
    </w:p>
    <w:p>
      <w:pPr>
        <w:spacing w:before="189"/>
        <w:ind w:left="258" w:right="0" w:firstLine="0"/>
        <w:jc w:val="left"/>
        <w:rPr>
          <w:rFonts w:ascii="宋体" w:hAnsi="宋体" w:cs="宋体" w:eastAsia="宋体" w:hint="default"/>
          <w:sz w:val="21"/>
          <w:szCs w:val="21"/>
        </w:rPr>
      </w:pPr>
      <w:r>
        <w:rPr>
          <w:rFonts w:ascii="宋体" w:hAnsi="宋体" w:cs="宋体" w:eastAsia="宋体" w:hint="default"/>
          <w:sz w:val="21"/>
          <w:szCs w:val="21"/>
        </w:rPr>
        <w:t>公司凤凰岛石雀滩项目经审计后的账面价值为 </w:t>
      </w:r>
      <w:r>
        <w:rPr>
          <w:rFonts w:ascii="Times New Roman" w:hAnsi="Times New Roman" w:cs="Times New Roman" w:eastAsia="Times New Roman" w:hint="default"/>
          <w:sz w:val="21"/>
          <w:szCs w:val="21"/>
        </w:rPr>
        <w:t>27,931,251.54 </w:t>
      </w:r>
      <w:r>
        <w:rPr>
          <w:rFonts w:ascii="宋体" w:hAnsi="宋体" w:cs="宋体" w:eastAsia="宋体" w:hint="default"/>
          <w:sz w:val="21"/>
          <w:szCs w:val="21"/>
        </w:rPr>
        <w:t>元，根据天兴评报字（</w:t>
      </w:r>
      <w:r>
        <w:rPr>
          <w:rFonts w:ascii="Times New Roman" w:hAnsi="Times New Roman" w:cs="Times New Roman" w:eastAsia="Times New Roman" w:hint="default"/>
          <w:sz w:val="21"/>
          <w:szCs w:val="21"/>
        </w:rPr>
        <w:t>2009</w:t>
      </w:r>
      <w:r>
        <w:rPr>
          <w:rFonts w:ascii="宋体" w:hAnsi="宋体" w:cs="宋体" w:eastAsia="宋体" w:hint="default"/>
          <w:sz w:val="21"/>
          <w:szCs w:val="21"/>
        </w:rPr>
        <w:t>）第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号</w:t>
      </w:r>
    </w:p>
    <w:p>
      <w:pPr>
        <w:spacing w:before="189"/>
        <w:ind w:left="258" w:right="0" w:firstLine="0"/>
        <w:jc w:val="left"/>
        <w:rPr>
          <w:rFonts w:ascii="宋体" w:hAnsi="宋体" w:cs="宋体" w:eastAsia="宋体" w:hint="default"/>
          <w:sz w:val="21"/>
          <w:szCs w:val="21"/>
        </w:rPr>
      </w:pPr>
      <w:r>
        <w:rPr>
          <w:rFonts w:ascii="宋体" w:hAnsi="宋体" w:cs="宋体" w:eastAsia="宋体" w:hint="default"/>
          <w:spacing w:val="-3"/>
          <w:sz w:val="21"/>
          <w:szCs w:val="21"/>
        </w:rPr>
        <w:t>资产评估报告书，该项目评估增值</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46,931,727.21</w:t>
      </w:r>
      <w:r>
        <w:rPr>
          <w:rFonts w:ascii="Times New Roman" w:hAnsi="Times New Roman" w:cs="Times New Roman" w:eastAsia="Times New Roman" w:hint="default"/>
          <w:spacing w:val="33"/>
          <w:sz w:val="21"/>
          <w:szCs w:val="21"/>
        </w:rPr>
        <w:t> </w:t>
      </w:r>
      <w:r>
        <w:rPr>
          <w:rFonts w:ascii="宋体" w:hAnsi="宋体" w:cs="宋体" w:eastAsia="宋体" w:hint="default"/>
          <w:sz w:val="21"/>
          <w:szCs w:val="21"/>
        </w:rPr>
        <w:t>元，控股合并时根据评估报告对子公司青岛广顺房</w:t>
      </w:r>
    </w:p>
    <w:p>
      <w:pPr>
        <w:spacing w:before="189"/>
        <w:ind w:left="258" w:right="0" w:firstLine="0"/>
        <w:jc w:val="left"/>
        <w:rPr>
          <w:rFonts w:ascii="宋体" w:hAnsi="宋体" w:cs="宋体" w:eastAsia="宋体" w:hint="default"/>
          <w:sz w:val="21"/>
          <w:szCs w:val="21"/>
        </w:rPr>
      </w:pPr>
      <w:r>
        <w:rPr>
          <w:rFonts w:ascii="宋体" w:hAnsi="宋体" w:cs="宋体" w:eastAsia="宋体" w:hint="default"/>
          <w:sz w:val="21"/>
          <w:szCs w:val="21"/>
        </w:rPr>
        <w:t>地产公司的存货项目调增 </w:t>
      </w:r>
      <w:r>
        <w:rPr>
          <w:rFonts w:ascii="Times New Roman" w:hAnsi="Times New Roman" w:cs="Times New Roman" w:eastAsia="Times New Roman" w:hint="default"/>
          <w:sz w:val="21"/>
          <w:szCs w:val="21"/>
        </w:rPr>
        <w:t>46,663,329.56</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元。</w:t>
      </w:r>
    </w:p>
    <w:p>
      <w:pPr>
        <w:spacing w:before="189"/>
        <w:ind w:left="678" w:right="0" w:firstLine="0"/>
        <w:jc w:val="left"/>
        <w:rPr>
          <w:rFonts w:ascii="宋体" w:hAnsi="宋体" w:cs="宋体" w:eastAsia="宋体" w:hint="default"/>
          <w:sz w:val="21"/>
          <w:szCs w:val="21"/>
        </w:rPr>
      </w:pPr>
      <w:r>
        <w:rPr>
          <w:rFonts w:ascii="宋体" w:hAnsi="宋体" w:cs="宋体" w:eastAsia="宋体" w:hint="default"/>
          <w:sz w:val="21"/>
          <w:szCs w:val="21"/>
        </w:rPr>
        <w:t>兖州海情置业有限公司海情丽都花园一期</w:t>
      </w:r>
      <w:r>
        <w:rPr>
          <w:rFonts w:ascii="Times New Roman" w:hAnsi="Times New Roman" w:cs="Times New Roman" w:eastAsia="Times New Roman" w:hint="default"/>
          <w:sz w:val="21"/>
          <w:szCs w:val="21"/>
        </w:rPr>
        <w:t>/</w:t>
      </w:r>
      <w:r>
        <w:rPr>
          <w:rFonts w:ascii="宋体" w:hAnsi="宋体" w:cs="宋体" w:eastAsia="宋体" w:hint="default"/>
          <w:sz w:val="21"/>
          <w:szCs w:val="21"/>
        </w:rPr>
        <w:t>二期项目经审计后的账面价值为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23,174,884.32</w:t>
      </w:r>
      <w:r>
        <w:rPr>
          <w:rFonts w:ascii="Times New Roman" w:hAnsi="Times New Roman" w:cs="Times New Roman" w:eastAsia="Times New Roman" w:hint="default"/>
          <w:spacing w:val="-3"/>
          <w:sz w:val="21"/>
          <w:szCs w:val="21"/>
        </w:rPr>
        <w:t> </w:t>
      </w:r>
      <w:r>
        <w:rPr>
          <w:rFonts w:ascii="宋体" w:hAnsi="宋体" w:cs="宋体" w:eastAsia="宋体" w:hint="default"/>
          <w:spacing w:val="-24"/>
          <w:sz w:val="21"/>
          <w:szCs w:val="21"/>
        </w:rPr>
        <w:t>元，根</w:t>
      </w:r>
    </w:p>
    <w:p>
      <w:pPr>
        <w:spacing w:before="189"/>
        <w:ind w:left="258" w:right="0" w:firstLine="0"/>
        <w:jc w:val="left"/>
        <w:rPr>
          <w:rFonts w:ascii="宋体" w:hAnsi="宋体" w:cs="宋体" w:eastAsia="宋体" w:hint="default"/>
          <w:sz w:val="21"/>
          <w:szCs w:val="21"/>
        </w:rPr>
      </w:pPr>
      <w:r>
        <w:rPr>
          <w:rFonts w:ascii="宋体" w:hAnsi="宋体" w:cs="宋体" w:eastAsia="宋体" w:hint="default"/>
          <w:sz w:val="21"/>
          <w:szCs w:val="21"/>
        </w:rPr>
        <w:t>据天兴评报字（</w:t>
      </w:r>
      <w:r>
        <w:rPr>
          <w:rFonts w:ascii="Times New Roman" w:hAnsi="Times New Roman" w:cs="Times New Roman" w:eastAsia="Times New Roman" w:hint="default"/>
          <w:sz w:val="21"/>
          <w:szCs w:val="21"/>
        </w:rPr>
        <w:t>2009</w:t>
      </w:r>
      <w:r>
        <w:rPr>
          <w:rFonts w:ascii="宋体" w:hAnsi="宋体" w:cs="宋体" w:eastAsia="宋体" w:hint="default"/>
          <w:sz w:val="21"/>
          <w:szCs w:val="21"/>
        </w:rPr>
        <w:t>）第 </w:t>
      </w:r>
      <w:r>
        <w:rPr>
          <w:rFonts w:ascii="Times New Roman" w:hAnsi="Times New Roman" w:cs="Times New Roman" w:eastAsia="Times New Roman" w:hint="default"/>
          <w:sz w:val="21"/>
          <w:szCs w:val="21"/>
        </w:rPr>
        <w:t>17 </w:t>
      </w:r>
      <w:r>
        <w:rPr>
          <w:rFonts w:ascii="宋体" w:hAnsi="宋体" w:cs="宋体" w:eastAsia="宋体" w:hint="default"/>
          <w:sz w:val="21"/>
          <w:szCs w:val="21"/>
        </w:rPr>
        <w:t>号资产评估报告书，该项目评估增值 </w:t>
      </w:r>
      <w:r>
        <w:rPr>
          <w:rFonts w:ascii="Times New Roman" w:hAnsi="Times New Roman" w:cs="Times New Roman" w:eastAsia="Times New Roman" w:hint="default"/>
          <w:sz w:val="21"/>
          <w:szCs w:val="21"/>
        </w:rPr>
        <w:t>161,748.40</w:t>
      </w:r>
      <w:r>
        <w:rPr>
          <w:rFonts w:ascii="Times New Roman" w:hAnsi="Times New Roman" w:cs="Times New Roman" w:eastAsia="Times New Roman" w:hint="default"/>
          <w:spacing w:val="28"/>
          <w:sz w:val="21"/>
          <w:szCs w:val="21"/>
        </w:rPr>
        <w:t> </w:t>
      </w:r>
      <w:r>
        <w:rPr>
          <w:rFonts w:ascii="宋体" w:hAnsi="宋体" w:cs="宋体" w:eastAsia="宋体" w:hint="default"/>
          <w:sz w:val="21"/>
          <w:szCs w:val="21"/>
        </w:rPr>
        <w:t>元，控股合并时根据</w:t>
      </w:r>
    </w:p>
    <w:p>
      <w:pPr>
        <w:spacing w:before="189"/>
        <w:ind w:left="258" w:right="0" w:firstLine="0"/>
        <w:jc w:val="left"/>
        <w:rPr>
          <w:rFonts w:ascii="宋体" w:hAnsi="宋体" w:cs="宋体" w:eastAsia="宋体" w:hint="default"/>
          <w:sz w:val="21"/>
          <w:szCs w:val="21"/>
        </w:rPr>
      </w:pPr>
      <w:r>
        <w:rPr>
          <w:rFonts w:ascii="宋体" w:hAnsi="宋体" w:cs="宋体" w:eastAsia="宋体" w:hint="default"/>
          <w:sz w:val="21"/>
          <w:szCs w:val="21"/>
        </w:rPr>
        <w:t>评估报告对子公司青岛广顺房地产公司的存货项目调增 </w:t>
      </w:r>
      <w:r>
        <w:rPr>
          <w:rFonts w:ascii="Times New Roman" w:hAnsi="Times New Roman" w:cs="Times New Roman" w:eastAsia="Times New Roman" w:hint="default"/>
          <w:sz w:val="21"/>
          <w:szCs w:val="21"/>
        </w:rPr>
        <w:t>160,268,335.05</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29"/>
          <w:szCs w:val="29"/>
        </w:rPr>
      </w:pPr>
    </w:p>
    <w:p>
      <w:pPr>
        <w:spacing w:before="0"/>
        <w:ind w:left="678" w:right="0" w:firstLine="0"/>
        <w:jc w:val="left"/>
        <w:rPr>
          <w:rFonts w:ascii="宋体" w:hAnsi="宋体" w:cs="宋体" w:eastAsia="宋体" w:hint="default"/>
          <w:sz w:val="21"/>
          <w:szCs w:val="21"/>
        </w:rPr>
      </w:pPr>
      <w:r>
        <w:rPr/>
        <w:pict>
          <v:group style="position:absolute;margin-left:63.84pt;margin-top:15.325467pt;width:467.2pt;height:398.95pt;mso-position-horizontal-relative:page;mso-position-vertical-relative:paragraph;z-index:-447592" coordorigin="1277,307" coordsize="9344,7979">
            <v:group style="position:absolute;left:1310;top:322;width:9279;height:2" coordorigin="1310,322" coordsize="9279,2">
              <v:shape style="position:absolute;left:1310;top:322;width:9279;height:2" coordorigin="1310,322" coordsize="9279,0" path="m1310,322l10589,322e" filled="false" stroked="true" strokeweight="1.5pt" strokecolor="#000000">
                <v:path arrowok="t"/>
              </v:shape>
              <v:shape style="position:absolute;left:3719;top:317;width:5177;height:638" type="#_x0000_t75" stroked="false">
                <v:imagedata r:id="rId94" o:title=""/>
              </v:shape>
              <v:shape style="position:absolute;left:1277;top:917;width:9343;height:7368" type="#_x0000_t75" stroked="false">
                <v:imagedata r:id="rId95" o:title=""/>
              </v:shape>
            </v:group>
            <w10:wrap type="none"/>
          </v:group>
        </w:pict>
      </w:r>
      <w:r>
        <w:rPr>
          <w:rFonts w:ascii="Times New Roman" w:hAnsi="Times New Roman" w:cs="Times New Roman" w:eastAsia="Times New Roman" w:hint="default"/>
          <w:sz w:val="21"/>
          <w:szCs w:val="21"/>
        </w:rPr>
        <w:t>6.</w:t>
      </w:r>
      <w:r>
        <w:rPr>
          <w:rFonts w:ascii="宋体" w:hAnsi="宋体" w:cs="宋体" w:eastAsia="宋体" w:hint="default"/>
          <w:sz w:val="21"/>
          <w:szCs w:val="21"/>
        </w:rPr>
        <w:t>固定资产及累计折旧</w:t>
      </w:r>
    </w:p>
    <w:p>
      <w:pPr>
        <w:spacing w:line="240" w:lineRule="auto" w:before="2"/>
        <w:rPr>
          <w:rFonts w:ascii="宋体" w:hAnsi="宋体" w:cs="宋体" w:eastAsia="宋体" w:hint="default"/>
          <w:sz w:val="23"/>
          <w:szCs w:val="23"/>
        </w:rPr>
      </w:pPr>
    </w:p>
    <w:tbl>
      <w:tblPr>
        <w:tblW w:w="0" w:type="auto"/>
        <w:jc w:val="left"/>
        <w:tblInd w:w="223" w:type="dxa"/>
        <w:tblLayout w:type="fixed"/>
        <w:tblCellMar>
          <w:top w:w="0" w:type="dxa"/>
          <w:left w:w="0" w:type="dxa"/>
          <w:bottom w:w="0" w:type="dxa"/>
          <w:right w:w="0" w:type="dxa"/>
        </w:tblCellMar>
        <w:tblLook w:val="01E0"/>
      </w:tblPr>
      <w:tblGrid>
        <w:gridCol w:w="2167"/>
        <w:gridCol w:w="2112"/>
        <w:gridCol w:w="1592"/>
        <w:gridCol w:w="1749"/>
        <w:gridCol w:w="1519"/>
      </w:tblGrid>
      <w:tr>
        <w:trPr>
          <w:trHeight w:val="1119" w:hRule="exact"/>
        </w:trPr>
        <w:tc>
          <w:tcPr>
            <w:tcW w:w="2167" w:type="dxa"/>
            <w:tcBorders>
              <w:top w:val="nil" w:sz="6" w:space="0" w:color="auto"/>
              <w:left w:val="nil" w:sz="6" w:space="0" w:color="auto"/>
              <w:bottom w:val="nil" w:sz="6" w:space="0" w:color="auto"/>
              <w:right w:val="nil" w:sz="6" w:space="0" w:color="auto"/>
            </w:tcBorders>
          </w:tcPr>
          <w:p>
            <w:pPr>
              <w:pStyle w:val="TableParagraph"/>
              <w:tabs>
                <w:tab w:pos="1300" w:val="left" w:leader="none"/>
              </w:tabs>
              <w:spacing w:line="240" w:lineRule="auto" w:before="35"/>
              <w:ind w:left="775" w:right="0"/>
              <w:jc w:val="left"/>
              <w:rPr>
                <w:rFonts w:ascii="宋体" w:hAnsi="宋体" w:cs="宋体" w:eastAsia="宋体" w:hint="default"/>
                <w:sz w:val="21"/>
                <w:szCs w:val="21"/>
              </w:rPr>
            </w:pPr>
            <w:r>
              <w:rPr>
                <w:rFonts w:ascii="宋体" w:hAnsi="宋体" w:cs="宋体" w:eastAsia="宋体" w:hint="default"/>
                <w:sz w:val="21"/>
                <w:szCs w:val="21"/>
              </w:rPr>
              <w:t>类</w:t>
              <w:tab/>
              <w:t>别</w:t>
            </w:r>
          </w:p>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604" w:right="0"/>
              <w:jc w:val="left"/>
              <w:rPr>
                <w:rFonts w:ascii="Times New Roman" w:hAnsi="Times New Roman" w:cs="Times New Roman" w:eastAsia="Times New Roman" w:hint="default"/>
                <w:sz w:val="21"/>
                <w:szCs w:val="21"/>
              </w:rPr>
            </w:pPr>
            <w:r>
              <w:rPr>
                <w:rFonts w:ascii="Times New Roman"/>
                <w:sz w:val="21"/>
              </w:rPr>
              <w:t>2007-12-31</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23"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9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39" w:right="0"/>
              <w:jc w:val="left"/>
              <w:rPr>
                <w:rFonts w:ascii="Times New Roman" w:hAnsi="Times New Roman" w:cs="Times New Roman" w:eastAsia="Times New Roman" w:hint="default"/>
                <w:sz w:val="21"/>
                <w:szCs w:val="21"/>
              </w:rPr>
            </w:pPr>
            <w:r>
              <w:rPr>
                <w:rFonts w:ascii="Times New Roman"/>
                <w:sz w:val="21"/>
              </w:rPr>
              <w:t>2008-12-31</w:t>
            </w:r>
          </w:p>
        </w:tc>
      </w:tr>
      <w:tr>
        <w:trPr>
          <w:trHeight w:val="622" w:hRule="exact"/>
        </w:trPr>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5"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21"/>
              <w:jc w:val="right"/>
              <w:rPr>
                <w:rFonts w:ascii="Times New Roman" w:hAnsi="Times New Roman" w:cs="Times New Roman" w:eastAsia="Times New Roman" w:hint="default"/>
                <w:sz w:val="18"/>
                <w:szCs w:val="18"/>
              </w:rPr>
            </w:pPr>
            <w:r>
              <w:rPr>
                <w:rFonts w:ascii="Times New Roman"/>
                <w:spacing w:val="-1"/>
                <w:sz w:val="18"/>
              </w:rPr>
              <w:t>13,472,084.39</w:t>
            </w:r>
          </w:p>
        </w:tc>
        <w:tc>
          <w:tcPr>
            <w:tcW w:w="1592" w:type="dxa"/>
            <w:tcBorders>
              <w:top w:val="nil" w:sz="6" w:space="0" w:color="auto"/>
              <w:left w:val="nil" w:sz="6" w:space="0" w:color="auto"/>
              <w:bottom w:val="nil" w:sz="6" w:space="0" w:color="auto"/>
              <w:right w:val="nil" w:sz="6" w:space="0" w:color="auto"/>
            </w:tcBorders>
          </w:tcPr>
          <w:p>
            <w:pP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38"/>
              <w:jc w:val="right"/>
              <w:rPr>
                <w:rFonts w:ascii="Times New Roman" w:hAnsi="Times New Roman" w:cs="Times New Roman" w:eastAsia="Times New Roman" w:hint="default"/>
                <w:sz w:val="18"/>
                <w:szCs w:val="18"/>
              </w:rPr>
            </w:pPr>
            <w:r>
              <w:rPr>
                <w:rFonts w:ascii="Times New Roman"/>
                <w:spacing w:val="-1"/>
                <w:sz w:val="18"/>
              </w:rPr>
              <w:t>12,379,997.24</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1,092,087.15</w:t>
            </w:r>
          </w:p>
        </w:tc>
      </w:tr>
      <w:tr>
        <w:trPr>
          <w:trHeight w:val="610" w:hRule="exact"/>
        </w:trPr>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602"/>
              <w:jc w:val="right"/>
              <w:rPr>
                <w:rFonts w:ascii="宋体" w:hAnsi="宋体" w:cs="宋体" w:eastAsia="宋体" w:hint="default"/>
                <w:sz w:val="21"/>
                <w:szCs w:val="21"/>
              </w:rPr>
            </w:pPr>
            <w:r>
              <w:rPr>
                <w:rFonts w:ascii="宋体" w:hAnsi="宋体" w:cs="宋体" w:eastAsia="宋体" w:hint="default"/>
                <w:sz w:val="21"/>
                <w:szCs w:val="21"/>
              </w:rPr>
              <w:t>运输设备</w:t>
            </w:r>
          </w:p>
        </w:tc>
        <w:tc>
          <w:tcPr>
            <w:tcW w:w="2112"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92"/>
              <w:jc w:val="right"/>
              <w:rPr>
                <w:rFonts w:ascii="Times New Roman" w:hAnsi="Times New Roman" w:cs="Times New Roman" w:eastAsia="Times New Roman" w:hint="default"/>
                <w:sz w:val="18"/>
                <w:szCs w:val="18"/>
              </w:rPr>
            </w:pPr>
            <w:r>
              <w:rPr>
                <w:rFonts w:ascii="Times New Roman"/>
                <w:sz w:val="18"/>
              </w:rPr>
              <w:t>176,931.00</w:t>
            </w:r>
          </w:p>
        </w:tc>
        <w:tc>
          <w:tcPr>
            <w:tcW w:w="1749"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176,931.00</w:t>
            </w:r>
          </w:p>
        </w:tc>
      </w:tr>
      <w:tr>
        <w:trPr>
          <w:trHeight w:val="610" w:hRule="exact"/>
        </w:trPr>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602"/>
              <w:jc w:val="right"/>
              <w:rPr>
                <w:rFonts w:ascii="宋体" w:hAnsi="宋体" w:cs="宋体" w:eastAsia="宋体" w:hint="default"/>
                <w:sz w:val="21"/>
                <w:szCs w:val="21"/>
              </w:rPr>
            </w:pPr>
            <w:r>
              <w:rPr>
                <w:rFonts w:ascii="宋体" w:hAnsi="宋体" w:cs="宋体" w:eastAsia="宋体" w:hint="default"/>
                <w:sz w:val="21"/>
                <w:szCs w:val="21"/>
              </w:rPr>
              <w:t>办公设备</w:t>
            </w:r>
          </w:p>
        </w:tc>
        <w:tc>
          <w:tcPr>
            <w:tcW w:w="2112"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92"/>
              <w:jc w:val="right"/>
              <w:rPr>
                <w:rFonts w:ascii="Times New Roman" w:hAnsi="Times New Roman" w:cs="Times New Roman" w:eastAsia="Times New Roman" w:hint="default"/>
                <w:sz w:val="18"/>
                <w:szCs w:val="18"/>
              </w:rPr>
            </w:pPr>
            <w:r>
              <w:rPr>
                <w:rFonts w:ascii="Times New Roman"/>
                <w:sz w:val="18"/>
              </w:rPr>
              <w:t>35,680.00</w:t>
            </w:r>
          </w:p>
        </w:tc>
        <w:tc>
          <w:tcPr>
            <w:tcW w:w="1749"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35,680.00</w:t>
            </w:r>
          </w:p>
        </w:tc>
      </w:tr>
      <w:tr>
        <w:trPr>
          <w:trHeight w:val="610" w:hRule="exact"/>
        </w:trPr>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35" w:right="0"/>
              <w:jc w:val="left"/>
              <w:rPr>
                <w:rFonts w:ascii="宋体" w:hAnsi="宋体" w:cs="宋体" w:eastAsia="宋体" w:hint="default"/>
                <w:sz w:val="21"/>
                <w:szCs w:val="21"/>
              </w:rPr>
            </w:pPr>
            <w:r>
              <w:rPr>
                <w:rFonts w:ascii="宋体" w:hAnsi="宋体" w:cs="宋体" w:eastAsia="宋体" w:hint="default"/>
                <w:sz w:val="21"/>
                <w:szCs w:val="21"/>
              </w:rPr>
              <w:t>电子及其他设备</w:t>
            </w: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21"/>
              <w:jc w:val="right"/>
              <w:rPr>
                <w:rFonts w:ascii="Times New Roman" w:hAnsi="Times New Roman" w:cs="Times New Roman" w:eastAsia="Times New Roman" w:hint="default"/>
                <w:sz w:val="18"/>
                <w:szCs w:val="18"/>
              </w:rPr>
            </w:pPr>
            <w:r>
              <w:rPr>
                <w:rFonts w:ascii="Times New Roman"/>
                <w:sz w:val="18"/>
              </w:rPr>
              <w:t>229,064.41</w:t>
            </w:r>
          </w:p>
        </w:tc>
        <w:tc>
          <w:tcPr>
            <w:tcW w:w="1592" w:type="dxa"/>
            <w:tcBorders>
              <w:top w:val="nil" w:sz="6" w:space="0" w:color="auto"/>
              <w:left w:val="nil" w:sz="6" w:space="0" w:color="auto"/>
              <w:bottom w:val="nil" w:sz="6" w:space="0" w:color="auto"/>
              <w:right w:val="nil" w:sz="6" w:space="0" w:color="auto"/>
            </w:tcBorders>
          </w:tcPr>
          <w:p>
            <w:pPr/>
          </w:p>
        </w:tc>
        <w:tc>
          <w:tcPr>
            <w:tcW w:w="1749"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229,064.41</w:t>
            </w:r>
          </w:p>
        </w:tc>
      </w:tr>
      <w:tr>
        <w:trPr>
          <w:trHeight w:val="610" w:hRule="exact"/>
        </w:trPr>
        <w:tc>
          <w:tcPr>
            <w:tcW w:w="2167" w:type="dxa"/>
            <w:tcBorders>
              <w:top w:val="nil" w:sz="6" w:space="0" w:color="auto"/>
              <w:left w:val="nil" w:sz="6" w:space="0" w:color="auto"/>
              <w:bottom w:val="nil" w:sz="6" w:space="0" w:color="auto"/>
              <w:right w:val="nil" w:sz="6" w:space="0" w:color="auto"/>
            </w:tcBorders>
          </w:tcPr>
          <w:p>
            <w:pPr>
              <w:pStyle w:val="TableParagraph"/>
              <w:tabs>
                <w:tab w:pos="560" w:val="left" w:leader="none"/>
              </w:tabs>
              <w:spacing w:line="240" w:lineRule="auto" w:before="122"/>
              <w:ind w:left="3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22"/>
              <w:jc w:val="right"/>
              <w:rPr>
                <w:rFonts w:ascii="Times New Roman" w:hAnsi="Times New Roman" w:cs="Times New Roman" w:eastAsia="Times New Roman" w:hint="default"/>
                <w:sz w:val="18"/>
                <w:szCs w:val="18"/>
              </w:rPr>
            </w:pPr>
            <w:r>
              <w:rPr>
                <w:rFonts w:ascii="Times New Roman"/>
                <w:spacing w:val="-1"/>
                <w:sz w:val="18"/>
              </w:rPr>
              <w:t>13,701,148.80</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93"/>
              <w:jc w:val="right"/>
              <w:rPr>
                <w:rFonts w:ascii="Times New Roman" w:hAnsi="Times New Roman" w:cs="Times New Roman" w:eastAsia="Times New Roman" w:hint="default"/>
                <w:sz w:val="18"/>
                <w:szCs w:val="18"/>
              </w:rPr>
            </w:pPr>
            <w:r>
              <w:rPr>
                <w:rFonts w:ascii="Times New Roman"/>
                <w:spacing w:val="-1"/>
                <w:sz w:val="18"/>
              </w:rPr>
              <w:t>212,611.00</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37"/>
              <w:jc w:val="right"/>
              <w:rPr>
                <w:rFonts w:ascii="Times New Roman" w:hAnsi="Times New Roman" w:cs="Times New Roman" w:eastAsia="Times New Roman" w:hint="default"/>
                <w:sz w:val="18"/>
                <w:szCs w:val="18"/>
              </w:rPr>
            </w:pPr>
            <w:r>
              <w:rPr>
                <w:rFonts w:ascii="Times New Roman"/>
                <w:spacing w:val="-1"/>
                <w:sz w:val="18"/>
              </w:rPr>
              <w:t>12,379,997.24</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1,533,762.56</w:t>
            </w:r>
          </w:p>
        </w:tc>
      </w:tr>
      <w:tr>
        <w:trPr>
          <w:trHeight w:val="598" w:hRule="exact"/>
        </w:trPr>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35" w:right="0"/>
              <w:jc w:val="left"/>
              <w:rPr>
                <w:rFonts w:ascii="宋体" w:hAnsi="宋体" w:cs="宋体" w:eastAsia="宋体" w:hint="default"/>
                <w:sz w:val="21"/>
                <w:szCs w:val="21"/>
              </w:rPr>
            </w:pPr>
            <w:r>
              <w:rPr>
                <w:rFonts w:ascii="宋体" w:hAnsi="宋体" w:cs="宋体" w:eastAsia="宋体" w:hint="default"/>
                <w:sz w:val="21"/>
                <w:szCs w:val="21"/>
              </w:rPr>
              <w:t>累计折旧：</w:t>
            </w:r>
          </w:p>
        </w:tc>
        <w:tc>
          <w:tcPr>
            <w:tcW w:w="2112"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c>
          <w:tcPr>
            <w:tcW w:w="1749"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
        </w:tc>
      </w:tr>
      <w:tr>
        <w:trPr>
          <w:trHeight w:val="622" w:hRule="exact"/>
        </w:trPr>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5"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22"/>
              <w:jc w:val="right"/>
              <w:rPr>
                <w:rFonts w:ascii="Times New Roman" w:hAnsi="Times New Roman" w:cs="Times New Roman" w:eastAsia="Times New Roman" w:hint="default"/>
                <w:sz w:val="18"/>
                <w:szCs w:val="18"/>
              </w:rPr>
            </w:pPr>
            <w:r>
              <w:rPr>
                <w:rFonts w:ascii="Times New Roman"/>
                <w:spacing w:val="-1"/>
                <w:sz w:val="18"/>
              </w:rPr>
              <w:t>6,108,256.25</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92"/>
              <w:jc w:val="right"/>
              <w:rPr>
                <w:rFonts w:ascii="Times New Roman" w:hAnsi="Times New Roman" w:cs="Times New Roman" w:eastAsia="Times New Roman" w:hint="default"/>
                <w:sz w:val="18"/>
                <w:szCs w:val="18"/>
              </w:rPr>
            </w:pPr>
            <w:r>
              <w:rPr>
                <w:rFonts w:ascii="Times New Roman"/>
                <w:sz w:val="18"/>
              </w:rPr>
              <w:t>606,243.84</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38"/>
              <w:jc w:val="right"/>
              <w:rPr>
                <w:rFonts w:ascii="Times New Roman" w:hAnsi="Times New Roman" w:cs="Times New Roman" w:eastAsia="Times New Roman" w:hint="default"/>
                <w:sz w:val="18"/>
                <w:szCs w:val="18"/>
              </w:rPr>
            </w:pPr>
            <w:r>
              <w:rPr>
                <w:rFonts w:ascii="Times New Roman"/>
                <w:spacing w:val="-1"/>
                <w:sz w:val="18"/>
              </w:rPr>
              <w:t>5,873,272.35</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841,227.74</w:t>
            </w:r>
          </w:p>
        </w:tc>
      </w:tr>
      <w:tr>
        <w:trPr>
          <w:trHeight w:val="610" w:hRule="exact"/>
        </w:trPr>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602"/>
              <w:jc w:val="right"/>
              <w:rPr>
                <w:rFonts w:ascii="宋体" w:hAnsi="宋体" w:cs="宋体" w:eastAsia="宋体" w:hint="default"/>
                <w:sz w:val="21"/>
                <w:szCs w:val="21"/>
              </w:rPr>
            </w:pPr>
            <w:r>
              <w:rPr>
                <w:rFonts w:ascii="宋体" w:hAnsi="宋体" w:cs="宋体" w:eastAsia="宋体" w:hint="default"/>
                <w:sz w:val="21"/>
                <w:szCs w:val="21"/>
              </w:rPr>
              <w:t>运输设备</w:t>
            </w:r>
          </w:p>
        </w:tc>
        <w:tc>
          <w:tcPr>
            <w:tcW w:w="2112"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92"/>
              <w:jc w:val="right"/>
              <w:rPr>
                <w:rFonts w:ascii="Times New Roman" w:hAnsi="Times New Roman" w:cs="Times New Roman" w:eastAsia="Times New Roman" w:hint="default"/>
                <w:sz w:val="18"/>
                <w:szCs w:val="18"/>
              </w:rPr>
            </w:pPr>
            <w:r>
              <w:rPr>
                <w:rFonts w:ascii="Times New Roman"/>
                <w:sz w:val="18"/>
              </w:rPr>
              <w:t>50,425.33</w:t>
            </w:r>
          </w:p>
        </w:tc>
        <w:tc>
          <w:tcPr>
            <w:tcW w:w="1749"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50,425.33</w:t>
            </w:r>
          </w:p>
        </w:tc>
      </w:tr>
      <w:tr>
        <w:trPr>
          <w:trHeight w:val="610" w:hRule="exact"/>
        </w:trPr>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602"/>
              <w:jc w:val="right"/>
              <w:rPr>
                <w:rFonts w:ascii="宋体" w:hAnsi="宋体" w:cs="宋体" w:eastAsia="宋体" w:hint="default"/>
                <w:sz w:val="21"/>
                <w:szCs w:val="21"/>
              </w:rPr>
            </w:pPr>
            <w:r>
              <w:rPr>
                <w:rFonts w:ascii="宋体" w:hAnsi="宋体" w:cs="宋体" w:eastAsia="宋体" w:hint="default"/>
                <w:sz w:val="21"/>
                <w:szCs w:val="21"/>
              </w:rPr>
              <w:t>办公设备</w:t>
            </w:r>
          </w:p>
        </w:tc>
        <w:tc>
          <w:tcPr>
            <w:tcW w:w="2112"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92"/>
              <w:jc w:val="right"/>
              <w:rPr>
                <w:rFonts w:ascii="Times New Roman" w:hAnsi="Times New Roman" w:cs="Times New Roman" w:eastAsia="Times New Roman" w:hint="default"/>
                <w:sz w:val="18"/>
                <w:szCs w:val="18"/>
              </w:rPr>
            </w:pPr>
            <w:r>
              <w:rPr>
                <w:rFonts w:ascii="Times New Roman"/>
                <w:sz w:val="18"/>
              </w:rPr>
              <w:t>3,084.2</w:t>
            </w:r>
          </w:p>
        </w:tc>
        <w:tc>
          <w:tcPr>
            <w:tcW w:w="1749"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3,084.20</w:t>
            </w:r>
          </w:p>
        </w:tc>
      </w:tr>
      <w:tr>
        <w:trPr>
          <w:trHeight w:val="610" w:hRule="exact"/>
        </w:trPr>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35" w:right="0"/>
              <w:jc w:val="left"/>
              <w:rPr>
                <w:rFonts w:ascii="宋体" w:hAnsi="宋体" w:cs="宋体" w:eastAsia="宋体" w:hint="default"/>
                <w:sz w:val="21"/>
                <w:szCs w:val="21"/>
              </w:rPr>
            </w:pPr>
            <w:r>
              <w:rPr>
                <w:rFonts w:ascii="宋体" w:hAnsi="宋体" w:cs="宋体" w:eastAsia="宋体" w:hint="default"/>
                <w:sz w:val="21"/>
                <w:szCs w:val="21"/>
              </w:rPr>
              <w:t>电子及其他设备</w:t>
            </w: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21"/>
              <w:jc w:val="right"/>
              <w:rPr>
                <w:rFonts w:ascii="Times New Roman" w:hAnsi="Times New Roman" w:cs="Times New Roman" w:eastAsia="Times New Roman" w:hint="default"/>
                <w:sz w:val="18"/>
                <w:szCs w:val="18"/>
              </w:rPr>
            </w:pPr>
            <w:r>
              <w:rPr>
                <w:rFonts w:ascii="Times New Roman"/>
                <w:sz w:val="18"/>
              </w:rPr>
              <w:t>141,968.32</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92"/>
              <w:jc w:val="right"/>
              <w:rPr>
                <w:rFonts w:ascii="Times New Roman" w:hAnsi="Times New Roman" w:cs="Times New Roman" w:eastAsia="Times New Roman" w:hint="default"/>
                <w:sz w:val="18"/>
                <w:szCs w:val="18"/>
              </w:rPr>
            </w:pPr>
            <w:r>
              <w:rPr>
                <w:rFonts w:ascii="Times New Roman"/>
                <w:sz w:val="18"/>
              </w:rPr>
              <w:t>29,820.72</w:t>
            </w:r>
          </w:p>
        </w:tc>
        <w:tc>
          <w:tcPr>
            <w:tcW w:w="1749"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171,789.04</w:t>
            </w:r>
          </w:p>
        </w:tc>
      </w:tr>
      <w:tr>
        <w:trPr>
          <w:trHeight w:val="522" w:hRule="exact"/>
        </w:trPr>
        <w:tc>
          <w:tcPr>
            <w:tcW w:w="2167" w:type="dxa"/>
            <w:tcBorders>
              <w:top w:val="nil" w:sz="6" w:space="0" w:color="auto"/>
              <w:left w:val="nil" w:sz="6" w:space="0" w:color="auto"/>
              <w:bottom w:val="nil" w:sz="6" w:space="0" w:color="auto"/>
              <w:right w:val="nil" w:sz="6" w:space="0" w:color="auto"/>
            </w:tcBorders>
          </w:tcPr>
          <w:p>
            <w:pPr>
              <w:pStyle w:val="TableParagraph"/>
              <w:tabs>
                <w:tab w:pos="560" w:val="left" w:leader="none"/>
              </w:tabs>
              <w:spacing w:line="240" w:lineRule="auto" w:before="122"/>
              <w:ind w:left="3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22"/>
              <w:jc w:val="right"/>
              <w:rPr>
                <w:rFonts w:ascii="Times New Roman" w:hAnsi="Times New Roman" w:cs="Times New Roman" w:eastAsia="Times New Roman" w:hint="default"/>
                <w:sz w:val="18"/>
                <w:szCs w:val="18"/>
              </w:rPr>
            </w:pPr>
            <w:r>
              <w:rPr>
                <w:rFonts w:ascii="Times New Roman"/>
                <w:spacing w:val="-1"/>
                <w:sz w:val="18"/>
              </w:rPr>
              <w:t>6,250,224.57</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93"/>
              <w:jc w:val="right"/>
              <w:rPr>
                <w:rFonts w:ascii="Times New Roman" w:hAnsi="Times New Roman" w:cs="Times New Roman" w:eastAsia="Times New Roman" w:hint="default"/>
                <w:sz w:val="18"/>
                <w:szCs w:val="18"/>
              </w:rPr>
            </w:pPr>
            <w:r>
              <w:rPr>
                <w:rFonts w:ascii="Times New Roman"/>
                <w:sz w:val="18"/>
              </w:rPr>
              <w:t>689,574.09</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37"/>
              <w:jc w:val="right"/>
              <w:rPr>
                <w:rFonts w:ascii="Times New Roman" w:hAnsi="Times New Roman" w:cs="Times New Roman" w:eastAsia="Times New Roman" w:hint="default"/>
                <w:sz w:val="18"/>
                <w:szCs w:val="18"/>
              </w:rPr>
            </w:pPr>
            <w:r>
              <w:rPr>
                <w:rFonts w:ascii="Times New Roman"/>
                <w:spacing w:val="-1"/>
                <w:sz w:val="18"/>
              </w:rPr>
              <w:t>5,873,272.35</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1,066,526.31</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710" w:top="580" w:bottom="900" w:left="1160" w:right="1180"/>
        </w:sectPr>
      </w:pPr>
    </w:p>
    <w:p>
      <w:pPr>
        <w:pStyle w:val="Heading2"/>
        <w:spacing w:line="310" w:lineRule="exact"/>
        <w:ind w:left="3018" w:right="3076"/>
        <w:jc w:val="center"/>
        <w:rPr>
          <w:b w:val="0"/>
          <w:bCs w:val="0"/>
        </w:rPr>
      </w:pPr>
      <w:r>
        <w:rPr/>
        <w:pict>
          <v:shape style="position:absolute;margin-left:88.919998pt;margin-top:3.990308pt;width:57.0pt;height:31.5pt;mso-position-horizontal-relative:page;mso-position-vertical-relative:paragraph;z-index:9688"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2211" w:right="2271"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3"/>
          <w:szCs w:val="23"/>
        </w:rPr>
      </w:pPr>
    </w:p>
    <w:tbl>
      <w:tblPr>
        <w:tblW w:w="0" w:type="auto"/>
        <w:jc w:val="left"/>
        <w:tblInd w:w="116" w:type="dxa"/>
        <w:tblLayout w:type="fixed"/>
        <w:tblCellMar>
          <w:top w:w="0" w:type="dxa"/>
          <w:left w:w="0" w:type="dxa"/>
          <w:bottom w:w="0" w:type="dxa"/>
          <w:right w:w="0" w:type="dxa"/>
        </w:tblCellMar>
        <w:tblLook w:val="01E0"/>
      </w:tblPr>
      <w:tblGrid>
        <w:gridCol w:w="2080"/>
        <w:gridCol w:w="4182"/>
        <w:gridCol w:w="3038"/>
      </w:tblGrid>
      <w:tr>
        <w:trPr>
          <w:trHeight w:val="1119" w:hRule="exact"/>
        </w:trPr>
        <w:tc>
          <w:tcPr>
            <w:tcW w:w="2080" w:type="dxa"/>
            <w:tcBorders>
              <w:top w:val="nil" w:sz="6" w:space="0" w:color="auto"/>
              <w:left w:val="nil" w:sz="6" w:space="0" w:color="auto"/>
              <w:bottom w:val="nil" w:sz="6" w:space="0" w:color="auto"/>
              <w:right w:val="nil" w:sz="6" w:space="0" w:color="auto"/>
            </w:tcBorders>
          </w:tcPr>
          <w:p>
            <w:pPr>
              <w:pStyle w:val="TableParagraph"/>
              <w:tabs>
                <w:tab w:pos="647" w:val="left" w:leader="none"/>
              </w:tabs>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净</w:t>
              <w:tab/>
              <w:t>值</w:t>
            </w:r>
          </w:p>
          <w:p>
            <w:pPr>
              <w:pStyle w:val="TableParagraph"/>
              <w:spacing w:line="240" w:lineRule="auto" w:before="1"/>
              <w:ind w:right="0"/>
              <w:jc w:val="left"/>
              <w:rPr>
                <w:rFonts w:ascii="Times New Roman" w:hAnsi="Times New Roman" w:cs="Times New Roman" w:eastAsia="Times New Roman" w:hint="default"/>
                <w:sz w:val="29"/>
                <w:szCs w:val="29"/>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减值准备</w:t>
            </w:r>
          </w:p>
        </w:tc>
        <w:tc>
          <w:tcPr>
            <w:tcW w:w="4182"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117" w:right="0"/>
              <w:jc w:val="left"/>
              <w:rPr>
                <w:rFonts w:ascii="Times New Roman" w:hAnsi="Times New Roman" w:cs="Times New Roman" w:eastAsia="Times New Roman" w:hint="default"/>
                <w:sz w:val="18"/>
                <w:szCs w:val="18"/>
              </w:rPr>
            </w:pPr>
            <w:r>
              <w:rPr>
                <w:rFonts w:ascii="Times New Roman"/>
                <w:sz w:val="18"/>
              </w:rPr>
              <w:t>7,450,924.23</w:t>
            </w:r>
          </w:p>
        </w:tc>
        <w:tc>
          <w:tcPr>
            <w:tcW w:w="3038"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05"/>
              <w:jc w:val="right"/>
              <w:rPr>
                <w:rFonts w:ascii="Times New Roman" w:hAnsi="Times New Roman" w:cs="Times New Roman" w:eastAsia="Times New Roman" w:hint="default"/>
                <w:sz w:val="18"/>
                <w:szCs w:val="18"/>
              </w:rPr>
            </w:pPr>
            <w:r>
              <w:rPr>
                <w:rFonts w:ascii="Times New Roman"/>
                <w:sz w:val="18"/>
              </w:rPr>
              <w:t>467,236.25</w:t>
            </w:r>
          </w:p>
        </w:tc>
      </w:tr>
      <w:tr>
        <w:trPr>
          <w:trHeight w:val="458" w:hRule="exact"/>
        </w:trPr>
        <w:tc>
          <w:tcPr>
            <w:tcW w:w="2080" w:type="dxa"/>
            <w:tcBorders>
              <w:top w:val="nil" w:sz="6" w:space="0" w:color="auto"/>
              <w:left w:val="nil" w:sz="6" w:space="0" w:color="auto"/>
              <w:bottom w:val="single" w:sz="12" w:space="0" w:color="000000"/>
              <w:right w:val="nil" w:sz="6" w:space="0" w:color="auto"/>
            </w:tcBorders>
          </w:tcPr>
          <w:p>
            <w:pPr>
              <w:pStyle w:val="TableParagraph"/>
              <w:tabs>
                <w:tab w:pos="647" w:val="left" w:leader="none"/>
              </w:tabs>
              <w:spacing w:line="240" w:lineRule="auto" w:before="135"/>
              <w:ind w:left="122" w:right="0"/>
              <w:jc w:val="left"/>
              <w:rPr>
                <w:rFonts w:ascii="宋体" w:hAnsi="宋体" w:cs="宋体" w:eastAsia="宋体" w:hint="default"/>
                <w:sz w:val="21"/>
                <w:szCs w:val="21"/>
              </w:rPr>
            </w:pPr>
            <w:r>
              <w:rPr>
                <w:rFonts w:ascii="宋体" w:hAnsi="宋体" w:cs="宋体" w:eastAsia="宋体" w:hint="default"/>
                <w:sz w:val="21"/>
                <w:szCs w:val="21"/>
              </w:rPr>
              <w:t>余</w:t>
              <w:tab/>
              <w:t>额</w:t>
            </w:r>
          </w:p>
        </w:tc>
        <w:tc>
          <w:tcPr>
            <w:tcW w:w="4182"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left="1117" w:right="0"/>
              <w:jc w:val="left"/>
              <w:rPr>
                <w:rFonts w:ascii="Times New Roman" w:hAnsi="Times New Roman" w:cs="Times New Roman" w:eastAsia="Times New Roman" w:hint="default"/>
                <w:sz w:val="18"/>
                <w:szCs w:val="18"/>
              </w:rPr>
            </w:pPr>
            <w:r>
              <w:rPr>
                <w:rFonts w:ascii="Times New Roman"/>
                <w:sz w:val="18"/>
              </w:rPr>
              <w:t>7,450,924.23</w:t>
            </w:r>
          </w:p>
        </w:tc>
        <w:tc>
          <w:tcPr>
            <w:tcW w:w="3038"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467,236.25</w:t>
            </w:r>
          </w:p>
        </w:tc>
      </w:tr>
    </w:tbl>
    <w:p>
      <w:pPr>
        <w:spacing w:line="240" w:lineRule="auto" w:before="5"/>
        <w:rPr>
          <w:rFonts w:ascii="Times New Roman" w:hAnsi="Times New Roman" w:cs="Times New Roman" w:eastAsia="Times New Roman" w:hint="default"/>
          <w:sz w:val="12"/>
          <w:szCs w:val="12"/>
        </w:rPr>
      </w:pPr>
    </w:p>
    <w:p>
      <w:pPr>
        <w:spacing w:before="35"/>
        <w:ind w:left="658" w:right="346" w:firstLine="0"/>
        <w:jc w:val="left"/>
        <w:rPr>
          <w:rFonts w:ascii="宋体" w:hAnsi="宋体" w:cs="宋体" w:eastAsia="宋体" w:hint="default"/>
          <w:sz w:val="21"/>
          <w:szCs w:val="21"/>
        </w:rPr>
      </w:pPr>
      <w:r>
        <w:rPr/>
        <w:pict>
          <v:group style="position:absolute;margin-left:64.559998pt;margin-top:-101.306007pt;width:466.15pt;height:92.9pt;mso-position-horizontal-relative:page;mso-position-vertical-relative:paragraph;z-index:-447112" coordorigin="1291,-2026" coordsize="9323,1858">
            <v:group style="position:absolute;left:1388;top:-2014;width:9130;height:2" coordorigin="1388,-2014" coordsize="9130,2">
              <v:shape style="position:absolute;left:1388;top:-2014;width:9130;height:2" coordorigin="1388,-2014" coordsize="9130,0" path="m1388,-2014l10518,-2014e" filled="false" stroked="true" strokeweight=".71997pt" strokecolor="#000000">
                <v:path arrowok="t"/>
              </v:shape>
              <v:shape style="position:absolute;left:3719;top:-2026;width:5177;height:638" type="#_x0000_t75" stroked="false">
                <v:imagedata r:id="rId96" o:title=""/>
              </v:shape>
              <v:shape style="position:absolute;left:1291;top:-1426;width:9323;height:1258" type="#_x0000_t75" stroked="false">
                <v:imagedata r:id="rId97" o:title=""/>
              </v:shape>
              <v:shape style="position:absolute;left:5521;top:-807;width:48;height:638" type="#_x0000_t75" stroked="false">
                <v:imagedata r:id="rId98" o:title=""/>
              </v:shape>
              <v:shape style="position:absolute;left:7044;top:-807;width:48;height:638" type="#_x0000_t75" stroked="false">
                <v:imagedata r:id="rId98" o:title=""/>
              </v:shape>
              <v:shape style="position:absolute;left:8848;top:-807;width:48;height:638" type="#_x0000_t75" stroked="false">
                <v:imagedata r:id="rId98" o:titl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）本期固定资产减少较大主要原因是资产被偿债，详见附注十一</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说明；</w:t>
      </w:r>
    </w:p>
    <w:p>
      <w:pPr>
        <w:spacing w:line="240" w:lineRule="auto" w:before="0"/>
        <w:rPr>
          <w:rFonts w:ascii="宋体" w:hAnsi="宋体" w:cs="宋体" w:eastAsia="宋体" w:hint="default"/>
          <w:sz w:val="16"/>
          <w:szCs w:val="16"/>
        </w:rPr>
      </w:pPr>
    </w:p>
    <w:p>
      <w:pPr>
        <w:spacing w:before="0"/>
        <w:ind w:left="658" w:right="34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）资产抵押情况详见附注七</w:t>
      </w:r>
      <w:r>
        <w:rPr>
          <w:rFonts w:ascii="Times New Roman" w:hAnsi="Times New Roman" w:cs="Times New Roman" w:eastAsia="Times New Roman" w:hint="default"/>
          <w:sz w:val="21"/>
          <w:szCs w:val="21"/>
        </w:rPr>
        <w:t>.8</w:t>
      </w:r>
      <w:r>
        <w:rPr>
          <w:rFonts w:ascii="宋体" w:hAnsi="宋体" w:cs="宋体" w:eastAsia="宋体" w:hint="default"/>
          <w:sz w:val="21"/>
          <w:szCs w:val="21"/>
        </w:rPr>
        <w:t>。</w:t>
      </w:r>
    </w:p>
    <w:p>
      <w:pPr>
        <w:spacing w:line="240" w:lineRule="auto" w:before="0"/>
        <w:rPr>
          <w:rFonts w:ascii="宋体" w:hAnsi="宋体" w:cs="宋体" w:eastAsia="宋体" w:hint="default"/>
          <w:sz w:val="16"/>
          <w:szCs w:val="16"/>
        </w:rPr>
      </w:pPr>
    </w:p>
    <w:p>
      <w:pPr>
        <w:spacing w:before="0"/>
        <w:ind w:left="65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）本期增加固定资产原值中，纳入合并范围的子公司固定资产原值期初数为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182,561.00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12"/>
        <w:rPr>
          <w:rFonts w:ascii="宋体" w:hAnsi="宋体" w:cs="宋体" w:eastAsia="宋体" w:hint="default"/>
          <w:sz w:val="15"/>
          <w:szCs w:val="15"/>
        </w:rPr>
      </w:pPr>
    </w:p>
    <w:p>
      <w:pPr>
        <w:spacing w:before="0"/>
        <w:ind w:left="238" w:right="346" w:firstLine="0"/>
        <w:jc w:val="left"/>
        <w:rPr>
          <w:rFonts w:ascii="宋体" w:hAnsi="宋体" w:cs="宋体" w:eastAsia="宋体" w:hint="default"/>
          <w:sz w:val="21"/>
          <w:szCs w:val="21"/>
        </w:rPr>
      </w:pPr>
      <w:r>
        <w:rPr>
          <w:rFonts w:ascii="宋体" w:hAnsi="宋体" w:cs="宋体" w:eastAsia="宋体" w:hint="default"/>
          <w:sz w:val="21"/>
          <w:szCs w:val="21"/>
        </w:rPr>
        <w:t>本期增加固定资产累计折旧中，纳入合并范围的子公司累计折旧期初数为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17,343.31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16"/>
          <w:szCs w:val="16"/>
        </w:rPr>
      </w:pPr>
    </w:p>
    <w:p>
      <w:pPr>
        <w:spacing w:before="0"/>
        <w:ind w:left="658" w:right="346" w:firstLine="0"/>
        <w:jc w:val="left"/>
        <w:rPr>
          <w:rFonts w:ascii="宋体" w:hAnsi="宋体" w:cs="宋体" w:eastAsia="宋体" w:hint="default"/>
          <w:sz w:val="21"/>
          <w:szCs w:val="21"/>
        </w:rPr>
      </w:pPr>
      <w:r>
        <w:rPr/>
        <w:pict>
          <v:group style="position:absolute;margin-left:85.739998pt;margin-top:15.383054pt;width:447.8pt;height:94.7pt;mso-position-horizontal-relative:page;mso-position-vertical-relative:paragraph;z-index:-447064" coordorigin="1715,308" coordsize="8956,1894">
            <v:group style="position:absolute;left:1734;top:323;width:8918;height:2" coordorigin="1734,323" coordsize="8918,2">
              <v:shape style="position:absolute;left:1734;top:323;width:8918;height:2" coordorigin="1734,323" coordsize="8918,0" path="m1734,323l10651,323e" filled="false" stroked="true" strokeweight="1.5pt" strokecolor="#000000">
                <v:path arrowok="t"/>
              </v:shape>
              <v:shape style="position:absolute;left:3914;top:318;width:5614;height:353" type="#_x0000_t75" stroked="false">
                <v:imagedata r:id="rId99" o:title=""/>
              </v:shape>
              <v:shape style="position:absolute;left:1715;top:633;width:8956;height:1568" type="#_x0000_t75" stroked="false">
                <v:imagedata r:id="rId100" o:title=""/>
              </v:shape>
              <v:shape style="position:absolute;left:5070;top:1662;width:48;height:539" type="#_x0000_t75" stroked="false">
                <v:imagedata r:id="rId101" o:title=""/>
              </v:shape>
              <v:shape style="position:absolute;left:6330;top:1662;width:48;height:539" type="#_x0000_t75" stroked="false">
                <v:imagedata r:id="rId101" o:title=""/>
              </v:shape>
              <v:shape style="position:absolute;left:7711;top:1662;width:48;height:539" type="#_x0000_t75" stroked="false">
                <v:imagedata r:id="rId101" o:title=""/>
              </v:shape>
              <v:shape style="position:absolute;left:9480;top:1662;width:48;height:539" type="#_x0000_t75" stroked="false">
                <v:imagedata r:id="rId101" o:title=""/>
              </v:shape>
            </v:group>
            <w10:wrap type="none"/>
          </v:group>
        </w:pict>
      </w:r>
      <w:r>
        <w:rPr>
          <w:rFonts w:ascii="Times New Roman" w:hAnsi="Times New Roman" w:cs="Times New Roman" w:eastAsia="Times New Roman" w:hint="default"/>
          <w:sz w:val="21"/>
          <w:szCs w:val="21"/>
        </w:rPr>
        <w:t>7.</w:t>
      </w:r>
      <w:r>
        <w:rPr>
          <w:rFonts w:ascii="宋体" w:hAnsi="宋体" w:cs="宋体" w:eastAsia="宋体" w:hint="default"/>
          <w:sz w:val="21"/>
          <w:szCs w:val="21"/>
        </w:rPr>
        <w:t>资产减值准备</w:t>
      </w:r>
    </w:p>
    <w:p>
      <w:pPr>
        <w:spacing w:line="240" w:lineRule="auto" w:before="2"/>
        <w:rPr>
          <w:rFonts w:ascii="宋体" w:hAnsi="宋体" w:cs="宋体" w:eastAsia="宋体" w:hint="default"/>
          <w:sz w:val="4"/>
          <w:szCs w:val="4"/>
        </w:rPr>
      </w:pPr>
    </w:p>
    <w:tbl>
      <w:tblPr>
        <w:tblW w:w="0" w:type="auto"/>
        <w:jc w:val="left"/>
        <w:tblInd w:w="539" w:type="dxa"/>
        <w:tblLayout w:type="fixed"/>
        <w:tblCellMar>
          <w:top w:w="0" w:type="dxa"/>
          <w:left w:w="0" w:type="dxa"/>
          <w:bottom w:w="0" w:type="dxa"/>
          <w:right w:w="0" w:type="dxa"/>
        </w:tblCellMar>
        <w:tblLook w:val="01E0"/>
      </w:tblPr>
      <w:tblGrid>
        <w:gridCol w:w="2057"/>
        <w:gridCol w:w="1353"/>
        <w:gridCol w:w="1291"/>
        <w:gridCol w:w="1120"/>
        <w:gridCol w:w="1988"/>
        <w:gridCol w:w="976"/>
        <w:gridCol w:w="154"/>
      </w:tblGrid>
      <w:tr>
        <w:trPr>
          <w:trHeight w:val="454" w:hRule="exact"/>
        </w:trPr>
        <w:tc>
          <w:tcPr>
            <w:tcW w:w="205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1"/>
              <w:jc w:val="right"/>
              <w:rPr>
                <w:rFonts w:ascii="Times New Roman" w:hAnsi="Times New Roman" w:cs="Times New Roman" w:eastAsia="Times New Roman" w:hint="default"/>
                <w:sz w:val="18"/>
                <w:szCs w:val="18"/>
              </w:rPr>
            </w:pPr>
            <w:r>
              <w:rPr>
                <w:rFonts w:ascii="Times New Roman"/>
                <w:w w:val="95"/>
                <w:sz w:val="18"/>
              </w:rPr>
              <w:t>2007-12-31</w:t>
            </w:r>
            <w:r>
              <w:rPr>
                <w:rFonts w:ascii="Times New Roman"/>
                <w:sz w:val="18"/>
              </w:rPr>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4" w:right="0"/>
              <w:jc w:val="left"/>
              <w:rPr>
                <w:rFonts w:ascii="宋体" w:hAnsi="宋体" w:cs="宋体" w:eastAsia="宋体" w:hint="default"/>
                <w:sz w:val="18"/>
                <w:szCs w:val="18"/>
              </w:rPr>
            </w:pPr>
            <w:r>
              <w:rPr>
                <w:rFonts w:ascii="宋体" w:hAnsi="宋体" w:cs="宋体" w:eastAsia="宋体" w:hint="default"/>
                <w:sz w:val="18"/>
                <w:szCs w:val="18"/>
              </w:rPr>
              <w:t>本期计提数</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4" w:right="0"/>
              <w:jc w:val="left"/>
              <w:rPr>
                <w:rFonts w:ascii="宋体" w:hAnsi="宋体" w:cs="宋体" w:eastAsia="宋体" w:hint="default"/>
                <w:sz w:val="18"/>
                <w:szCs w:val="18"/>
              </w:rPr>
            </w:pPr>
            <w:r>
              <w:rPr>
                <w:rFonts w:ascii="宋体" w:hAnsi="宋体" w:cs="宋体" w:eastAsia="宋体" w:hint="default"/>
                <w:sz w:val="18"/>
                <w:szCs w:val="18"/>
              </w:rPr>
              <w:t>本期转回数</w:t>
            </w:r>
          </w:p>
        </w:tc>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28" w:right="0"/>
              <w:jc w:val="left"/>
              <w:rPr>
                <w:rFonts w:ascii="宋体" w:hAnsi="宋体" w:cs="宋体" w:eastAsia="宋体" w:hint="default"/>
                <w:sz w:val="18"/>
                <w:szCs w:val="18"/>
              </w:rPr>
            </w:pPr>
            <w:r>
              <w:rPr>
                <w:rFonts w:ascii="宋体" w:hAnsi="宋体" w:cs="宋体" w:eastAsia="宋体" w:hint="default"/>
                <w:sz w:val="18"/>
                <w:szCs w:val="18"/>
              </w:rPr>
              <w:t>本期转销数</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33" w:right="0"/>
              <w:jc w:val="left"/>
              <w:rPr>
                <w:rFonts w:ascii="Times New Roman" w:hAnsi="Times New Roman" w:cs="Times New Roman" w:eastAsia="Times New Roman" w:hint="default"/>
                <w:sz w:val="18"/>
                <w:szCs w:val="18"/>
              </w:rPr>
            </w:pPr>
            <w:r>
              <w:rPr>
                <w:rFonts w:ascii="Times New Roman"/>
                <w:sz w:val="18"/>
              </w:rPr>
              <w:t>2008-12-31</w:t>
            </w:r>
          </w:p>
        </w:tc>
        <w:tc>
          <w:tcPr>
            <w:tcW w:w="154" w:type="dxa"/>
            <w:tcBorders>
              <w:top w:val="nil" w:sz="6" w:space="0" w:color="auto"/>
              <w:left w:val="nil" w:sz="6" w:space="0" w:color="auto"/>
              <w:bottom w:val="nil" w:sz="6" w:space="0" w:color="auto"/>
              <w:right w:val="nil" w:sz="6" w:space="0" w:color="auto"/>
            </w:tcBorders>
          </w:tcPr>
          <w:p>
            <w:pPr/>
          </w:p>
        </w:tc>
      </w:tr>
      <w:tr>
        <w:trPr>
          <w:trHeight w:val="510" w:hRule="exact"/>
        </w:trPr>
        <w:tc>
          <w:tcPr>
            <w:tcW w:w="2057"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一</w:t>
            </w:r>
            <w:r>
              <w:rPr>
                <w:rFonts w:ascii="Times New Roman" w:hAnsi="Times New Roman" w:cs="Times New Roman" w:eastAsia="Times New Roman" w:hint="default"/>
                <w:sz w:val="18"/>
                <w:szCs w:val="18"/>
              </w:rPr>
              <w:t>.</w:t>
            </w:r>
            <w:r>
              <w:rPr>
                <w:rFonts w:ascii="宋体" w:hAnsi="宋体" w:cs="宋体" w:eastAsia="宋体" w:hint="default"/>
                <w:sz w:val="18"/>
                <w:szCs w:val="18"/>
              </w:rPr>
              <w:t>坏账准备</w:t>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43"/>
              <w:jc w:val="right"/>
              <w:rPr>
                <w:rFonts w:ascii="Times New Roman" w:hAnsi="Times New Roman" w:cs="Times New Roman" w:eastAsia="Times New Roman" w:hint="default"/>
                <w:sz w:val="15"/>
                <w:szCs w:val="15"/>
              </w:rPr>
            </w:pPr>
            <w:r>
              <w:rPr>
                <w:rFonts w:ascii="Times New Roman"/>
                <w:spacing w:val="-1"/>
                <w:sz w:val="15"/>
              </w:rPr>
              <w:t>235,717,037.05</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7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120" w:type="dxa"/>
            <w:tcBorders>
              <w:top w:val="nil" w:sz="6" w:space="0" w:color="auto"/>
              <w:left w:val="nil" w:sz="6" w:space="0" w:color="auto"/>
              <w:bottom w:val="nil" w:sz="6" w:space="0" w:color="auto"/>
              <w:right w:val="nil" w:sz="6" w:space="0" w:color="auto"/>
            </w:tcBorders>
          </w:tcPr>
          <w:p>
            <w:pPr/>
          </w:p>
        </w:tc>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tabs>
                <w:tab w:pos="916" w:val="left" w:leader="none"/>
              </w:tabs>
              <w:spacing w:line="240" w:lineRule="auto"/>
              <w:ind w:left="45" w:right="0"/>
              <w:jc w:val="left"/>
              <w:rPr>
                <w:rFonts w:ascii="Times New Roman" w:hAnsi="Times New Roman" w:cs="Times New Roman" w:eastAsia="Times New Roman" w:hint="default"/>
                <w:sz w:val="15"/>
                <w:szCs w:val="15"/>
              </w:rPr>
            </w:pPr>
            <w:r>
              <w:rPr>
                <w:rFonts w:ascii="Times New Roman"/>
                <w:w w:val="95"/>
                <w:sz w:val="13"/>
              </w:rPr>
              <w:t>-</w:t>
              <w:tab/>
            </w:r>
            <w:r>
              <w:rPr>
                <w:rFonts w:ascii="Times New Roman"/>
                <w:sz w:val="15"/>
              </w:rPr>
              <w:t>235,717,037.05</w:t>
            </w:r>
          </w:p>
        </w:tc>
        <w:tc>
          <w:tcPr>
            <w:tcW w:w="976" w:type="dxa"/>
            <w:tcBorders>
              <w:top w:val="nil" w:sz="6" w:space="0" w:color="auto"/>
              <w:left w:val="nil" w:sz="6" w:space="0" w:color="auto"/>
              <w:bottom w:val="nil" w:sz="6" w:space="0" w:color="auto"/>
              <w:right w:val="nil" w:sz="6" w:space="0" w:color="auto"/>
            </w:tcBorders>
          </w:tcPr>
          <w:p>
            <w:pPr/>
          </w:p>
        </w:tc>
        <w:tc>
          <w:tcPr>
            <w:tcW w:w="154"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 w:right="0"/>
              <w:jc w:val="lef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r>
      <w:tr>
        <w:trPr>
          <w:trHeight w:val="510" w:hRule="exact"/>
        </w:trPr>
        <w:tc>
          <w:tcPr>
            <w:tcW w:w="2057" w:type="dxa"/>
            <w:tcBorders>
              <w:top w:val="nil" w:sz="6" w:space="0" w:color="auto"/>
              <w:left w:val="nil" w:sz="6" w:space="0" w:color="auto"/>
              <w:bottom w:val="nil" w:sz="6" w:space="0" w:color="auto"/>
              <w:right w:val="nil" w:sz="6" w:space="0" w:color="auto"/>
            </w:tcBorders>
          </w:tcPr>
          <w:p>
            <w:pPr>
              <w:pStyle w:val="TableParagraph"/>
              <w:spacing w:line="240" w:lineRule="auto" w:before="98"/>
              <w:ind w:left="122" w:right="0"/>
              <w:jc w:val="left"/>
              <w:rPr>
                <w:rFonts w:ascii="宋体" w:hAnsi="宋体" w:cs="宋体" w:eastAsia="宋体" w:hint="default"/>
                <w:sz w:val="18"/>
                <w:szCs w:val="18"/>
              </w:rPr>
            </w:pPr>
            <w:r>
              <w:rPr>
                <w:rFonts w:ascii="宋体" w:hAnsi="宋体" w:cs="宋体" w:eastAsia="宋体" w:hint="default"/>
                <w:sz w:val="18"/>
                <w:szCs w:val="18"/>
              </w:rPr>
              <w:t>二</w:t>
            </w:r>
            <w:r>
              <w:rPr>
                <w:rFonts w:ascii="Times New Roman" w:hAnsi="Times New Roman" w:cs="Times New Roman" w:eastAsia="Times New Roman" w:hint="default"/>
                <w:sz w:val="18"/>
                <w:szCs w:val="18"/>
              </w:rPr>
              <w:t>.</w:t>
            </w:r>
            <w:r>
              <w:rPr>
                <w:rFonts w:ascii="宋体" w:hAnsi="宋体" w:cs="宋体" w:eastAsia="宋体" w:hint="default"/>
                <w:sz w:val="18"/>
                <w:szCs w:val="18"/>
              </w:rPr>
              <w:t>长期投资减值准备</w:t>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42"/>
              <w:jc w:val="right"/>
              <w:rPr>
                <w:rFonts w:ascii="Times New Roman" w:hAnsi="Times New Roman" w:cs="Times New Roman" w:eastAsia="Times New Roman" w:hint="default"/>
                <w:sz w:val="15"/>
                <w:szCs w:val="15"/>
              </w:rPr>
            </w:pPr>
            <w:r>
              <w:rPr>
                <w:rFonts w:ascii="Times New Roman"/>
                <w:spacing w:val="-1"/>
                <w:sz w:val="15"/>
              </w:rPr>
              <w:t>5,241,411.94</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73"/>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1120" w:type="dxa"/>
            <w:tcBorders>
              <w:top w:val="nil" w:sz="6" w:space="0" w:color="auto"/>
              <w:left w:val="nil" w:sz="6" w:space="0" w:color="auto"/>
              <w:bottom w:val="nil" w:sz="6" w:space="0" w:color="auto"/>
              <w:right w:val="nil" w:sz="6" w:space="0" w:color="auto"/>
            </w:tcBorders>
          </w:tcPr>
          <w:p>
            <w:pPr/>
          </w:p>
        </w:tc>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tabs>
                <w:tab w:pos="1070" w:val="left" w:leader="none"/>
              </w:tabs>
              <w:spacing w:line="240" w:lineRule="auto"/>
              <w:ind w:left="45" w:right="0"/>
              <w:jc w:val="left"/>
              <w:rPr>
                <w:rFonts w:ascii="Times New Roman" w:hAnsi="Times New Roman" w:cs="Times New Roman" w:eastAsia="Times New Roman" w:hint="default"/>
                <w:sz w:val="15"/>
                <w:szCs w:val="15"/>
              </w:rPr>
            </w:pPr>
            <w:r>
              <w:rPr>
                <w:rFonts w:ascii="Times New Roman"/>
                <w:w w:val="95"/>
                <w:sz w:val="13"/>
              </w:rPr>
              <w:t>-</w:t>
              <w:tab/>
            </w:r>
            <w:r>
              <w:rPr>
                <w:rFonts w:ascii="Times New Roman"/>
                <w:sz w:val="15"/>
              </w:rPr>
              <w:t>5,251,411.94</w:t>
            </w:r>
          </w:p>
        </w:tc>
        <w:tc>
          <w:tcPr>
            <w:tcW w:w="976" w:type="dxa"/>
            <w:tcBorders>
              <w:top w:val="nil" w:sz="6" w:space="0" w:color="auto"/>
              <w:left w:val="nil" w:sz="6" w:space="0" w:color="auto"/>
              <w:bottom w:val="nil" w:sz="6" w:space="0" w:color="auto"/>
              <w:right w:val="nil" w:sz="6" w:space="0" w:color="auto"/>
            </w:tcBorders>
          </w:tcPr>
          <w:p>
            <w:pPr/>
          </w:p>
        </w:tc>
        <w:tc>
          <w:tcPr>
            <w:tcW w:w="1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 w:right="0"/>
              <w:jc w:val="lef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r>
      <w:tr>
        <w:trPr>
          <w:trHeight w:val="378" w:hRule="exact"/>
        </w:trPr>
        <w:tc>
          <w:tcPr>
            <w:tcW w:w="2057"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left="122"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353"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43"/>
              <w:jc w:val="right"/>
              <w:rPr>
                <w:rFonts w:ascii="Times New Roman" w:hAnsi="Times New Roman" w:cs="Times New Roman" w:eastAsia="Times New Roman" w:hint="default"/>
                <w:sz w:val="15"/>
                <w:szCs w:val="15"/>
              </w:rPr>
            </w:pPr>
            <w:r>
              <w:rPr>
                <w:rFonts w:ascii="Times New Roman"/>
                <w:spacing w:val="-1"/>
                <w:sz w:val="15"/>
              </w:rPr>
              <w:t>240,958,448.99</w:t>
            </w:r>
          </w:p>
        </w:tc>
        <w:tc>
          <w:tcPr>
            <w:tcW w:w="129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72"/>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1120" w:type="dxa"/>
            <w:tcBorders>
              <w:top w:val="nil" w:sz="6" w:space="0" w:color="auto"/>
              <w:left w:val="nil" w:sz="6" w:space="0" w:color="auto"/>
              <w:bottom w:val="single" w:sz="12" w:space="0" w:color="000000"/>
              <w:right w:val="nil" w:sz="6" w:space="0" w:color="auto"/>
            </w:tcBorders>
          </w:tcPr>
          <w:p>
            <w:pPr/>
          </w:p>
        </w:tc>
        <w:tc>
          <w:tcPr>
            <w:tcW w:w="1988"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tabs>
                <w:tab w:pos="916" w:val="left" w:leader="none"/>
              </w:tabs>
              <w:spacing w:line="240" w:lineRule="auto"/>
              <w:ind w:left="44" w:right="0"/>
              <w:jc w:val="left"/>
              <w:rPr>
                <w:rFonts w:ascii="Times New Roman" w:hAnsi="Times New Roman" w:cs="Times New Roman" w:eastAsia="Times New Roman" w:hint="default"/>
                <w:sz w:val="15"/>
                <w:szCs w:val="15"/>
              </w:rPr>
            </w:pPr>
            <w:r>
              <w:rPr>
                <w:rFonts w:ascii="Times New Roman"/>
                <w:w w:val="95"/>
                <w:sz w:val="13"/>
              </w:rPr>
              <w:t>-</w:t>
              <w:tab/>
            </w:r>
            <w:r>
              <w:rPr>
                <w:rFonts w:ascii="Times New Roman"/>
                <w:sz w:val="15"/>
              </w:rPr>
              <w:t>240,968,448.99</w:t>
            </w:r>
          </w:p>
        </w:tc>
        <w:tc>
          <w:tcPr>
            <w:tcW w:w="976" w:type="dxa"/>
            <w:tcBorders>
              <w:top w:val="nil" w:sz="6" w:space="0" w:color="auto"/>
              <w:left w:val="nil" w:sz="6" w:space="0" w:color="auto"/>
              <w:bottom w:val="single" w:sz="12" w:space="0" w:color="000000"/>
              <w:right w:val="nil" w:sz="6" w:space="0" w:color="auto"/>
            </w:tcBorders>
          </w:tcPr>
          <w:p>
            <w:pPr/>
          </w:p>
        </w:tc>
        <w:tc>
          <w:tcPr>
            <w:tcW w:w="15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 w:right="0"/>
              <w:jc w:val="lef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r>
    </w:tbl>
    <w:p>
      <w:pPr>
        <w:spacing w:line="240" w:lineRule="auto" w:before="12"/>
        <w:rPr>
          <w:rFonts w:ascii="宋体" w:hAnsi="宋体" w:cs="宋体" w:eastAsia="宋体" w:hint="default"/>
          <w:sz w:val="10"/>
          <w:szCs w:val="10"/>
        </w:rPr>
      </w:pPr>
    </w:p>
    <w:p>
      <w:pPr>
        <w:spacing w:line="412" w:lineRule="auto" w:before="35"/>
        <w:ind w:left="238" w:right="277" w:firstLine="315"/>
        <w:jc w:val="left"/>
        <w:rPr>
          <w:rFonts w:ascii="宋体" w:hAnsi="宋体" w:cs="宋体" w:eastAsia="宋体" w:hint="default"/>
          <w:sz w:val="21"/>
          <w:szCs w:val="21"/>
        </w:rPr>
      </w:pPr>
      <w:r>
        <w:rPr>
          <w:rFonts w:ascii="宋体" w:hAnsi="宋体" w:cs="宋体" w:eastAsia="宋体" w:hint="default"/>
          <w:sz w:val="21"/>
          <w:szCs w:val="21"/>
        </w:rPr>
        <w:t>说明：坏账准备和长期投资减值准备转销为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年根据协议将公司账面的应收账款和其他应收 款以及长期投资转让，相应的减值准则转销。</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spacing w:line="412" w:lineRule="auto" w:before="0"/>
        <w:ind w:left="658" w:right="36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宋体" w:hAnsi="宋体" w:cs="宋体" w:eastAsia="宋体" w:hint="default"/>
          <w:sz w:val="21"/>
          <w:szCs w:val="21"/>
        </w:rPr>
        <w:t>所有权受到限制的资产 截止</w:t>
      </w:r>
      <w:r>
        <w:rPr>
          <w:rFonts w:ascii="Times New Roman" w:hAnsi="Times New Roman" w:cs="Times New Roman" w:eastAsia="Times New Roman" w:hint="default"/>
          <w:sz w:val="21"/>
          <w:szCs w:val="21"/>
        </w:rPr>
        <w:t>2008</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日，所有权受到限制的资产明细如下：</w:t>
      </w:r>
    </w:p>
    <w:p>
      <w:pPr>
        <w:spacing w:line="240" w:lineRule="auto" w:before="12"/>
        <w:rPr>
          <w:rFonts w:ascii="宋体" w:hAnsi="宋体" w:cs="宋体" w:eastAsia="宋体" w:hint="default"/>
          <w:sz w:val="6"/>
          <w:szCs w:val="6"/>
        </w:rPr>
      </w:pPr>
    </w:p>
    <w:p>
      <w:pPr>
        <w:spacing w:line="1111" w:lineRule="exact"/>
        <w:ind w:left="524"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47.15pt;height:55.6pt;mso-position-horizontal-relative:char;mso-position-vertical-relative:line" coordorigin="0,0" coordsize="8943,1112">
            <v:group style="position:absolute;left:29;top:15;width:8891;height:2" coordorigin="29,15" coordsize="8891,2">
              <v:shape style="position:absolute;left:29;top:15;width:8891;height:2" coordorigin="29,15" coordsize="8891,0" path="m29,15l8920,15e" filled="false" stroked="true" strokeweight="1.5pt" strokecolor="#000000">
                <v:path arrowok="t"/>
              </v:shape>
            </v:group>
            <v:group style="position:absolute;left:15;top:1096;width:2171;height:2" coordorigin="15,1096" coordsize="2171,2">
              <v:shape style="position:absolute;left:15;top:1096;width:2171;height:2" coordorigin="15,1096" coordsize="2171,0" path="m15,1096l2186,1096e" filled="false" stroked="true" strokeweight="1.5pt" strokecolor="#000000">
                <v:path arrowok="t"/>
              </v:shape>
              <v:shape style="position:absolute;left:10;top:11;width:8928;height:1090" type="#_x0000_t75" stroked="false">
                <v:imagedata r:id="rId102" o:title=""/>
              </v:shape>
            </v:group>
            <v:group style="position:absolute;left:2186;top:1096;width:1776;height:2" coordorigin="2186,1096" coordsize="1776,2">
              <v:shape style="position:absolute;left:2186;top:1096;width:1776;height:2" coordorigin="2186,1096" coordsize="1776,0" path="m2186,1096l3962,1096e" filled="false" stroked="true" strokeweight="1.5pt" strokecolor="#000000">
                <v:path arrowok="t"/>
              </v:shape>
              <v:shape style="position:absolute;left:3943;top:562;width:48;height:539" type="#_x0000_t75" stroked="false">
                <v:imagedata r:id="rId41" o:title=""/>
              </v:shape>
            </v:group>
            <v:group style="position:absolute;left:3962;top:1096;width:1134;height:2" coordorigin="3962,1096" coordsize="1134,2">
              <v:shape style="position:absolute;left:3962;top:1096;width:1134;height:2" coordorigin="3962,1096" coordsize="1134,0" path="m3962,1096l5096,1096e" filled="false" stroked="true" strokeweight="1.5pt" strokecolor="#000000">
                <v:path arrowok="t"/>
              </v:shape>
              <v:shape style="position:absolute;left:5077;top:562;width:48;height:539" type="#_x0000_t75" stroked="false">
                <v:imagedata r:id="rId41" o:title=""/>
              </v:shape>
            </v:group>
            <v:group style="position:absolute;left:5096;top:1096;width:1702;height:2" coordorigin="5096,1096" coordsize="1702,2">
              <v:shape style="position:absolute;left:5096;top:1096;width:1702;height:2" coordorigin="5096,1096" coordsize="1702,0" path="m5096,1096l6797,1096e" filled="false" stroked="true" strokeweight="1.5pt" strokecolor="#000000">
                <v:path arrowok="t"/>
              </v:shape>
              <v:shape style="position:absolute;left:6778;top:562;width:48;height:539" type="#_x0000_t75" stroked="false">
                <v:imagedata r:id="rId41" o:title=""/>
              </v:shape>
            </v:group>
            <v:group style="position:absolute;left:6797;top:1096;width:2130;height:2" coordorigin="6797,1096" coordsize="2130,2">
              <v:shape style="position:absolute;left:6797;top:1096;width:2130;height:2" coordorigin="6797,1096" coordsize="2130,0" path="m6797,1096l8927,1096e" filled="false" stroked="true" strokeweight="1.5pt" strokecolor="#000000">
                <v:path arrowok="t"/>
              </v:shape>
              <v:shape style="position:absolute;left:211;top:364;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所有权受到限制的资产</w:t>
                      </w:r>
                    </w:p>
                  </w:txbxContent>
                </v:textbox>
                <w10:wrap type="none"/>
              </v:shape>
              <v:shape style="position:absolute;left:2775;top:436;width:605;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2007-12-31</w:t>
                      </w:r>
                      <w:r>
                        <w:rPr>
                          <w:rFonts w:ascii="Times New Roman"/>
                          <w:sz w:val="13"/>
                        </w:rPr>
                      </w:r>
                    </w:p>
                  </w:txbxContent>
                </v:textbox>
                <w10:wrap type="none"/>
              </v:shape>
              <v:shape style="position:absolute;left:4274;top:420;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本期增加</w:t>
                      </w:r>
                      <w:r>
                        <w:rPr>
                          <w:rFonts w:ascii="宋体" w:hAnsi="宋体" w:cs="宋体" w:eastAsia="宋体" w:hint="default"/>
                          <w:sz w:val="13"/>
                          <w:szCs w:val="13"/>
                        </w:rPr>
                      </w:r>
                    </w:p>
                  </w:txbxContent>
                </v:textbox>
                <w10:wrap type="none"/>
              </v:shape>
              <v:shape style="position:absolute;left:5692;top:420;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本期减少</w:t>
                      </w:r>
                      <w:r>
                        <w:rPr>
                          <w:rFonts w:ascii="宋体" w:hAnsi="宋体" w:cs="宋体" w:eastAsia="宋体" w:hint="default"/>
                          <w:sz w:val="13"/>
                          <w:szCs w:val="13"/>
                        </w:rPr>
                      </w:r>
                    </w:p>
                  </w:txbxContent>
                </v:textbox>
                <w10:wrap type="none"/>
              </v:shape>
              <v:shape style="position:absolute;left:7595;top:436;width:541;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2008-12-3</w:t>
                      </w:r>
                      <w:r>
                        <w:rPr>
                          <w:rFonts w:ascii="Times New Roman"/>
                          <w:sz w:val="13"/>
                        </w:rPr>
                      </w:r>
                    </w:p>
                  </w:txbxContent>
                </v:textbox>
                <w10:wrap type="none"/>
              </v:shape>
              <v:shape style="position:absolute;left:227;top:87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房屋建筑物</w:t>
                      </w:r>
                    </w:p>
                  </w:txbxContent>
                </v:textbox>
                <w10:wrap type="none"/>
              </v:shape>
              <v:shape style="position:absolute;left:2823;top:89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13,472,084.39</w:t>
                      </w:r>
                    </w:p>
                  </w:txbxContent>
                </v:textbox>
                <w10:wrap type="none"/>
              </v:shape>
              <v:shape style="position:absolute;left:4949;top:945;width:44;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xbxContent>
                </v:textbox>
                <w10:wrap type="none"/>
              </v:shape>
              <v:shape style="position:absolute;left:6651;top:945;width:44;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xbxContent>
                </v:textbox>
                <w10:wrap type="none"/>
              </v:shape>
              <v:shape style="position:absolute;left:7875;top:89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1,092,087.15</w:t>
                      </w:r>
                    </w:p>
                  </w:txbxContent>
                </v:textbox>
                <w10:wrap type="none"/>
              </v:shape>
            </v:group>
          </v:group>
        </w:pict>
      </w:r>
      <w:r>
        <w:rPr>
          <w:rFonts w:ascii="宋体" w:hAnsi="宋体" w:cs="宋体" w:eastAsia="宋体" w:hint="default"/>
          <w:position w:val="-21"/>
          <w:sz w:val="20"/>
          <w:szCs w:val="20"/>
        </w:rPr>
      </w:r>
    </w:p>
    <w:p>
      <w:pPr>
        <w:spacing w:line="240" w:lineRule="auto" w:before="1"/>
        <w:rPr>
          <w:rFonts w:ascii="宋体" w:hAnsi="宋体" w:cs="宋体" w:eastAsia="宋体" w:hint="default"/>
          <w:sz w:val="12"/>
          <w:szCs w:val="12"/>
        </w:rPr>
      </w:pPr>
    </w:p>
    <w:p>
      <w:pPr>
        <w:spacing w:before="35"/>
        <w:ind w:left="658" w:right="0" w:firstLine="0"/>
        <w:jc w:val="left"/>
        <w:rPr>
          <w:rFonts w:ascii="宋体" w:hAnsi="宋体" w:cs="宋体" w:eastAsia="宋体" w:hint="default"/>
          <w:sz w:val="21"/>
          <w:szCs w:val="21"/>
        </w:rPr>
      </w:pPr>
      <w:r>
        <w:rPr>
          <w:rFonts w:ascii="宋体" w:hAnsi="宋体" w:cs="宋体" w:eastAsia="宋体" w:hint="default"/>
          <w:sz w:val="21"/>
          <w:szCs w:val="21"/>
        </w:rPr>
        <w:t>根据河南郑州市中级人民法院</w:t>
      </w:r>
      <w:r>
        <w:rPr>
          <w:rFonts w:ascii="Times New Roman" w:hAnsi="Times New Roman" w:cs="Times New Roman" w:eastAsia="Times New Roman" w:hint="default"/>
          <w:sz w:val="21"/>
          <w:szCs w:val="21"/>
        </w:rPr>
        <w:t>(2006)</w:t>
      </w:r>
      <w:r>
        <w:rPr>
          <w:rFonts w:ascii="宋体" w:hAnsi="宋体" w:cs="宋体" w:eastAsia="宋体" w:hint="default"/>
          <w:sz w:val="21"/>
          <w:szCs w:val="21"/>
        </w:rPr>
        <w:t>郑志</w:t>
      </w:r>
      <w:r>
        <w:rPr>
          <w:rFonts w:ascii="Times New Roman" w:hAnsi="Times New Roman" w:cs="Times New Roman" w:eastAsia="Times New Roman" w:hint="default"/>
          <w:sz w:val="21"/>
          <w:szCs w:val="21"/>
        </w:rPr>
        <w:t>-</w:t>
      </w:r>
      <w:r>
        <w:rPr>
          <w:rFonts w:ascii="宋体" w:hAnsi="宋体" w:cs="宋体" w:eastAsia="宋体" w:hint="default"/>
          <w:sz w:val="21"/>
          <w:szCs w:val="21"/>
        </w:rPr>
        <w:t>字第</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91-18\92-18</w:t>
      </w:r>
      <w:r>
        <w:rPr>
          <w:rFonts w:ascii="Times New Roman" w:hAnsi="Times New Roman" w:cs="Times New Roman" w:eastAsia="Times New Roman" w:hint="default"/>
          <w:spacing w:val="-1"/>
          <w:sz w:val="21"/>
          <w:szCs w:val="21"/>
        </w:rPr>
        <w:t> </w:t>
      </w:r>
      <w:r>
        <w:rPr>
          <w:rFonts w:ascii="宋体" w:hAnsi="宋体" w:cs="宋体" w:eastAsia="宋体" w:hint="default"/>
          <w:spacing w:val="-5"/>
          <w:sz w:val="21"/>
          <w:szCs w:val="21"/>
        </w:rPr>
        <w:t>号文件，公司桂花苑</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U</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区公寓</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U1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栋</w:t>
      </w:r>
    </w:p>
    <w:p>
      <w:pPr>
        <w:spacing w:line="240" w:lineRule="auto" w:before="0"/>
        <w:rPr>
          <w:rFonts w:ascii="宋体" w:hAnsi="宋体" w:cs="宋体" w:eastAsia="宋体" w:hint="default"/>
          <w:sz w:val="16"/>
          <w:szCs w:val="16"/>
        </w:rPr>
      </w:pPr>
    </w:p>
    <w:p>
      <w:pPr>
        <w:spacing w:before="0"/>
        <w:ind w:left="23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W</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区公寓</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W1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栋</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402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号被查封。截止</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日上述公寓原值</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1,092,087.15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元，净</w:t>
      </w:r>
    </w:p>
    <w:p>
      <w:pPr>
        <w:spacing w:line="240" w:lineRule="auto" w:before="0"/>
        <w:rPr>
          <w:rFonts w:ascii="宋体" w:hAnsi="宋体" w:cs="宋体" w:eastAsia="宋体" w:hint="default"/>
          <w:sz w:val="16"/>
          <w:szCs w:val="16"/>
        </w:rPr>
      </w:pPr>
    </w:p>
    <w:p>
      <w:pPr>
        <w:spacing w:before="0"/>
        <w:ind w:left="238" w:right="346" w:firstLine="0"/>
        <w:jc w:val="left"/>
        <w:rPr>
          <w:rFonts w:ascii="宋体" w:hAnsi="宋体" w:cs="宋体" w:eastAsia="宋体" w:hint="default"/>
          <w:sz w:val="21"/>
          <w:szCs w:val="21"/>
        </w:rPr>
      </w:pPr>
      <w:r>
        <w:rPr>
          <w:rFonts w:ascii="宋体" w:hAnsi="宋体" w:cs="宋体" w:eastAsia="宋体" w:hint="default"/>
          <w:sz w:val="21"/>
          <w:szCs w:val="21"/>
        </w:rPr>
        <w:t>值</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250,859.41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658" w:right="34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9.</w:t>
      </w:r>
      <w:r>
        <w:rPr>
          <w:rFonts w:ascii="宋体" w:hAnsi="宋体" w:cs="宋体" w:eastAsia="宋体" w:hint="default"/>
          <w:sz w:val="21"/>
          <w:szCs w:val="21"/>
        </w:rPr>
        <w:t>短期借款</w:t>
      </w:r>
    </w:p>
    <w:p>
      <w:pPr>
        <w:spacing w:line="990" w:lineRule="exact"/>
        <w:ind w:left="656"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433.1pt;height:49.5pt;mso-position-horizontal-relative:char;mso-position-vertical-relative:line" coordorigin="0,0" coordsize="8662,990">
            <v:group style="position:absolute;left:15;top:15;width:8632;height:2" coordorigin="15,15" coordsize="8632,2">
              <v:shape style="position:absolute;left:15;top:15;width:8632;height:2" coordorigin="15,15" coordsize="8632,0" path="m15,15l8647,15e" filled="false" stroked="true" strokeweight="1.5pt" strokecolor="#000000">
                <v:path arrowok="t"/>
              </v:shape>
            </v:group>
            <v:group style="position:absolute;left:15;top:975;width:1830;height:2" coordorigin="15,975" coordsize="1830,2">
              <v:shape style="position:absolute;left:15;top:975;width:1830;height:2" coordorigin="15,975" coordsize="1830,0" path="m15,975l1845,975e" filled="false" stroked="true" strokeweight="1.5pt" strokecolor="#000000">
                <v:path arrowok="t"/>
              </v:shape>
            </v:group>
            <v:group style="position:absolute;left:1845;top:975;width:1773;height:2" coordorigin="1845,975" coordsize="1773,2">
              <v:shape style="position:absolute;left:1845;top:975;width:1773;height:2" coordorigin="1845,975" coordsize="1773,0" path="m1845,975l3617,975e" filled="false" stroked="true" strokeweight="1.5pt" strokecolor="#000000">
                <v:path arrowok="t"/>
              </v:shape>
            </v:group>
            <v:group style="position:absolute;left:3617;top:975;width:1772;height:2" coordorigin="3617,975" coordsize="1772,2">
              <v:shape style="position:absolute;left:3617;top:975;width:1772;height:2" coordorigin="3617,975" coordsize="1772,0" path="m3617,975l5389,975e" filled="false" stroked="true" strokeweight="1.5pt" strokecolor="#000000">
                <v:path arrowok="t"/>
              </v:shape>
            </v:group>
            <v:group style="position:absolute;left:5389;top:975;width:1631;height:2" coordorigin="5389,975" coordsize="1631,2">
              <v:shape style="position:absolute;left:5389;top:975;width:1631;height:2" coordorigin="5389,975" coordsize="1631,0" path="m5389,975l7019,975e" filled="false" stroked="true" strokeweight="1.5pt" strokecolor="#000000">
                <v:path arrowok="t"/>
              </v:shape>
              <v:shape style="position:absolute;left:1826;top:12;width:6835;height:948" type="#_x0000_t75" stroked="false">
                <v:imagedata r:id="rId103" o:title=""/>
              </v:shape>
            </v:group>
            <v:group style="position:absolute;left:7019;top:975;width:1628;height:2" coordorigin="7019,975" coordsize="1628,2">
              <v:shape style="position:absolute;left:7019;top:975;width:1628;height:2" coordorigin="7019,975" coordsize="1628,0" path="m7019,975l8647,975e" filled="false" stroked="true" strokeweight="1.5pt" strokecolor="#000000">
                <v:path arrowok="t"/>
              </v:shape>
              <v:shape style="position:absolute;left:3130;top:274;width:9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2008-12-31</w:t>
                      </w:r>
                    </w:p>
                  </w:txbxContent>
                </v:textbox>
                <w10:wrap type="none"/>
              </v:shape>
              <v:shape style="position:absolute;left:6533;top:274;width:9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2007-12-31</w:t>
                      </w:r>
                    </w:p>
                  </w:txbxContent>
                </v:textbox>
                <w10:wrap type="none"/>
              </v:shape>
              <v:shape style="position:absolute;left:508;top:46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借款类别</w:t>
                      </w:r>
                    </w:p>
                  </w:txbxContent>
                </v:textbox>
                <w10:wrap type="none"/>
              </v:shape>
              <v:shape style="position:absolute;left:2368;top:717;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原</w:t>
                        <w:tab/>
                        <w:t>币</w:t>
                      </w:r>
                    </w:p>
                  </w:txbxContent>
                </v:textbox>
                <w10:wrap type="none"/>
              </v:shape>
              <v:shape style="position:absolute;left:3983;top:717;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折合人民币</w:t>
                      </w:r>
                    </w:p>
                  </w:txbxContent>
                </v:textbox>
                <w10:wrap type="none"/>
              </v:shape>
              <v:shape style="position:absolute;left:5893;top:717;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原</w:t>
                        <w:tab/>
                        <w:t>币</w:t>
                      </w:r>
                    </w:p>
                  </w:txbxContent>
                </v:textbox>
                <w10:wrap type="none"/>
              </v:shape>
              <v:shape style="position:absolute;left:7313;top:717;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折合人民币</w:t>
                      </w:r>
                    </w:p>
                  </w:txbxContent>
                </v:textbox>
                <w10:wrap type="none"/>
              </v:shape>
            </v:group>
          </v:group>
        </w:pict>
      </w:r>
      <w:r>
        <w:rPr>
          <w:rFonts w:ascii="宋体" w:hAnsi="宋体" w:cs="宋体" w:eastAsia="宋体" w:hint="default"/>
          <w:position w:val="-19"/>
          <w:sz w:val="20"/>
          <w:szCs w:val="20"/>
        </w:rPr>
      </w:r>
    </w:p>
    <w:p>
      <w:pPr>
        <w:spacing w:after="0" w:line="990" w:lineRule="exact"/>
        <w:rPr>
          <w:rFonts w:ascii="宋体" w:hAnsi="宋体" w:cs="宋体" w:eastAsia="宋体" w:hint="default"/>
          <w:sz w:val="20"/>
          <w:szCs w:val="20"/>
        </w:rPr>
        <w:sectPr>
          <w:pgSz w:w="11910" w:h="16840"/>
          <w:pgMar w:header="0" w:footer="710" w:top="580" w:bottom="900" w:left="1180" w:right="112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9856"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pict>
          <v:group style="position:absolute;margin-left:69.060013pt;margin-top:20.989061pt;width:457.2pt;height:72.2pt;mso-position-horizontal-relative:page;mso-position-vertical-relative:paragraph;z-index:-446944" coordorigin="1381,420" coordsize="9144,1444">
            <v:group style="position:absolute;left:1388;top:427;width:9130;height:2" coordorigin="1388,427" coordsize="9130,2">
              <v:shape style="position:absolute;left:1388;top:427;width:9130;height:2" coordorigin="1388,427" coordsize="9130,0" path="m1388,427l10518,427e" filled="false" stroked="true" strokeweight=".71997pt" strokecolor="#000000">
                <v:path arrowok="t"/>
              </v:shape>
            </v:group>
            <v:group style="position:absolute;left:1844;top:449;width:8639;height:2" coordorigin="1844,449" coordsize="8639,2">
              <v:shape style="position:absolute;left:1844;top:449;width:8639;height:2" coordorigin="1844,449" coordsize="8639,0" path="m1844,449l10483,449e" filled="false" stroked="true" strokeweight="1.5pt" strokecolor="#000000">
                <v:path arrowok="t"/>
              </v:shape>
              <v:shape style="position:absolute;left:3664;top:446;width:5220;height:496" type="#_x0000_t75" stroked="false">
                <v:imagedata r:id="rId104" o:title=""/>
              </v:shape>
              <v:shape style="position:absolute;left:1825;top:905;width:8682;height:959" type="#_x0000_t75" stroked="false">
                <v:imagedata r:id="rId105" o:title=""/>
              </v:shape>
            </v:group>
            <w10:wrap type="none"/>
          </v:group>
        </w:pict>
      </w: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4"/>
          <w:szCs w:val="14"/>
        </w:rPr>
      </w:pPr>
    </w:p>
    <w:tbl>
      <w:tblPr>
        <w:tblW w:w="0" w:type="auto"/>
        <w:jc w:val="left"/>
        <w:tblInd w:w="439" w:type="dxa"/>
        <w:tblLayout w:type="fixed"/>
        <w:tblCellMar>
          <w:top w:w="0" w:type="dxa"/>
          <w:left w:w="0" w:type="dxa"/>
          <w:bottom w:w="0" w:type="dxa"/>
          <w:right w:w="0" w:type="dxa"/>
        </w:tblCellMar>
        <w:tblLook w:val="01E0"/>
      </w:tblPr>
      <w:tblGrid>
        <w:gridCol w:w="2387"/>
        <w:gridCol w:w="1777"/>
        <w:gridCol w:w="1212"/>
        <w:gridCol w:w="719"/>
        <w:gridCol w:w="1302"/>
        <w:gridCol w:w="1208"/>
        <w:gridCol w:w="166"/>
      </w:tblGrid>
      <w:tr>
        <w:trPr>
          <w:trHeight w:val="453"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32" w:right="0"/>
              <w:jc w:val="left"/>
              <w:rPr>
                <w:rFonts w:ascii="宋体" w:hAnsi="宋体" w:cs="宋体" w:eastAsia="宋体" w:hint="default"/>
                <w:sz w:val="21"/>
                <w:szCs w:val="21"/>
              </w:rPr>
            </w:pPr>
            <w:r>
              <w:rPr>
                <w:rFonts w:ascii="宋体" w:hAnsi="宋体" w:cs="宋体" w:eastAsia="宋体" w:hint="default"/>
                <w:sz w:val="21"/>
                <w:szCs w:val="21"/>
              </w:rPr>
              <w:t>银行借款</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7" w:right="0"/>
              <w:jc w:val="left"/>
              <w:rPr>
                <w:rFonts w:ascii="Times New Roman" w:hAnsi="Times New Roman" w:cs="Times New Roman" w:eastAsia="Times New Roman" w:hint="default"/>
                <w:sz w:val="21"/>
                <w:szCs w:val="21"/>
              </w:rPr>
            </w:pPr>
            <w:r>
              <w:rPr>
                <w:rFonts w:ascii="Times New Roman"/>
                <w:sz w:val="21"/>
              </w:rPr>
              <w:t>46,370,842.28</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2" w:right="-29"/>
              <w:jc w:val="left"/>
              <w:rPr>
                <w:rFonts w:ascii="Times New Roman" w:hAnsi="Times New Roman" w:cs="Times New Roman" w:eastAsia="Times New Roman" w:hint="default"/>
                <w:sz w:val="21"/>
                <w:szCs w:val="21"/>
              </w:rPr>
            </w:pPr>
            <w:r>
              <w:rPr>
                <w:rFonts w:ascii="Times New Roman"/>
                <w:spacing w:val="-1"/>
                <w:sz w:val="21"/>
              </w:rPr>
              <w:t>46,370,842.28</w:t>
            </w:r>
          </w:p>
        </w:tc>
        <w:tc>
          <w:tcPr>
            <w:tcW w:w="202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9"/>
              <w:ind w:left="448" w:right="0"/>
              <w:jc w:val="left"/>
              <w:rPr>
                <w:rFonts w:ascii="Times New Roman" w:hAnsi="Times New Roman" w:cs="Times New Roman" w:eastAsia="Times New Roman" w:hint="default"/>
                <w:sz w:val="21"/>
                <w:szCs w:val="21"/>
              </w:rPr>
            </w:pPr>
            <w:r>
              <w:rPr>
                <w:rFonts w:ascii="Times New Roman"/>
                <w:sz w:val="21"/>
              </w:rPr>
              <w:t>46,370,842.28</w:t>
            </w:r>
          </w:p>
        </w:tc>
        <w:tc>
          <w:tcPr>
            <w:tcW w:w="137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9"/>
              <w:ind w:left="59" w:right="0"/>
              <w:jc w:val="left"/>
              <w:rPr>
                <w:rFonts w:ascii="Times New Roman" w:hAnsi="Times New Roman" w:cs="Times New Roman" w:eastAsia="Times New Roman" w:hint="default"/>
                <w:sz w:val="21"/>
                <w:szCs w:val="21"/>
              </w:rPr>
            </w:pPr>
            <w:r>
              <w:rPr>
                <w:rFonts w:ascii="Times New Roman"/>
                <w:sz w:val="21"/>
              </w:rPr>
              <w:t>46,370,842.28</w:t>
            </w:r>
          </w:p>
        </w:tc>
      </w:tr>
      <w:tr>
        <w:trPr>
          <w:trHeight w:val="470"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32" w:right="0"/>
              <w:jc w:val="left"/>
              <w:rPr>
                <w:rFonts w:ascii="宋体" w:hAnsi="宋体" w:cs="宋体" w:eastAsia="宋体" w:hint="default"/>
                <w:sz w:val="21"/>
                <w:szCs w:val="21"/>
              </w:rPr>
            </w:pPr>
            <w:r>
              <w:rPr>
                <w:rFonts w:ascii="宋体" w:hAnsi="宋体" w:cs="宋体" w:eastAsia="宋体" w:hint="default"/>
                <w:sz w:val="21"/>
                <w:szCs w:val="21"/>
              </w:rPr>
              <w:t>其中：担保借款</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37" w:right="0"/>
              <w:jc w:val="left"/>
              <w:rPr>
                <w:rFonts w:ascii="Times New Roman" w:hAnsi="Times New Roman" w:cs="Times New Roman" w:eastAsia="Times New Roman" w:hint="default"/>
                <w:sz w:val="21"/>
                <w:szCs w:val="21"/>
              </w:rPr>
            </w:pPr>
            <w:r>
              <w:rPr>
                <w:rFonts w:ascii="Times New Roman"/>
                <w:sz w:val="21"/>
              </w:rPr>
              <w:t>46,370,842.28</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32" w:right="-29"/>
              <w:jc w:val="left"/>
              <w:rPr>
                <w:rFonts w:ascii="Times New Roman" w:hAnsi="Times New Roman" w:cs="Times New Roman" w:eastAsia="Times New Roman" w:hint="default"/>
                <w:sz w:val="21"/>
                <w:szCs w:val="21"/>
              </w:rPr>
            </w:pPr>
            <w:r>
              <w:rPr>
                <w:rFonts w:ascii="Times New Roman"/>
                <w:spacing w:val="-1"/>
                <w:sz w:val="21"/>
              </w:rPr>
              <w:t>46,370,842.28</w:t>
            </w:r>
          </w:p>
        </w:tc>
        <w:tc>
          <w:tcPr>
            <w:tcW w:w="202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5"/>
              <w:ind w:left="448" w:right="0"/>
              <w:jc w:val="left"/>
              <w:rPr>
                <w:rFonts w:ascii="Times New Roman" w:hAnsi="Times New Roman" w:cs="Times New Roman" w:eastAsia="Times New Roman" w:hint="default"/>
                <w:sz w:val="21"/>
                <w:szCs w:val="21"/>
              </w:rPr>
            </w:pPr>
            <w:r>
              <w:rPr>
                <w:rFonts w:ascii="Times New Roman"/>
                <w:sz w:val="21"/>
              </w:rPr>
              <w:t>46,370,842.28</w:t>
            </w:r>
          </w:p>
        </w:tc>
        <w:tc>
          <w:tcPr>
            <w:tcW w:w="137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5"/>
              <w:ind w:left="59" w:right="0"/>
              <w:jc w:val="left"/>
              <w:rPr>
                <w:rFonts w:ascii="Times New Roman" w:hAnsi="Times New Roman" w:cs="Times New Roman" w:eastAsia="Times New Roman" w:hint="default"/>
                <w:sz w:val="21"/>
                <w:szCs w:val="21"/>
              </w:rPr>
            </w:pPr>
            <w:r>
              <w:rPr>
                <w:rFonts w:ascii="Times New Roman"/>
                <w:sz w:val="21"/>
              </w:rPr>
              <w:t>46,370,842.28</w:t>
            </w:r>
          </w:p>
        </w:tc>
      </w:tr>
      <w:tr>
        <w:trPr>
          <w:trHeight w:val="374" w:hRule="exact"/>
        </w:trPr>
        <w:tc>
          <w:tcPr>
            <w:tcW w:w="2387"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left="338" w:right="0"/>
              <w:jc w:val="left"/>
              <w:rPr>
                <w:rFonts w:ascii="宋体" w:hAnsi="宋体" w:cs="宋体" w:eastAsia="宋体" w:hint="default"/>
                <w:sz w:val="21"/>
                <w:szCs w:val="21"/>
              </w:rPr>
            </w:pPr>
            <w:r>
              <w:rPr>
                <w:rFonts w:ascii="宋体" w:hAnsi="宋体" w:cs="宋体" w:eastAsia="宋体" w:hint="default"/>
                <w:sz w:val="21"/>
                <w:szCs w:val="21"/>
              </w:rPr>
              <w:t>小 计</w:t>
            </w:r>
          </w:p>
        </w:tc>
        <w:tc>
          <w:tcPr>
            <w:tcW w:w="1777" w:type="dxa"/>
            <w:tcBorders>
              <w:top w:val="nil" w:sz="6" w:space="0" w:color="auto"/>
              <w:left w:val="nil" w:sz="6" w:space="0" w:color="auto"/>
              <w:bottom w:val="single" w:sz="12" w:space="0" w:color="000000"/>
              <w:right w:val="nil" w:sz="6" w:space="0" w:color="auto"/>
            </w:tcBorders>
          </w:tcPr>
          <w:p>
            <w:pPr>
              <w:pStyle w:val="TableParagraph"/>
              <w:spacing w:line="240" w:lineRule="auto" w:before="116"/>
              <w:ind w:left="37" w:right="0"/>
              <w:jc w:val="left"/>
              <w:rPr>
                <w:rFonts w:ascii="Times New Roman" w:hAnsi="Times New Roman" w:cs="Times New Roman" w:eastAsia="Times New Roman" w:hint="default"/>
                <w:sz w:val="21"/>
                <w:szCs w:val="21"/>
              </w:rPr>
            </w:pPr>
            <w:r>
              <w:rPr>
                <w:rFonts w:ascii="Times New Roman"/>
                <w:sz w:val="21"/>
              </w:rPr>
              <w:t>46,370,842.28</w:t>
            </w:r>
          </w:p>
        </w:tc>
        <w:tc>
          <w:tcPr>
            <w:tcW w:w="1212" w:type="dxa"/>
            <w:tcBorders>
              <w:top w:val="nil" w:sz="6" w:space="0" w:color="auto"/>
              <w:left w:val="nil" w:sz="6" w:space="0" w:color="auto"/>
              <w:bottom w:val="single" w:sz="12" w:space="0" w:color="000000"/>
              <w:right w:val="nil" w:sz="6" w:space="0" w:color="auto"/>
            </w:tcBorders>
          </w:tcPr>
          <w:p>
            <w:pPr>
              <w:pStyle w:val="TableParagraph"/>
              <w:spacing w:line="240" w:lineRule="auto" w:before="116"/>
              <w:ind w:left="32" w:right="-29"/>
              <w:jc w:val="left"/>
              <w:rPr>
                <w:rFonts w:ascii="Times New Roman" w:hAnsi="Times New Roman" w:cs="Times New Roman" w:eastAsia="Times New Roman" w:hint="default"/>
                <w:sz w:val="21"/>
                <w:szCs w:val="21"/>
              </w:rPr>
            </w:pPr>
            <w:r>
              <w:rPr>
                <w:rFonts w:ascii="Times New Roman"/>
                <w:spacing w:val="-1"/>
                <w:sz w:val="21"/>
              </w:rPr>
              <w:t>46,370,842.28</w:t>
            </w:r>
          </w:p>
        </w:tc>
        <w:tc>
          <w:tcPr>
            <w:tcW w:w="2020"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16"/>
              <w:ind w:left="448" w:right="0"/>
              <w:jc w:val="left"/>
              <w:rPr>
                <w:rFonts w:ascii="Times New Roman" w:hAnsi="Times New Roman" w:cs="Times New Roman" w:eastAsia="Times New Roman" w:hint="default"/>
                <w:sz w:val="21"/>
                <w:szCs w:val="21"/>
              </w:rPr>
            </w:pPr>
            <w:r>
              <w:rPr>
                <w:rFonts w:ascii="Times New Roman"/>
                <w:sz w:val="21"/>
              </w:rPr>
              <w:t>46,370,842.28</w:t>
            </w:r>
          </w:p>
        </w:tc>
        <w:tc>
          <w:tcPr>
            <w:tcW w:w="1374"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16"/>
              <w:ind w:left="59" w:right="0"/>
              <w:jc w:val="left"/>
              <w:rPr>
                <w:rFonts w:ascii="Times New Roman" w:hAnsi="Times New Roman" w:cs="Times New Roman" w:eastAsia="Times New Roman" w:hint="default"/>
                <w:sz w:val="21"/>
                <w:szCs w:val="21"/>
              </w:rPr>
            </w:pPr>
            <w:r>
              <w:rPr>
                <w:rFonts w:ascii="Times New Roman"/>
                <w:sz w:val="21"/>
              </w:rPr>
              <w:t>46,370,842.28</w:t>
            </w:r>
          </w:p>
        </w:tc>
      </w:tr>
      <w:tr>
        <w:trPr>
          <w:trHeight w:val="648" w:hRule="exact"/>
        </w:trPr>
        <w:tc>
          <w:tcPr>
            <w:tcW w:w="8771" w:type="dxa"/>
            <w:gridSpan w:val="7"/>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18"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）短期借款明细情况如下：</w:t>
            </w:r>
          </w:p>
        </w:tc>
      </w:tr>
      <w:tr>
        <w:trPr>
          <w:trHeight w:val="532"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849" w:right="0"/>
              <w:jc w:val="left"/>
              <w:rPr>
                <w:rFonts w:ascii="宋体" w:hAnsi="宋体" w:cs="宋体" w:eastAsia="宋体" w:hint="default"/>
                <w:sz w:val="21"/>
                <w:szCs w:val="21"/>
              </w:rPr>
            </w:pPr>
            <w:r>
              <w:rPr>
                <w:rFonts w:ascii="宋体" w:hAnsi="宋体" w:cs="宋体" w:eastAsia="宋体" w:hint="default"/>
                <w:sz w:val="21"/>
                <w:szCs w:val="21"/>
              </w:rPr>
              <w:t>贷款单位</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ind w:left="212" w:right="0"/>
              <w:jc w:val="center"/>
              <w:rPr>
                <w:rFonts w:ascii="宋体" w:hAnsi="宋体" w:cs="宋体" w:eastAsia="宋体" w:hint="default"/>
                <w:sz w:val="18"/>
                <w:szCs w:val="18"/>
              </w:rPr>
            </w:pPr>
            <w:r>
              <w:rPr>
                <w:rFonts w:ascii="宋体" w:hAnsi="宋体" w:cs="宋体" w:eastAsia="宋体" w:hint="default"/>
                <w:sz w:val="18"/>
                <w:szCs w:val="18"/>
              </w:rPr>
              <w:t>期限</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ind w:left="253" w:right="0"/>
              <w:jc w:val="left"/>
              <w:rPr>
                <w:rFonts w:ascii="宋体" w:hAnsi="宋体" w:cs="宋体" w:eastAsia="宋体" w:hint="default"/>
                <w:sz w:val="18"/>
                <w:szCs w:val="18"/>
              </w:rPr>
            </w:pPr>
            <w:r>
              <w:rPr>
                <w:rFonts w:ascii="宋体" w:hAnsi="宋体" w:cs="宋体" w:eastAsia="宋体" w:hint="default"/>
                <w:sz w:val="18"/>
                <w:szCs w:val="18"/>
              </w:rPr>
              <w:t>年利率</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ind w:left="61" w:right="0"/>
              <w:jc w:val="left"/>
              <w:rPr>
                <w:rFonts w:ascii="宋体" w:hAnsi="宋体" w:cs="宋体" w:eastAsia="宋体" w:hint="default"/>
                <w:sz w:val="18"/>
                <w:szCs w:val="18"/>
              </w:rPr>
            </w:pPr>
            <w:r>
              <w:rPr>
                <w:rFonts w:ascii="宋体" w:hAnsi="宋体" w:cs="宋体" w:eastAsia="宋体" w:hint="default"/>
                <w:sz w:val="18"/>
                <w:szCs w:val="18"/>
              </w:rPr>
              <w:t>币种</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ind w:left="146"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ind w:left="313" w:right="0"/>
              <w:jc w:val="left"/>
              <w:rPr>
                <w:rFonts w:ascii="宋体" w:hAnsi="宋体" w:cs="宋体" w:eastAsia="宋体" w:hint="default"/>
                <w:sz w:val="18"/>
                <w:szCs w:val="18"/>
              </w:rPr>
            </w:pPr>
            <w:r>
              <w:rPr>
                <w:rFonts w:ascii="宋体" w:hAnsi="宋体" w:cs="宋体" w:eastAsia="宋体" w:hint="default"/>
                <w:sz w:val="18"/>
                <w:szCs w:val="18"/>
              </w:rPr>
              <w:t>借款形式</w:t>
            </w:r>
          </w:p>
        </w:tc>
        <w:tc>
          <w:tcPr>
            <w:tcW w:w="166" w:type="dxa"/>
            <w:tcBorders>
              <w:top w:val="nil" w:sz="6" w:space="0" w:color="auto"/>
              <w:left w:val="nil" w:sz="6" w:space="0" w:color="auto"/>
              <w:bottom w:val="nil" w:sz="6" w:space="0" w:color="auto"/>
              <w:right w:val="nil" w:sz="6" w:space="0" w:color="auto"/>
            </w:tcBorders>
          </w:tcPr>
          <w:p>
            <w:pPr/>
          </w:p>
        </w:tc>
      </w:tr>
      <w:tr>
        <w:trPr>
          <w:trHeight w:val="522" w:hRule="exact"/>
        </w:trPr>
        <w:tc>
          <w:tcPr>
            <w:tcW w:w="2387"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189" w:right="0"/>
              <w:jc w:val="left"/>
              <w:rPr>
                <w:rFonts w:ascii="宋体" w:hAnsi="宋体" w:cs="宋体" w:eastAsia="宋体" w:hint="default"/>
                <w:sz w:val="18"/>
                <w:szCs w:val="18"/>
              </w:rPr>
            </w:pPr>
            <w:r>
              <w:rPr>
                <w:rFonts w:ascii="宋体" w:hAnsi="宋体" w:cs="宋体" w:eastAsia="宋体" w:hint="default"/>
                <w:sz w:val="18"/>
                <w:szCs w:val="18"/>
              </w:rPr>
              <w:t>中国农业银行深圳罗湖支行</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2004.1.20-2005.1.20</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6.73%</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29"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47" w:right="0"/>
              <w:jc w:val="center"/>
              <w:rPr>
                <w:rFonts w:ascii="Times New Roman" w:hAnsi="Times New Roman" w:cs="Times New Roman" w:eastAsia="Times New Roman" w:hint="default"/>
                <w:sz w:val="18"/>
                <w:szCs w:val="18"/>
              </w:rPr>
            </w:pPr>
            <w:r>
              <w:rPr>
                <w:rFonts w:ascii="Times New Roman"/>
                <w:sz w:val="18"/>
              </w:rPr>
              <w:t>16,370,842.28</w:t>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7"/>
              <w:jc w:val="right"/>
              <w:rPr>
                <w:rFonts w:ascii="宋体" w:hAnsi="宋体" w:cs="宋体" w:eastAsia="宋体" w:hint="default"/>
                <w:sz w:val="18"/>
                <w:szCs w:val="18"/>
              </w:rPr>
            </w:pPr>
            <w:r>
              <w:rPr>
                <w:rFonts w:ascii="宋体" w:hAnsi="宋体" w:cs="宋体" w:eastAsia="宋体" w:hint="default"/>
                <w:sz w:val="18"/>
                <w:szCs w:val="18"/>
              </w:rPr>
              <w:t>担保</w:t>
            </w:r>
          </w:p>
        </w:tc>
        <w:tc>
          <w:tcPr>
            <w:tcW w:w="166" w:type="dxa"/>
            <w:tcBorders>
              <w:top w:val="nil" w:sz="6" w:space="0" w:color="auto"/>
              <w:left w:val="nil" w:sz="6" w:space="0" w:color="auto"/>
              <w:bottom w:val="nil" w:sz="6" w:space="0" w:color="auto"/>
              <w:right w:val="nil" w:sz="6" w:space="0" w:color="auto"/>
            </w:tcBorders>
          </w:tcPr>
          <w:p>
            <w:pPr/>
          </w:p>
        </w:tc>
      </w:tr>
      <w:tr>
        <w:trPr>
          <w:trHeight w:val="378" w:hRule="exact"/>
        </w:trPr>
        <w:tc>
          <w:tcPr>
            <w:tcW w:w="2387"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189" w:right="0"/>
              <w:jc w:val="left"/>
              <w:rPr>
                <w:rFonts w:ascii="宋体" w:hAnsi="宋体" w:cs="宋体" w:eastAsia="宋体" w:hint="default"/>
                <w:sz w:val="18"/>
                <w:szCs w:val="18"/>
              </w:rPr>
            </w:pPr>
            <w:r>
              <w:rPr>
                <w:rFonts w:ascii="宋体" w:hAnsi="宋体" w:cs="宋体" w:eastAsia="宋体" w:hint="default"/>
                <w:sz w:val="18"/>
                <w:szCs w:val="18"/>
              </w:rPr>
              <w:t>中国农业银行深圳罗湖支行</w:t>
            </w:r>
          </w:p>
        </w:tc>
        <w:tc>
          <w:tcPr>
            <w:tcW w:w="1777" w:type="dxa"/>
            <w:tcBorders>
              <w:top w:val="nil" w:sz="6" w:space="0" w:color="auto"/>
              <w:left w:val="nil" w:sz="6" w:space="0" w:color="auto"/>
              <w:bottom w:val="single" w:sz="12" w:space="0" w:color="000000"/>
              <w:right w:val="nil" w:sz="6" w:space="0" w:color="auto"/>
            </w:tcBorders>
          </w:tcPr>
          <w:p>
            <w:pPr>
              <w:pStyle w:val="TableParagraph"/>
              <w:spacing w:line="240" w:lineRule="auto" w:before="151"/>
              <w:ind w:left="334" w:right="0"/>
              <w:jc w:val="left"/>
              <w:rPr>
                <w:rFonts w:ascii="Times New Roman" w:hAnsi="Times New Roman" w:cs="Times New Roman" w:eastAsia="Times New Roman" w:hint="default"/>
                <w:sz w:val="18"/>
                <w:szCs w:val="18"/>
              </w:rPr>
            </w:pPr>
            <w:r>
              <w:rPr>
                <w:rFonts w:ascii="Times New Roman"/>
                <w:sz w:val="18"/>
              </w:rPr>
              <w:t>2004.2.6-2005.2.6</w:t>
            </w:r>
          </w:p>
        </w:tc>
        <w:tc>
          <w:tcPr>
            <w:tcW w:w="1212" w:type="dxa"/>
            <w:tcBorders>
              <w:top w:val="nil" w:sz="6" w:space="0" w:color="auto"/>
              <w:left w:val="nil" w:sz="6" w:space="0" w:color="auto"/>
              <w:bottom w:val="single" w:sz="12" w:space="0" w:color="000000"/>
              <w:right w:val="nil" w:sz="6" w:space="0" w:color="auto"/>
            </w:tcBorders>
          </w:tcPr>
          <w:p>
            <w:pPr>
              <w:pStyle w:val="TableParagraph"/>
              <w:spacing w:line="240" w:lineRule="auto" w:before="152"/>
              <w:ind w:left="290" w:right="0"/>
              <w:jc w:val="left"/>
              <w:rPr>
                <w:rFonts w:ascii="Times New Roman" w:hAnsi="Times New Roman" w:cs="Times New Roman" w:eastAsia="Times New Roman" w:hint="default"/>
                <w:sz w:val="18"/>
                <w:szCs w:val="18"/>
              </w:rPr>
            </w:pPr>
            <w:r>
              <w:rPr>
                <w:rFonts w:ascii="Times New Roman"/>
                <w:sz w:val="18"/>
              </w:rPr>
              <w:t>6.73%</w:t>
            </w:r>
          </w:p>
        </w:tc>
        <w:tc>
          <w:tcPr>
            <w:tcW w:w="719"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29"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302" w:type="dxa"/>
            <w:tcBorders>
              <w:top w:val="nil" w:sz="6" w:space="0" w:color="auto"/>
              <w:left w:val="nil" w:sz="6" w:space="0" w:color="auto"/>
              <w:bottom w:val="single" w:sz="12" w:space="0" w:color="000000"/>
              <w:right w:val="nil" w:sz="6" w:space="0" w:color="auto"/>
            </w:tcBorders>
          </w:tcPr>
          <w:p>
            <w:pPr>
              <w:pStyle w:val="TableParagraph"/>
              <w:spacing w:line="240" w:lineRule="auto" w:before="151"/>
              <w:ind w:left="147" w:right="0"/>
              <w:jc w:val="center"/>
              <w:rPr>
                <w:rFonts w:ascii="Times New Roman" w:hAnsi="Times New Roman" w:cs="Times New Roman" w:eastAsia="Times New Roman" w:hint="default"/>
                <w:sz w:val="18"/>
                <w:szCs w:val="18"/>
              </w:rPr>
            </w:pPr>
            <w:r>
              <w:rPr>
                <w:rFonts w:ascii="Times New Roman"/>
                <w:sz w:val="18"/>
              </w:rPr>
              <w:t>30,000,000.00</w:t>
            </w:r>
          </w:p>
        </w:tc>
        <w:tc>
          <w:tcPr>
            <w:tcW w:w="1208"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7"/>
              <w:jc w:val="right"/>
              <w:rPr>
                <w:rFonts w:ascii="宋体" w:hAnsi="宋体" w:cs="宋体" w:eastAsia="宋体" w:hint="default"/>
                <w:sz w:val="18"/>
                <w:szCs w:val="18"/>
              </w:rPr>
            </w:pPr>
            <w:r>
              <w:rPr>
                <w:rFonts w:ascii="宋体" w:hAnsi="宋体" w:cs="宋体" w:eastAsia="宋体" w:hint="default"/>
                <w:sz w:val="18"/>
                <w:szCs w:val="18"/>
              </w:rPr>
              <w:t>担保</w:t>
            </w:r>
          </w:p>
        </w:tc>
        <w:tc>
          <w:tcPr>
            <w:tcW w:w="166" w:type="dxa"/>
            <w:tcBorders>
              <w:top w:val="nil" w:sz="6" w:space="0" w:color="auto"/>
              <w:left w:val="nil" w:sz="6" w:space="0" w:color="auto"/>
              <w:bottom w:val="nil" w:sz="6" w:space="0" w:color="auto"/>
              <w:right w:val="nil" w:sz="6" w:space="0" w:color="auto"/>
            </w:tcBorders>
          </w:tcPr>
          <w:p>
            <w:pPr/>
          </w:p>
        </w:tc>
      </w:tr>
    </w:tbl>
    <w:p>
      <w:pPr>
        <w:spacing w:line="240" w:lineRule="auto" w:before="5"/>
        <w:rPr>
          <w:rFonts w:ascii="Times New Roman" w:hAnsi="Times New Roman" w:cs="Times New Roman" w:eastAsia="Times New Roman" w:hint="default"/>
          <w:sz w:val="12"/>
          <w:szCs w:val="12"/>
        </w:rPr>
      </w:pPr>
    </w:p>
    <w:p>
      <w:pPr>
        <w:spacing w:before="35"/>
        <w:ind w:left="454" w:right="0" w:firstLine="0"/>
        <w:jc w:val="left"/>
        <w:rPr>
          <w:rFonts w:ascii="宋体" w:hAnsi="宋体" w:cs="宋体" w:eastAsia="宋体" w:hint="default"/>
          <w:sz w:val="21"/>
          <w:szCs w:val="21"/>
        </w:rPr>
      </w:pPr>
      <w:r>
        <w:rPr/>
        <w:pict>
          <v:group style="position:absolute;margin-left:85.739998pt;margin-top:-86.906052pt;width:431.5pt;height:78.5pt;mso-position-horizontal-relative:page;mso-position-vertical-relative:paragraph;z-index:-446896" coordorigin="1715,-1738" coordsize="8630,1570">
            <v:group style="position:absolute;left:1734;top:-1723;width:8584;height:2" coordorigin="1734,-1723" coordsize="8584,2">
              <v:shape style="position:absolute;left:1734;top:-1723;width:8584;height:2" coordorigin="1734,-1723" coordsize="8584,0" path="m1734,-1723l10318,-1723e" filled="false" stroked="true" strokeweight="1.5pt" strokecolor="#000000">
                <v:path arrowok="t"/>
              </v:shape>
              <v:shape style="position:absolute;left:4219;top:-1727;width:5059;height:539" type="#_x0000_t75" stroked="false">
                <v:imagedata r:id="rId106" o:title=""/>
              </v:shape>
              <v:shape style="position:absolute;left:1715;top:-1227;width:8629;height:1058" type="#_x0000_t75" stroked="false">
                <v:imagedata r:id="rId107" o:title=""/>
              </v:shape>
              <v:shape style="position:absolute;left:5935;top:-707;width:48;height:539" type="#_x0000_t75" stroked="false">
                <v:imagedata r:id="rId108" o:title=""/>
              </v:shape>
              <v:shape style="position:absolute;left:6830;top:-707;width:48;height:539" type="#_x0000_t75" stroked="false">
                <v:imagedata r:id="rId108" o:title=""/>
              </v:shape>
              <v:shape style="position:absolute;left:7800;top:-707;width:48;height:539" type="#_x0000_t75" stroked="false">
                <v:imagedata r:id="rId108" o:title=""/>
              </v:shape>
              <v:shape style="position:absolute;left:9230;top:-707;width:48;height:539" type="#_x0000_t75" stroked="false">
                <v:imagedata r:id="rId108" o:titl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）本公司向中国农业银行深圳罗湖支行贷款</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5000</w:t>
      </w:r>
      <w:r>
        <w:rPr>
          <w:rFonts w:ascii="Times New Roman" w:hAnsi="Times New Roman" w:cs="Times New Roman" w:eastAsia="Times New Roman" w:hint="default"/>
          <w:spacing w:val="-5"/>
          <w:sz w:val="21"/>
          <w:szCs w:val="21"/>
        </w:rPr>
        <w:t> </w:t>
      </w:r>
      <w:r>
        <w:rPr>
          <w:rFonts w:ascii="宋体" w:hAnsi="宋体" w:cs="宋体" w:eastAsia="宋体" w:hint="default"/>
          <w:spacing w:val="-4"/>
          <w:sz w:val="21"/>
          <w:szCs w:val="21"/>
        </w:rPr>
        <w:t>万元，该项借款分别于</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日到</w:t>
      </w:r>
    </w:p>
    <w:p>
      <w:pPr>
        <w:spacing w:line="240" w:lineRule="auto" w:before="12"/>
        <w:rPr>
          <w:rFonts w:ascii="宋体" w:hAnsi="宋体" w:cs="宋体" w:eastAsia="宋体" w:hint="default"/>
          <w:sz w:val="15"/>
          <w:szCs w:val="15"/>
        </w:rPr>
      </w:pPr>
    </w:p>
    <w:p>
      <w:pPr>
        <w:spacing w:before="0"/>
        <w:ind w:left="138" w:right="0" w:firstLine="0"/>
        <w:jc w:val="both"/>
        <w:rPr>
          <w:rFonts w:ascii="宋体" w:hAnsi="宋体" w:cs="宋体" w:eastAsia="宋体" w:hint="default"/>
          <w:sz w:val="21"/>
          <w:szCs w:val="21"/>
        </w:rPr>
      </w:pPr>
      <w:r>
        <w:rPr>
          <w:rFonts w:ascii="宋体" w:hAnsi="宋体" w:cs="宋体" w:eastAsia="宋体" w:hint="default"/>
          <w:sz w:val="21"/>
          <w:szCs w:val="21"/>
        </w:rPr>
        <w:t>期</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日到期</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万元。公司于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月归还</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16"/>
          <w:szCs w:val="16"/>
        </w:rPr>
      </w:pPr>
    </w:p>
    <w:p>
      <w:pPr>
        <w:spacing w:line="412" w:lineRule="auto" w:before="0"/>
        <w:ind w:left="138" w:right="153" w:firstLine="0"/>
        <w:jc w:val="both"/>
        <w:rPr>
          <w:rFonts w:ascii="宋体" w:hAnsi="宋体" w:cs="宋体" w:eastAsia="宋体" w:hint="default"/>
          <w:sz w:val="21"/>
          <w:szCs w:val="21"/>
        </w:rPr>
      </w:pPr>
      <w:r>
        <w:rPr>
          <w:rFonts w:ascii="宋体" w:hAnsi="宋体" w:cs="宋体" w:eastAsia="宋体" w:hint="default"/>
          <w:sz w:val="21"/>
          <w:szCs w:val="21"/>
        </w:rPr>
        <w:t>归还</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3,509,157.72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元，截止</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日，尚欠</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46,370,842.28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元。深圳罗湖支行在</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日申请要求深圳市中级人民法院强制执行，法院出具（</w:t>
      </w:r>
      <w:r>
        <w:rPr>
          <w:rFonts w:ascii="Times New Roman" w:hAnsi="Times New Roman" w:cs="Times New Roman" w:eastAsia="Times New Roman" w:hint="default"/>
          <w:sz w:val="21"/>
          <w:szCs w:val="21"/>
        </w:rPr>
        <w:t>2006</w:t>
      </w:r>
      <w:r>
        <w:rPr>
          <w:rFonts w:ascii="宋体" w:hAnsi="宋体" w:cs="宋体" w:eastAsia="宋体" w:hint="default"/>
          <w:sz w:val="21"/>
          <w:szCs w:val="21"/>
        </w:rPr>
        <w:t>）深中法执字第</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354</w:t>
      </w:r>
      <w:r>
        <w:rPr>
          <w:rFonts w:ascii="宋体" w:hAnsi="宋体" w:cs="宋体" w:eastAsia="宋体" w:hint="default"/>
          <w:sz w:val="21"/>
          <w:szCs w:val="21"/>
        </w:rPr>
        <w:t>、</w:t>
      </w:r>
      <w:r>
        <w:rPr>
          <w:rFonts w:ascii="Times New Roman" w:hAnsi="Times New Roman" w:cs="Times New Roman" w:eastAsia="Times New Roman" w:hint="default"/>
          <w:sz w:val="21"/>
          <w:szCs w:val="21"/>
        </w:rPr>
        <w:t>355</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号民事 裁定书和执行令，责令深大通公司连同担保单位遵化新利能源开发有限公司履行</w:t>
      </w:r>
      <w:r>
        <w:rPr>
          <w:rFonts w:ascii="宋体" w:hAnsi="宋体" w:cs="宋体" w:eastAsia="宋体" w:hint="default"/>
          <w:spacing w:val="-88"/>
          <w:sz w:val="21"/>
          <w:szCs w:val="21"/>
        </w:rPr>
        <w:t> </w:t>
      </w:r>
      <w:r>
        <w:rPr>
          <w:rFonts w:ascii="Times New Roman" w:hAnsi="Times New Roman" w:cs="Times New Roman" w:eastAsia="Times New Roman" w:hint="default"/>
          <w:sz w:val="21"/>
          <w:szCs w:val="21"/>
        </w:rPr>
        <w:t>5000</w:t>
      </w:r>
      <w:r>
        <w:rPr>
          <w:rFonts w:ascii="Times New Roman" w:hAnsi="Times New Roman" w:cs="Times New Roman" w:eastAsia="Times New Roman" w:hint="default"/>
          <w:spacing w:val="-35"/>
          <w:sz w:val="21"/>
          <w:szCs w:val="21"/>
        </w:rPr>
        <w:t> </w:t>
      </w:r>
      <w:r>
        <w:rPr>
          <w:rFonts w:ascii="宋体" w:hAnsi="宋体" w:cs="宋体" w:eastAsia="宋体" w:hint="default"/>
          <w:sz w:val="21"/>
          <w:szCs w:val="21"/>
        </w:rPr>
        <w:t>万贷款偿还义</w:t>
      </w:r>
    </w:p>
    <w:p>
      <w:pPr>
        <w:spacing w:before="42"/>
        <w:ind w:left="138" w:right="0" w:firstLine="0"/>
        <w:jc w:val="both"/>
        <w:rPr>
          <w:rFonts w:ascii="宋体" w:hAnsi="宋体" w:cs="宋体" w:eastAsia="宋体" w:hint="default"/>
          <w:sz w:val="21"/>
          <w:szCs w:val="21"/>
        </w:rPr>
      </w:pPr>
      <w:r>
        <w:rPr>
          <w:rFonts w:ascii="宋体" w:hAnsi="宋体" w:cs="宋体" w:eastAsia="宋体" w:hint="default"/>
          <w:sz w:val="21"/>
          <w:szCs w:val="21"/>
        </w:rPr>
        <w:t>务，执行标的为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4988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万元及诉讼费为限。</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26"/>
          <w:szCs w:val="26"/>
        </w:rPr>
      </w:pPr>
    </w:p>
    <w:p>
      <w:pPr>
        <w:spacing w:before="0"/>
        <w:ind w:left="558" w:right="0" w:firstLine="0"/>
        <w:jc w:val="left"/>
        <w:rPr>
          <w:rFonts w:ascii="宋体" w:hAnsi="宋体" w:cs="宋体" w:eastAsia="宋体" w:hint="default"/>
          <w:sz w:val="21"/>
          <w:szCs w:val="21"/>
        </w:rPr>
      </w:pPr>
      <w:r>
        <w:rPr/>
        <w:pict>
          <v:group style="position:absolute;margin-left:91.260002pt;margin-top:15.323065pt;width:433.9pt;height:174pt;mso-position-horizontal-relative:page;mso-position-vertical-relative:paragraph;z-index:-446704" coordorigin="1825,306" coordsize="8678,3480">
            <v:group style="position:absolute;left:1852;top:321;width:8632;height:2" coordorigin="1852,321" coordsize="8632,2">
              <v:shape style="position:absolute;left:1852;top:321;width:8632;height:2" coordorigin="1852,321" coordsize="8632,0" path="m1852,321l10483,321e" filled="false" stroked="true" strokeweight="1.5pt" strokecolor="#000000">
                <v:path arrowok="t"/>
              </v:shape>
              <v:shape style="position:absolute;left:3550;top:317;width:3506;height:499" type="#_x0000_t75" stroked="false">
                <v:imagedata r:id="rId109" o:title=""/>
              </v:shape>
              <v:shape style="position:absolute;left:3551;top:779;width:6950;height:505" type="#_x0000_t75" stroked="false">
                <v:imagedata r:id="rId110" o:title=""/>
              </v:shape>
              <v:shape style="position:absolute;left:1825;top:1247;width:8677;height:2539" type="#_x0000_t75" stroked="false">
                <v:imagedata r:id="rId111" o:title=""/>
              </v:shape>
              <v:shape style="position:absolute;left:4812;top:580;width:9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2008-12-31</w:t>
                      </w:r>
                    </w:p>
                  </w:txbxContent>
                </v:textbox>
                <w10:wrap type="none"/>
              </v:shape>
              <v:shape style="position:absolute;left:8271;top:580;width:9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2007-12-31</w:t>
                      </w:r>
                    </w:p>
                  </w:txbxContent>
                </v:textbox>
                <w10:wrap type="none"/>
              </v:shape>
              <v:shape style="position:absolute;left:2341;top:774;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w:t>
                        <w:tab/>
                        <w:t>龄</w:t>
                      </w:r>
                    </w:p>
                  </w:txbxContent>
                </v:textbox>
                <w10:wrap type="none"/>
              </v:shape>
              <v:shape style="position:absolute;left:4122;top:1025;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tab/>
                        <w:t>额</w:t>
                      </w:r>
                    </w:p>
                  </w:txbxContent>
                </v:textbox>
                <w10:wrap type="none"/>
              </v:shape>
              <v:shape style="position:absolute;left:5904;top:1025;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 例</w:t>
                      </w:r>
                    </w:p>
                  </w:txbxContent>
                </v:textbox>
                <w10:wrap type="none"/>
              </v:shape>
              <v:shape style="position:absolute;left:7580;top:1025;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tab/>
                        <w:t>额</w:t>
                      </w:r>
                    </w:p>
                  </w:txbxContent>
                </v:textbox>
                <w10:wrap type="none"/>
              </v:shape>
              <v:shape style="position:absolute;left:9362;top:1025;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 例</w:t>
                      </w:r>
                    </w:p>
                  </w:txbxContent>
                </v:textbox>
                <w10:wrap type="none"/>
              </v:shape>
            </v:group>
            <w10:wrap type="none"/>
          </v:group>
        </w:pict>
      </w:r>
      <w:r>
        <w:rPr>
          <w:rFonts w:ascii="Times New Roman" w:hAnsi="Times New Roman" w:cs="Times New Roman" w:eastAsia="Times New Roman" w:hint="default"/>
          <w:sz w:val="21"/>
          <w:szCs w:val="21"/>
        </w:rPr>
        <w:t>10.</w:t>
      </w:r>
      <w:r>
        <w:rPr>
          <w:rFonts w:ascii="宋体" w:hAnsi="宋体" w:cs="宋体" w:eastAsia="宋体" w:hint="default"/>
          <w:sz w:val="21"/>
          <w:szCs w:val="21"/>
        </w:rPr>
        <w:t>应付账款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8"/>
          <w:szCs w:val="28"/>
        </w:rPr>
      </w:pPr>
    </w:p>
    <w:tbl>
      <w:tblPr>
        <w:tblW w:w="0" w:type="auto"/>
        <w:jc w:val="left"/>
        <w:tblInd w:w="550" w:type="dxa"/>
        <w:tblLayout w:type="fixed"/>
        <w:tblCellMar>
          <w:top w:w="0" w:type="dxa"/>
          <w:left w:w="0" w:type="dxa"/>
          <w:bottom w:w="0" w:type="dxa"/>
          <w:right w:w="0" w:type="dxa"/>
        </w:tblCellMar>
        <w:tblLook w:val="01E0"/>
      </w:tblPr>
      <w:tblGrid>
        <w:gridCol w:w="1742"/>
        <w:gridCol w:w="2231"/>
        <w:gridCol w:w="1409"/>
        <w:gridCol w:w="1968"/>
        <w:gridCol w:w="1311"/>
      </w:tblGrid>
      <w:tr>
        <w:trPr>
          <w:trHeight w:val="1508" w:hRule="exact"/>
        </w:trPr>
        <w:tc>
          <w:tcPr>
            <w:tcW w:w="174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6"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年</w:t>
            </w: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2-3 </w:t>
            </w:r>
            <w:r>
              <w:rPr>
                <w:rFonts w:ascii="宋体" w:hAnsi="宋体" w:cs="宋体" w:eastAsia="宋体" w:hint="default"/>
                <w:sz w:val="21"/>
                <w:szCs w:val="21"/>
              </w:rPr>
              <w:t>年</w:t>
            </w: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606"/>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606"/>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606"/>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86"/>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286"/>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286"/>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524"/>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p>
            <w:pPr>
              <w:pStyle w:val="TableParagraph"/>
              <w:spacing w:line="530" w:lineRule="atLeast"/>
              <w:ind w:left="561" w:right="524" w:firstLine="806"/>
              <w:jc w:val="right"/>
              <w:rPr>
                <w:rFonts w:ascii="Times New Roman" w:hAnsi="Times New Roman" w:cs="Times New Roman" w:eastAsia="Times New Roman" w:hint="default"/>
                <w:sz w:val="22"/>
                <w:szCs w:val="22"/>
              </w:rPr>
            </w:pPr>
            <w:r>
              <w:rPr>
                <w:rFonts w:ascii="Times New Roman"/>
                <w:w w:val="95"/>
                <w:sz w:val="22"/>
              </w:rPr>
              <w:t>-</w:t>
            </w:r>
            <w:r>
              <w:rPr>
                <w:rFonts w:ascii="Times New Roman"/>
                <w:w w:val="99"/>
                <w:sz w:val="22"/>
              </w:rPr>
              <w:t> </w:t>
            </w:r>
            <w:r>
              <w:rPr>
                <w:rFonts w:ascii="Times New Roman"/>
                <w:spacing w:val="-1"/>
                <w:sz w:val="22"/>
              </w:rPr>
              <w:t>30,324.15</w:t>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6"/>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p>
            <w:pPr>
              <w:pStyle w:val="TableParagraph"/>
              <w:spacing w:line="530" w:lineRule="atLeast"/>
              <w:ind w:left="634" w:right="104" w:firstLine="495"/>
              <w:jc w:val="right"/>
              <w:rPr>
                <w:rFonts w:ascii="Times New Roman" w:hAnsi="Times New Roman" w:cs="Times New Roman" w:eastAsia="Times New Roman" w:hint="default"/>
                <w:sz w:val="22"/>
                <w:szCs w:val="22"/>
              </w:rPr>
            </w:pPr>
            <w:r>
              <w:rPr>
                <w:rFonts w:ascii="Times New Roman"/>
                <w:w w:val="95"/>
                <w:sz w:val="22"/>
              </w:rPr>
              <w:t>-</w:t>
            </w:r>
            <w:r>
              <w:rPr>
                <w:rFonts w:ascii="Times New Roman"/>
                <w:w w:val="99"/>
                <w:sz w:val="22"/>
              </w:rPr>
              <w:t> </w:t>
            </w:r>
            <w:r>
              <w:rPr>
                <w:rFonts w:ascii="Times New Roman"/>
                <w:w w:val="95"/>
                <w:sz w:val="22"/>
              </w:rPr>
              <w:t>0.37%</w:t>
            </w:r>
            <w:r>
              <w:rPr>
                <w:rFonts w:ascii="Times New Roman"/>
                <w:sz w:val="22"/>
              </w:rPr>
            </w:r>
          </w:p>
        </w:tc>
      </w:tr>
      <w:tr>
        <w:trPr>
          <w:trHeight w:val="467" w:hRule="exact"/>
        </w:trPr>
        <w:tc>
          <w:tcPr>
            <w:tcW w:w="174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48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年以上</w:t>
            </w: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468" w:right="0"/>
              <w:jc w:val="left"/>
              <w:rPr>
                <w:rFonts w:ascii="Times New Roman" w:hAnsi="Times New Roman" w:cs="Times New Roman" w:eastAsia="Times New Roman" w:hint="default"/>
                <w:sz w:val="22"/>
                <w:szCs w:val="22"/>
              </w:rPr>
            </w:pPr>
            <w:r>
              <w:rPr>
                <w:rFonts w:ascii="Times New Roman"/>
                <w:sz w:val="22"/>
              </w:rPr>
              <w:t>8,215,291.21</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84"/>
              <w:jc w:val="right"/>
              <w:rPr>
                <w:rFonts w:ascii="Times New Roman" w:hAnsi="Times New Roman" w:cs="Times New Roman" w:eastAsia="Times New Roman" w:hint="default"/>
                <w:sz w:val="22"/>
                <w:szCs w:val="22"/>
              </w:rPr>
            </w:pPr>
            <w:r>
              <w:rPr>
                <w:rFonts w:ascii="Times New Roman"/>
                <w:w w:val="95"/>
                <w:sz w:val="22"/>
              </w:rPr>
              <w:t>100%</w:t>
            </w:r>
            <w:r>
              <w:rPr>
                <w:rFonts w:ascii="Times New Roman"/>
                <w:sz w:val="22"/>
              </w:rPr>
            </w: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286" w:right="0"/>
              <w:jc w:val="left"/>
              <w:rPr>
                <w:rFonts w:ascii="Times New Roman" w:hAnsi="Times New Roman" w:cs="Times New Roman" w:eastAsia="Times New Roman" w:hint="default"/>
                <w:sz w:val="22"/>
                <w:szCs w:val="22"/>
              </w:rPr>
            </w:pPr>
            <w:r>
              <w:rPr>
                <w:rFonts w:ascii="Times New Roman"/>
                <w:sz w:val="22"/>
              </w:rPr>
              <w:t>8,189,412.80</w:t>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22"/>
                <w:szCs w:val="22"/>
              </w:rPr>
            </w:pPr>
            <w:r>
              <w:rPr>
                <w:rFonts w:ascii="Times New Roman"/>
                <w:spacing w:val="-1"/>
                <w:sz w:val="22"/>
              </w:rPr>
              <w:t>99.63%</w:t>
            </w:r>
          </w:p>
        </w:tc>
      </w:tr>
      <w:tr>
        <w:trPr>
          <w:trHeight w:val="374" w:hRule="exact"/>
        </w:trPr>
        <w:tc>
          <w:tcPr>
            <w:tcW w:w="1742" w:type="dxa"/>
            <w:tcBorders>
              <w:top w:val="nil" w:sz="6" w:space="0" w:color="auto"/>
              <w:left w:val="nil" w:sz="6" w:space="0" w:color="auto"/>
              <w:bottom w:val="single" w:sz="12" w:space="0" w:color="000000"/>
              <w:right w:val="nil" w:sz="6" w:space="0" w:color="auto"/>
            </w:tcBorders>
          </w:tcPr>
          <w:p>
            <w:pPr>
              <w:pStyle w:val="TableParagraph"/>
              <w:tabs>
                <w:tab w:pos="1036" w:val="left" w:leader="none"/>
              </w:tabs>
              <w:spacing w:line="240" w:lineRule="auto" w:before="52"/>
              <w:ind w:left="511"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231"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left="468" w:right="0"/>
              <w:jc w:val="left"/>
              <w:rPr>
                <w:rFonts w:ascii="Times New Roman" w:hAnsi="Times New Roman" w:cs="Times New Roman" w:eastAsia="Times New Roman" w:hint="default"/>
                <w:sz w:val="22"/>
                <w:szCs w:val="22"/>
              </w:rPr>
            </w:pPr>
            <w:r>
              <w:rPr>
                <w:rFonts w:ascii="Times New Roman"/>
                <w:sz w:val="22"/>
              </w:rPr>
              <w:t>8,215,291.21</w:t>
            </w:r>
          </w:p>
        </w:tc>
        <w:tc>
          <w:tcPr>
            <w:tcW w:w="1409"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right="284"/>
              <w:jc w:val="right"/>
              <w:rPr>
                <w:rFonts w:ascii="Times New Roman" w:hAnsi="Times New Roman" w:cs="Times New Roman" w:eastAsia="Times New Roman" w:hint="default"/>
                <w:sz w:val="22"/>
                <w:szCs w:val="22"/>
              </w:rPr>
            </w:pPr>
            <w:r>
              <w:rPr>
                <w:rFonts w:ascii="Times New Roman"/>
                <w:w w:val="95"/>
                <w:sz w:val="22"/>
              </w:rPr>
              <w:t>100%</w:t>
            </w:r>
            <w:r>
              <w:rPr>
                <w:rFonts w:ascii="Times New Roman"/>
                <w:sz w:val="22"/>
              </w:rPr>
            </w:r>
          </w:p>
        </w:tc>
        <w:tc>
          <w:tcPr>
            <w:tcW w:w="1968"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left="286" w:right="0"/>
              <w:jc w:val="left"/>
              <w:rPr>
                <w:rFonts w:ascii="Times New Roman" w:hAnsi="Times New Roman" w:cs="Times New Roman" w:eastAsia="Times New Roman" w:hint="default"/>
                <w:sz w:val="22"/>
                <w:szCs w:val="22"/>
              </w:rPr>
            </w:pPr>
            <w:r>
              <w:rPr>
                <w:rFonts w:ascii="Times New Roman"/>
                <w:sz w:val="22"/>
              </w:rPr>
              <w:t>8,219,736.95</w:t>
            </w:r>
          </w:p>
        </w:tc>
        <w:tc>
          <w:tcPr>
            <w:tcW w:w="1311"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22"/>
                <w:szCs w:val="22"/>
              </w:rPr>
            </w:pPr>
            <w:r>
              <w:rPr>
                <w:rFonts w:ascii="Times New Roman"/>
                <w:w w:val="95"/>
                <w:sz w:val="22"/>
              </w:rPr>
              <w:t>100%</w:t>
            </w:r>
            <w:r>
              <w:rPr>
                <w:rFonts w:ascii="Times New Roman"/>
                <w:sz w:val="22"/>
              </w:rPr>
            </w:r>
          </w:p>
        </w:tc>
      </w:tr>
    </w:tbl>
    <w:p>
      <w:pPr>
        <w:spacing w:line="240" w:lineRule="auto" w:before="12"/>
        <w:rPr>
          <w:rFonts w:ascii="宋体" w:hAnsi="宋体" w:cs="宋体" w:eastAsia="宋体" w:hint="default"/>
          <w:sz w:val="10"/>
          <w:szCs w:val="10"/>
        </w:rPr>
      </w:pPr>
    </w:p>
    <w:p>
      <w:pPr>
        <w:spacing w:line="412" w:lineRule="auto" w:before="35"/>
        <w:ind w:left="138" w:right="0" w:firstLine="420"/>
        <w:jc w:val="left"/>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日，应付账款余额中无应付持有该公司</w:t>
      </w:r>
      <w:r>
        <w:rPr>
          <w:rFonts w:ascii="宋体" w:hAnsi="宋体" w:cs="宋体" w:eastAsia="宋体" w:hint="default"/>
          <w:spacing w:val="-52"/>
          <w:sz w:val="21"/>
          <w:szCs w:val="21"/>
        </w:rPr>
        <w:t> </w:t>
      </w:r>
      <w:r>
        <w:rPr>
          <w:rFonts w:ascii="Times New Roman" w:hAnsi="Times New Roman" w:cs="Times New Roman" w:eastAsia="Times New Roman" w:hint="default"/>
          <w:spacing w:val="-9"/>
          <w:sz w:val="21"/>
          <w:szCs w:val="21"/>
        </w:rPr>
        <w:t>5%</w:t>
      </w:r>
      <w:r>
        <w:rPr>
          <w:rFonts w:ascii="宋体" w:hAnsi="宋体" w:cs="宋体" w:eastAsia="宋体" w:hint="default"/>
          <w:spacing w:val="-9"/>
          <w:sz w:val="21"/>
          <w:szCs w:val="21"/>
        </w:rPr>
        <w:t>（含</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5%</w:t>
      </w:r>
      <w:r>
        <w:rPr>
          <w:rFonts w:ascii="宋体" w:hAnsi="宋体" w:cs="宋体" w:eastAsia="宋体" w:hint="default"/>
          <w:spacing w:val="-3"/>
          <w:sz w:val="21"/>
          <w:szCs w:val="21"/>
        </w:rPr>
        <w:t>）以上表决权股份的股</w:t>
      </w:r>
      <w:r>
        <w:rPr>
          <w:rFonts w:ascii="宋体" w:hAnsi="宋体" w:cs="宋体" w:eastAsia="宋体" w:hint="default"/>
          <w:sz w:val="21"/>
          <w:szCs w:val="21"/>
        </w:rPr>
        <w:t> 东单位款项；</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spacing w:before="0"/>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11.</w:t>
      </w:r>
      <w:r>
        <w:rPr>
          <w:rFonts w:ascii="宋体" w:hAnsi="宋体" w:cs="宋体" w:eastAsia="宋体" w:hint="default"/>
          <w:sz w:val="21"/>
          <w:szCs w:val="21"/>
        </w:rPr>
        <w:t>预收款项</w:t>
      </w:r>
    </w:p>
    <w:p>
      <w:pPr>
        <w:spacing w:line="519" w:lineRule="exact"/>
        <w:ind w:left="556"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433.1pt;height:26pt;mso-position-horizontal-relative:char;mso-position-vertical-relative:line" coordorigin="0,0" coordsize="8662,520">
            <v:group style="position:absolute;left:15;top:15;width:8632;height:2" coordorigin="15,15" coordsize="8632,2">
              <v:shape style="position:absolute;left:15;top:15;width:8632;height:2" coordorigin="15,15" coordsize="8632,0" path="m15,15l8647,15e" filled="false" stroked="true" strokeweight="1.5pt" strokecolor="#000000">
                <v:path arrowok="t"/>
              </v:shape>
            </v:group>
            <v:group style="position:absolute;left:15;top:505;width:1718;height:2" coordorigin="15,505" coordsize="1718,2">
              <v:shape style="position:absolute;left:15;top:505;width:1718;height:2" coordorigin="15,505" coordsize="1718,0" path="m15,505l1732,505e" filled="false" stroked="true" strokeweight="1.5pt" strokecolor="#000000">
                <v:path arrowok="t"/>
              </v:shape>
              <v:shape style="position:absolute;left:1732;top:30;width:10;height:460" type="#_x0000_t75" stroked="false">
                <v:imagedata r:id="rId112" o:title=""/>
              </v:shape>
            </v:group>
            <v:group style="position:absolute;left:1732;top:505;width:3459;height:2" coordorigin="1732,505" coordsize="3459,2">
              <v:shape style="position:absolute;left:1732;top:505;width:3459;height:2" coordorigin="1732,505" coordsize="3459,0" path="m1732,505l5191,505e" filled="false" stroked="true" strokeweight="1.5pt" strokecolor="#000000">
                <v:path arrowok="t"/>
              </v:shape>
              <v:shape style="position:absolute;left:5191;top:30;width:10;height:460" type="#_x0000_t75" stroked="false">
                <v:imagedata r:id="rId112" o:title=""/>
              </v:shape>
            </v:group>
            <v:group style="position:absolute;left:5191;top:505;width:3456;height:2" coordorigin="5191,505" coordsize="3456,2">
              <v:shape style="position:absolute;left:5191;top:505;width:3456;height:2" coordorigin="5191,505" coordsize="3456,0" path="m5191,505l8647,505e" filled="false" stroked="true" strokeweight="1.5pt" strokecolor="#000000">
                <v:path arrowok="t"/>
              </v:shape>
              <v:shape style="position:absolute;left:505;top:248;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w:t>
                        <w:tab/>
                        <w:t>龄</w:t>
                      </w:r>
                    </w:p>
                  </w:txbxContent>
                </v:textbox>
                <w10:wrap type="none"/>
              </v:shape>
              <v:shape style="position:absolute;left:2975;top:274;width:9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2008-12-31</w:t>
                      </w:r>
                    </w:p>
                  </w:txbxContent>
                </v:textbox>
                <w10:wrap type="none"/>
              </v:shape>
              <v:shape style="position:absolute;left:6434;top:274;width:9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2007-12-31</w:t>
                      </w:r>
                    </w:p>
                  </w:txbxContent>
                </v:textbox>
                <w10:wrap type="none"/>
              </v:shape>
            </v:group>
          </v:group>
        </w:pict>
      </w:r>
      <w:r>
        <w:rPr>
          <w:rFonts w:ascii="宋体" w:hAnsi="宋体" w:cs="宋体" w:eastAsia="宋体" w:hint="default"/>
          <w:position w:val="-9"/>
          <w:sz w:val="20"/>
          <w:szCs w:val="20"/>
        </w:rPr>
      </w:r>
    </w:p>
    <w:p>
      <w:pPr>
        <w:spacing w:after="0" w:line="519" w:lineRule="exact"/>
        <w:rPr>
          <w:rFonts w:ascii="宋体" w:hAnsi="宋体" w:cs="宋体" w:eastAsia="宋体" w:hint="default"/>
          <w:sz w:val="20"/>
          <w:szCs w:val="20"/>
        </w:rPr>
        <w:sectPr>
          <w:pgSz w:w="11910" w:h="16840"/>
          <w:pgMar w:header="0" w:footer="710" w:top="580" w:bottom="900" w:left="1280" w:right="126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11080"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1467" w:lineRule="exact"/>
        <w:ind w:left="10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8"/>
          <w:sz w:val="20"/>
          <w:szCs w:val="20"/>
        </w:rPr>
        <w:pict>
          <v:group style="width:457.2pt;height:73.4pt;mso-position-horizontal-relative:char;mso-position-vertical-relative:line" coordorigin="0,0" coordsize="9144,1468">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style="position:absolute;left:470;top:29;width:8632;height:2" coordorigin="470,29" coordsize="8632,2">
              <v:shape style="position:absolute;left:470;top:29;width:8632;height:2" coordorigin="470,29" coordsize="8632,0" path="m470,29l9102,29e" filled="false" stroked="true" strokeweight="1.5pt" strokecolor="#000000">
                <v:path arrowok="t"/>
              </v:shape>
              <v:shape style="position:absolute;left:2170;top:26;width:5232;height:496" type="#_x0000_t75" stroked="false">
                <v:imagedata r:id="rId113" o:title=""/>
              </v:shape>
            </v:group>
            <v:group style="position:absolute;left:449;top:1453;width:1739;height:2" coordorigin="449,1453" coordsize="1739,2">
              <v:shape style="position:absolute;left:449;top:1453;width:1739;height:2" coordorigin="449,1453" coordsize="1739,0" path="m449,1453l2188,1453e" filled="false" stroked="true" strokeweight="1.5pt" strokecolor="#000000">
                <v:path arrowok="t"/>
              </v:shape>
            </v:group>
            <v:group style="position:absolute;left:2188;top:1453;width:1730;height:2" coordorigin="2188,1453" coordsize="1730,2">
              <v:shape style="position:absolute;left:2188;top:1453;width:1730;height:2" coordorigin="2188,1453" coordsize="1730,0" path="m2188,1453l3917,1453e" filled="false" stroked="true" strokeweight="1.5pt" strokecolor="#000000">
                <v:path arrowok="t"/>
              </v:shape>
            </v:group>
            <v:group style="position:absolute;left:3917;top:1453;width:1730;height:2" coordorigin="3917,1453" coordsize="1730,2">
              <v:shape style="position:absolute;left:3917;top:1453;width:1730;height:2" coordorigin="3917,1453" coordsize="1730,0" path="m3917,1453l5646,1453e" filled="false" stroked="true" strokeweight="1.5pt" strokecolor="#000000">
                <v:path arrowok="t"/>
              </v:shape>
            </v:group>
            <v:group style="position:absolute;left:5646;top:1453;width:1728;height:2" coordorigin="5646,1453" coordsize="1728,2">
              <v:shape style="position:absolute;left:5646;top:1453;width:1728;height:2" coordorigin="5646,1453" coordsize="1728,0" path="m5646,1453l7374,1453e" filled="false" stroked="true" strokeweight="1.5pt" strokecolor="#000000">
                <v:path arrowok="t"/>
              </v:shape>
              <v:shape style="position:absolute;left:444;top:491;width:8671;height:946" type="#_x0000_t75" stroked="false">
                <v:imagedata r:id="rId114" o:title=""/>
              </v:shape>
            </v:group>
            <v:group style="position:absolute;left:7374;top:1453;width:1736;height:2" coordorigin="7374,1453" coordsize="1736,2">
              <v:shape style="position:absolute;left:7374;top:1453;width:1736;height:2" coordorigin="7374,1453" coordsize="1736,0" path="m7374,1453l9109,1453e" filled="false" stroked="true" strokeweight="1.5pt" strokecolor="#000000">
                <v:path arrowok="t"/>
              </v:shape>
              <v:shape style="position:absolute;left:2741;top:262;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tab/>
                        <w:t>额</w:t>
                      </w:r>
                    </w:p>
                  </w:txbxContent>
                </v:textbox>
                <w10:wrap type="none"/>
              </v:shape>
              <v:shape style="position:absolute;left:4523;top:262;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 例</w:t>
                      </w:r>
                    </w:p>
                  </w:txbxContent>
                </v:textbox>
                <w10:wrap type="none"/>
              </v:shape>
              <v:shape style="position:absolute;left:6199;top:262;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tab/>
                        <w:t>额</w:t>
                      </w:r>
                    </w:p>
                  </w:txbxContent>
                </v:textbox>
                <w10:wrap type="none"/>
              </v:shape>
              <v:shape style="position:absolute;left:7981;top:262;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 例</w:t>
                      </w:r>
                    </w:p>
                  </w:txbxContent>
                </v:textbox>
                <w10:wrap type="none"/>
              </v:shape>
              <v:shape style="position:absolute;left:907;top:724;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三年以上</w:t>
                      </w:r>
                    </w:p>
                  </w:txbxContent>
                </v:textbox>
                <w10:wrap type="none"/>
              </v:shape>
              <v:shape style="position:absolute;left:2914;top:759;width:900;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spacing w:val="-1"/>
                          <w:sz w:val="20"/>
                        </w:rPr>
                        <w:t>875,431.15</w:t>
                      </w:r>
                      <w:r>
                        <w:rPr>
                          <w:rFonts w:ascii="Times New Roman"/>
                          <w:sz w:val="20"/>
                        </w:rPr>
                      </w:r>
                    </w:p>
                  </w:txbxContent>
                </v:textbox>
                <w10:wrap type="none"/>
              </v:shape>
              <v:shape style="position:absolute;left:5029;top:740;width:515;height:220" type="#_x0000_t202" filled="false" stroked="false">
                <v:textbox inset="0,0,0,0">
                  <w:txbxContent>
                    <w:p>
                      <w:pPr>
                        <w:spacing w:line="220" w:lineRule="exact" w:before="0"/>
                        <w:ind w:left="0" w:right="0" w:firstLine="0"/>
                        <w:jc w:val="left"/>
                        <w:rPr>
                          <w:rFonts w:ascii="Times New Roman" w:hAnsi="Times New Roman" w:cs="Times New Roman" w:eastAsia="Times New Roman" w:hint="default"/>
                          <w:sz w:val="22"/>
                          <w:szCs w:val="22"/>
                        </w:rPr>
                      </w:pPr>
                      <w:r>
                        <w:rPr>
                          <w:rFonts w:ascii="Times New Roman"/>
                          <w:sz w:val="22"/>
                        </w:rPr>
                        <w:t>100%</w:t>
                      </w:r>
                    </w:p>
                  </w:txbxContent>
                </v:textbox>
                <w10:wrap type="none"/>
              </v:shape>
              <v:shape style="position:absolute;left:6326;top:751;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879,367.01</w:t>
                      </w:r>
                      <w:r>
                        <w:rPr>
                          <w:rFonts w:ascii="Times New Roman"/>
                          <w:sz w:val="21"/>
                        </w:rPr>
                      </w:r>
                    </w:p>
                  </w:txbxContent>
                </v:textbox>
                <w10:wrap type="none"/>
              </v:shape>
              <v:shape style="position:absolute;left:8488;top:740;width:515;height:220" type="#_x0000_t202" filled="false" stroked="false">
                <v:textbox inset="0,0,0,0">
                  <w:txbxContent>
                    <w:p>
                      <w:pPr>
                        <w:spacing w:line="220" w:lineRule="exact" w:before="0"/>
                        <w:ind w:left="0" w:right="0" w:firstLine="0"/>
                        <w:jc w:val="left"/>
                        <w:rPr>
                          <w:rFonts w:ascii="Times New Roman" w:hAnsi="Times New Roman" w:cs="Times New Roman" w:eastAsia="Times New Roman" w:hint="default"/>
                          <w:sz w:val="22"/>
                          <w:szCs w:val="22"/>
                        </w:rPr>
                      </w:pPr>
                      <w:r>
                        <w:rPr>
                          <w:rFonts w:ascii="Times New Roman"/>
                          <w:sz w:val="22"/>
                        </w:rPr>
                        <w:t>100%</w:t>
                      </w:r>
                    </w:p>
                  </w:txbxContent>
                </v:textbox>
                <w10:wrap type="none"/>
              </v:shape>
              <v:shape style="position:absolute;left:960;top:1195;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2914;top:1230;width:900;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spacing w:val="-1"/>
                          <w:sz w:val="20"/>
                        </w:rPr>
                        <w:t>875,431.15</w:t>
                      </w:r>
                      <w:r>
                        <w:rPr>
                          <w:rFonts w:ascii="Times New Roman"/>
                          <w:sz w:val="20"/>
                        </w:rPr>
                      </w:r>
                    </w:p>
                  </w:txbxContent>
                </v:textbox>
                <w10:wrap type="none"/>
              </v:shape>
              <v:shape style="position:absolute;left:5029;top:1210;width:515;height:220" type="#_x0000_t202" filled="false" stroked="false">
                <v:textbox inset="0,0,0,0">
                  <w:txbxContent>
                    <w:p>
                      <w:pPr>
                        <w:spacing w:line="220" w:lineRule="exact" w:before="0"/>
                        <w:ind w:left="0" w:right="0" w:firstLine="0"/>
                        <w:jc w:val="left"/>
                        <w:rPr>
                          <w:rFonts w:ascii="Times New Roman" w:hAnsi="Times New Roman" w:cs="Times New Roman" w:eastAsia="Times New Roman" w:hint="default"/>
                          <w:sz w:val="22"/>
                          <w:szCs w:val="22"/>
                        </w:rPr>
                      </w:pPr>
                      <w:r>
                        <w:rPr>
                          <w:rFonts w:ascii="Times New Roman"/>
                          <w:sz w:val="22"/>
                        </w:rPr>
                        <w:t>100%</w:t>
                      </w:r>
                    </w:p>
                  </w:txbxContent>
                </v:textbox>
                <w10:wrap type="none"/>
              </v:shape>
              <v:shape style="position:absolute;left:6326;top:1221;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879,367.01</w:t>
                      </w:r>
                      <w:r>
                        <w:rPr>
                          <w:rFonts w:ascii="Times New Roman"/>
                          <w:sz w:val="21"/>
                        </w:rPr>
                      </w:r>
                    </w:p>
                  </w:txbxContent>
                </v:textbox>
                <w10:wrap type="none"/>
              </v:shape>
              <v:shape style="position:absolute;left:8488;top:1210;width:515;height:220" type="#_x0000_t202" filled="false" stroked="false">
                <v:textbox inset="0,0,0,0">
                  <w:txbxContent>
                    <w:p>
                      <w:pPr>
                        <w:spacing w:line="220" w:lineRule="exact" w:before="0"/>
                        <w:ind w:left="0" w:right="0" w:firstLine="0"/>
                        <w:jc w:val="left"/>
                        <w:rPr>
                          <w:rFonts w:ascii="Times New Roman" w:hAnsi="Times New Roman" w:cs="Times New Roman" w:eastAsia="Times New Roman" w:hint="default"/>
                          <w:sz w:val="22"/>
                          <w:szCs w:val="22"/>
                        </w:rPr>
                      </w:pPr>
                      <w:r>
                        <w:rPr>
                          <w:rFonts w:ascii="Times New Roman"/>
                          <w:sz w:val="22"/>
                        </w:rPr>
                        <w:t>100%</w:t>
                      </w:r>
                    </w:p>
                  </w:txbxContent>
                </v:textbox>
                <w10:wrap type="none"/>
              </v:shape>
            </v:group>
          </v:group>
        </w:pict>
      </w:r>
      <w:r>
        <w:rPr>
          <w:rFonts w:ascii="Times New Roman" w:hAnsi="Times New Roman" w:cs="Times New Roman" w:eastAsia="Times New Roman" w:hint="default"/>
          <w:position w:val="-28"/>
          <w:sz w:val="20"/>
          <w:szCs w:val="20"/>
        </w:rPr>
      </w:r>
    </w:p>
    <w:p>
      <w:pPr>
        <w:spacing w:line="240" w:lineRule="auto" w:before="9"/>
        <w:rPr>
          <w:rFonts w:ascii="Times New Roman" w:hAnsi="Times New Roman" w:cs="Times New Roman" w:eastAsia="Times New Roman" w:hint="default"/>
          <w:sz w:val="13"/>
          <w:szCs w:val="13"/>
        </w:rPr>
      </w:pPr>
    </w:p>
    <w:p>
      <w:pPr>
        <w:spacing w:line="412" w:lineRule="auto" w:before="35"/>
        <w:ind w:left="138" w:right="0" w:firstLine="420"/>
        <w:jc w:val="left"/>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日，预收款项余额中无预收持有本公司</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5.00</w:t>
      </w:r>
      <w:r>
        <w:rPr>
          <w:rFonts w:ascii="宋体" w:hAnsi="宋体" w:cs="宋体" w:eastAsia="宋体" w:hint="default"/>
          <w:spacing w:val="-4"/>
          <w:sz w:val="21"/>
          <w:szCs w:val="21"/>
        </w:rPr>
        <w:t>％（含</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5.00</w:t>
      </w:r>
      <w:r>
        <w:rPr>
          <w:rFonts w:ascii="宋体" w:hAnsi="宋体" w:cs="宋体" w:eastAsia="宋体" w:hint="default"/>
          <w:spacing w:val="-3"/>
          <w:sz w:val="21"/>
          <w:szCs w:val="21"/>
        </w:rPr>
        <w:t>％）以上表决权股</w:t>
      </w:r>
      <w:r>
        <w:rPr>
          <w:rFonts w:ascii="宋体" w:hAnsi="宋体" w:cs="宋体" w:eastAsia="宋体" w:hint="default"/>
          <w:sz w:val="21"/>
          <w:szCs w:val="21"/>
        </w:rPr>
        <w:t> 份的股东及其他关联方单位款项。</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before="0"/>
        <w:ind w:left="558" w:right="0" w:firstLine="0"/>
        <w:jc w:val="left"/>
        <w:rPr>
          <w:rFonts w:ascii="宋体" w:hAnsi="宋体" w:cs="宋体" w:eastAsia="宋体" w:hint="default"/>
          <w:sz w:val="21"/>
          <w:szCs w:val="21"/>
        </w:rPr>
      </w:pPr>
      <w:r>
        <w:rPr/>
        <w:pict>
          <v:group style="position:absolute;margin-left:86.879997pt;margin-top:15.324588pt;width:421.6pt;height:215.5pt;mso-position-horizontal-relative:page;mso-position-vertical-relative:paragraph;z-index:-445672" coordorigin="1738,306" coordsize="8432,4310">
            <v:group style="position:absolute;left:1757;top:321;width:8387;height:2" coordorigin="1757,321" coordsize="8387,2">
              <v:shape style="position:absolute;left:1757;top:321;width:8387;height:2" coordorigin="1757,321" coordsize="8387,0" path="m1757,321l10144,321e" filled="false" stroked="true" strokeweight="1.5pt" strokecolor="#000000">
                <v:path arrowok="t"/>
              </v:shape>
              <v:shape style="position:absolute;left:4352;top:317;width:4348;height:638" type="#_x0000_t75" stroked="false">
                <v:imagedata r:id="rId115" o:title=""/>
              </v:shape>
              <v:shape style="position:absolute;left:1738;top:917;width:8431;height:3698" type="#_x0000_t75" stroked="false">
                <v:imagedata r:id="rId116" o:title=""/>
              </v:shape>
              <v:shape style="position:absolute;left:5772;top:3977;width:48;height:638" type="#_x0000_t75" stroked="false">
                <v:imagedata r:id="rId117" o:title=""/>
              </v:shape>
              <v:shape style="position:absolute;left:7253;top:3977;width:48;height:638" type="#_x0000_t75" stroked="false">
                <v:imagedata r:id="rId117" o:title=""/>
              </v:shape>
              <v:shape style="position:absolute;left:8652;top:3977;width:48;height:638" type="#_x0000_t75" stroked="false">
                <v:imagedata r:id="rId117" o:title=""/>
              </v:shape>
            </v:group>
            <w10:wrap type="none"/>
          </v:group>
        </w:pict>
      </w:r>
      <w:r>
        <w:rPr>
          <w:rFonts w:ascii="Times New Roman" w:hAnsi="Times New Roman" w:cs="Times New Roman" w:eastAsia="Times New Roman" w:hint="default"/>
          <w:sz w:val="21"/>
          <w:szCs w:val="21"/>
        </w:rPr>
        <w:t>12.</w:t>
      </w:r>
      <w:r>
        <w:rPr>
          <w:rFonts w:ascii="宋体" w:hAnsi="宋体" w:cs="宋体" w:eastAsia="宋体" w:hint="default"/>
          <w:sz w:val="21"/>
          <w:szCs w:val="21"/>
        </w:rPr>
        <w:t>应付职工薪酬</w:t>
      </w:r>
    </w:p>
    <w:p>
      <w:pPr>
        <w:spacing w:line="240" w:lineRule="auto" w:before="10"/>
        <w:rPr>
          <w:rFonts w:ascii="宋体" w:hAnsi="宋体" w:cs="宋体" w:eastAsia="宋体" w:hint="default"/>
          <w:sz w:val="25"/>
          <w:szCs w:val="25"/>
        </w:rPr>
      </w:pPr>
    </w:p>
    <w:tbl>
      <w:tblPr>
        <w:tblW w:w="0" w:type="auto"/>
        <w:jc w:val="left"/>
        <w:tblInd w:w="462" w:type="dxa"/>
        <w:tblLayout w:type="fixed"/>
        <w:tblCellMar>
          <w:top w:w="0" w:type="dxa"/>
          <w:left w:w="0" w:type="dxa"/>
          <w:bottom w:w="0" w:type="dxa"/>
          <w:right w:w="0" w:type="dxa"/>
        </w:tblCellMar>
        <w:tblLook w:val="01E0"/>
      </w:tblPr>
      <w:tblGrid>
        <w:gridCol w:w="2693"/>
        <w:gridCol w:w="1132"/>
        <w:gridCol w:w="1825"/>
        <w:gridCol w:w="1389"/>
        <w:gridCol w:w="1370"/>
      </w:tblGrid>
      <w:tr>
        <w:trPr>
          <w:trHeight w:val="506" w:hRule="exact"/>
        </w:trPr>
        <w:tc>
          <w:tcPr>
            <w:tcW w:w="2693" w:type="dxa"/>
            <w:tcBorders>
              <w:top w:val="nil" w:sz="6" w:space="0" w:color="auto"/>
              <w:left w:val="nil" w:sz="6" w:space="0" w:color="auto"/>
              <w:bottom w:val="nil" w:sz="6" w:space="0" w:color="auto"/>
              <w:right w:val="nil" w:sz="6" w:space="0" w:color="auto"/>
            </w:tcBorders>
          </w:tcPr>
          <w:p>
            <w:pPr>
              <w:pStyle w:val="TableParagraph"/>
              <w:tabs>
                <w:tab w:pos="449" w:val="left" w:leader="none"/>
              </w:tabs>
              <w:spacing w:line="240" w:lineRule="auto" w:before="44"/>
              <w:ind w:right="42"/>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97"/>
              <w:ind w:left="230" w:right="0"/>
              <w:jc w:val="left"/>
              <w:rPr>
                <w:rFonts w:ascii="Times New Roman" w:hAnsi="Times New Roman" w:cs="Times New Roman" w:eastAsia="Times New Roman" w:hint="default"/>
                <w:sz w:val="18"/>
                <w:szCs w:val="18"/>
              </w:rPr>
            </w:pPr>
            <w:r>
              <w:rPr>
                <w:rFonts w:ascii="Times New Roman"/>
                <w:sz w:val="18"/>
              </w:rPr>
              <w:t>2007-12-31</w:t>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0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97"/>
              <w:ind w:left="211" w:right="0"/>
              <w:jc w:val="left"/>
              <w:rPr>
                <w:rFonts w:ascii="Times New Roman" w:hAnsi="Times New Roman" w:cs="Times New Roman" w:eastAsia="Times New Roman" w:hint="default"/>
                <w:sz w:val="18"/>
                <w:szCs w:val="18"/>
              </w:rPr>
            </w:pPr>
            <w:r>
              <w:rPr>
                <w:rFonts w:ascii="Times New Roman"/>
                <w:sz w:val="18"/>
              </w:rPr>
              <w:t>2008-12-31</w:t>
            </w:r>
          </w:p>
        </w:tc>
      </w:tr>
      <w:tr>
        <w:trPr>
          <w:trHeight w:val="610" w:hRule="exact"/>
        </w:trPr>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一、工资、奖金、津贴和补贴</w:t>
            </w:r>
          </w:p>
        </w:tc>
        <w:tc>
          <w:tcPr>
            <w:tcW w:w="1132" w:type="dxa"/>
            <w:tcBorders>
              <w:top w:val="nil" w:sz="6" w:space="0" w:color="auto"/>
              <w:left w:val="nil" w:sz="6" w:space="0" w:color="auto"/>
              <w:bottom w:val="nil" w:sz="6" w:space="0" w:color="auto"/>
              <w:right w:val="nil" w:sz="6" w:space="0" w:color="auto"/>
            </w:tcBorders>
          </w:tcPr>
          <w:p>
            <w:pP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tabs>
                <w:tab w:pos="789" w:val="left" w:leader="none"/>
              </w:tabs>
              <w:spacing w:line="240" w:lineRule="auto"/>
              <w:ind w:left="61" w:right="0"/>
              <w:jc w:val="left"/>
              <w:rPr>
                <w:rFonts w:ascii="Times New Roman" w:hAnsi="Times New Roman" w:cs="Times New Roman" w:eastAsia="Times New Roman" w:hint="default"/>
                <w:sz w:val="18"/>
                <w:szCs w:val="18"/>
              </w:rPr>
            </w:pPr>
            <w:r>
              <w:rPr>
                <w:rFonts w:ascii="Times New Roman"/>
                <w:sz w:val="18"/>
              </w:rPr>
              <w:t>-</w:t>
              <w:tab/>
              <w:t>860,066.37</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10"/>
              <w:jc w:val="right"/>
              <w:rPr>
                <w:rFonts w:ascii="Times New Roman" w:hAnsi="Times New Roman" w:cs="Times New Roman" w:eastAsia="Times New Roman" w:hint="default"/>
                <w:sz w:val="18"/>
                <w:szCs w:val="18"/>
              </w:rPr>
            </w:pPr>
            <w:r>
              <w:rPr>
                <w:rFonts w:ascii="Times New Roman"/>
                <w:sz w:val="18"/>
              </w:rPr>
              <w:t>860,066.37</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10" w:hRule="exact"/>
        </w:trPr>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122" w:right="0"/>
              <w:jc w:val="left"/>
              <w:rPr>
                <w:rFonts w:ascii="宋体" w:hAnsi="宋体" w:cs="宋体" w:eastAsia="宋体" w:hint="default"/>
                <w:sz w:val="18"/>
                <w:szCs w:val="18"/>
              </w:rPr>
            </w:pPr>
            <w:r>
              <w:rPr>
                <w:rFonts w:ascii="宋体" w:hAnsi="宋体" w:cs="宋体" w:eastAsia="宋体" w:hint="default"/>
                <w:sz w:val="18"/>
                <w:szCs w:val="18"/>
              </w:rPr>
              <w:t>二、职工福利费</w:t>
            </w:r>
          </w:p>
        </w:tc>
        <w:tc>
          <w:tcPr>
            <w:tcW w:w="1132" w:type="dxa"/>
            <w:tcBorders>
              <w:top w:val="nil" w:sz="6" w:space="0" w:color="auto"/>
              <w:left w:val="nil" w:sz="6" w:space="0" w:color="auto"/>
              <w:bottom w:val="nil" w:sz="6" w:space="0" w:color="auto"/>
              <w:right w:val="nil" w:sz="6" w:space="0" w:color="auto"/>
            </w:tcBorders>
          </w:tcPr>
          <w:p>
            <w:pP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tabs>
                <w:tab w:pos="879" w:val="left" w:leader="none"/>
              </w:tabs>
              <w:spacing w:line="240" w:lineRule="auto"/>
              <w:ind w:left="61" w:right="0"/>
              <w:jc w:val="left"/>
              <w:rPr>
                <w:rFonts w:ascii="Times New Roman" w:hAnsi="Times New Roman" w:cs="Times New Roman" w:eastAsia="Times New Roman" w:hint="default"/>
                <w:sz w:val="18"/>
                <w:szCs w:val="18"/>
              </w:rPr>
            </w:pPr>
            <w:r>
              <w:rPr>
                <w:rFonts w:ascii="Times New Roman"/>
                <w:sz w:val="18"/>
              </w:rPr>
              <w:t>-</w:t>
              <w:tab/>
              <w:t>88,407.00</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09"/>
              <w:jc w:val="right"/>
              <w:rPr>
                <w:rFonts w:ascii="Times New Roman" w:hAnsi="Times New Roman" w:cs="Times New Roman" w:eastAsia="Times New Roman" w:hint="default"/>
                <w:sz w:val="18"/>
                <w:szCs w:val="18"/>
              </w:rPr>
            </w:pPr>
            <w:r>
              <w:rPr>
                <w:rFonts w:ascii="Times New Roman"/>
                <w:sz w:val="18"/>
              </w:rPr>
              <w:t>88,407.00</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10" w:hRule="exact"/>
        </w:trPr>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三、社会保险费</w:t>
            </w:r>
          </w:p>
        </w:tc>
        <w:tc>
          <w:tcPr>
            <w:tcW w:w="1132" w:type="dxa"/>
            <w:tcBorders>
              <w:top w:val="nil" w:sz="6" w:space="0" w:color="auto"/>
              <w:left w:val="nil" w:sz="6" w:space="0" w:color="auto"/>
              <w:bottom w:val="nil" w:sz="6" w:space="0" w:color="auto"/>
              <w:right w:val="nil" w:sz="6" w:space="0" w:color="auto"/>
            </w:tcBorders>
          </w:tcPr>
          <w:p>
            <w:pP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tabs>
                <w:tab w:pos="879" w:val="left" w:leader="none"/>
              </w:tabs>
              <w:spacing w:line="240" w:lineRule="auto"/>
              <w:ind w:left="61" w:right="0"/>
              <w:jc w:val="left"/>
              <w:rPr>
                <w:rFonts w:ascii="Times New Roman" w:hAnsi="Times New Roman" w:cs="Times New Roman" w:eastAsia="Times New Roman" w:hint="default"/>
                <w:sz w:val="18"/>
                <w:szCs w:val="18"/>
              </w:rPr>
            </w:pPr>
            <w:r>
              <w:rPr>
                <w:rFonts w:ascii="Times New Roman"/>
                <w:sz w:val="18"/>
              </w:rPr>
              <w:t>-</w:t>
              <w:tab/>
              <w:t>59,438.24</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09"/>
              <w:jc w:val="right"/>
              <w:rPr>
                <w:rFonts w:ascii="Times New Roman" w:hAnsi="Times New Roman" w:cs="Times New Roman" w:eastAsia="Times New Roman" w:hint="default"/>
                <w:sz w:val="18"/>
                <w:szCs w:val="18"/>
              </w:rPr>
            </w:pPr>
            <w:r>
              <w:rPr>
                <w:rFonts w:ascii="Times New Roman"/>
                <w:sz w:val="18"/>
              </w:rPr>
              <w:t>59,438.24</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10" w:hRule="exact"/>
        </w:trPr>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四、住房公积金</w:t>
            </w:r>
          </w:p>
        </w:tc>
        <w:tc>
          <w:tcPr>
            <w:tcW w:w="1132" w:type="dxa"/>
            <w:tcBorders>
              <w:top w:val="nil" w:sz="6" w:space="0" w:color="auto"/>
              <w:left w:val="nil" w:sz="6" w:space="0" w:color="auto"/>
              <w:bottom w:val="nil" w:sz="6" w:space="0" w:color="auto"/>
              <w:right w:val="nil" w:sz="6" w:space="0" w:color="auto"/>
            </w:tcBorders>
          </w:tcPr>
          <w:p>
            <w:pP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tabs>
                <w:tab w:pos="879" w:val="left" w:leader="none"/>
              </w:tabs>
              <w:spacing w:line="240" w:lineRule="auto"/>
              <w:ind w:left="61" w:right="0"/>
              <w:jc w:val="left"/>
              <w:rPr>
                <w:rFonts w:ascii="Times New Roman" w:hAnsi="Times New Roman" w:cs="Times New Roman" w:eastAsia="Times New Roman" w:hint="default"/>
                <w:sz w:val="18"/>
                <w:szCs w:val="18"/>
              </w:rPr>
            </w:pPr>
            <w:r>
              <w:rPr>
                <w:rFonts w:ascii="Times New Roman"/>
                <w:sz w:val="18"/>
              </w:rPr>
              <w:t>-</w:t>
              <w:tab/>
              <w:t>74,549.00</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09"/>
              <w:jc w:val="right"/>
              <w:rPr>
                <w:rFonts w:ascii="Times New Roman" w:hAnsi="Times New Roman" w:cs="Times New Roman" w:eastAsia="Times New Roman" w:hint="default"/>
                <w:sz w:val="18"/>
                <w:szCs w:val="18"/>
              </w:rPr>
            </w:pPr>
            <w:r>
              <w:rPr>
                <w:rFonts w:ascii="Times New Roman"/>
                <w:sz w:val="18"/>
              </w:rPr>
              <w:t>74,549.00</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10" w:hRule="exact"/>
        </w:trPr>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122" w:right="0"/>
              <w:jc w:val="left"/>
              <w:rPr>
                <w:rFonts w:ascii="宋体" w:hAnsi="宋体" w:cs="宋体" w:eastAsia="宋体" w:hint="default"/>
                <w:sz w:val="18"/>
                <w:szCs w:val="18"/>
              </w:rPr>
            </w:pPr>
            <w:r>
              <w:rPr>
                <w:rFonts w:ascii="宋体" w:hAnsi="宋体" w:cs="宋体" w:eastAsia="宋体" w:hint="default"/>
                <w:sz w:val="18"/>
                <w:szCs w:val="18"/>
              </w:rPr>
              <w:t>五、工会经费和职工教育经费</w:t>
            </w:r>
          </w:p>
        </w:tc>
        <w:tc>
          <w:tcPr>
            <w:tcW w:w="1132" w:type="dxa"/>
            <w:tcBorders>
              <w:top w:val="nil" w:sz="6" w:space="0" w:color="auto"/>
              <w:left w:val="nil" w:sz="6" w:space="0" w:color="auto"/>
              <w:bottom w:val="nil" w:sz="6" w:space="0" w:color="auto"/>
              <w:right w:val="nil" w:sz="6" w:space="0" w:color="auto"/>
            </w:tcBorders>
          </w:tcPr>
          <w:p>
            <w:pP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tabs>
                <w:tab w:pos="969" w:val="left" w:leader="none"/>
              </w:tabs>
              <w:spacing w:line="240" w:lineRule="auto"/>
              <w:ind w:left="61" w:right="0"/>
              <w:jc w:val="left"/>
              <w:rPr>
                <w:rFonts w:ascii="Times New Roman" w:hAnsi="Times New Roman" w:cs="Times New Roman" w:eastAsia="Times New Roman" w:hint="default"/>
                <w:sz w:val="18"/>
                <w:szCs w:val="18"/>
              </w:rPr>
            </w:pPr>
            <w:r>
              <w:rPr>
                <w:rFonts w:ascii="Times New Roman"/>
                <w:sz w:val="18"/>
              </w:rPr>
              <w:t>-</w:t>
              <w:tab/>
              <w:t>1,812.43</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1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1,812.43</w:t>
            </w:r>
          </w:p>
        </w:tc>
      </w:tr>
      <w:tr>
        <w:trPr>
          <w:trHeight w:val="428" w:hRule="exact"/>
        </w:trPr>
        <w:tc>
          <w:tcPr>
            <w:tcW w:w="2693" w:type="dxa"/>
            <w:tcBorders>
              <w:top w:val="nil" w:sz="6" w:space="0" w:color="auto"/>
              <w:left w:val="nil" w:sz="6" w:space="0" w:color="auto"/>
              <w:bottom w:val="single" w:sz="12" w:space="0" w:color="000000"/>
              <w:right w:val="nil" w:sz="6" w:space="0" w:color="auto"/>
            </w:tcBorders>
          </w:tcPr>
          <w:p>
            <w:pPr>
              <w:pStyle w:val="TableParagraph"/>
              <w:tabs>
                <w:tab w:pos="449" w:val="left" w:leader="none"/>
              </w:tabs>
              <w:spacing w:line="240" w:lineRule="auto" w:before="149"/>
              <w:ind w:right="42"/>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132" w:type="dxa"/>
            <w:tcBorders>
              <w:top w:val="nil" w:sz="6" w:space="0" w:color="auto"/>
              <w:left w:val="nil" w:sz="6" w:space="0" w:color="auto"/>
              <w:bottom w:val="single" w:sz="12" w:space="0" w:color="000000"/>
              <w:right w:val="nil" w:sz="6" w:space="0" w:color="auto"/>
            </w:tcBorders>
          </w:tcPr>
          <w:p>
            <w:pPr/>
          </w:p>
        </w:tc>
        <w:tc>
          <w:tcPr>
            <w:tcW w:w="182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tabs>
                <w:tab w:pos="655" w:val="left" w:leader="none"/>
              </w:tabs>
              <w:spacing w:line="240" w:lineRule="auto"/>
              <w:ind w:left="61" w:right="0"/>
              <w:jc w:val="left"/>
              <w:rPr>
                <w:rFonts w:ascii="Times New Roman" w:hAnsi="Times New Roman" w:cs="Times New Roman" w:eastAsia="Times New Roman" w:hint="default"/>
                <w:sz w:val="18"/>
                <w:szCs w:val="18"/>
              </w:rPr>
            </w:pPr>
            <w:r>
              <w:rPr>
                <w:rFonts w:ascii="Times New Roman"/>
                <w:sz w:val="18"/>
              </w:rPr>
              <w:t>-</w:t>
              <w:tab/>
              <w:t>1,084,273.04</w:t>
            </w:r>
          </w:p>
        </w:tc>
        <w:tc>
          <w:tcPr>
            <w:tcW w:w="1389"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31" w:right="0"/>
              <w:jc w:val="left"/>
              <w:rPr>
                <w:rFonts w:ascii="Times New Roman" w:hAnsi="Times New Roman" w:cs="Times New Roman" w:eastAsia="Times New Roman" w:hint="default"/>
                <w:sz w:val="18"/>
                <w:szCs w:val="18"/>
              </w:rPr>
            </w:pPr>
            <w:r>
              <w:rPr>
                <w:rFonts w:ascii="Times New Roman"/>
                <w:sz w:val="18"/>
              </w:rPr>
              <w:t>1,082,460.61</w:t>
            </w:r>
          </w:p>
        </w:tc>
        <w:tc>
          <w:tcPr>
            <w:tcW w:w="137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1,812.43</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spacing w:before="35"/>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13.</w:t>
      </w:r>
      <w:r>
        <w:rPr>
          <w:rFonts w:ascii="宋体" w:hAnsi="宋体" w:cs="宋体" w:eastAsia="宋体" w:hint="default"/>
          <w:sz w:val="21"/>
          <w:szCs w:val="21"/>
        </w:rPr>
        <w:t>应交税费</w:t>
      </w:r>
    </w:p>
    <w:p>
      <w:pPr>
        <w:spacing w:line="4929" w:lineRule="exact"/>
        <w:ind w:left="410" w:right="0" w:firstLine="0"/>
        <w:rPr>
          <w:rFonts w:ascii="宋体" w:hAnsi="宋体" w:cs="宋体" w:eastAsia="宋体" w:hint="default"/>
          <w:sz w:val="20"/>
          <w:szCs w:val="20"/>
        </w:rPr>
      </w:pPr>
      <w:r>
        <w:rPr>
          <w:rFonts w:ascii="宋体" w:hAnsi="宋体" w:cs="宋体" w:eastAsia="宋体" w:hint="default"/>
          <w:position w:val="-98"/>
          <w:sz w:val="20"/>
          <w:szCs w:val="20"/>
        </w:rPr>
        <w:pict>
          <v:group style="width:425.75pt;height:246.5pt;mso-position-horizontal-relative:char;mso-position-vertical-relative:line" coordorigin="0,0" coordsize="8515,4930">
            <v:group style="position:absolute;left:29;top:15;width:8460;height:2" coordorigin="29,15" coordsize="8460,2">
              <v:shape style="position:absolute;left:29;top:15;width:8460;height:2" coordorigin="29,15" coordsize="8460,0" path="m29,15l8489,15e" filled="false" stroked="true" strokeweight="1.5pt" strokecolor="#000000">
                <v:path arrowok="t"/>
              </v:shape>
              <v:shape style="position:absolute;left:3086;top:11;width:2904;height:638" type="#_x0000_t75" stroked="false">
                <v:imagedata r:id="rId118" o:title=""/>
              </v:shape>
            </v:group>
            <v:group style="position:absolute;left:15;top:4915;width:3090;height:2" coordorigin="15,4915" coordsize="3090,2">
              <v:shape style="position:absolute;left:15;top:4915;width:3090;height:2" coordorigin="15,4915" coordsize="3090,0" path="m15,4915l3105,4915e" filled="false" stroked="true" strokeweight="1.5pt" strokecolor="#000000">
                <v:path arrowok="t"/>
              </v:shape>
              <v:shape style="position:absolute;left:10;top:611;width:8504;height:4308" type="#_x0000_t75" stroked="false">
                <v:imagedata r:id="rId119" o:title=""/>
              </v:shape>
            </v:group>
            <v:group style="position:absolute;left:3105;top:4915;width:2856;height:2" coordorigin="3105,4915" coordsize="2856,2">
              <v:shape style="position:absolute;left:3105;top:4915;width:2856;height:2" coordorigin="3105,4915" coordsize="2856,0" path="m3105,4915l5961,4915e" filled="false" stroked="true" strokeweight="1.5pt" strokecolor="#000000">
                <v:path arrowok="t"/>
              </v:shape>
              <v:shape style="position:absolute;left:5942;top:4280;width:48;height:638" type="#_x0000_t75" stroked="false">
                <v:imagedata r:id="rId120" o:title=""/>
              </v:shape>
            </v:group>
            <v:group style="position:absolute;left:5961;top:4915;width:2536;height:2" coordorigin="5961,4915" coordsize="2536,2">
              <v:shape style="position:absolute;left:5961;top:4915;width:2536;height:2" coordorigin="5961,4915" coordsize="2536,0" path="m5961,4915l8497,4915e" filled="false" stroked="true" strokeweight="1.5pt" strokecolor="#000000">
                <v:path arrowok="t"/>
              </v:shape>
              <v:shape style="position:absolute;left:1149;top:387;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税</w:t>
                      </w:r>
                    </w:p>
                  </w:txbxContent>
                </v:textbox>
                <w10:wrap type="none"/>
              </v:shape>
              <v:shape style="position:absolute;left:1780;top:387;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种</w:t>
                      </w:r>
                    </w:p>
                  </w:txbxContent>
                </v:textbox>
                <w10:wrap type="none"/>
              </v:shape>
              <v:shape style="position:absolute;left:4047;top:414;width:98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2008-12-31</w:t>
                      </w:r>
                    </w:p>
                  </w:txbxContent>
                </v:textbox>
                <w10:wrap type="none"/>
              </v:shape>
              <v:shape style="position:absolute;left:6740;top:414;width:98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2007-12-31</w:t>
                      </w:r>
                    </w:p>
                  </w:txbxContent>
                </v:textbox>
                <w10:wrap type="none"/>
              </v:shape>
              <v:shape style="position:absolute;left:243;top:997;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增值税</w:t>
                      </w:r>
                    </w:p>
                  </w:txbxContent>
                </v:textbox>
                <w10:wrap type="none"/>
              </v:shape>
              <v:shape style="position:absolute;left:5051;top:1024;width:807;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-6,573.00</w:t>
                      </w:r>
                    </w:p>
                  </w:txbxContent>
                </v:textbox>
                <w10:wrap type="none"/>
              </v:shape>
              <v:shape style="position:absolute;left:7583;top:1024;width:806;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-6,573.00</w:t>
                      </w:r>
                    </w:p>
                  </w:txbxContent>
                </v:textbox>
                <w10:wrap type="none"/>
              </v:shape>
              <v:shape style="position:absolute;left:243;top:1606;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营业税</w:t>
                      </w:r>
                    </w:p>
                  </w:txbxContent>
                </v:textbox>
                <w10:wrap type="none"/>
              </v:shape>
              <v:shape style="position:absolute;left:4755;top:1633;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4,392,364.27</w:t>
                      </w:r>
                    </w:p>
                  </w:txbxContent>
                </v:textbox>
                <w10:wrap type="none"/>
              </v:shape>
              <v:shape style="position:absolute;left:7286;top:1633;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3,803,866.32</w:t>
                      </w:r>
                    </w:p>
                  </w:txbxContent>
                </v:textbox>
                <w10:wrap type="none"/>
              </v:shape>
              <v:shape style="position:absolute;left:137;top:221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城市维护建设税</w:t>
                      </w:r>
                    </w:p>
                  </w:txbxContent>
                </v:textbox>
                <w10:wrap type="none"/>
              </v:shape>
              <v:shape style="position:absolute;left:5122;top:2244;width:73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9,099.49</w:t>
                      </w:r>
                      <w:r>
                        <w:rPr>
                          <w:rFonts w:ascii="Times New Roman"/>
                          <w:sz w:val="21"/>
                        </w:rPr>
                      </w:r>
                    </w:p>
                  </w:txbxContent>
                </v:textbox>
                <w10:wrap type="none"/>
              </v:shape>
              <v:shape style="position:absolute;left:7653;top:2244;width:73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3,214.51</w:t>
                      </w:r>
                      <w:r>
                        <w:rPr>
                          <w:rFonts w:ascii="Times New Roman"/>
                          <w:sz w:val="21"/>
                        </w:rPr>
                      </w:r>
                    </w:p>
                  </w:txbxContent>
                </v:textbox>
                <w10:wrap type="none"/>
              </v:shape>
              <v:shape style="position:absolute;left:243;top:2827;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企业所得税</w:t>
                      </w:r>
                    </w:p>
                  </w:txbxContent>
                </v:textbox>
                <w10:wrap type="none"/>
              </v:shape>
              <v:shape style="position:absolute;left:4651;top:2854;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34,654,317.84</w:t>
                      </w:r>
                    </w:p>
                  </w:txbxContent>
                </v:textbox>
                <w10:wrap type="none"/>
              </v:shape>
              <v:shape style="position:absolute;left:7443;top:2854;width:946;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830,670.16</w:t>
                      </w:r>
                    </w:p>
                  </w:txbxContent>
                </v:textbox>
                <w10:wrap type="none"/>
              </v:shape>
              <v:shape style="position:absolute;left:137;top:3436;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土地增值税</w:t>
                      </w:r>
                    </w:p>
                  </w:txbxContent>
                </v:textbox>
                <w10:wrap type="none"/>
              </v:shape>
              <v:shape style="position:absolute;left:4755;top:3463;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5,802,278.08</w:t>
                      </w:r>
                    </w:p>
                  </w:txbxContent>
                </v:textbox>
                <w10:wrap type="none"/>
              </v:shape>
              <v:shape style="position:absolute;left:8319;top:346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137;top:4047;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土地使用税</w:t>
                      </w:r>
                    </w:p>
                  </w:txbxContent>
                </v:textbox>
                <w10:wrap type="none"/>
              </v:shape>
              <v:shape style="position:absolute;left:4919;top:4074;width:939;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2"/>
                          <w:sz w:val="21"/>
                        </w:rPr>
                        <w:t>262,811.50</w:t>
                      </w:r>
                    </w:p>
                  </w:txbxContent>
                </v:textbox>
                <w10:wrap type="none"/>
              </v:shape>
              <v:shape style="position:absolute;left:8319;top:4074;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243;top:4657;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印花税</w:t>
                      </w:r>
                    </w:p>
                  </w:txbxContent>
                </v:textbox>
                <w10:wrap type="none"/>
              </v:shape>
              <v:shape style="position:absolute;left:5122;top:4684;width:73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6,724.48</w:t>
                      </w:r>
                      <w:r>
                        <w:rPr>
                          <w:rFonts w:ascii="Times New Roman"/>
                          <w:sz w:val="21"/>
                        </w:rPr>
                      </w:r>
                    </w:p>
                  </w:txbxContent>
                </v:textbox>
                <w10:wrap type="none"/>
              </v:shape>
              <v:shape style="position:absolute;left:8319;top:4684;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group>
          </v:group>
        </w:pict>
      </w:r>
      <w:r>
        <w:rPr>
          <w:rFonts w:ascii="宋体" w:hAnsi="宋体" w:cs="宋体" w:eastAsia="宋体" w:hint="default"/>
          <w:position w:val="-98"/>
          <w:sz w:val="20"/>
          <w:szCs w:val="20"/>
        </w:rPr>
      </w:r>
    </w:p>
    <w:p>
      <w:pPr>
        <w:spacing w:after="0" w:line="4929" w:lineRule="exact"/>
        <w:rPr>
          <w:rFonts w:ascii="宋体" w:hAnsi="宋体" w:cs="宋体" w:eastAsia="宋体" w:hint="default"/>
          <w:sz w:val="20"/>
          <w:szCs w:val="20"/>
        </w:rPr>
        <w:sectPr>
          <w:pgSz w:w="11910" w:h="16840"/>
          <w:pgMar w:header="0" w:footer="710" w:top="580" w:bottom="900" w:left="1280" w:right="126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11608"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504" w:lineRule="exact"/>
        <w:ind w:left="10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9"/>
          <w:sz w:val="20"/>
          <w:szCs w:val="20"/>
        </w:rPr>
        <w:pict>
          <v:group style="width:457.2pt;height:125.25pt;mso-position-horizontal-relative:char;mso-position-vertical-relative:line" coordorigin="0,0" coordsize="9144,250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style="position:absolute;left:338;top:29;width:8460;height:2" coordorigin="338,29" coordsize="8460,2">
              <v:shape style="position:absolute;left:338;top:29;width:8460;height:2" coordorigin="338,29" coordsize="8460,0" path="m338,29l8798,29e" filled="false" stroked="true" strokeweight="1.5pt" strokecolor="#000000">
                <v:path arrowok="t"/>
              </v:shape>
              <v:shape style="position:absolute;left:3395;top:25;width:2904;height:638" type="#_x0000_t75" stroked="false">
                <v:imagedata r:id="rId121" o:title=""/>
              </v:shape>
            </v:group>
            <v:group style="position:absolute;left:324;top:2489;width:3090;height:2" coordorigin="324,2489" coordsize="3090,2">
              <v:shape style="position:absolute;left:324;top:2489;width:3090;height:2" coordorigin="324,2489" coordsize="3090,0" path="m324,2489l3414,2489e" filled="false" stroked="true" strokeweight="1.5pt" strokecolor="#000000">
                <v:path arrowok="t"/>
              </v:shape>
              <v:shape style="position:absolute;left:319;top:625;width:8504;height:1868" type="#_x0000_t75" stroked="false">
                <v:imagedata r:id="rId122" o:title=""/>
              </v:shape>
            </v:group>
            <v:group style="position:absolute;left:3414;top:2489;width:2856;height:2" coordorigin="3414,2489" coordsize="2856,2">
              <v:shape style="position:absolute;left:3414;top:2489;width:2856;height:2" coordorigin="3414,2489" coordsize="2856,0" path="m3414,2489l6270,2489e" filled="false" stroked="true" strokeweight="1.5pt" strokecolor="#000000">
                <v:path arrowok="t"/>
              </v:shape>
              <v:shape style="position:absolute;left:6251;top:1854;width:48;height:640" type="#_x0000_t75" stroked="false">
                <v:imagedata r:id="rId123" o:title=""/>
              </v:shape>
            </v:group>
            <v:group style="position:absolute;left:6270;top:2489;width:2536;height:2" coordorigin="6270,2489" coordsize="2536,2">
              <v:shape style="position:absolute;left:6270;top:2489;width:2536;height:2" coordorigin="6270,2489" coordsize="2536,0" path="m6270,2489l8806,2489e" filled="false" stroked="true" strokeweight="1.5pt" strokecolor="#000000">
                <v:path arrowok="t"/>
              </v:shape>
              <v:shape style="position:absolute;left:446;top:402;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房产税</w:t>
                      </w:r>
                    </w:p>
                  </w:txbxContent>
                </v:textbox>
                <w10:wrap type="none"/>
              </v:shape>
              <v:shape style="position:absolute;left:6097;top:429;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7962;top:429;width:73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2,293.38</w:t>
                      </w:r>
                      <w:r>
                        <w:rPr>
                          <w:rFonts w:ascii="Times New Roman"/>
                          <w:sz w:val="21"/>
                        </w:rPr>
                      </w:r>
                    </w:p>
                  </w:txbxContent>
                </v:textbox>
                <w10:wrap type="none"/>
              </v:shape>
              <v:shape style="position:absolute;left:552;top:1011;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教育费附加</w:t>
                      </w:r>
                    </w:p>
                  </w:txbxContent>
                </v:textbox>
                <w10:wrap type="none"/>
              </v:shape>
              <v:shape style="position:absolute;left:5326;top:1038;width:84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17,654.94</w:t>
                      </w:r>
                    </w:p>
                  </w:txbxContent>
                </v:textbox>
                <w10:wrap type="none"/>
              </v:shape>
              <v:shape style="position:absolute;left:8126;top:1038;width:57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2"/>
                          <w:sz w:val="21"/>
                        </w:rPr>
                        <w:t>116.51</w:t>
                      </w:r>
                    </w:p>
                  </w:txbxContent>
                </v:textbox>
                <w10:wrap type="none"/>
              </v:shape>
              <v:shape style="position:absolute;left:446;top:1634;width:1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代扣代缴个人所得税</w:t>
                      </w:r>
                    </w:p>
                  </w:txbxContent>
                </v:textbox>
                <w10:wrap type="none"/>
              </v:shape>
              <v:shape style="position:absolute;left:5326;top:1648;width:84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37,662.76</w:t>
                      </w:r>
                    </w:p>
                  </w:txbxContent>
                </v:textbox>
                <w10:wrap type="none"/>
              </v:shape>
              <v:shape style="position:absolute;left:7856;top:1648;width:84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41,963.72</w:t>
                      </w:r>
                    </w:p>
                  </w:txbxContent>
                </v:textbox>
                <w10:wrap type="none"/>
              </v:shape>
              <v:shape style="position:absolute;left:1511;top:2230;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4902;top:2247;width:1265;height:220" type="#_x0000_t202" filled="false" stroked="false">
                <v:textbox inset="0,0,0,0">
                  <w:txbxContent>
                    <w:p>
                      <w:pPr>
                        <w:spacing w:line="220" w:lineRule="exact" w:before="0"/>
                        <w:ind w:left="0" w:right="0" w:firstLine="0"/>
                        <w:jc w:val="left"/>
                        <w:rPr>
                          <w:rFonts w:ascii="Times New Roman" w:hAnsi="Times New Roman" w:cs="Times New Roman" w:eastAsia="Times New Roman" w:hint="default"/>
                          <w:sz w:val="22"/>
                          <w:szCs w:val="22"/>
                        </w:rPr>
                      </w:pPr>
                      <w:r>
                        <w:rPr>
                          <w:rFonts w:ascii="Times New Roman"/>
                          <w:w w:val="95"/>
                          <w:sz w:val="22"/>
                        </w:rPr>
                        <w:t>45,176,340.36</w:t>
                      </w:r>
                      <w:r>
                        <w:rPr>
                          <w:rFonts w:ascii="Times New Roman"/>
                          <w:sz w:val="22"/>
                        </w:rPr>
                      </w:r>
                    </w:p>
                  </w:txbxContent>
                </v:textbox>
                <w10:wrap type="none"/>
              </v:shape>
              <v:shape style="position:absolute;left:7595;top:2257;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4,675,551.60</w:t>
                      </w:r>
                    </w:p>
                  </w:txbxContent>
                </v:textbox>
                <w10:wrap type="none"/>
              </v:shape>
            </v:group>
          </v:group>
        </w:pict>
      </w:r>
      <w:r>
        <w:rPr>
          <w:rFonts w:ascii="Times New Roman" w:hAnsi="Times New Roman" w:cs="Times New Roman" w:eastAsia="Times New Roman" w:hint="default"/>
          <w:position w:val="-49"/>
          <w:sz w:val="20"/>
          <w:szCs w:val="20"/>
        </w:rPr>
      </w:r>
    </w:p>
    <w:p>
      <w:pPr>
        <w:spacing w:line="240" w:lineRule="auto" w:before="3"/>
        <w:rPr>
          <w:rFonts w:ascii="Times New Roman" w:hAnsi="Times New Roman" w:cs="Times New Roman" w:eastAsia="Times New Roman" w:hint="default"/>
          <w:sz w:val="10"/>
          <w:szCs w:val="10"/>
        </w:rPr>
      </w:pPr>
    </w:p>
    <w:p>
      <w:pPr>
        <w:spacing w:before="35"/>
        <w:ind w:left="558" w:right="0" w:firstLine="0"/>
        <w:jc w:val="left"/>
        <w:rPr>
          <w:rFonts w:ascii="宋体" w:hAnsi="宋体" w:cs="宋体" w:eastAsia="宋体" w:hint="default"/>
          <w:sz w:val="21"/>
          <w:szCs w:val="21"/>
        </w:rPr>
      </w:pPr>
      <w:r>
        <w:rPr>
          <w:rFonts w:ascii="宋体" w:hAnsi="宋体" w:cs="宋体" w:eastAsia="宋体" w:hint="default"/>
          <w:sz w:val="21"/>
          <w:szCs w:val="21"/>
        </w:rPr>
        <w:t>本期所得税较上年增加较大的主要原因是本年捐赠利得较大，因此增加了相应应交所得税。</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9"/>
          <w:szCs w:val="29"/>
        </w:rPr>
      </w:pPr>
    </w:p>
    <w:p>
      <w:pPr>
        <w:spacing w:before="0"/>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14.</w:t>
      </w:r>
      <w:r>
        <w:rPr>
          <w:rFonts w:ascii="宋体" w:hAnsi="宋体" w:cs="宋体" w:eastAsia="宋体" w:hint="default"/>
          <w:sz w:val="21"/>
          <w:szCs w:val="21"/>
        </w:rPr>
        <w:t>应付利息</w:t>
      </w:r>
    </w:p>
    <w:p>
      <w:pPr>
        <w:spacing w:line="1296" w:lineRule="exact"/>
        <w:ind w:left="535"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32.45pt;height:64.8pt;mso-position-horizontal-relative:char;mso-position-vertical-relative:line" coordorigin="0,0" coordsize="8649,1296">
            <v:group style="position:absolute;left:29;top:15;width:8597;height:2" coordorigin="29,15" coordsize="8597,2">
              <v:shape style="position:absolute;left:29;top:15;width:8597;height:2" coordorigin="29,15" coordsize="8597,0" path="m29,15l8626,15e" filled="false" stroked="true" strokeweight="1.5pt" strokecolor="#000000">
                <v:path arrowok="t"/>
              </v:shape>
            </v:group>
            <v:group style="position:absolute;left:15;top:1281;width:4414;height:2" coordorigin="15,1281" coordsize="4414,2">
              <v:shape style="position:absolute;left:15;top:1281;width:4414;height:2" coordorigin="15,1281" coordsize="4414,0" path="m15,1281l4429,1281e" filled="false" stroked="true" strokeweight="1.5pt" strokecolor="#000000">
                <v:path arrowok="t"/>
              </v:shape>
              <v:shape style="position:absolute;left:10;top:11;width:8616;height:1272" type="#_x0000_t75" stroked="false">
                <v:imagedata r:id="rId124" o:title=""/>
              </v:shape>
            </v:group>
            <v:group style="position:absolute;left:4429;top:1281;width:1596;height:2" coordorigin="4429,1281" coordsize="1596,2">
              <v:shape style="position:absolute;left:4429;top:1281;width:1596;height:2" coordorigin="4429,1281" coordsize="1596,0" path="m4429,1281l6025,1281e" filled="false" stroked="true" strokeweight="1.5pt" strokecolor="#000000">
                <v:path arrowok="t"/>
              </v:shape>
              <v:shape style="position:absolute;left:6008;top:522;width:43;height:761" type="#_x0000_t75" stroked="false">
                <v:imagedata r:id="rId125" o:title=""/>
              </v:shape>
            </v:group>
            <v:group style="position:absolute;left:6025;top:1281;width:2609;height:2" coordorigin="6025,1281" coordsize="2609,2">
              <v:shape style="position:absolute;left:6025;top:1281;width:2609;height:2" coordorigin="6025,1281" coordsize="2609,0" path="m6025,1281l8633,1281e" filled="false" stroked="true" strokeweight="1.5pt" strokecolor="#000000">
                <v:path arrowok="t"/>
              </v:shape>
              <v:shape style="position:absolute;left:1811;top:28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4741;top:313;width:9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2008-12-31</w:t>
                      </w:r>
                    </w:p>
                  </w:txbxContent>
                </v:textbox>
                <w10:wrap type="none"/>
              </v:shape>
              <v:shape style="position:absolute;left:6841;top:313;width:9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2007-12-31</w:t>
                      </w:r>
                    </w:p>
                  </w:txbxContent>
                </v:textbox>
                <w10:wrap type="none"/>
              </v:shape>
              <v:shape style="position:absolute;left:137;top:1009;width:29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深圳农业银行罗湖支行贷款利息</w:t>
                      </w:r>
                    </w:p>
                  </w:txbxContent>
                </v:textbox>
                <w10:wrap type="none"/>
              </v:shape>
              <v:shape style="position:absolute;left:4628;top:846;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14,036,500.00</w:t>
                      </w:r>
                    </w:p>
                  </w:txbxContent>
                </v:textbox>
                <w10:wrap type="none"/>
              </v:shape>
              <v:shape style="position:absolute;left:6728;top:846;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10,616,500.00</w:t>
                      </w:r>
                    </w:p>
                  </w:txbxContent>
                </v:textbox>
                <w10:wrap type="none"/>
              </v:shape>
            </v:group>
          </v:group>
        </w:pict>
      </w:r>
      <w:r>
        <w:rPr>
          <w:rFonts w:ascii="宋体" w:hAnsi="宋体" w:cs="宋体" w:eastAsia="宋体" w:hint="default"/>
          <w:position w:val="-25"/>
          <w:sz w:val="20"/>
          <w:szCs w:val="20"/>
        </w:rPr>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5"/>
          <w:szCs w:val="25"/>
        </w:rPr>
      </w:pPr>
    </w:p>
    <w:p>
      <w:pPr>
        <w:spacing w:before="35"/>
        <w:ind w:left="558" w:right="0" w:firstLine="0"/>
        <w:jc w:val="left"/>
        <w:rPr>
          <w:rFonts w:ascii="宋体" w:hAnsi="宋体" w:cs="宋体" w:eastAsia="宋体" w:hint="default"/>
          <w:sz w:val="21"/>
          <w:szCs w:val="21"/>
        </w:rPr>
      </w:pPr>
      <w:r>
        <w:rPr/>
        <w:pict>
          <v:group style="position:absolute;margin-left:91.260002pt;margin-top:17.073963pt;width:431.8pt;height:121.95pt;mso-position-horizontal-relative:page;mso-position-vertical-relative:paragraph;z-index:-445144" coordorigin="1825,341" coordsize="8636,2439">
            <v:group style="position:absolute;left:1844;top:356;width:8597;height:2" coordorigin="1844,356" coordsize="8597,2">
              <v:shape style="position:absolute;left:1844;top:356;width:8597;height:2" coordorigin="1844,356" coordsize="8597,0" path="m1844,356l10441,356e" filled="false" stroked="true" strokeweight="1.5pt" strokecolor="#000000">
                <v:path arrowok="t"/>
              </v:shape>
              <v:shape style="position:absolute;left:6224;top:352;width:2306;height:539" type="#_x0000_t75" stroked="false">
                <v:imagedata r:id="rId126" o:title=""/>
              </v:shape>
              <v:shape style="position:absolute;left:1825;top:853;width:8635;height:1927" type="#_x0000_t75" stroked="false">
                <v:imagedata r:id="rId127" o:title=""/>
              </v:shape>
              <v:shape style="position:absolute;left:8483;top:2272;width:48;height:508" type="#_x0000_t75" stroked="false">
                <v:imagedata r:id="rId128" o:title=""/>
              </v:shape>
            </v:group>
            <w10:wrap type="none"/>
          </v:group>
        </w:pict>
      </w:r>
      <w:r>
        <w:rPr>
          <w:rFonts w:ascii="Times New Roman" w:hAnsi="Times New Roman" w:cs="Times New Roman" w:eastAsia="Times New Roman" w:hint="default"/>
          <w:sz w:val="21"/>
          <w:szCs w:val="21"/>
        </w:rPr>
        <w:t>15.</w:t>
      </w:r>
      <w:r>
        <w:rPr>
          <w:rFonts w:ascii="宋体" w:hAnsi="宋体" w:cs="宋体" w:eastAsia="宋体" w:hint="default"/>
          <w:sz w:val="21"/>
          <w:szCs w:val="21"/>
        </w:rPr>
        <w:t>应付股利</w:t>
      </w:r>
    </w:p>
    <w:p>
      <w:pPr>
        <w:spacing w:line="240" w:lineRule="auto" w:before="7"/>
        <w:rPr>
          <w:rFonts w:ascii="宋体" w:hAnsi="宋体" w:cs="宋体" w:eastAsia="宋体" w:hint="default"/>
          <w:sz w:val="15"/>
          <w:szCs w:val="15"/>
        </w:rPr>
      </w:pPr>
    </w:p>
    <w:tbl>
      <w:tblPr>
        <w:tblW w:w="0" w:type="auto"/>
        <w:jc w:val="left"/>
        <w:tblInd w:w="550" w:type="dxa"/>
        <w:tblLayout w:type="fixed"/>
        <w:tblCellMar>
          <w:top w:w="0" w:type="dxa"/>
          <w:left w:w="0" w:type="dxa"/>
          <w:bottom w:w="0" w:type="dxa"/>
          <w:right w:w="0" w:type="dxa"/>
        </w:tblCellMar>
        <w:tblLook w:val="01E0"/>
      </w:tblPr>
      <w:tblGrid>
        <w:gridCol w:w="4165"/>
        <w:gridCol w:w="2452"/>
        <w:gridCol w:w="2001"/>
      </w:tblGrid>
      <w:tr>
        <w:trPr>
          <w:trHeight w:val="453" w:hRule="exact"/>
        </w:trPr>
        <w:tc>
          <w:tcPr>
            <w:tcW w:w="416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86" w:right="0"/>
              <w:jc w:val="left"/>
              <w:rPr>
                <w:rFonts w:ascii="宋体" w:hAnsi="宋体" w:cs="宋体" w:eastAsia="宋体" w:hint="default"/>
                <w:sz w:val="21"/>
                <w:szCs w:val="21"/>
              </w:rPr>
            </w:pPr>
            <w:r>
              <w:rPr>
                <w:rFonts w:ascii="宋体" w:hAnsi="宋体" w:cs="宋体" w:eastAsia="宋体" w:hint="default"/>
                <w:sz w:val="21"/>
                <w:szCs w:val="21"/>
              </w:rPr>
              <w:t>投资单位名称</w:t>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576"/>
              <w:jc w:val="right"/>
              <w:rPr>
                <w:rFonts w:ascii="Times New Roman" w:hAnsi="Times New Roman" w:cs="Times New Roman" w:eastAsia="Times New Roman" w:hint="default"/>
                <w:sz w:val="21"/>
                <w:szCs w:val="21"/>
              </w:rPr>
            </w:pPr>
            <w:r>
              <w:rPr>
                <w:rFonts w:ascii="Times New Roman"/>
                <w:spacing w:val="-1"/>
                <w:sz w:val="21"/>
              </w:rPr>
              <w:t>2008-12-31</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99"/>
              <w:ind w:left="540" w:right="0"/>
              <w:jc w:val="left"/>
              <w:rPr>
                <w:rFonts w:ascii="Times New Roman" w:hAnsi="Times New Roman" w:cs="Times New Roman" w:eastAsia="Times New Roman" w:hint="default"/>
                <w:sz w:val="21"/>
                <w:szCs w:val="21"/>
              </w:rPr>
            </w:pPr>
            <w:r>
              <w:rPr>
                <w:rFonts w:ascii="Times New Roman"/>
                <w:sz w:val="21"/>
              </w:rPr>
              <w:t>2007-12-31</w:t>
            </w:r>
          </w:p>
        </w:tc>
      </w:tr>
      <w:tr>
        <w:trPr>
          <w:trHeight w:val="470" w:hRule="exact"/>
        </w:trPr>
        <w:tc>
          <w:tcPr>
            <w:tcW w:w="4165"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2" w:right="0"/>
              <w:jc w:val="left"/>
              <w:rPr>
                <w:rFonts w:ascii="宋体" w:hAnsi="宋体" w:cs="宋体" w:eastAsia="宋体" w:hint="default"/>
                <w:sz w:val="21"/>
                <w:szCs w:val="21"/>
              </w:rPr>
            </w:pPr>
            <w:r>
              <w:rPr>
                <w:rFonts w:ascii="宋体" w:hAnsi="宋体" w:cs="宋体" w:eastAsia="宋体" w:hint="default"/>
                <w:sz w:val="21"/>
                <w:szCs w:val="21"/>
              </w:rPr>
              <w:t>广东华侨信托投资公司</w:t>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39"/>
              <w:jc w:val="right"/>
              <w:rPr>
                <w:rFonts w:ascii="Times New Roman" w:hAnsi="Times New Roman" w:cs="Times New Roman" w:eastAsia="Times New Roman" w:hint="default"/>
                <w:sz w:val="21"/>
                <w:szCs w:val="21"/>
              </w:rPr>
            </w:pPr>
            <w:r>
              <w:rPr>
                <w:rFonts w:ascii="Times New Roman"/>
                <w:spacing w:val="-1"/>
                <w:sz w:val="21"/>
              </w:rPr>
              <w:t>176,157.08</w:t>
            </w:r>
            <w:r>
              <w:rPr>
                <w:rFonts w:ascii="Times New Roman"/>
                <w:sz w:val="21"/>
              </w:rPr>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82"/>
              <w:jc w:val="right"/>
              <w:rPr>
                <w:rFonts w:ascii="Times New Roman" w:hAnsi="Times New Roman" w:cs="Times New Roman" w:eastAsia="Times New Roman" w:hint="default"/>
                <w:sz w:val="21"/>
                <w:szCs w:val="21"/>
              </w:rPr>
            </w:pPr>
            <w:r>
              <w:rPr>
                <w:rFonts w:ascii="Times New Roman"/>
                <w:spacing w:val="-1"/>
                <w:sz w:val="21"/>
              </w:rPr>
              <w:t>176,157.08</w:t>
            </w:r>
            <w:r>
              <w:rPr>
                <w:rFonts w:ascii="Times New Roman"/>
                <w:sz w:val="21"/>
              </w:rPr>
            </w:r>
          </w:p>
        </w:tc>
      </w:tr>
      <w:tr>
        <w:trPr>
          <w:trHeight w:val="470" w:hRule="exact"/>
        </w:trPr>
        <w:tc>
          <w:tcPr>
            <w:tcW w:w="4165"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2" w:right="0"/>
              <w:jc w:val="left"/>
              <w:rPr>
                <w:rFonts w:ascii="宋体" w:hAnsi="宋体" w:cs="宋体" w:eastAsia="宋体" w:hint="default"/>
                <w:sz w:val="21"/>
                <w:szCs w:val="21"/>
              </w:rPr>
            </w:pPr>
            <w:r>
              <w:rPr>
                <w:rFonts w:ascii="宋体" w:hAnsi="宋体" w:cs="宋体" w:eastAsia="宋体" w:hint="default"/>
                <w:sz w:val="21"/>
                <w:szCs w:val="21"/>
              </w:rPr>
              <w:t>深圳新通阳电子元件工业有限公司</w:t>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38"/>
              <w:jc w:val="right"/>
              <w:rPr>
                <w:rFonts w:ascii="Times New Roman" w:hAnsi="Times New Roman" w:cs="Times New Roman" w:eastAsia="Times New Roman" w:hint="default"/>
                <w:sz w:val="21"/>
                <w:szCs w:val="21"/>
              </w:rPr>
            </w:pPr>
            <w:r>
              <w:rPr>
                <w:rFonts w:ascii="Times New Roman"/>
                <w:spacing w:val="-1"/>
                <w:sz w:val="21"/>
              </w:rPr>
              <w:t>14,545.20</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81"/>
              <w:jc w:val="right"/>
              <w:rPr>
                <w:rFonts w:ascii="Times New Roman" w:hAnsi="Times New Roman" w:cs="Times New Roman" w:eastAsia="Times New Roman" w:hint="default"/>
                <w:sz w:val="21"/>
                <w:szCs w:val="21"/>
              </w:rPr>
            </w:pPr>
            <w:r>
              <w:rPr>
                <w:rFonts w:ascii="Times New Roman"/>
                <w:spacing w:val="-1"/>
                <w:sz w:val="21"/>
              </w:rPr>
              <w:t>14,545.20</w:t>
            </w:r>
          </w:p>
        </w:tc>
      </w:tr>
      <w:tr>
        <w:trPr>
          <w:trHeight w:val="470" w:hRule="exact"/>
        </w:trPr>
        <w:tc>
          <w:tcPr>
            <w:tcW w:w="4165"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2" w:right="0"/>
              <w:jc w:val="left"/>
              <w:rPr>
                <w:rFonts w:ascii="宋体" w:hAnsi="宋体" w:cs="宋体" w:eastAsia="宋体" w:hint="default"/>
                <w:sz w:val="21"/>
                <w:szCs w:val="21"/>
              </w:rPr>
            </w:pPr>
            <w:r>
              <w:rPr>
                <w:rFonts w:ascii="宋体" w:hAnsi="宋体" w:cs="宋体" w:eastAsia="宋体" w:hint="default"/>
                <w:sz w:val="21"/>
                <w:szCs w:val="21"/>
              </w:rPr>
              <w:t>公众股</w:t>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538"/>
              <w:jc w:val="right"/>
              <w:rPr>
                <w:rFonts w:ascii="Times New Roman" w:hAnsi="Times New Roman" w:cs="Times New Roman" w:eastAsia="Times New Roman" w:hint="default"/>
                <w:sz w:val="21"/>
                <w:szCs w:val="21"/>
              </w:rPr>
            </w:pPr>
            <w:r>
              <w:rPr>
                <w:rFonts w:ascii="Times New Roman"/>
                <w:spacing w:val="-1"/>
                <w:sz w:val="21"/>
              </w:rPr>
              <w:t>15,326.74</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281"/>
              <w:jc w:val="right"/>
              <w:rPr>
                <w:rFonts w:ascii="Times New Roman" w:hAnsi="Times New Roman" w:cs="Times New Roman" w:eastAsia="Times New Roman" w:hint="default"/>
                <w:sz w:val="21"/>
                <w:szCs w:val="21"/>
              </w:rPr>
            </w:pPr>
            <w:r>
              <w:rPr>
                <w:rFonts w:ascii="Times New Roman"/>
                <w:spacing w:val="-1"/>
                <w:sz w:val="21"/>
              </w:rPr>
              <w:t>15,326.74</w:t>
            </w:r>
          </w:p>
        </w:tc>
      </w:tr>
      <w:tr>
        <w:trPr>
          <w:trHeight w:val="384" w:hRule="exact"/>
        </w:trPr>
        <w:tc>
          <w:tcPr>
            <w:tcW w:w="4165"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left="26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452" w:type="dxa"/>
            <w:tcBorders>
              <w:top w:val="nil" w:sz="6" w:space="0" w:color="auto"/>
              <w:left w:val="nil" w:sz="6" w:space="0" w:color="auto"/>
              <w:bottom w:val="single" w:sz="12" w:space="0" w:color="000000"/>
              <w:right w:val="nil" w:sz="6" w:space="0" w:color="auto"/>
            </w:tcBorders>
          </w:tcPr>
          <w:p>
            <w:pPr>
              <w:pStyle w:val="TableParagraph"/>
              <w:spacing w:line="240" w:lineRule="auto" w:before="116"/>
              <w:ind w:right="539"/>
              <w:jc w:val="right"/>
              <w:rPr>
                <w:rFonts w:ascii="Times New Roman" w:hAnsi="Times New Roman" w:cs="Times New Roman" w:eastAsia="Times New Roman" w:hint="default"/>
                <w:sz w:val="21"/>
                <w:szCs w:val="21"/>
              </w:rPr>
            </w:pPr>
            <w:r>
              <w:rPr>
                <w:rFonts w:ascii="Times New Roman"/>
                <w:spacing w:val="-1"/>
                <w:sz w:val="21"/>
              </w:rPr>
              <w:t>206,029.02</w:t>
            </w:r>
            <w:r>
              <w:rPr>
                <w:rFonts w:ascii="Times New Roman"/>
                <w:sz w:val="21"/>
              </w:rPr>
            </w:r>
          </w:p>
        </w:tc>
        <w:tc>
          <w:tcPr>
            <w:tcW w:w="2001" w:type="dxa"/>
            <w:tcBorders>
              <w:top w:val="nil" w:sz="6" w:space="0" w:color="auto"/>
              <w:left w:val="nil" w:sz="6" w:space="0" w:color="auto"/>
              <w:bottom w:val="single" w:sz="12" w:space="0" w:color="000000"/>
              <w:right w:val="nil" w:sz="6" w:space="0" w:color="auto"/>
            </w:tcBorders>
          </w:tcPr>
          <w:p>
            <w:pPr>
              <w:pStyle w:val="TableParagraph"/>
              <w:spacing w:line="240" w:lineRule="auto" w:before="116"/>
              <w:ind w:right="282"/>
              <w:jc w:val="right"/>
              <w:rPr>
                <w:rFonts w:ascii="Times New Roman" w:hAnsi="Times New Roman" w:cs="Times New Roman" w:eastAsia="Times New Roman" w:hint="default"/>
                <w:sz w:val="21"/>
                <w:szCs w:val="21"/>
              </w:rPr>
            </w:pPr>
            <w:r>
              <w:rPr>
                <w:rFonts w:ascii="Times New Roman"/>
                <w:spacing w:val="-1"/>
                <w:sz w:val="21"/>
              </w:rPr>
              <w:t>206,029.02</w:t>
            </w:r>
            <w:r>
              <w:rPr>
                <w:rFonts w:ascii="Times New Roman"/>
                <w:sz w:val="21"/>
              </w:rPr>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spacing w:before="35"/>
        <w:ind w:left="558" w:right="0" w:firstLine="0"/>
        <w:jc w:val="left"/>
        <w:rPr>
          <w:rFonts w:ascii="宋体" w:hAnsi="宋体" w:cs="宋体" w:eastAsia="宋体" w:hint="default"/>
          <w:sz w:val="21"/>
          <w:szCs w:val="21"/>
        </w:rPr>
      </w:pPr>
      <w:r>
        <w:rPr/>
        <w:pict>
          <v:group style="position:absolute;margin-left:91.260002pt;margin-top:17.073818pt;width:433.9pt;height:171.2pt;mso-position-horizontal-relative:page;mso-position-vertical-relative:paragraph;z-index:-444952" coordorigin="1825,341" coordsize="8678,3424">
            <v:group style="position:absolute;left:1852;top:356;width:8632;height:2" coordorigin="1852,356" coordsize="8632,2">
              <v:shape style="position:absolute;left:1852;top:356;width:8632;height:2" coordorigin="1852,356" coordsize="8632,0" path="m1852,356l10483,356e" filled="false" stroked="true" strokeweight="1.5pt" strokecolor="#000000">
                <v:path arrowok="t"/>
              </v:shape>
              <v:shape style="position:absolute;left:3550;top:352;width:3506;height:499" type="#_x0000_t75" stroked="false">
                <v:imagedata r:id="rId129" o:title=""/>
              </v:shape>
              <v:shape style="position:absolute;left:3551;top:814;width:6950;height:505" type="#_x0000_t75" stroked="false">
                <v:imagedata r:id="rId130" o:title=""/>
              </v:shape>
              <v:shape style="position:absolute;left:1825;top:1282;width:8677;height:2483" type="#_x0000_t75" stroked="false">
                <v:imagedata r:id="rId131" o:title=""/>
              </v:shape>
              <v:shape style="position:absolute;left:4812;top:615;width:9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2008-12-31</w:t>
                      </w:r>
                    </w:p>
                  </w:txbxContent>
                </v:textbox>
                <w10:wrap type="none"/>
              </v:shape>
              <v:shape style="position:absolute;left:8271;top:615;width:9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2007-12-31</w:t>
                      </w:r>
                    </w:p>
                  </w:txbxContent>
                </v:textbox>
                <w10:wrap type="none"/>
              </v:shape>
              <v:shape style="position:absolute;left:2341;top:809;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w:t>
                        <w:tab/>
                        <w:t>龄</w:t>
                      </w:r>
                    </w:p>
                  </w:txbxContent>
                </v:textbox>
                <w10:wrap type="none"/>
              </v:shape>
              <v:shape style="position:absolute;left:4122;top:1060;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tab/>
                        <w:t>额</w:t>
                      </w:r>
                    </w:p>
                  </w:txbxContent>
                </v:textbox>
                <w10:wrap type="none"/>
              </v:shape>
              <v:shape style="position:absolute;left:5904;top:1060;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 例</w:t>
                      </w:r>
                    </w:p>
                  </w:txbxContent>
                </v:textbox>
                <w10:wrap type="none"/>
              </v:shape>
              <v:shape style="position:absolute;left:7580;top:1060;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tab/>
                        <w:t>额</w:t>
                      </w:r>
                    </w:p>
                  </w:txbxContent>
                </v:textbox>
                <w10:wrap type="none"/>
              </v:shape>
              <v:shape style="position:absolute;left:9362;top:1060;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 例</w:t>
                      </w:r>
                    </w:p>
                  </w:txbxContent>
                </v:textbox>
                <w10:wrap type="none"/>
              </v:shape>
            </v:group>
            <w10:wrap type="none"/>
          </v:group>
        </w:pict>
      </w:r>
      <w:r>
        <w:rPr>
          <w:rFonts w:ascii="Times New Roman" w:hAnsi="Times New Roman" w:cs="Times New Roman" w:eastAsia="Times New Roman" w:hint="default"/>
          <w:sz w:val="21"/>
          <w:szCs w:val="21"/>
        </w:rPr>
        <w:t>16.</w:t>
      </w:r>
      <w:r>
        <w:rPr>
          <w:rFonts w:ascii="宋体" w:hAnsi="宋体" w:cs="宋体" w:eastAsia="宋体" w:hint="default"/>
          <w:sz w:val="21"/>
          <w:szCs w:val="21"/>
        </w:rPr>
        <w:t>其他应付款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tbl>
      <w:tblPr>
        <w:tblW w:w="0" w:type="auto"/>
        <w:jc w:val="left"/>
        <w:tblInd w:w="550" w:type="dxa"/>
        <w:tblLayout w:type="fixed"/>
        <w:tblCellMar>
          <w:top w:w="0" w:type="dxa"/>
          <w:left w:w="0" w:type="dxa"/>
          <w:bottom w:w="0" w:type="dxa"/>
          <w:right w:w="0" w:type="dxa"/>
        </w:tblCellMar>
        <w:tblLook w:val="01E0"/>
      </w:tblPr>
      <w:tblGrid>
        <w:gridCol w:w="974"/>
        <w:gridCol w:w="757"/>
        <w:gridCol w:w="2140"/>
        <w:gridCol w:w="1484"/>
        <w:gridCol w:w="1957"/>
        <w:gridCol w:w="1349"/>
      </w:tblGrid>
      <w:tr>
        <w:trPr>
          <w:trHeight w:val="474" w:hRule="exact"/>
        </w:trPr>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757" w:type="dxa"/>
            <w:tcBorders>
              <w:top w:val="nil" w:sz="6" w:space="0" w:color="auto"/>
              <w:left w:val="nil" w:sz="6" w:space="0" w:color="auto"/>
              <w:bottom w:val="nil" w:sz="6" w:space="0" w:color="auto"/>
              <w:right w:val="nil" w:sz="6" w:space="0" w:color="auto"/>
            </w:tcBorders>
          </w:tcPr>
          <w:p>
            <w:pPr/>
          </w:p>
        </w:tc>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503"/>
              <w:jc w:val="right"/>
              <w:rPr>
                <w:rFonts w:ascii="Times New Roman" w:hAnsi="Times New Roman" w:cs="Times New Roman" w:eastAsia="Times New Roman" w:hint="default"/>
                <w:sz w:val="20"/>
                <w:szCs w:val="20"/>
              </w:rPr>
            </w:pPr>
            <w:r>
              <w:rPr>
                <w:rFonts w:ascii="Times New Roman"/>
                <w:spacing w:val="-1"/>
                <w:sz w:val="20"/>
              </w:rPr>
              <w:t>64,397,887.78</w:t>
            </w:r>
            <w:r>
              <w:rPr>
                <w:rFonts w:ascii="Times New Roman"/>
                <w:sz w:val="20"/>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59"/>
              <w:jc w:val="right"/>
              <w:rPr>
                <w:rFonts w:ascii="Times New Roman" w:hAnsi="Times New Roman" w:cs="Times New Roman" w:eastAsia="Times New Roman" w:hint="default"/>
                <w:sz w:val="20"/>
                <w:szCs w:val="20"/>
              </w:rPr>
            </w:pPr>
            <w:r>
              <w:rPr>
                <w:rFonts w:ascii="Times New Roman"/>
                <w:spacing w:val="-1"/>
                <w:sz w:val="20"/>
              </w:rPr>
              <w:t>67.88%</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485"/>
              <w:jc w:val="right"/>
              <w:rPr>
                <w:rFonts w:ascii="Times New Roman" w:hAnsi="Times New Roman" w:cs="Times New Roman" w:eastAsia="Times New Roman" w:hint="default"/>
                <w:sz w:val="21"/>
                <w:szCs w:val="21"/>
              </w:rPr>
            </w:pPr>
            <w:r>
              <w:rPr>
                <w:rFonts w:ascii="Times New Roman"/>
                <w:spacing w:val="-1"/>
                <w:sz w:val="21"/>
              </w:rPr>
              <w:t>13,734,860.28</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21"/>
                <w:szCs w:val="21"/>
              </w:rPr>
            </w:pPr>
            <w:r>
              <w:rPr>
                <w:rFonts w:ascii="Times New Roman"/>
                <w:spacing w:val="-1"/>
                <w:sz w:val="21"/>
              </w:rPr>
              <w:t>61.03%</w:t>
            </w:r>
          </w:p>
        </w:tc>
      </w:tr>
      <w:tr>
        <w:trPr>
          <w:trHeight w:val="510" w:hRule="exact"/>
        </w:trPr>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年</w:t>
            </w:r>
          </w:p>
        </w:tc>
        <w:tc>
          <w:tcPr>
            <w:tcW w:w="757" w:type="dxa"/>
            <w:tcBorders>
              <w:top w:val="nil" w:sz="6" w:space="0" w:color="auto"/>
              <w:left w:val="nil" w:sz="6" w:space="0" w:color="auto"/>
              <w:bottom w:val="nil" w:sz="6" w:space="0" w:color="auto"/>
              <w:right w:val="nil" w:sz="6" w:space="0" w:color="auto"/>
            </w:tcBorders>
          </w:tcPr>
          <w:p>
            <w:pPr/>
          </w:p>
        </w:tc>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503"/>
              <w:jc w:val="right"/>
              <w:rPr>
                <w:rFonts w:ascii="Times New Roman" w:hAnsi="Times New Roman" w:cs="Times New Roman" w:eastAsia="Times New Roman" w:hint="default"/>
                <w:sz w:val="20"/>
                <w:szCs w:val="20"/>
              </w:rPr>
            </w:pPr>
            <w:r>
              <w:rPr>
                <w:rFonts w:ascii="Times New Roman"/>
                <w:spacing w:val="-1"/>
                <w:sz w:val="20"/>
              </w:rPr>
              <w:t>21,335,442.81</w:t>
            </w:r>
            <w:r>
              <w:rPr>
                <w:rFonts w:ascii="Times New Roman"/>
                <w:sz w:val="20"/>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59"/>
              <w:jc w:val="right"/>
              <w:rPr>
                <w:rFonts w:ascii="Times New Roman" w:hAnsi="Times New Roman" w:cs="Times New Roman" w:eastAsia="Times New Roman" w:hint="default"/>
                <w:sz w:val="20"/>
                <w:szCs w:val="20"/>
              </w:rPr>
            </w:pPr>
            <w:r>
              <w:rPr>
                <w:rFonts w:ascii="Times New Roman"/>
                <w:spacing w:val="-1"/>
                <w:sz w:val="20"/>
              </w:rPr>
              <w:t>22.67%</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488"/>
              <w:jc w:val="right"/>
              <w:rPr>
                <w:rFonts w:ascii="Times New Roman" w:hAnsi="Times New Roman" w:cs="Times New Roman" w:eastAsia="Times New Roman" w:hint="default"/>
                <w:sz w:val="21"/>
                <w:szCs w:val="21"/>
              </w:rPr>
            </w:pPr>
            <w:r>
              <w:rPr>
                <w:rFonts w:ascii="Times New Roman"/>
                <w:spacing w:val="-1"/>
                <w:sz w:val="21"/>
              </w:rPr>
              <w:t>758,466.81</w:t>
            </w:r>
            <w:r>
              <w:rPr>
                <w:rFonts w:ascii="Times New Roman"/>
                <w:sz w:val="21"/>
              </w:rPr>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6"/>
              <w:jc w:val="right"/>
              <w:rPr>
                <w:rFonts w:ascii="Times New Roman" w:hAnsi="Times New Roman" w:cs="Times New Roman" w:eastAsia="Times New Roman" w:hint="default"/>
                <w:sz w:val="21"/>
                <w:szCs w:val="21"/>
              </w:rPr>
            </w:pPr>
            <w:r>
              <w:rPr>
                <w:rFonts w:ascii="Times New Roman"/>
                <w:spacing w:val="-1"/>
                <w:sz w:val="21"/>
              </w:rPr>
              <w:t>3.37%</w:t>
            </w:r>
          </w:p>
        </w:tc>
      </w:tr>
      <w:tr>
        <w:trPr>
          <w:trHeight w:val="487" w:hRule="exact"/>
        </w:trPr>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 </w:t>
            </w:r>
            <w:r>
              <w:rPr>
                <w:rFonts w:ascii="宋体" w:hAnsi="宋体" w:cs="宋体" w:eastAsia="宋体" w:hint="default"/>
                <w:sz w:val="21"/>
                <w:szCs w:val="21"/>
              </w:rPr>
              <w:t>年</w:t>
            </w:r>
          </w:p>
        </w:tc>
        <w:tc>
          <w:tcPr>
            <w:tcW w:w="757" w:type="dxa"/>
            <w:tcBorders>
              <w:top w:val="nil" w:sz="6" w:space="0" w:color="auto"/>
              <w:left w:val="nil" w:sz="6" w:space="0" w:color="auto"/>
              <w:bottom w:val="nil" w:sz="6" w:space="0" w:color="auto"/>
              <w:right w:val="nil" w:sz="6" w:space="0" w:color="auto"/>
            </w:tcBorders>
          </w:tcPr>
          <w:p>
            <w:pPr/>
          </w:p>
        </w:tc>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504"/>
              <w:jc w:val="right"/>
              <w:rPr>
                <w:rFonts w:ascii="Times New Roman" w:hAnsi="Times New Roman" w:cs="Times New Roman" w:eastAsia="Times New Roman" w:hint="default"/>
                <w:sz w:val="20"/>
                <w:szCs w:val="20"/>
              </w:rPr>
            </w:pPr>
            <w:r>
              <w:rPr>
                <w:rFonts w:ascii="Times New Roman"/>
                <w:spacing w:val="-1"/>
                <w:sz w:val="20"/>
              </w:rPr>
              <w:t>881,894.81</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58"/>
              <w:jc w:val="right"/>
              <w:rPr>
                <w:rFonts w:ascii="Times New Roman" w:hAnsi="Times New Roman" w:cs="Times New Roman" w:eastAsia="Times New Roman" w:hint="default"/>
                <w:sz w:val="20"/>
                <w:szCs w:val="20"/>
              </w:rPr>
            </w:pPr>
            <w:r>
              <w:rPr>
                <w:rFonts w:ascii="Times New Roman"/>
                <w:spacing w:val="-1"/>
                <w:sz w:val="20"/>
              </w:rPr>
              <w:t>0.94%</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488"/>
              <w:jc w:val="right"/>
              <w:rPr>
                <w:rFonts w:ascii="Times New Roman" w:hAnsi="Times New Roman" w:cs="Times New Roman" w:eastAsia="Times New Roman" w:hint="default"/>
                <w:sz w:val="21"/>
                <w:szCs w:val="21"/>
              </w:rPr>
            </w:pPr>
            <w:r>
              <w:rPr>
                <w:rFonts w:ascii="Times New Roman"/>
                <w:spacing w:val="-1"/>
                <w:sz w:val="21"/>
              </w:rPr>
              <w:t>238,012.48</w:t>
            </w:r>
            <w:r>
              <w:rPr>
                <w:rFonts w:ascii="Times New Roman"/>
                <w:sz w:val="21"/>
              </w:rPr>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6"/>
              <w:jc w:val="right"/>
              <w:rPr>
                <w:rFonts w:ascii="Times New Roman" w:hAnsi="Times New Roman" w:cs="Times New Roman" w:eastAsia="Times New Roman" w:hint="default"/>
                <w:sz w:val="21"/>
                <w:szCs w:val="21"/>
              </w:rPr>
            </w:pPr>
            <w:r>
              <w:rPr>
                <w:rFonts w:ascii="Times New Roman"/>
                <w:spacing w:val="-1"/>
                <w:sz w:val="21"/>
              </w:rPr>
              <w:t>1.06%</w:t>
            </w:r>
          </w:p>
        </w:tc>
      </w:tr>
      <w:tr>
        <w:trPr>
          <w:trHeight w:val="467" w:hRule="exact"/>
        </w:trPr>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年以上</w:t>
            </w:r>
          </w:p>
        </w:tc>
        <w:tc>
          <w:tcPr>
            <w:tcW w:w="757" w:type="dxa"/>
            <w:tcBorders>
              <w:top w:val="nil" w:sz="6" w:space="0" w:color="auto"/>
              <w:left w:val="nil" w:sz="6" w:space="0" w:color="auto"/>
              <w:bottom w:val="nil" w:sz="6" w:space="0" w:color="auto"/>
              <w:right w:val="nil" w:sz="6" w:space="0" w:color="auto"/>
            </w:tcBorders>
          </w:tcPr>
          <w:p>
            <w:pPr/>
          </w:p>
        </w:tc>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503"/>
              <w:jc w:val="right"/>
              <w:rPr>
                <w:rFonts w:ascii="Times New Roman" w:hAnsi="Times New Roman" w:cs="Times New Roman" w:eastAsia="Times New Roman" w:hint="default"/>
                <w:sz w:val="20"/>
                <w:szCs w:val="20"/>
              </w:rPr>
            </w:pPr>
            <w:r>
              <w:rPr>
                <w:rFonts w:ascii="Times New Roman"/>
                <w:spacing w:val="-1"/>
                <w:sz w:val="20"/>
              </w:rPr>
              <w:t>8,010,058.55</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58"/>
              <w:jc w:val="right"/>
              <w:rPr>
                <w:rFonts w:ascii="Times New Roman" w:hAnsi="Times New Roman" w:cs="Times New Roman" w:eastAsia="Times New Roman" w:hint="default"/>
                <w:sz w:val="20"/>
                <w:szCs w:val="20"/>
              </w:rPr>
            </w:pPr>
            <w:r>
              <w:rPr>
                <w:rFonts w:ascii="Times New Roman"/>
                <w:spacing w:val="-1"/>
                <w:sz w:val="20"/>
              </w:rPr>
              <w:t>8.51%</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485"/>
              <w:jc w:val="right"/>
              <w:rPr>
                <w:rFonts w:ascii="Times New Roman" w:hAnsi="Times New Roman" w:cs="Times New Roman" w:eastAsia="Times New Roman" w:hint="default"/>
                <w:sz w:val="21"/>
                <w:szCs w:val="21"/>
              </w:rPr>
            </w:pPr>
            <w:r>
              <w:rPr>
                <w:rFonts w:ascii="Times New Roman"/>
                <w:spacing w:val="-1"/>
                <w:sz w:val="21"/>
              </w:rPr>
              <w:t>7,772,046.07</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4"/>
              <w:jc w:val="right"/>
              <w:rPr>
                <w:rFonts w:ascii="Times New Roman" w:hAnsi="Times New Roman" w:cs="Times New Roman" w:eastAsia="Times New Roman" w:hint="default"/>
                <w:sz w:val="21"/>
                <w:szCs w:val="21"/>
              </w:rPr>
            </w:pPr>
            <w:r>
              <w:rPr>
                <w:rFonts w:ascii="Times New Roman"/>
                <w:spacing w:val="-1"/>
                <w:sz w:val="21"/>
              </w:rPr>
              <w:t>34.54%</w:t>
            </w:r>
          </w:p>
        </w:tc>
      </w:tr>
      <w:tr>
        <w:trPr>
          <w:trHeight w:val="375" w:hRule="exact"/>
        </w:trPr>
        <w:tc>
          <w:tcPr>
            <w:tcW w:w="974"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left="511" w:right="0"/>
              <w:jc w:val="left"/>
              <w:rPr>
                <w:rFonts w:ascii="宋体" w:hAnsi="宋体" w:cs="宋体" w:eastAsia="宋体" w:hint="default"/>
                <w:sz w:val="21"/>
                <w:szCs w:val="21"/>
              </w:rPr>
            </w:pPr>
            <w:r>
              <w:rPr>
                <w:rFonts w:ascii="宋体" w:hAnsi="宋体" w:cs="宋体" w:eastAsia="宋体" w:hint="default"/>
                <w:sz w:val="21"/>
                <w:szCs w:val="21"/>
              </w:rPr>
              <w:t>合</w:t>
            </w:r>
          </w:p>
        </w:tc>
        <w:tc>
          <w:tcPr>
            <w:tcW w:w="757"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left="63"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140" w:type="dxa"/>
            <w:tcBorders>
              <w:top w:val="nil" w:sz="6" w:space="0" w:color="auto"/>
              <w:left w:val="nil" w:sz="6" w:space="0" w:color="auto"/>
              <w:bottom w:val="single" w:sz="12" w:space="0" w:color="000000"/>
              <w:right w:val="nil" w:sz="6" w:space="0" w:color="auto"/>
            </w:tcBorders>
          </w:tcPr>
          <w:p>
            <w:pPr>
              <w:pStyle w:val="TableParagraph"/>
              <w:spacing w:line="240" w:lineRule="auto" w:before="126"/>
              <w:ind w:right="504"/>
              <w:jc w:val="right"/>
              <w:rPr>
                <w:rFonts w:ascii="Times New Roman" w:hAnsi="Times New Roman" w:cs="Times New Roman" w:eastAsia="Times New Roman" w:hint="default"/>
                <w:sz w:val="20"/>
                <w:szCs w:val="20"/>
              </w:rPr>
            </w:pPr>
            <w:r>
              <w:rPr>
                <w:rFonts w:ascii="Times New Roman"/>
                <w:spacing w:val="-1"/>
                <w:sz w:val="20"/>
              </w:rPr>
              <w:t>94,625,283.95</w:t>
            </w:r>
            <w:r>
              <w:rPr>
                <w:rFonts w:ascii="Times New Roman"/>
                <w:sz w:val="20"/>
              </w:rPr>
            </w:r>
          </w:p>
        </w:tc>
        <w:tc>
          <w:tcPr>
            <w:tcW w:w="1484" w:type="dxa"/>
            <w:tcBorders>
              <w:top w:val="nil" w:sz="6" w:space="0" w:color="auto"/>
              <w:left w:val="nil" w:sz="6" w:space="0" w:color="auto"/>
              <w:bottom w:val="single" w:sz="12" w:space="0" w:color="000000"/>
              <w:right w:val="nil" w:sz="6" w:space="0" w:color="auto"/>
            </w:tcBorders>
          </w:tcPr>
          <w:p>
            <w:pPr>
              <w:pStyle w:val="TableParagraph"/>
              <w:spacing w:line="240" w:lineRule="auto" w:before="126"/>
              <w:ind w:right="259"/>
              <w:jc w:val="right"/>
              <w:rPr>
                <w:rFonts w:ascii="Times New Roman" w:hAnsi="Times New Roman" w:cs="Times New Roman" w:eastAsia="Times New Roman" w:hint="default"/>
                <w:sz w:val="20"/>
                <w:szCs w:val="20"/>
              </w:rPr>
            </w:pPr>
            <w:r>
              <w:rPr>
                <w:rFonts w:ascii="Times New Roman"/>
                <w:spacing w:val="-1"/>
                <w:sz w:val="20"/>
              </w:rPr>
              <w:t>100.00%</w:t>
            </w:r>
          </w:p>
        </w:tc>
        <w:tc>
          <w:tcPr>
            <w:tcW w:w="1957"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485"/>
              <w:jc w:val="right"/>
              <w:rPr>
                <w:rFonts w:ascii="Times New Roman" w:hAnsi="Times New Roman" w:cs="Times New Roman" w:eastAsia="Times New Roman" w:hint="default"/>
                <w:sz w:val="21"/>
                <w:szCs w:val="21"/>
              </w:rPr>
            </w:pPr>
            <w:r>
              <w:rPr>
                <w:rFonts w:ascii="Times New Roman"/>
                <w:spacing w:val="-1"/>
                <w:sz w:val="21"/>
              </w:rPr>
              <w:t>22,503,385.64</w:t>
            </w:r>
          </w:p>
        </w:tc>
        <w:tc>
          <w:tcPr>
            <w:tcW w:w="1349"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106"/>
              <w:jc w:val="right"/>
              <w:rPr>
                <w:rFonts w:ascii="Times New Roman" w:hAnsi="Times New Roman" w:cs="Times New Roman" w:eastAsia="Times New Roman" w:hint="default"/>
                <w:sz w:val="21"/>
                <w:szCs w:val="21"/>
              </w:rPr>
            </w:pPr>
            <w:r>
              <w:rPr>
                <w:rFonts w:ascii="Times New Roman"/>
                <w:spacing w:val="-1"/>
                <w:sz w:val="21"/>
              </w:rPr>
              <w:t>100.00%</w:t>
            </w:r>
          </w:p>
        </w:tc>
      </w:tr>
    </w:tbl>
    <w:p>
      <w:pPr>
        <w:spacing w:line="240" w:lineRule="auto" w:before="6"/>
        <w:rPr>
          <w:rFonts w:ascii="宋体" w:hAnsi="宋体" w:cs="宋体" w:eastAsia="宋体" w:hint="default"/>
          <w:sz w:val="12"/>
          <w:szCs w:val="12"/>
        </w:rPr>
      </w:pPr>
    </w:p>
    <w:p>
      <w:pPr>
        <w:spacing w:before="35"/>
        <w:ind w:left="558" w:right="0" w:firstLine="0"/>
        <w:jc w:val="left"/>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日，其他应付款余额中应付持有本公司</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5.00</w:t>
      </w:r>
      <w:r>
        <w:rPr>
          <w:rFonts w:ascii="宋体" w:hAnsi="宋体" w:cs="宋体" w:eastAsia="宋体" w:hint="default"/>
          <w:spacing w:val="-4"/>
          <w:sz w:val="21"/>
          <w:szCs w:val="21"/>
        </w:rPr>
        <w:t>％（含</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5.00</w:t>
      </w:r>
      <w:r>
        <w:rPr>
          <w:rFonts w:ascii="宋体" w:hAnsi="宋体" w:cs="宋体" w:eastAsia="宋体" w:hint="default"/>
          <w:spacing w:val="-3"/>
          <w:sz w:val="21"/>
          <w:szCs w:val="21"/>
        </w:rPr>
        <w:t>％）以上表决权股</w:t>
      </w:r>
    </w:p>
    <w:p>
      <w:pPr>
        <w:spacing w:after="0"/>
        <w:jc w:val="left"/>
        <w:rPr>
          <w:rFonts w:ascii="宋体" w:hAnsi="宋体" w:cs="宋体" w:eastAsia="宋体" w:hint="default"/>
          <w:sz w:val="21"/>
          <w:szCs w:val="21"/>
        </w:rPr>
        <w:sectPr>
          <w:pgSz w:w="11910" w:h="16840"/>
          <w:pgMar w:header="0" w:footer="710" w:top="580" w:bottom="900" w:left="1280" w:right="1260"/>
        </w:sectPr>
      </w:pPr>
    </w:p>
    <w:p>
      <w:pPr>
        <w:pStyle w:val="Heading2"/>
        <w:spacing w:line="310" w:lineRule="exact"/>
        <w:ind w:left="3058" w:right="3896"/>
        <w:jc w:val="center"/>
        <w:rPr>
          <w:b w:val="0"/>
          <w:bCs w:val="0"/>
        </w:rPr>
      </w:pPr>
      <w:r>
        <w:rPr/>
        <w:pict>
          <v:shape style="position:absolute;margin-left:88.919998pt;margin-top:3.990308pt;width:57.0pt;height:31.5pt;mso-position-horizontal-relative:page;mso-position-vertical-relative:paragraph;z-index:13552"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2251" w:right="3091"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24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11"/>
        <w:rPr>
          <w:rFonts w:ascii="Times New Roman" w:hAnsi="Times New Roman" w:cs="Times New Roman" w:eastAsia="Times New Roman" w:hint="default"/>
          <w:sz w:val="14"/>
          <w:szCs w:val="14"/>
        </w:rPr>
      </w:pPr>
    </w:p>
    <w:p>
      <w:pPr>
        <w:spacing w:before="35"/>
        <w:ind w:left="278" w:right="0" w:firstLine="0"/>
        <w:jc w:val="left"/>
        <w:rPr>
          <w:rFonts w:ascii="宋体" w:hAnsi="宋体" w:cs="宋体" w:eastAsia="宋体" w:hint="default"/>
          <w:sz w:val="21"/>
          <w:szCs w:val="21"/>
        </w:rPr>
      </w:pPr>
      <w:r>
        <w:rPr>
          <w:rFonts w:ascii="宋体" w:hAnsi="宋体" w:cs="宋体" w:eastAsia="宋体" w:hint="default"/>
          <w:sz w:val="21"/>
          <w:szCs w:val="21"/>
        </w:rPr>
        <w:t>份的股东单位款项明细详见附注九。</w:t>
      </w:r>
    </w:p>
    <w:p>
      <w:pPr>
        <w:spacing w:line="240" w:lineRule="auto" w:before="9"/>
        <w:rPr>
          <w:rFonts w:ascii="宋体" w:hAnsi="宋体" w:cs="宋体" w:eastAsia="宋体" w:hint="default"/>
          <w:sz w:val="15"/>
          <w:szCs w:val="15"/>
        </w:rPr>
      </w:pPr>
    </w:p>
    <w:p>
      <w:pPr>
        <w:spacing w:before="0"/>
        <w:ind w:left="698" w:right="0" w:firstLine="0"/>
        <w:jc w:val="left"/>
        <w:rPr>
          <w:rFonts w:ascii="宋体" w:hAnsi="宋体" w:cs="宋体" w:eastAsia="宋体" w:hint="default"/>
          <w:sz w:val="21"/>
          <w:szCs w:val="21"/>
        </w:rPr>
      </w:pPr>
      <w:r>
        <w:rPr/>
        <w:pict>
          <v:group style="position:absolute;margin-left:66.720001pt;margin-top:15.324114pt;width:461.65pt;height:215.5pt;mso-position-horizontal-relative:page;mso-position-vertical-relative:paragraph;z-index:-443200" coordorigin="1334,306" coordsize="9233,4310">
            <v:group style="position:absolute;left:1354;top:321;width:6327;height:2" coordorigin="1354,321" coordsize="6327,2">
              <v:shape style="position:absolute;left:1354;top:321;width:6327;height:2" coordorigin="1354,321" coordsize="6327,0" path="m1354,321l7680,321e" filled="false" stroked="true" strokeweight="1.5pt" strokecolor="#000000">
                <v:path arrowok="t"/>
              </v:shape>
            </v:group>
            <v:group style="position:absolute;left:7680;top:321;width:1371;height:2" coordorigin="7680,321" coordsize="1371,2">
              <v:shape style="position:absolute;left:7680;top:321;width:1371;height:2" coordorigin="7680,321" coordsize="1371,0" path="m7680,321l9050,321e" filled="false" stroked="true" strokeweight="1.5pt" strokecolor="#000000">
                <v:path arrowok="t"/>
              </v:shape>
            </v:group>
            <v:group style="position:absolute;left:9050;top:321;width:1497;height:2" coordorigin="9050,321" coordsize="1497,2">
              <v:shape style="position:absolute;left:9050;top:321;width:1497;height:2" coordorigin="9050,321" coordsize="1497,0" path="m9050,321l10547,321e" filled="false" stroked="true" strokeweight="1.5pt" strokecolor="#000000">
                <v:path arrowok="t"/>
              </v:shape>
              <v:shape style="position:absolute;left:5070;top:317;width:4009;height:638" type="#_x0000_t75" stroked="false">
                <v:imagedata r:id="rId132" o:title=""/>
              </v:shape>
              <v:shape style="position:absolute;left:1334;top:917;width:9233;height:3698" type="#_x0000_t75" stroked="false">
                <v:imagedata r:id="rId133" o:title=""/>
              </v:shape>
              <v:shape style="position:absolute;left:6436;top:3977;width:48;height:638" type="#_x0000_t75" stroked="false">
                <v:imagedata r:id="rId57" o:title=""/>
              </v:shape>
              <v:shape style="position:absolute;left:7631;top:3977;width:48;height:638" type="#_x0000_t75" stroked="false">
                <v:imagedata r:id="rId57" o:title=""/>
              </v:shape>
              <v:shape style="position:absolute;left:9031;top:3977;width:48;height:638" type="#_x0000_t75" stroked="false">
                <v:imagedata r:id="rId57" o:titl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）截止</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日，欠款金额前五名的客户情况如下：</w:t>
      </w:r>
    </w:p>
    <w:p>
      <w:pPr>
        <w:spacing w:line="240" w:lineRule="auto" w:before="10"/>
        <w:rPr>
          <w:rFonts w:ascii="宋体" w:hAnsi="宋体" w:cs="宋体" w:eastAsia="宋体" w:hint="default"/>
          <w:sz w:val="25"/>
          <w:szCs w:val="25"/>
        </w:rPr>
      </w:pPr>
    </w:p>
    <w:tbl>
      <w:tblPr>
        <w:tblW w:w="0" w:type="auto"/>
        <w:jc w:val="left"/>
        <w:tblInd w:w="199" w:type="dxa"/>
        <w:tblLayout w:type="fixed"/>
        <w:tblCellMar>
          <w:top w:w="0" w:type="dxa"/>
          <w:left w:w="0" w:type="dxa"/>
          <w:bottom w:w="0" w:type="dxa"/>
          <w:right w:w="0" w:type="dxa"/>
        </w:tblCellMar>
        <w:tblLook w:val="01E0"/>
      </w:tblPr>
      <w:tblGrid>
        <w:gridCol w:w="3752"/>
        <w:gridCol w:w="1478"/>
        <w:gridCol w:w="1203"/>
        <w:gridCol w:w="1218"/>
        <w:gridCol w:w="1564"/>
      </w:tblGrid>
      <w:tr>
        <w:trPr>
          <w:trHeight w:val="1105" w:hRule="exact"/>
        </w:trPr>
        <w:tc>
          <w:tcPr>
            <w:tcW w:w="375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24" w:right="0"/>
              <w:jc w:val="left"/>
              <w:rPr>
                <w:rFonts w:ascii="宋体" w:hAnsi="宋体" w:cs="宋体" w:eastAsia="宋体" w:hint="default"/>
                <w:sz w:val="18"/>
                <w:szCs w:val="18"/>
              </w:rPr>
            </w:pPr>
            <w:r>
              <w:rPr>
                <w:rFonts w:ascii="宋体" w:hAnsi="宋体" w:cs="宋体" w:eastAsia="宋体" w:hint="default"/>
                <w:sz w:val="18"/>
                <w:szCs w:val="18"/>
              </w:rPr>
              <w:t>单位名称</w:t>
            </w: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青岛亚星实业有限公司</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5"/>
              <w:jc w:val="center"/>
              <w:rPr>
                <w:rFonts w:ascii="宋体" w:hAnsi="宋体" w:cs="宋体" w:eastAsia="宋体" w:hint="default"/>
                <w:sz w:val="18"/>
                <w:szCs w:val="18"/>
              </w:rPr>
            </w:pPr>
            <w:r>
              <w:rPr>
                <w:rFonts w:ascii="宋体" w:hAnsi="宋体" w:cs="宋体" w:eastAsia="宋体" w:hint="default"/>
                <w:sz w:val="18"/>
                <w:szCs w:val="18"/>
              </w:rPr>
              <w:t>期末金额</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105"/>
              <w:jc w:val="center"/>
              <w:rPr>
                <w:rFonts w:ascii="Times New Roman" w:hAnsi="Times New Roman" w:cs="Times New Roman" w:eastAsia="Times New Roman" w:hint="default"/>
                <w:sz w:val="20"/>
                <w:szCs w:val="20"/>
              </w:rPr>
            </w:pPr>
            <w:r>
              <w:rPr>
                <w:rFonts w:ascii="Times New Roman"/>
                <w:sz w:val="20"/>
              </w:rPr>
              <w:t>27,128,000.00</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7" w:right="0"/>
              <w:jc w:val="left"/>
              <w:rPr>
                <w:rFonts w:ascii="宋体" w:hAnsi="宋体" w:cs="宋体" w:eastAsia="宋体" w:hint="default"/>
                <w:sz w:val="18"/>
                <w:szCs w:val="18"/>
              </w:rPr>
            </w:pPr>
            <w:r>
              <w:rPr>
                <w:rFonts w:ascii="宋体" w:hAnsi="宋体" w:cs="宋体" w:eastAsia="宋体" w:hint="default"/>
                <w:sz w:val="18"/>
                <w:szCs w:val="18"/>
              </w:rPr>
              <w:t>比  例</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0"/>
              <w:ind w:left="329" w:right="0"/>
              <w:jc w:val="left"/>
              <w:rPr>
                <w:rFonts w:ascii="Times New Roman" w:hAnsi="Times New Roman" w:cs="Times New Roman" w:eastAsia="Times New Roman" w:hint="default"/>
                <w:sz w:val="21"/>
                <w:szCs w:val="21"/>
              </w:rPr>
            </w:pPr>
            <w:r>
              <w:rPr>
                <w:rFonts w:ascii="Times New Roman"/>
                <w:sz w:val="21"/>
              </w:rPr>
              <w:t>28.67%</w:t>
            </w:r>
          </w:p>
        </w:tc>
        <w:tc>
          <w:tcPr>
            <w:tcW w:w="121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46" w:right="0" w:hanging="23"/>
              <w:jc w:val="left"/>
              <w:rPr>
                <w:rFonts w:ascii="宋体" w:hAnsi="宋体" w:cs="宋体" w:eastAsia="宋体" w:hint="default"/>
                <w:sz w:val="18"/>
                <w:szCs w:val="18"/>
              </w:rPr>
            </w:pPr>
            <w:r>
              <w:rPr>
                <w:rFonts w:ascii="宋体" w:hAnsi="宋体" w:cs="宋体" w:eastAsia="宋体" w:hint="default"/>
                <w:sz w:val="18"/>
                <w:szCs w:val="18"/>
              </w:rPr>
              <w:t>欠款时间</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left="24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4" w:right="0"/>
              <w:jc w:val="center"/>
              <w:rPr>
                <w:rFonts w:ascii="宋体" w:hAnsi="宋体" w:cs="宋体" w:eastAsia="宋体" w:hint="default"/>
                <w:sz w:val="18"/>
                <w:szCs w:val="18"/>
              </w:rPr>
            </w:pPr>
            <w:r>
              <w:rPr>
                <w:rFonts w:ascii="宋体" w:hAnsi="宋体" w:cs="宋体" w:eastAsia="宋体" w:hint="default"/>
                <w:sz w:val="18"/>
                <w:szCs w:val="18"/>
              </w:rPr>
              <w:t>款项性质</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left="64" w:right="0"/>
              <w:jc w:val="center"/>
              <w:rPr>
                <w:rFonts w:ascii="宋体" w:hAnsi="宋体" w:cs="宋体" w:eastAsia="宋体" w:hint="default"/>
                <w:sz w:val="18"/>
                <w:szCs w:val="18"/>
              </w:rPr>
            </w:pPr>
            <w:r>
              <w:rPr>
                <w:rFonts w:ascii="宋体" w:hAnsi="宋体" w:cs="宋体" w:eastAsia="宋体" w:hint="default"/>
                <w:sz w:val="18"/>
                <w:szCs w:val="18"/>
              </w:rPr>
              <w:t>关联方往来款</w:t>
            </w:r>
          </w:p>
        </w:tc>
      </w:tr>
      <w:tr>
        <w:trPr>
          <w:trHeight w:val="610" w:hRule="exact"/>
        </w:trPr>
        <w:tc>
          <w:tcPr>
            <w:tcW w:w="3752"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22" w:right="0"/>
              <w:jc w:val="left"/>
              <w:rPr>
                <w:rFonts w:ascii="宋体" w:hAnsi="宋体" w:cs="宋体" w:eastAsia="宋体" w:hint="default"/>
                <w:sz w:val="20"/>
                <w:szCs w:val="20"/>
              </w:rPr>
            </w:pPr>
            <w:r>
              <w:rPr>
                <w:rFonts w:ascii="宋体" w:hAnsi="宋体" w:cs="宋体" w:eastAsia="宋体" w:hint="default"/>
                <w:sz w:val="20"/>
                <w:szCs w:val="20"/>
              </w:rPr>
              <w:t>青岛亚星置业有限公司</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10" w:right="0"/>
              <w:jc w:val="left"/>
              <w:rPr>
                <w:rFonts w:ascii="Times New Roman" w:hAnsi="Times New Roman" w:cs="Times New Roman" w:eastAsia="Times New Roman" w:hint="default"/>
                <w:sz w:val="20"/>
                <w:szCs w:val="20"/>
              </w:rPr>
            </w:pPr>
            <w:r>
              <w:rPr>
                <w:rFonts w:ascii="Times New Roman"/>
                <w:sz w:val="20"/>
              </w:rPr>
              <w:t>26,741,982.42</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179"/>
              <w:ind w:right="221"/>
              <w:jc w:val="right"/>
              <w:rPr>
                <w:rFonts w:ascii="Times New Roman" w:hAnsi="Times New Roman" w:cs="Times New Roman" w:eastAsia="Times New Roman" w:hint="default"/>
                <w:sz w:val="21"/>
                <w:szCs w:val="21"/>
              </w:rPr>
            </w:pPr>
            <w:r>
              <w:rPr>
                <w:rFonts w:ascii="Times New Roman"/>
                <w:spacing w:val="-1"/>
                <w:sz w:val="21"/>
              </w:rPr>
              <w:t>28.26%</w:t>
            </w:r>
          </w:p>
        </w:tc>
        <w:tc>
          <w:tcPr>
            <w:tcW w:w="1218"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49"/>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64" w:right="0"/>
              <w:jc w:val="center"/>
              <w:rPr>
                <w:rFonts w:ascii="宋体" w:hAnsi="宋体" w:cs="宋体" w:eastAsia="宋体" w:hint="default"/>
                <w:sz w:val="18"/>
                <w:szCs w:val="18"/>
              </w:rPr>
            </w:pPr>
            <w:r>
              <w:rPr>
                <w:rFonts w:ascii="宋体" w:hAnsi="宋体" w:cs="宋体" w:eastAsia="宋体" w:hint="default"/>
                <w:sz w:val="18"/>
                <w:szCs w:val="18"/>
              </w:rPr>
              <w:t>关联方往来款</w:t>
            </w:r>
          </w:p>
        </w:tc>
      </w:tr>
      <w:tr>
        <w:trPr>
          <w:trHeight w:val="610" w:hRule="exact"/>
        </w:trPr>
        <w:tc>
          <w:tcPr>
            <w:tcW w:w="3752"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122" w:right="0"/>
              <w:jc w:val="left"/>
              <w:rPr>
                <w:rFonts w:ascii="宋体" w:hAnsi="宋体" w:cs="宋体" w:eastAsia="宋体" w:hint="default"/>
                <w:sz w:val="20"/>
                <w:szCs w:val="20"/>
              </w:rPr>
            </w:pPr>
            <w:r>
              <w:rPr>
                <w:rFonts w:ascii="宋体" w:hAnsi="宋体" w:cs="宋体" w:eastAsia="宋体" w:hint="default"/>
                <w:sz w:val="20"/>
                <w:szCs w:val="20"/>
              </w:rPr>
              <w:t>青岛亚星投资有限公司</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10" w:right="0"/>
              <w:jc w:val="left"/>
              <w:rPr>
                <w:rFonts w:ascii="Times New Roman" w:hAnsi="Times New Roman" w:cs="Times New Roman" w:eastAsia="Times New Roman" w:hint="default"/>
                <w:sz w:val="20"/>
                <w:szCs w:val="20"/>
              </w:rPr>
            </w:pPr>
            <w:r>
              <w:rPr>
                <w:rFonts w:ascii="Times New Roman"/>
                <w:sz w:val="20"/>
              </w:rPr>
              <w:t>16,549,930.78</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21"/>
              <w:jc w:val="right"/>
              <w:rPr>
                <w:rFonts w:ascii="Times New Roman" w:hAnsi="Times New Roman" w:cs="Times New Roman" w:eastAsia="Times New Roman" w:hint="default"/>
                <w:sz w:val="21"/>
                <w:szCs w:val="21"/>
              </w:rPr>
            </w:pPr>
            <w:r>
              <w:rPr>
                <w:rFonts w:ascii="Times New Roman"/>
                <w:spacing w:val="-1"/>
                <w:sz w:val="21"/>
              </w:rPr>
              <w:t>17.49%</w:t>
            </w:r>
          </w:p>
        </w:tc>
        <w:tc>
          <w:tcPr>
            <w:tcW w:w="1218" w:type="dxa"/>
            <w:tcBorders>
              <w:top w:val="nil" w:sz="6" w:space="0" w:color="auto"/>
              <w:left w:val="nil" w:sz="6" w:space="0" w:color="auto"/>
              <w:bottom w:val="nil" w:sz="6" w:space="0" w:color="auto"/>
              <w:right w:val="nil" w:sz="6" w:space="0" w:color="auto"/>
            </w:tcBorders>
          </w:tcPr>
          <w:p>
            <w:pPr>
              <w:pStyle w:val="TableParagraph"/>
              <w:spacing w:line="240" w:lineRule="auto" w:before="160"/>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160"/>
              <w:ind w:left="64" w:right="0"/>
              <w:jc w:val="center"/>
              <w:rPr>
                <w:rFonts w:ascii="宋体" w:hAnsi="宋体" w:cs="宋体" w:eastAsia="宋体" w:hint="default"/>
                <w:sz w:val="18"/>
                <w:szCs w:val="18"/>
              </w:rPr>
            </w:pPr>
            <w:r>
              <w:rPr>
                <w:rFonts w:ascii="宋体" w:hAnsi="宋体" w:cs="宋体" w:eastAsia="宋体" w:hint="default"/>
                <w:sz w:val="18"/>
                <w:szCs w:val="18"/>
              </w:rPr>
              <w:t>关联方往来款</w:t>
            </w:r>
          </w:p>
        </w:tc>
      </w:tr>
      <w:tr>
        <w:trPr>
          <w:trHeight w:val="610" w:hRule="exact"/>
        </w:trPr>
        <w:tc>
          <w:tcPr>
            <w:tcW w:w="3752"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22" w:right="0"/>
              <w:jc w:val="left"/>
              <w:rPr>
                <w:rFonts w:ascii="宋体" w:hAnsi="宋体" w:cs="宋体" w:eastAsia="宋体" w:hint="default"/>
                <w:sz w:val="18"/>
                <w:szCs w:val="18"/>
              </w:rPr>
            </w:pPr>
            <w:r>
              <w:rPr>
                <w:rFonts w:ascii="宋体" w:hAnsi="宋体" w:cs="宋体" w:eastAsia="宋体" w:hint="default"/>
                <w:sz w:val="20"/>
                <w:szCs w:val="20"/>
              </w:rPr>
              <w:t>河南方正信息技术</w:t>
            </w:r>
            <w:r>
              <w:rPr>
                <w:rFonts w:ascii="Times New Roman" w:hAnsi="Times New Roman" w:cs="Times New Roman" w:eastAsia="Times New Roman" w:hint="default"/>
                <w:sz w:val="18"/>
                <w:szCs w:val="18"/>
              </w:rPr>
              <w:t>(</w:t>
            </w:r>
            <w:r>
              <w:rPr>
                <w:rFonts w:ascii="宋体" w:hAnsi="宋体" w:cs="宋体" w:eastAsia="宋体" w:hint="default"/>
                <w:sz w:val="18"/>
                <w:szCs w:val="18"/>
              </w:rPr>
              <w:t>方正产业控股</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10" w:right="0"/>
              <w:jc w:val="left"/>
              <w:rPr>
                <w:rFonts w:ascii="Times New Roman" w:hAnsi="Times New Roman" w:cs="Times New Roman" w:eastAsia="Times New Roman" w:hint="default"/>
                <w:sz w:val="20"/>
                <w:szCs w:val="20"/>
              </w:rPr>
            </w:pPr>
            <w:r>
              <w:rPr>
                <w:rFonts w:ascii="Times New Roman"/>
                <w:sz w:val="20"/>
              </w:rPr>
              <w:t>10,524,938.43</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179"/>
              <w:ind w:right="223"/>
              <w:jc w:val="right"/>
              <w:rPr>
                <w:rFonts w:ascii="Times New Roman" w:hAnsi="Times New Roman" w:cs="Times New Roman" w:eastAsia="Times New Roman" w:hint="default"/>
                <w:sz w:val="21"/>
                <w:szCs w:val="21"/>
              </w:rPr>
            </w:pPr>
            <w:r>
              <w:rPr>
                <w:rFonts w:ascii="Times New Roman"/>
                <w:spacing w:val="-2"/>
                <w:sz w:val="21"/>
              </w:rPr>
              <w:t>11.12%</w:t>
            </w:r>
          </w:p>
        </w:tc>
        <w:tc>
          <w:tcPr>
            <w:tcW w:w="1218"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64" w:right="0"/>
              <w:jc w:val="center"/>
              <w:rPr>
                <w:rFonts w:ascii="宋体" w:hAnsi="宋体" w:cs="宋体" w:eastAsia="宋体" w:hint="default"/>
                <w:sz w:val="18"/>
                <w:szCs w:val="18"/>
              </w:rPr>
            </w:pPr>
            <w:r>
              <w:rPr>
                <w:rFonts w:ascii="宋体" w:hAnsi="宋体" w:cs="宋体" w:eastAsia="宋体" w:hint="default"/>
                <w:sz w:val="18"/>
                <w:szCs w:val="18"/>
              </w:rPr>
              <w:t>诉讼款</w:t>
            </w:r>
          </w:p>
        </w:tc>
      </w:tr>
      <w:tr>
        <w:trPr>
          <w:trHeight w:val="617" w:hRule="exact"/>
        </w:trPr>
        <w:tc>
          <w:tcPr>
            <w:tcW w:w="3752"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22" w:right="0"/>
              <w:jc w:val="left"/>
              <w:rPr>
                <w:rFonts w:ascii="宋体" w:hAnsi="宋体" w:cs="宋体" w:eastAsia="宋体" w:hint="default"/>
                <w:sz w:val="20"/>
                <w:szCs w:val="20"/>
              </w:rPr>
            </w:pPr>
            <w:r>
              <w:rPr>
                <w:rFonts w:ascii="宋体"/>
                <w:sz w:val="20"/>
              </w:rPr>
              <w:t>OATLAND WORLDWIDE</w:t>
            </w:r>
            <w:r>
              <w:rPr>
                <w:rFonts w:ascii="宋体"/>
                <w:spacing w:val="-11"/>
                <w:sz w:val="20"/>
              </w:rPr>
              <w:t> </w:t>
            </w:r>
            <w:r>
              <w:rPr>
                <w:rFonts w:ascii="宋体"/>
                <w:sz w:val="20"/>
              </w:rPr>
              <w:t>LIMITED</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59" w:right="0"/>
              <w:jc w:val="left"/>
              <w:rPr>
                <w:rFonts w:ascii="Times New Roman" w:hAnsi="Times New Roman" w:cs="Times New Roman" w:eastAsia="Times New Roman" w:hint="default"/>
                <w:sz w:val="20"/>
                <w:szCs w:val="20"/>
              </w:rPr>
            </w:pPr>
            <w:r>
              <w:rPr>
                <w:rFonts w:ascii="Times New Roman"/>
                <w:sz w:val="20"/>
              </w:rPr>
              <w:t>6,095,000.00</w:t>
            </w:r>
          </w:p>
        </w:tc>
        <w:tc>
          <w:tcPr>
            <w:tcW w:w="1203" w:type="dxa"/>
            <w:tcBorders>
              <w:top w:val="nil" w:sz="6" w:space="0" w:color="auto"/>
              <w:left w:val="nil" w:sz="6" w:space="0" w:color="auto"/>
              <w:bottom w:val="nil" w:sz="6" w:space="0" w:color="auto"/>
              <w:right w:val="nil" w:sz="6" w:space="0" w:color="auto"/>
            </w:tcBorders>
          </w:tcPr>
          <w:p>
            <w:pPr>
              <w:pStyle w:val="TableParagraph"/>
              <w:spacing w:line="240" w:lineRule="auto" w:before="179"/>
              <w:ind w:right="223"/>
              <w:jc w:val="right"/>
              <w:rPr>
                <w:rFonts w:ascii="Times New Roman" w:hAnsi="Times New Roman" w:cs="Times New Roman" w:eastAsia="Times New Roman" w:hint="default"/>
                <w:sz w:val="21"/>
                <w:szCs w:val="21"/>
              </w:rPr>
            </w:pPr>
            <w:r>
              <w:rPr>
                <w:rFonts w:ascii="Times New Roman"/>
                <w:spacing w:val="-1"/>
                <w:sz w:val="21"/>
              </w:rPr>
              <w:t>6.44%</w:t>
            </w:r>
          </w:p>
        </w:tc>
        <w:tc>
          <w:tcPr>
            <w:tcW w:w="1218"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64" w:right="0"/>
              <w:jc w:val="center"/>
              <w:rPr>
                <w:rFonts w:ascii="宋体" w:hAnsi="宋体" w:cs="宋体" w:eastAsia="宋体" w:hint="default"/>
                <w:sz w:val="18"/>
                <w:szCs w:val="18"/>
              </w:rPr>
            </w:pPr>
            <w:r>
              <w:rPr>
                <w:rFonts w:ascii="宋体" w:hAnsi="宋体" w:cs="宋体" w:eastAsia="宋体" w:hint="default"/>
                <w:sz w:val="18"/>
                <w:szCs w:val="18"/>
              </w:rPr>
              <w:t>往来款</w:t>
            </w:r>
          </w:p>
        </w:tc>
      </w:tr>
      <w:tr>
        <w:trPr>
          <w:trHeight w:val="431" w:hRule="exact"/>
        </w:trPr>
        <w:tc>
          <w:tcPr>
            <w:tcW w:w="3752" w:type="dxa"/>
            <w:tcBorders>
              <w:top w:val="nil" w:sz="6" w:space="0" w:color="auto"/>
              <w:left w:val="nil" w:sz="6" w:space="0" w:color="auto"/>
              <w:bottom w:val="single" w:sz="12" w:space="0" w:color="000000"/>
              <w:right w:val="nil" w:sz="6" w:space="0" w:color="auto"/>
            </w:tcBorders>
          </w:tcPr>
          <w:p>
            <w:pPr>
              <w:pStyle w:val="TableParagraph"/>
              <w:spacing w:line="240" w:lineRule="auto" w:before="153"/>
              <w:ind w:left="15"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478"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10" w:right="0"/>
              <w:jc w:val="left"/>
              <w:rPr>
                <w:rFonts w:ascii="Times New Roman" w:hAnsi="Times New Roman" w:cs="Times New Roman" w:eastAsia="Times New Roman" w:hint="default"/>
                <w:sz w:val="20"/>
                <w:szCs w:val="20"/>
              </w:rPr>
            </w:pPr>
            <w:r>
              <w:rPr>
                <w:rFonts w:ascii="Times New Roman"/>
                <w:sz w:val="20"/>
              </w:rPr>
              <w:t>87,039,851.63</w:t>
            </w:r>
          </w:p>
        </w:tc>
        <w:tc>
          <w:tcPr>
            <w:tcW w:w="1203" w:type="dxa"/>
            <w:tcBorders>
              <w:top w:val="nil" w:sz="6" w:space="0" w:color="auto"/>
              <w:left w:val="nil" w:sz="6" w:space="0" w:color="auto"/>
              <w:bottom w:val="single" w:sz="12" w:space="0" w:color="000000"/>
              <w:right w:val="nil" w:sz="6" w:space="0" w:color="auto"/>
            </w:tcBorders>
          </w:tcPr>
          <w:p>
            <w:pPr>
              <w:pStyle w:val="TableParagraph"/>
              <w:spacing w:line="240" w:lineRule="auto" w:before="173"/>
              <w:ind w:right="221"/>
              <w:jc w:val="right"/>
              <w:rPr>
                <w:rFonts w:ascii="Times New Roman" w:hAnsi="Times New Roman" w:cs="Times New Roman" w:eastAsia="Times New Roman" w:hint="default"/>
                <w:sz w:val="21"/>
                <w:szCs w:val="21"/>
              </w:rPr>
            </w:pPr>
            <w:r>
              <w:rPr>
                <w:rFonts w:ascii="Times New Roman"/>
                <w:spacing w:val="-1"/>
                <w:sz w:val="21"/>
              </w:rPr>
              <w:t>91.98%</w:t>
            </w:r>
          </w:p>
        </w:tc>
        <w:tc>
          <w:tcPr>
            <w:tcW w:w="1218" w:type="dxa"/>
            <w:tcBorders>
              <w:top w:val="nil" w:sz="6" w:space="0" w:color="auto"/>
              <w:left w:val="nil" w:sz="6" w:space="0" w:color="auto"/>
              <w:bottom w:val="single" w:sz="12" w:space="0" w:color="000000"/>
              <w:right w:val="nil" w:sz="6" w:space="0" w:color="auto"/>
            </w:tcBorders>
          </w:tcPr>
          <w:p>
            <w:pPr/>
          </w:p>
        </w:tc>
        <w:tc>
          <w:tcPr>
            <w:tcW w:w="1564" w:type="dxa"/>
            <w:tcBorders>
              <w:top w:val="nil" w:sz="6" w:space="0" w:color="auto"/>
              <w:left w:val="nil" w:sz="6" w:space="0" w:color="auto"/>
              <w:bottom w:val="single" w:sz="12" w:space="0" w:color="000000"/>
              <w:right w:val="nil" w:sz="6" w:space="0" w:color="auto"/>
            </w:tcBorders>
          </w:tcPr>
          <w:p>
            <w:pPr/>
          </w:p>
        </w:tc>
      </w:tr>
    </w:tbl>
    <w:p>
      <w:pPr>
        <w:spacing w:line="240" w:lineRule="auto" w:before="12"/>
        <w:rPr>
          <w:rFonts w:ascii="宋体" w:hAnsi="宋体" w:cs="宋体" w:eastAsia="宋体" w:hint="default"/>
          <w:sz w:val="10"/>
          <w:szCs w:val="10"/>
        </w:rPr>
      </w:pPr>
    </w:p>
    <w:p>
      <w:pPr>
        <w:spacing w:before="35"/>
        <w:ind w:left="27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）本年期末其他应收款较上年增加较大的主要原因是新增合并子公司其他应收款增加所致。</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69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17</w:t>
      </w:r>
      <w:r>
        <w:rPr>
          <w:rFonts w:ascii="宋体" w:hAnsi="宋体" w:cs="宋体" w:eastAsia="宋体" w:hint="default"/>
          <w:sz w:val="21"/>
          <w:szCs w:val="21"/>
        </w:rPr>
        <w:t>、股本</w:t>
      </w:r>
    </w:p>
    <w:p>
      <w:pPr>
        <w:spacing w:line="6546" w:lineRule="exact"/>
        <w:ind w:left="107" w:right="0" w:firstLine="0"/>
        <w:rPr>
          <w:rFonts w:ascii="宋体" w:hAnsi="宋体" w:cs="宋体" w:eastAsia="宋体" w:hint="default"/>
          <w:sz w:val="20"/>
          <w:szCs w:val="20"/>
        </w:rPr>
      </w:pPr>
      <w:r>
        <w:rPr>
          <w:rFonts w:ascii="宋体" w:hAnsi="宋体" w:cs="宋体" w:eastAsia="宋体" w:hint="default"/>
          <w:position w:val="-130"/>
          <w:sz w:val="20"/>
          <w:szCs w:val="20"/>
        </w:rPr>
        <w:pict>
          <v:group style="width:512.8pt;height:327.3pt;mso-position-horizontal-relative:char;mso-position-vertical-relative:line" coordorigin="0,0" coordsize="10256,6546">
            <v:group style="position:absolute;left:37;top:15;width:10193;height:2" coordorigin="37,15" coordsize="10193,2">
              <v:shape style="position:absolute;left:37;top:15;width:10193;height:2" coordorigin="37,15" coordsize="10193,0" path="m37,15l10229,15e" filled="false" stroked="true" strokeweight="1.5pt" strokecolor="#000000">
                <v:path arrowok="t"/>
              </v:shape>
              <v:shape style="position:absolute;left:1852;top:14;width:6277;height:680" type="#_x0000_t75" stroked="false">
                <v:imagedata r:id="rId134" o:title=""/>
              </v:shape>
              <v:shape style="position:absolute;left:1855;top:666;width:8394;height:622" type="#_x0000_t75" stroked="false">
                <v:imagedata r:id="rId135" o:title=""/>
              </v:shape>
            </v:group>
            <v:group style="position:absolute;left:15;top:6531;width:1853;height:2" coordorigin="15,6531" coordsize="1853,2">
              <v:shape style="position:absolute;left:15;top:6531;width:1853;height:2" coordorigin="15,6531" coordsize="1853,0" path="m15,6531l1868,6531e" filled="false" stroked="true" strokeweight="1.5pt" strokecolor="#000000">
                <v:path arrowok="t"/>
              </v:shape>
              <v:shape style="position:absolute;left:10;top:1256;width:10246;height:5279" type="#_x0000_t75" stroked="false">
                <v:imagedata r:id="rId136" o:title=""/>
              </v:shape>
            </v:group>
            <v:group style="position:absolute;left:1868;top:6531;width:1134;height:2" coordorigin="1868,6531" coordsize="1134,2">
              <v:shape style="position:absolute;left:1868;top:6531;width:1134;height:2" coordorigin="1868,6531" coordsize="1134,0" path="m1868,6531l3002,6531e" filled="false" stroked="true" strokeweight="1.5pt" strokecolor="#000000">
                <v:path arrowok="t"/>
              </v:shape>
              <v:shape style="position:absolute;left:2983;top:5996;width:48;height:539" type="#_x0000_t75" stroked="false">
                <v:imagedata r:id="rId38" o:title=""/>
              </v:shape>
            </v:group>
            <v:group style="position:absolute;left:3002;top:6531;width:993;height:2" coordorigin="3002,6531" coordsize="993,2">
              <v:shape style="position:absolute;left:3002;top:6531;width:993;height:2" coordorigin="3002,6531" coordsize="993,0" path="m3002,6531l3994,6531e" filled="false" stroked="true" strokeweight="1.5pt" strokecolor="#000000">
                <v:path arrowok="t"/>
              </v:shape>
              <v:shape style="position:absolute;left:3975;top:5996;width:48;height:539" type="#_x0000_t75" stroked="false">
                <v:imagedata r:id="rId137" o:title=""/>
              </v:shape>
            </v:group>
            <v:group style="position:absolute;left:3994;top:6531;width:850;height:2" coordorigin="3994,6531" coordsize="850,2">
              <v:shape style="position:absolute;left:3994;top:6531;width:850;height:2" coordorigin="3994,6531" coordsize="850,0" path="m3994,6531l4844,6531e" filled="false" stroked="true" strokeweight="1.5pt" strokecolor="#000000">
                <v:path arrowok="t"/>
              </v:shape>
              <v:shape style="position:absolute;left:4825;top:5996;width:48;height:539" type="#_x0000_t75" stroked="false">
                <v:imagedata r:id="rId38" o:title=""/>
              </v:shape>
            </v:group>
            <v:group style="position:absolute;left:4844;top:6531;width:852;height:2" coordorigin="4844,6531" coordsize="852,2">
              <v:shape style="position:absolute;left:4844;top:6531;width:852;height:2" coordorigin="4844,6531" coordsize="852,0" path="m4844,6531l5696,6531e" filled="false" stroked="true" strokeweight="1.5pt" strokecolor="#000000">
                <v:path arrowok="t"/>
              </v:shape>
              <v:shape style="position:absolute;left:5677;top:5996;width:48;height:539" type="#_x0000_t75" stroked="false">
                <v:imagedata r:id="rId38" o:title=""/>
              </v:shape>
            </v:group>
            <v:group style="position:absolute;left:5696;top:6531;width:850;height:2" coordorigin="5696,6531" coordsize="850,2">
              <v:shape style="position:absolute;left:5696;top:6531;width:850;height:2" coordorigin="5696,6531" coordsize="850,0" path="m5696,6531l6545,6531e" filled="false" stroked="true" strokeweight="1.5pt" strokecolor="#000000">
                <v:path arrowok="t"/>
              </v:shape>
              <v:shape style="position:absolute;left:6526;top:5996;width:48;height:539" type="#_x0000_t75" stroked="false">
                <v:imagedata r:id="rId38" o:title=""/>
              </v:shape>
            </v:group>
            <v:group style="position:absolute;left:6545;top:6531;width:851;height:2" coordorigin="6545,6531" coordsize="851,2">
              <v:shape style="position:absolute;left:6545;top:6531;width:851;height:2" coordorigin="6545,6531" coordsize="851,0" path="m6545,6531l7396,6531e" filled="false" stroked="true" strokeweight="1.5pt" strokecolor="#000000">
                <v:path arrowok="t"/>
              </v:shape>
              <v:shape style="position:absolute;left:7377;top:5996;width:48;height:539" type="#_x0000_t75" stroked="false">
                <v:imagedata r:id="rId38" o:title=""/>
              </v:shape>
            </v:group>
            <v:group style="position:absolute;left:7396;top:6531;width:708;height:2" coordorigin="7396,6531" coordsize="708,2">
              <v:shape style="position:absolute;left:7396;top:6531;width:708;height:2" coordorigin="7396,6531" coordsize="708,0" path="m7396,6531l8104,6531e" filled="false" stroked="true" strokeweight="1.5pt" strokecolor="#000000">
                <v:path arrowok="t"/>
              </v:shape>
              <v:shape style="position:absolute;left:8085;top:5996;width:48;height:539" type="#_x0000_t75" stroked="false">
                <v:imagedata r:id="rId38" o:title=""/>
              </v:shape>
            </v:group>
            <v:group style="position:absolute;left:8104;top:6531;width:1134;height:2" coordorigin="8104,6531" coordsize="1134,2">
              <v:shape style="position:absolute;left:8104;top:6531;width:1134;height:2" coordorigin="8104,6531" coordsize="1134,0" path="m8104,6531l9238,6531e" filled="false" stroked="true" strokeweight="1.5pt" strokecolor="#000000">
                <v:path arrowok="t"/>
              </v:shape>
              <v:shape style="position:absolute;left:9219;top:5996;width:48;height:539" type="#_x0000_t75" stroked="false">
                <v:imagedata r:id="rId38" o:title=""/>
              </v:shape>
            </v:group>
            <v:group style="position:absolute;left:9238;top:6531;width:999;height:2" coordorigin="9238,6531" coordsize="999,2">
              <v:shape style="position:absolute;left:9238;top:6531;width:999;height:2" coordorigin="9238,6531" coordsize="999,0" path="m9238,6531l10237,6531e" filled="false" stroked="true" strokeweight="1.5pt" strokecolor="#000000">
                <v:path arrowok="t"/>
              </v:shape>
              <v:shape style="position:absolute;left:2516;top:416;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5163;top:396;width:1782;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本年增减变动（</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8752;top:416;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681;top:67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2259;top:95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3323;top:95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4154;top:834;width:1300;height:413" type="#_x0000_t202" filled="false" stroked="false">
                <v:textbox inset="0,0,0,0">
                  <w:txbxContent>
                    <w:p>
                      <w:pPr>
                        <w:spacing w:line="12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发行新</w:t>
                      </w:r>
                    </w:p>
                    <w:p>
                      <w:pPr>
                        <w:tabs>
                          <w:tab w:pos="939" w:val="left" w:leader="none"/>
                        </w:tabs>
                        <w:spacing w:line="292" w:lineRule="exact" w:before="0"/>
                        <w:ind w:left="180" w:right="0" w:firstLine="0"/>
                        <w:jc w:val="left"/>
                        <w:rPr>
                          <w:rFonts w:ascii="宋体" w:hAnsi="宋体" w:cs="宋体" w:eastAsia="宋体" w:hint="default"/>
                          <w:sz w:val="18"/>
                          <w:szCs w:val="18"/>
                        </w:rPr>
                      </w:pPr>
                      <w:r>
                        <w:rPr>
                          <w:rFonts w:ascii="宋体" w:hAnsi="宋体" w:cs="宋体" w:eastAsia="宋体" w:hint="default"/>
                          <w:position w:val="-11"/>
                          <w:sz w:val="18"/>
                          <w:szCs w:val="18"/>
                        </w:rPr>
                        <w:t>股</w:t>
                        <w:tab/>
                      </w:r>
                      <w:r>
                        <w:rPr>
                          <w:rFonts w:ascii="宋体" w:hAnsi="宋体" w:cs="宋体" w:eastAsia="宋体" w:hint="default"/>
                          <w:sz w:val="18"/>
                          <w:szCs w:val="18"/>
                        </w:rPr>
                        <w:t>送股</w:t>
                      </w:r>
                    </w:p>
                  </w:txbxContent>
                </v:textbox>
                <w10:wrap type="none"/>
              </v:shape>
              <v:shape style="position:absolute;left:5855;top:834;width:540;height:413" type="#_x0000_t202" filled="false" stroked="false">
                <v:textbox inset="0,0,0,0">
                  <w:txbxContent>
                    <w:p>
                      <w:pPr>
                        <w:spacing w:line="179"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公积金</w:t>
                      </w:r>
                    </w:p>
                    <w:p>
                      <w:pPr>
                        <w:spacing w:line="234" w:lineRule="exact" w:before="0"/>
                        <w:ind w:left="90" w:right="0" w:firstLine="0"/>
                        <w:jc w:val="left"/>
                        <w:rPr>
                          <w:rFonts w:ascii="宋体" w:hAnsi="宋体" w:cs="宋体" w:eastAsia="宋体" w:hint="default"/>
                          <w:sz w:val="18"/>
                          <w:szCs w:val="18"/>
                        </w:rPr>
                      </w:pPr>
                      <w:r>
                        <w:rPr>
                          <w:rFonts w:ascii="宋体" w:hAnsi="宋体" w:cs="宋体" w:eastAsia="宋体" w:hint="default"/>
                          <w:sz w:val="18"/>
                          <w:szCs w:val="18"/>
                        </w:rPr>
                        <w:t>转股</w:t>
                      </w:r>
                    </w:p>
                  </w:txbxContent>
                </v:textbox>
                <w10:wrap type="none"/>
              </v:shape>
              <v:shape style="position:absolute;left:6795;top:95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7575;top:95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8495;top:95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9560;top:95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137;top:1431;width:1620;height:70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一、有限售条件股份</w:t>
                      </w:r>
                    </w:p>
                    <w:p>
                      <w:pPr>
                        <w:spacing w:line="240" w:lineRule="auto" w:before="13"/>
                        <w:rPr>
                          <w:rFonts w:ascii="宋体" w:hAnsi="宋体" w:cs="宋体" w:eastAsia="宋体" w:hint="default"/>
                          <w:sz w:val="20"/>
                          <w:szCs w:val="20"/>
                        </w:rPr>
                      </w:pPr>
                    </w:p>
                    <w:p>
                      <w:pPr>
                        <w:spacing w:line="245"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xbxContent>
                </v:textbox>
                <w10:wrap type="none"/>
              </v:shape>
              <v:shape style="position:absolute;left:2839;top:196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3832;top:196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4681;top:196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5531;top:196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6382;top:196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7233;top:196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7941;top:196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9075;top:196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0069;top:196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37;top:2451;width:135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xbxContent>
                </v:textbox>
                <w10:wrap type="none"/>
              </v:shape>
              <v:shape style="position:absolute;left:2839;top:247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3832;top:2474;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xbxContent>
                </v:textbox>
                <w10:wrap type="none"/>
              </v:shape>
              <v:shape style="position:absolute;left:4681;top:2474;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xbxContent>
                </v:textbox>
                <w10:wrap type="none"/>
              </v:shape>
              <v:shape style="position:absolute;left:5531;top:247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6382;top:247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7233;top:247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7941;top:247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9075;top:247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0069;top:2470;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37;top:2961;width:1620;height:908"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p>
                      <w:pPr>
                        <w:spacing w:line="364" w:lineRule="exact" w:before="33"/>
                        <w:ind w:left="360" w:right="0" w:hanging="360"/>
                        <w:jc w:val="left"/>
                        <w:rPr>
                          <w:rFonts w:ascii="宋体" w:hAnsi="宋体" w:cs="宋体" w:eastAsia="宋体" w:hint="default"/>
                          <w:sz w:val="18"/>
                          <w:szCs w:val="18"/>
                        </w:rPr>
                      </w:pPr>
                      <w:r>
                        <w:rPr>
                          <w:rFonts w:ascii="宋体" w:hAnsi="宋体" w:cs="宋体" w:eastAsia="宋体" w:hint="default"/>
                          <w:sz w:val="18"/>
                          <w:szCs w:val="18"/>
                        </w:rPr>
                        <w:t>其中：境内法人持股 境内自然人持股</w:t>
                      </w:r>
                    </w:p>
                  </w:txbxContent>
                </v:textbox>
                <w10:wrap type="none"/>
              </v:shape>
              <v:shape style="position:absolute;left:2087;top:298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71,346,000</w:t>
                      </w:r>
                    </w:p>
                  </w:txbxContent>
                </v:textbox>
                <w10:wrap type="none"/>
              </v:shape>
              <v:shape style="position:absolute;left:3336;top:2981;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78.85%</w:t>
                      </w:r>
                    </w:p>
                  </w:txbxContent>
                </v:textbox>
                <w10:wrap type="none"/>
              </v:shape>
              <v:shape style="position:absolute;left:4681;top:2980;width:60;height:894"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before="143"/>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56"/>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5531;top:2980;width:60;height:894"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before="143"/>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56"/>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8324;top:298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71,346,000</w:t>
                      </w:r>
                    </w:p>
                  </w:txbxContent>
                </v:textbox>
                <w10:wrap type="none"/>
              </v:shape>
              <v:shape style="position:absolute;left:9573;top:2981;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78.85%</w:t>
                      </w:r>
                    </w:p>
                  </w:txbxContent>
                </v:textbox>
                <w10:wrap type="none"/>
              </v:shape>
              <v:shape style="position:absolute;left:2087;top:3344;width:812;height:544" type="#_x0000_t202" filled="false" stroked="false">
                <v:textbox inset="0,0,0,0">
                  <w:txbxContent>
                    <w:p>
                      <w:pPr>
                        <w:spacing w:line="184" w:lineRule="exact" w:before="0"/>
                        <w:ind w:left="0" w:right="0" w:firstLine="751"/>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56"/>
                        <w:ind w:left="0" w:right="0" w:firstLine="0"/>
                        <w:jc w:val="left"/>
                        <w:rPr>
                          <w:rFonts w:ascii="Times New Roman" w:hAnsi="Times New Roman" w:cs="Times New Roman" w:eastAsia="Times New Roman" w:hint="default"/>
                          <w:sz w:val="18"/>
                          <w:szCs w:val="18"/>
                        </w:rPr>
                      </w:pPr>
                      <w:r>
                        <w:rPr>
                          <w:rFonts w:ascii="Times New Roman"/>
                          <w:sz w:val="18"/>
                        </w:rPr>
                        <w:t>71,346,000</w:t>
                      </w:r>
                    </w:p>
                  </w:txbxContent>
                </v:textbox>
                <w10:wrap type="none"/>
              </v:shape>
              <v:shape style="position:absolute;left:3336;top:3344;width:556;height:544" type="#_x0000_t202" filled="false" stroked="false">
                <v:textbox inset="0,0,0,0">
                  <w:txbxContent>
                    <w:p>
                      <w:pPr>
                        <w:spacing w:line="184" w:lineRule="exact" w:before="0"/>
                        <w:ind w:left="0" w:right="0" w:firstLine="495"/>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56"/>
                        <w:ind w:left="0" w:right="0" w:firstLine="0"/>
                        <w:jc w:val="left"/>
                        <w:rPr>
                          <w:rFonts w:ascii="Times New Roman" w:hAnsi="Times New Roman" w:cs="Times New Roman" w:eastAsia="Times New Roman" w:hint="default"/>
                          <w:sz w:val="18"/>
                          <w:szCs w:val="18"/>
                        </w:rPr>
                      </w:pPr>
                      <w:r>
                        <w:rPr>
                          <w:rFonts w:ascii="Times New Roman"/>
                          <w:sz w:val="18"/>
                        </w:rPr>
                        <w:t>78.85%</w:t>
                      </w:r>
                    </w:p>
                  </w:txbxContent>
                </v:textbox>
                <w10:wrap type="none"/>
              </v:shape>
              <v:shape style="position:absolute;left:8324;top:3344;width:812;height:544" type="#_x0000_t202" filled="false" stroked="false">
                <v:textbox inset="0,0,0,0">
                  <w:txbxContent>
                    <w:p>
                      <w:pPr>
                        <w:spacing w:line="184" w:lineRule="exact" w:before="0"/>
                        <w:ind w:left="0" w:right="0" w:firstLine="751"/>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56"/>
                        <w:ind w:left="0" w:right="0" w:firstLine="0"/>
                        <w:jc w:val="left"/>
                        <w:rPr>
                          <w:rFonts w:ascii="Times New Roman" w:hAnsi="Times New Roman" w:cs="Times New Roman" w:eastAsia="Times New Roman" w:hint="default"/>
                          <w:sz w:val="18"/>
                          <w:szCs w:val="18"/>
                        </w:rPr>
                      </w:pPr>
                      <w:r>
                        <w:rPr>
                          <w:rFonts w:ascii="Times New Roman"/>
                          <w:sz w:val="18"/>
                        </w:rPr>
                        <w:t>71,346,000</w:t>
                      </w:r>
                    </w:p>
                  </w:txbxContent>
                </v:textbox>
                <w10:wrap type="none"/>
              </v:shape>
              <v:shape style="position:absolute;left:9573;top:3344;width:556;height:544" type="#_x0000_t202" filled="false" stroked="false">
                <v:textbox inset="0,0,0,0">
                  <w:txbxContent>
                    <w:p>
                      <w:pPr>
                        <w:spacing w:line="184" w:lineRule="exact" w:before="0"/>
                        <w:ind w:left="0" w:right="0" w:firstLine="495"/>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56"/>
                        <w:ind w:left="0" w:right="0" w:firstLine="0"/>
                        <w:jc w:val="left"/>
                        <w:rPr>
                          <w:rFonts w:ascii="Times New Roman" w:hAnsi="Times New Roman" w:cs="Times New Roman" w:eastAsia="Times New Roman" w:hint="default"/>
                          <w:sz w:val="18"/>
                          <w:szCs w:val="18"/>
                        </w:rPr>
                      </w:pPr>
                      <w:r>
                        <w:rPr>
                          <w:rFonts w:ascii="Times New Roman"/>
                          <w:sz w:val="18"/>
                        </w:rPr>
                        <w:t>78.85%</w:t>
                      </w:r>
                    </w:p>
                  </w:txbxContent>
                </v:textbox>
                <w10:wrap type="none"/>
              </v:shape>
              <v:shape style="position:absolute;left:137;top:4198;width:1620;height:544"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p>
                      <w:pPr>
                        <w:spacing w:before="114"/>
                        <w:ind w:left="0" w:right="0" w:firstLine="0"/>
                        <w:jc w:val="left"/>
                        <w:rPr>
                          <w:rFonts w:ascii="宋体" w:hAnsi="宋体" w:cs="宋体" w:eastAsia="宋体" w:hint="default"/>
                          <w:sz w:val="18"/>
                          <w:szCs w:val="18"/>
                        </w:rPr>
                      </w:pPr>
                      <w:r>
                        <w:rPr>
                          <w:rFonts w:ascii="宋体" w:hAnsi="宋体" w:cs="宋体" w:eastAsia="宋体" w:hint="default"/>
                          <w:sz w:val="18"/>
                          <w:szCs w:val="18"/>
                        </w:rPr>
                        <w:t>其中：境外法人持股</w:t>
                      </w:r>
                    </w:p>
                  </w:txbxContent>
                </v:textbox>
                <w10:wrap type="none"/>
              </v:shape>
              <v:shape style="position:absolute;left:2839;top:4217;width:60;height:53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43"/>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3832;top:4217;width:60;height:53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43"/>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4681;top:4217;width:60;height:53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43"/>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5531;top:4217;width:60;height:53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43"/>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6382;top:4217;width:60;height:53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43"/>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7233;top:4217;width:60;height:53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43"/>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7941;top:4217;width:60;height:53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43"/>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9075;top:4217;width:60;height:53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43"/>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0069;top:4217;width:60;height:53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43"/>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37;top:5071;width:1620;height:90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境外自然人持股</w:t>
                      </w:r>
                    </w:p>
                    <w:p>
                      <w:pPr>
                        <w:spacing w:line="360" w:lineRule="atLeast" w:before="3"/>
                        <w:ind w:left="0" w:right="0" w:firstLine="0"/>
                        <w:jc w:val="left"/>
                        <w:rPr>
                          <w:rFonts w:ascii="宋体" w:hAnsi="宋体" w:cs="宋体" w:eastAsia="宋体" w:hint="default"/>
                          <w:sz w:val="18"/>
                          <w:szCs w:val="18"/>
                        </w:rPr>
                      </w:pPr>
                      <w:r>
                        <w:rPr>
                          <w:rFonts w:ascii="宋体" w:hAnsi="宋体" w:cs="宋体" w:eastAsia="宋体" w:hint="default"/>
                          <w:sz w:val="18"/>
                          <w:szCs w:val="18"/>
                        </w:rPr>
                        <w:t>有限售条件股份合计 二、无限售条件股份</w:t>
                      </w:r>
                    </w:p>
                  </w:txbxContent>
                </v:textbox>
                <w10:wrap type="none"/>
              </v:shape>
              <v:shape style="position:absolute;left:2087;top:5091;width:812;height:544" type="#_x0000_t202" filled="false" stroked="false">
                <v:textbox inset="0,0,0,0">
                  <w:txbxContent>
                    <w:p>
                      <w:pPr>
                        <w:spacing w:line="184" w:lineRule="exact" w:before="0"/>
                        <w:ind w:left="0" w:right="0" w:firstLine="751"/>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56"/>
                        <w:ind w:left="0" w:right="0" w:firstLine="0"/>
                        <w:jc w:val="left"/>
                        <w:rPr>
                          <w:rFonts w:ascii="Times New Roman" w:hAnsi="Times New Roman" w:cs="Times New Roman" w:eastAsia="Times New Roman" w:hint="default"/>
                          <w:sz w:val="18"/>
                          <w:szCs w:val="18"/>
                        </w:rPr>
                      </w:pPr>
                      <w:r>
                        <w:rPr>
                          <w:rFonts w:ascii="Times New Roman"/>
                          <w:sz w:val="18"/>
                        </w:rPr>
                        <w:t>71,346,000</w:t>
                      </w:r>
                    </w:p>
                  </w:txbxContent>
                </v:textbox>
                <w10:wrap type="none"/>
              </v:shape>
              <v:shape style="position:absolute;left:3336;top:5091;width:556;height:544" type="#_x0000_t202" filled="false" stroked="false">
                <v:textbox inset="0,0,0,0">
                  <w:txbxContent>
                    <w:p>
                      <w:pPr>
                        <w:spacing w:line="184" w:lineRule="exact" w:before="0"/>
                        <w:ind w:left="0" w:right="0" w:firstLine="495"/>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56"/>
                        <w:ind w:left="0" w:right="0" w:firstLine="0"/>
                        <w:jc w:val="left"/>
                        <w:rPr>
                          <w:rFonts w:ascii="Times New Roman" w:hAnsi="Times New Roman" w:cs="Times New Roman" w:eastAsia="Times New Roman" w:hint="default"/>
                          <w:sz w:val="18"/>
                          <w:szCs w:val="18"/>
                        </w:rPr>
                      </w:pPr>
                      <w:r>
                        <w:rPr>
                          <w:rFonts w:ascii="Times New Roman"/>
                          <w:sz w:val="18"/>
                        </w:rPr>
                        <w:t>78.85%</w:t>
                      </w:r>
                    </w:p>
                  </w:txbxContent>
                </v:textbox>
                <w10:wrap type="none"/>
              </v:shape>
              <v:shape style="position:absolute;left:4681;top:5091;width:60;height:53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43"/>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5531;top:5091;width:60;height:53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43"/>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6382;top:5091;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7233;top:5091;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7941;top:5091;width:1194;height:544" type="#_x0000_t202" filled="false" stroked="false">
                <v:textbox inset="0,0,0,0">
                  <w:txbxContent>
                    <w:p>
                      <w:pPr>
                        <w:tabs>
                          <w:tab w:pos="1133" w:val="left" w:leader="none"/>
                        </w:tabs>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w:t>
                        <w:tab/>
                        <w:t>-</w:t>
                      </w:r>
                    </w:p>
                    <w:p>
                      <w:pPr>
                        <w:spacing w:line="203" w:lineRule="exact" w:before="156"/>
                        <w:ind w:left="382" w:right="0" w:firstLine="0"/>
                        <w:jc w:val="left"/>
                        <w:rPr>
                          <w:rFonts w:ascii="Times New Roman" w:hAnsi="Times New Roman" w:cs="Times New Roman" w:eastAsia="Times New Roman" w:hint="default"/>
                          <w:sz w:val="18"/>
                          <w:szCs w:val="18"/>
                        </w:rPr>
                      </w:pPr>
                      <w:r>
                        <w:rPr>
                          <w:rFonts w:ascii="Times New Roman"/>
                          <w:sz w:val="18"/>
                        </w:rPr>
                        <w:t>71,346,000</w:t>
                      </w:r>
                    </w:p>
                  </w:txbxContent>
                </v:textbox>
                <w10:wrap type="none"/>
              </v:shape>
              <v:shape style="position:absolute;left:9573;top:5091;width:556;height:544" type="#_x0000_t202" filled="false" stroked="false">
                <v:textbox inset="0,0,0,0">
                  <w:txbxContent>
                    <w:p>
                      <w:pPr>
                        <w:spacing w:line="184" w:lineRule="exact" w:before="0"/>
                        <w:ind w:left="0" w:right="0" w:firstLine="495"/>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56"/>
                        <w:ind w:left="0" w:right="0" w:firstLine="0"/>
                        <w:jc w:val="left"/>
                        <w:rPr>
                          <w:rFonts w:ascii="Times New Roman" w:hAnsi="Times New Roman" w:cs="Times New Roman" w:eastAsia="Times New Roman" w:hint="default"/>
                          <w:sz w:val="18"/>
                          <w:szCs w:val="18"/>
                        </w:rPr>
                      </w:pPr>
                      <w:r>
                        <w:rPr>
                          <w:rFonts w:ascii="Times New Roman"/>
                          <w:sz w:val="18"/>
                        </w:rPr>
                        <w:t>78.85%</w:t>
                      </w:r>
                    </w:p>
                  </w:txbxContent>
                </v:textbox>
                <w10:wrap type="none"/>
              </v:shape>
              <v:shape style="position:absolute;left:137;top:6307;width:135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xbxContent>
                </v:textbox>
                <w10:wrap type="none"/>
              </v:shape>
              <v:shape style="position:absolute;left:2087;top:632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19,140,000</w:t>
                      </w:r>
                    </w:p>
                  </w:txbxContent>
                </v:textbox>
                <w10:wrap type="none"/>
              </v:shape>
              <v:shape style="position:absolute;left:3336;top:6327;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21.15%</w:t>
                      </w:r>
                    </w:p>
                  </w:txbxContent>
                </v:textbox>
                <w10:wrap type="none"/>
              </v:shape>
              <v:shape style="position:absolute;left:4680;top:6327;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5531;top:6327;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8324;top:632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19,140,000</w:t>
                      </w:r>
                    </w:p>
                  </w:txbxContent>
                </v:textbox>
                <w10:wrap type="none"/>
              </v:shape>
              <v:shape style="position:absolute;left:9573;top:6327;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21.15%</w:t>
                      </w:r>
                    </w:p>
                  </w:txbxContent>
                </v:textbox>
                <w10:wrap type="none"/>
              </v:shape>
            </v:group>
          </v:group>
        </w:pict>
      </w:r>
      <w:r>
        <w:rPr>
          <w:rFonts w:ascii="宋体" w:hAnsi="宋体" w:cs="宋体" w:eastAsia="宋体" w:hint="default"/>
          <w:position w:val="-130"/>
          <w:sz w:val="20"/>
          <w:szCs w:val="20"/>
        </w:rPr>
      </w:r>
    </w:p>
    <w:p>
      <w:pPr>
        <w:spacing w:after="0" w:line="6546" w:lineRule="exact"/>
        <w:rPr>
          <w:rFonts w:ascii="宋体" w:hAnsi="宋体" w:cs="宋体" w:eastAsia="宋体" w:hint="default"/>
          <w:sz w:val="20"/>
          <w:szCs w:val="20"/>
        </w:rPr>
        <w:sectPr>
          <w:pgSz w:w="11910" w:h="16840"/>
          <w:pgMar w:header="0" w:footer="710" w:top="580" w:bottom="900" w:left="1140" w:right="300"/>
        </w:sectPr>
      </w:pPr>
    </w:p>
    <w:p>
      <w:pPr>
        <w:pStyle w:val="Heading2"/>
        <w:spacing w:line="310" w:lineRule="exact"/>
        <w:ind w:left="3058" w:right="3896"/>
        <w:jc w:val="center"/>
        <w:rPr>
          <w:b w:val="0"/>
          <w:bCs w:val="0"/>
        </w:rPr>
      </w:pPr>
      <w:r>
        <w:rPr/>
        <w:pict>
          <v:shape style="position:absolute;margin-left:88.919998pt;margin-top:3.990308pt;width:57.0pt;height:31.5pt;mso-position-horizontal-relative:page;mso-position-vertical-relative:paragraph;z-index:14344" type="#_x0000_t75" stroked="false">
            <v:imagedata r:id="rId5" o:title=""/>
          </v:shape>
        </w:pict>
      </w:r>
      <w:r>
        <w:rPr/>
        <w:pict>
          <v:group style="position:absolute;margin-left:91.260002pt;margin-top:291.600006pt;width:434pt;height:103.45pt;mso-position-horizontal-relative:page;mso-position-vertical-relative:page;z-index:-442408" coordorigin="1825,5832" coordsize="8680,2069">
            <v:shape style="position:absolute;left:4348;top:5832;width:4496;height:539" type="#_x0000_t75" stroked="false">
              <v:imagedata r:id="rId138" o:title=""/>
            </v:shape>
            <v:shape style="position:absolute;left:1825;top:6332;width:8680;height:1568" type="#_x0000_t75" stroked="false">
              <v:imagedata r:id="rId139" o:title=""/>
            </v:shape>
            <v:shape style="position:absolute;left:5834;top:7362;width:48;height:539" type="#_x0000_t75" stroked="false">
              <v:imagedata r:id="rId79" o:title=""/>
            </v:shape>
            <v:shape style="position:absolute;left:7321;top:7362;width:48;height:539" type="#_x0000_t75" stroked="false">
              <v:imagedata r:id="rId79" o:title=""/>
            </v:shape>
            <v:shape style="position:absolute;left:8796;top:7362;width:48;height:539" type="#_x0000_t75" stroked="false">
              <v:imagedata r:id="rId79" o:title=""/>
            </v:shape>
            <w10:wrap type="none"/>
          </v:group>
        </w:pict>
      </w:r>
      <w:r>
        <w:rPr>
          <w:w w:val="95"/>
        </w:rPr>
        <w:t>深圳大通实业股份有限公司2008年</w:t>
      </w:r>
      <w:r>
        <w:rPr>
          <w:spacing w:val="55"/>
          <w:w w:val="95"/>
        </w:rPr>
        <w:t> </w:t>
      </w:r>
      <w:r>
        <w:rPr/>
        <w:t>年度报告</w:t>
      </w:r>
      <w:r>
        <w:rPr>
          <w:b w:val="0"/>
          <w:bCs w:val="0"/>
        </w:rPr>
      </w:r>
    </w:p>
    <w:p>
      <w:pPr>
        <w:spacing w:before="4"/>
        <w:ind w:left="2251" w:right="3091"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3067" w:lineRule="exact"/>
        <w:ind w:left="107"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0"/>
          <w:sz w:val="20"/>
          <w:szCs w:val="20"/>
        </w:rPr>
        <w:pict>
          <v:group style="width:512.8pt;height:153.4pt;mso-position-horizontal-relative:char;mso-position-vertical-relative:line" coordorigin="0,0" coordsize="10256,3068">
            <v:group style="position:absolute;left:141;top:7;width:9130;height:2" coordorigin="141,7" coordsize="9130,2">
              <v:shape style="position:absolute;left:141;top:7;width:9130;height:2" coordorigin="141,7" coordsize="9130,0" path="m141,7l9271,7e" filled="false" stroked="true" strokeweight=".71997pt" strokecolor="#000000">
                <v:path arrowok="t"/>
              </v:shape>
            </v:group>
            <v:group style="position:absolute;left:37;top:29;width:10193;height:2" coordorigin="37,29" coordsize="10193,2">
              <v:shape style="position:absolute;left:37;top:29;width:10193;height:2" coordorigin="37,29" coordsize="10193,0" path="m37,29l10229,29e" filled="false" stroked="true" strokeweight="1.5pt" strokecolor="#000000">
                <v:path arrowok="t"/>
              </v:shape>
              <v:shape style="position:absolute;left:1852;top:29;width:6277;height:680" type="#_x0000_t75" stroked="false">
                <v:imagedata r:id="rId140" o:title=""/>
              </v:shape>
              <v:shape style="position:absolute;left:1855;top:681;width:8394;height:622" type="#_x0000_t75" stroked="false">
                <v:imagedata r:id="rId141" o:title=""/>
              </v:shape>
            </v:group>
            <v:group style="position:absolute;left:15;top:3052;width:1853;height:2" coordorigin="15,3052" coordsize="1853,2">
              <v:shape style="position:absolute;left:15;top:3052;width:1853;height:2" coordorigin="15,3052" coordsize="1853,0" path="m15,3052l1868,3052e" filled="false" stroked="true" strokeweight="1.5pt" strokecolor="#000000">
                <v:path arrowok="t"/>
              </v:shape>
              <v:shape style="position:absolute;left:10;top:1271;width:10246;height:1786" type="#_x0000_t75" stroked="false">
                <v:imagedata r:id="rId142" o:title=""/>
              </v:shape>
            </v:group>
            <v:group style="position:absolute;left:1868;top:3052;width:1134;height:2" coordorigin="1868,3052" coordsize="1134,2">
              <v:shape style="position:absolute;left:1868;top:3052;width:1134;height:2" coordorigin="1868,3052" coordsize="1134,0" path="m1868,3052l3002,3052e" filled="false" stroked="true" strokeweight="1.5pt" strokecolor="#000000">
                <v:path arrowok="t"/>
              </v:shape>
              <v:shape style="position:absolute;left:2983;top:2518;width:48;height:539" type="#_x0000_t75" stroked="false">
                <v:imagedata r:id="rId93" o:title=""/>
              </v:shape>
            </v:group>
            <v:group style="position:absolute;left:3002;top:3052;width:993;height:2" coordorigin="3002,3052" coordsize="993,2">
              <v:shape style="position:absolute;left:3002;top:3052;width:993;height:2" coordorigin="3002,3052" coordsize="993,0" path="m3002,3052l3994,3052e" filled="false" stroked="true" strokeweight="1.5pt" strokecolor="#000000">
                <v:path arrowok="t"/>
              </v:shape>
              <v:shape style="position:absolute;left:3975;top:2518;width:48;height:539" type="#_x0000_t75" stroked="false">
                <v:imagedata r:id="rId143" o:title=""/>
              </v:shape>
            </v:group>
            <v:group style="position:absolute;left:3994;top:3052;width:850;height:2" coordorigin="3994,3052" coordsize="850,2">
              <v:shape style="position:absolute;left:3994;top:3052;width:850;height:2" coordorigin="3994,3052" coordsize="850,0" path="m3994,3052l4844,3052e" filled="false" stroked="true" strokeweight="1.5pt" strokecolor="#000000">
                <v:path arrowok="t"/>
              </v:shape>
              <v:shape style="position:absolute;left:4825;top:2518;width:48;height:539" type="#_x0000_t75" stroked="false">
                <v:imagedata r:id="rId93" o:title=""/>
              </v:shape>
            </v:group>
            <v:group style="position:absolute;left:4844;top:3052;width:852;height:2" coordorigin="4844,3052" coordsize="852,2">
              <v:shape style="position:absolute;left:4844;top:3052;width:852;height:2" coordorigin="4844,3052" coordsize="852,0" path="m4844,3052l5696,3052e" filled="false" stroked="true" strokeweight="1.5pt" strokecolor="#000000">
                <v:path arrowok="t"/>
              </v:shape>
              <v:shape style="position:absolute;left:5677;top:2518;width:48;height:539" type="#_x0000_t75" stroked="false">
                <v:imagedata r:id="rId93" o:title=""/>
              </v:shape>
            </v:group>
            <v:group style="position:absolute;left:5696;top:3052;width:850;height:2" coordorigin="5696,3052" coordsize="850,2">
              <v:shape style="position:absolute;left:5696;top:3052;width:850;height:2" coordorigin="5696,3052" coordsize="850,0" path="m5696,3052l6545,3052e" filled="false" stroked="true" strokeweight="1.5pt" strokecolor="#000000">
                <v:path arrowok="t"/>
              </v:shape>
              <v:shape style="position:absolute;left:6526;top:2518;width:48;height:539" type="#_x0000_t75" stroked="false">
                <v:imagedata r:id="rId93" o:title=""/>
              </v:shape>
            </v:group>
            <v:group style="position:absolute;left:6545;top:3052;width:851;height:2" coordorigin="6545,3052" coordsize="851,2">
              <v:shape style="position:absolute;left:6545;top:3052;width:851;height:2" coordorigin="6545,3052" coordsize="851,0" path="m6545,3052l7396,3052e" filled="false" stroked="true" strokeweight="1.5pt" strokecolor="#000000">
                <v:path arrowok="t"/>
              </v:shape>
              <v:shape style="position:absolute;left:7377;top:2518;width:48;height:539" type="#_x0000_t75" stroked="false">
                <v:imagedata r:id="rId93" o:title=""/>
              </v:shape>
            </v:group>
            <v:group style="position:absolute;left:7396;top:3052;width:708;height:2" coordorigin="7396,3052" coordsize="708,2">
              <v:shape style="position:absolute;left:7396;top:3052;width:708;height:2" coordorigin="7396,3052" coordsize="708,0" path="m7396,3052l8104,3052e" filled="false" stroked="true" strokeweight="1.5pt" strokecolor="#000000">
                <v:path arrowok="t"/>
              </v:shape>
              <v:shape style="position:absolute;left:8085;top:2518;width:48;height:539" type="#_x0000_t75" stroked="false">
                <v:imagedata r:id="rId93" o:title=""/>
              </v:shape>
            </v:group>
            <v:group style="position:absolute;left:8104;top:3052;width:1134;height:2" coordorigin="8104,3052" coordsize="1134,2">
              <v:shape style="position:absolute;left:8104;top:3052;width:1134;height:2" coordorigin="8104,3052" coordsize="1134,0" path="m8104,3052l9238,3052e" filled="false" stroked="true" strokeweight="1.5pt" strokecolor="#000000">
                <v:path arrowok="t"/>
              </v:shape>
              <v:shape style="position:absolute;left:9219;top:2518;width:48;height:539" type="#_x0000_t75" stroked="false">
                <v:imagedata r:id="rId93" o:title=""/>
              </v:shape>
            </v:group>
            <v:group style="position:absolute;left:9238;top:3052;width:999;height:2" coordorigin="9238,3052" coordsize="999,2">
              <v:shape style="position:absolute;left:9238;top:3052;width:999;height:2" coordorigin="9238,3052" coordsize="999,0" path="m9238,3052l10237,3052e" filled="false" stroked="true" strokeweight="1.5pt" strokecolor="#000000">
                <v:path arrowok="t"/>
              </v:shape>
              <v:shape style="position:absolute;left:2516;top:430;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5163;top:411;width:1782;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本年增减变动（</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8752;top:430;width:84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681;top:69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2259;top:96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3323;top:96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4154;top:849;width:587;height:1147" type="#_x0000_t202" filled="false" stroked="false">
                <v:textbox inset="0,0,0,0">
                  <w:txbxContent>
                    <w:p>
                      <w:pPr>
                        <w:spacing w:line="179" w:lineRule="exact" w:before="0"/>
                        <w:ind w:left="0" w:right="44" w:firstLine="0"/>
                        <w:jc w:val="center"/>
                        <w:rPr>
                          <w:rFonts w:ascii="宋体" w:hAnsi="宋体" w:cs="宋体" w:eastAsia="宋体" w:hint="default"/>
                          <w:sz w:val="18"/>
                          <w:szCs w:val="18"/>
                        </w:rPr>
                      </w:pPr>
                      <w:r>
                        <w:rPr>
                          <w:rFonts w:ascii="宋体" w:hAnsi="宋体" w:cs="宋体" w:eastAsia="宋体" w:hint="default"/>
                          <w:sz w:val="18"/>
                          <w:szCs w:val="18"/>
                        </w:rPr>
                        <w:t>发行新</w:t>
                      </w:r>
                    </w:p>
                    <w:p>
                      <w:pPr>
                        <w:spacing w:line="234" w:lineRule="exact" w:before="0"/>
                        <w:ind w:left="0" w:right="44" w:firstLine="0"/>
                        <w:jc w:val="center"/>
                        <w:rPr>
                          <w:rFonts w:ascii="宋体" w:hAnsi="宋体" w:cs="宋体" w:eastAsia="宋体" w:hint="default"/>
                          <w:sz w:val="18"/>
                          <w:szCs w:val="18"/>
                        </w:rPr>
                      </w:pPr>
                      <w:r>
                        <w:rPr>
                          <w:rFonts w:ascii="宋体" w:hAnsi="宋体" w:cs="宋体" w:eastAsia="宋体" w:hint="default"/>
                          <w:sz w:val="18"/>
                          <w:szCs w:val="18"/>
                        </w:rPr>
                        <w:t>股</w:t>
                      </w:r>
                    </w:p>
                    <w:p>
                      <w:pPr>
                        <w:spacing w:line="240" w:lineRule="auto" w:before="6"/>
                        <w:rPr>
                          <w:rFonts w:ascii="Times New Roman" w:hAnsi="Times New Roman" w:cs="Times New Roman" w:eastAsia="Times New Roman" w:hint="default"/>
                          <w:sz w:val="14"/>
                          <w:szCs w:val="14"/>
                        </w:rPr>
                      </w:pPr>
                    </w:p>
                    <w:p>
                      <w:pPr>
                        <w:spacing w:before="0"/>
                        <w:ind w:left="0" w:right="0"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56"/>
                        <w:ind w:left="0" w:right="0"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5093;top:96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送股</w:t>
                      </w:r>
                    </w:p>
                  </w:txbxContent>
                </v:textbox>
                <w10:wrap type="none"/>
              </v:shape>
              <v:shape style="position:absolute;left:5855;top:848;width:540;height:413" type="#_x0000_t202" filled="false" stroked="false">
                <v:textbox inset="0,0,0,0">
                  <w:txbxContent>
                    <w:p>
                      <w:pPr>
                        <w:spacing w:line="179"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公积金</w:t>
                      </w:r>
                    </w:p>
                    <w:p>
                      <w:pPr>
                        <w:spacing w:line="234" w:lineRule="exact" w:before="0"/>
                        <w:ind w:left="90" w:right="0" w:firstLine="0"/>
                        <w:jc w:val="left"/>
                        <w:rPr>
                          <w:rFonts w:ascii="宋体" w:hAnsi="宋体" w:cs="宋体" w:eastAsia="宋体" w:hint="default"/>
                          <w:sz w:val="18"/>
                          <w:szCs w:val="18"/>
                        </w:rPr>
                      </w:pPr>
                      <w:r>
                        <w:rPr>
                          <w:rFonts w:ascii="宋体" w:hAnsi="宋体" w:cs="宋体" w:eastAsia="宋体" w:hint="default"/>
                          <w:sz w:val="18"/>
                          <w:szCs w:val="18"/>
                        </w:rPr>
                        <w:t>转股</w:t>
                      </w:r>
                    </w:p>
                  </w:txbxContent>
                </v:textbox>
                <w10:wrap type="none"/>
              </v:shape>
              <v:shape style="position:absolute;left:6795;top:96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7575;top:96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8495;top:96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9560;top:96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137;top:1445;width:1620;height:908"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、境内上市外资股</w:t>
                      </w:r>
                    </w:p>
                    <w:p>
                      <w:pPr>
                        <w:spacing w:line="350" w:lineRule="atLeast" w:before="13"/>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、境外上市外资股 无限售条件股份合计</w:t>
                      </w:r>
                    </w:p>
                  </w:txbxContent>
                </v:textbox>
                <w10:wrap type="none"/>
              </v:shape>
              <v:shape style="position:absolute;left:2839;top:1451;width:60;height:544"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56"/>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3832;top:1451;width:60;height:544"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56"/>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5531;top:1451;width:60;height:544"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56"/>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9075;top:1451;width:60;height:544"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56"/>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0069;top:1451;width:60;height:544"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03" w:lineRule="exact" w:before="156"/>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2087;top:233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19,140,000</w:t>
                      </w:r>
                    </w:p>
                  </w:txbxContent>
                </v:textbox>
                <w10:wrap type="none"/>
              </v:shape>
              <v:shape style="position:absolute;left:3336;top:2338;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21.15%</w:t>
                      </w:r>
                    </w:p>
                  </w:txbxContent>
                </v:textbox>
                <w10:wrap type="none"/>
              </v:shape>
              <v:shape style="position:absolute;left:4681;top:2252;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5531;top:2252;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8324;top:233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19,140,000</w:t>
                      </w:r>
                    </w:p>
                  </w:txbxContent>
                </v:textbox>
                <w10:wrap type="none"/>
              </v:shape>
              <v:shape style="position:absolute;left:9573;top:2338;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21.15%</w:t>
                      </w:r>
                    </w:p>
                  </w:txbxContent>
                </v:textbox>
                <w10:wrap type="none"/>
              </v:shape>
              <v:shape style="position:absolute;left:137;top:282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三、股份总数</w:t>
                      </w:r>
                    </w:p>
                  </w:txbxContent>
                </v:textbox>
                <w10:wrap type="none"/>
              </v:shape>
              <v:shape style="position:absolute;left:2087;top:2848;width:1805;height:180" type="#_x0000_t202" filled="false" stroked="false">
                <v:textbox inset="0,0,0,0">
                  <w:txbxContent>
                    <w:p>
                      <w:pPr>
                        <w:tabs>
                          <w:tab w:pos="1158"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90,486,000</w:t>
                        <w:tab/>
                        <w:t>100.00%</w:t>
                      </w:r>
                    </w:p>
                  </w:txbxContent>
                </v:textbox>
                <w10:wrap type="none"/>
              </v:shape>
              <v:shape style="position:absolute;left:4681;top:2848;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5531;top:2848;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8324;top:2848;width:1715;height:180" type="#_x0000_t202" filled="false" stroked="false">
                <v:textbox inset="0,0,0,0">
                  <w:txbxContent>
                    <w:p>
                      <w:pPr>
                        <w:tabs>
                          <w:tab w:pos="1068"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90,486,000</w:t>
                        <w:tab/>
                        <w:t>100.00%</w:t>
                      </w:r>
                    </w:p>
                  </w:txbxContent>
                </v:textbox>
                <w10:wrap type="none"/>
              </v:shape>
            </v:group>
          </v:group>
        </w:pict>
      </w:r>
      <w:r>
        <w:rPr>
          <w:rFonts w:ascii="Times New Roman" w:hAnsi="Times New Roman" w:cs="Times New Roman" w:eastAsia="Times New Roman" w:hint="default"/>
          <w:position w:val="-60"/>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7"/>
          <w:szCs w:val="17"/>
        </w:rPr>
      </w:pPr>
    </w:p>
    <w:tbl>
      <w:tblPr>
        <w:tblW w:w="0" w:type="auto"/>
        <w:jc w:val="left"/>
        <w:tblInd w:w="690" w:type="dxa"/>
        <w:tblLayout w:type="fixed"/>
        <w:tblCellMar>
          <w:top w:w="0" w:type="dxa"/>
          <w:left w:w="0" w:type="dxa"/>
          <w:bottom w:w="0" w:type="dxa"/>
          <w:right w:w="0" w:type="dxa"/>
        </w:tblCellMar>
        <w:tblLook w:val="01E0"/>
      </w:tblPr>
      <w:tblGrid>
        <w:gridCol w:w="2185"/>
        <w:gridCol w:w="1994"/>
        <w:gridCol w:w="1073"/>
        <w:gridCol w:w="3301"/>
        <w:gridCol w:w="100"/>
      </w:tblGrid>
      <w:tr>
        <w:trPr>
          <w:trHeight w:val="358" w:hRule="exact"/>
        </w:trPr>
        <w:tc>
          <w:tcPr>
            <w:tcW w:w="2185"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18.</w:t>
            </w:r>
            <w:r>
              <w:rPr>
                <w:rFonts w:ascii="宋体" w:hAnsi="宋体" w:cs="宋体" w:eastAsia="宋体" w:hint="default"/>
                <w:sz w:val="21"/>
                <w:szCs w:val="21"/>
              </w:rPr>
              <w:t>资本公积</w:t>
            </w:r>
          </w:p>
        </w:tc>
        <w:tc>
          <w:tcPr>
            <w:tcW w:w="6468" w:type="dxa"/>
            <w:gridSpan w:val="4"/>
            <w:tcBorders>
              <w:top w:val="nil" w:sz="6" w:space="0" w:color="auto"/>
              <w:left w:val="nil" w:sz="6" w:space="0" w:color="auto"/>
              <w:bottom w:val="single" w:sz="12" w:space="0" w:color="000000"/>
              <w:right w:val="nil" w:sz="6" w:space="0" w:color="auto"/>
            </w:tcBorders>
          </w:tcPr>
          <w:p>
            <w:pPr/>
          </w:p>
        </w:tc>
      </w:tr>
      <w:tr>
        <w:trPr>
          <w:trHeight w:val="644" w:hRule="exact"/>
        </w:trPr>
        <w:tc>
          <w:tcPr>
            <w:tcW w:w="2185"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tabs>
                <w:tab w:pos="449" w:val="left" w:leader="none"/>
              </w:tabs>
              <w:spacing w:line="240" w:lineRule="auto"/>
              <w:ind w:right="590"/>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1994" w:type="dxa"/>
            <w:tcBorders>
              <w:top w:val="single" w:sz="12" w:space="0" w:color="000000"/>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left="679" w:right="0"/>
              <w:jc w:val="left"/>
              <w:rPr>
                <w:rFonts w:ascii="Times New Roman" w:hAnsi="Times New Roman" w:cs="Times New Roman" w:eastAsia="Times New Roman" w:hint="default"/>
                <w:sz w:val="18"/>
                <w:szCs w:val="18"/>
              </w:rPr>
            </w:pPr>
            <w:r>
              <w:rPr>
                <w:rFonts w:ascii="Times New Roman"/>
                <w:sz w:val="18"/>
              </w:rPr>
              <w:t>2007-12-31</w:t>
            </w:r>
          </w:p>
        </w:tc>
        <w:tc>
          <w:tcPr>
            <w:tcW w:w="1073"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119"/>
              <w:jc w:val="right"/>
              <w:rPr>
                <w:rFonts w:ascii="宋体" w:hAnsi="宋体" w:cs="宋体" w:eastAsia="宋体" w:hint="default"/>
                <w:sz w:val="18"/>
                <w:szCs w:val="18"/>
              </w:rPr>
            </w:pPr>
            <w:r>
              <w:rPr>
                <w:rFonts w:ascii="宋体" w:hAnsi="宋体" w:cs="宋体" w:eastAsia="宋体" w:hint="default"/>
                <w:sz w:val="18"/>
                <w:szCs w:val="18"/>
              </w:rPr>
              <w:t>本期增加</w:t>
            </w:r>
          </w:p>
        </w:tc>
        <w:tc>
          <w:tcPr>
            <w:tcW w:w="3301" w:type="dxa"/>
            <w:tcBorders>
              <w:top w:val="single" w:sz="12" w:space="0" w:color="000000"/>
              <w:left w:val="nil" w:sz="6" w:space="0" w:color="auto"/>
              <w:bottom w:val="nil" w:sz="6" w:space="0" w:color="auto"/>
              <w:right w:val="nil" w:sz="6" w:space="0" w:color="auto"/>
            </w:tcBorders>
          </w:tcPr>
          <w:p>
            <w:pPr>
              <w:pStyle w:val="TableParagraph"/>
              <w:tabs>
                <w:tab w:pos="2992" w:val="right" w:leader="none"/>
              </w:tabs>
              <w:spacing w:line="240" w:lineRule="auto" w:before="235"/>
              <w:ind w:left="639"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本期减少</w:t>
            </w:r>
            <w:r>
              <w:rPr>
                <w:rFonts w:ascii="Times New Roman" w:hAnsi="Times New Roman" w:cs="Times New Roman" w:eastAsia="Times New Roman" w:hint="default"/>
                <w:sz w:val="18"/>
                <w:szCs w:val="18"/>
              </w:rPr>
              <w:tab/>
              <w:t>2008-12-31</w:t>
            </w:r>
          </w:p>
        </w:tc>
        <w:tc>
          <w:tcPr>
            <w:tcW w:w="100" w:type="dxa"/>
            <w:tcBorders>
              <w:top w:val="single" w:sz="12" w:space="0" w:color="000000"/>
              <w:left w:val="nil" w:sz="6" w:space="0" w:color="auto"/>
              <w:bottom w:val="nil" w:sz="6" w:space="0" w:color="auto"/>
              <w:right w:val="nil" w:sz="6" w:space="0" w:color="auto"/>
            </w:tcBorders>
          </w:tcPr>
          <w:p>
            <w:pPr/>
          </w:p>
        </w:tc>
      </w:tr>
      <w:tr>
        <w:trPr>
          <w:trHeight w:val="512" w:hRule="exact"/>
        </w:trPr>
        <w:tc>
          <w:tcPr>
            <w:tcW w:w="2185"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22" w:right="0"/>
              <w:jc w:val="left"/>
              <w:rPr>
                <w:rFonts w:ascii="宋体" w:hAnsi="宋体" w:cs="宋体" w:eastAsia="宋体" w:hint="default"/>
                <w:sz w:val="21"/>
                <w:szCs w:val="21"/>
              </w:rPr>
            </w:pPr>
            <w:r>
              <w:rPr>
                <w:rFonts w:ascii="宋体" w:hAnsi="宋体" w:cs="宋体" w:eastAsia="宋体" w:hint="default"/>
                <w:sz w:val="21"/>
                <w:szCs w:val="21"/>
              </w:rPr>
              <w:t>股本溢价</w:t>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138"/>
              <w:ind w:right="255"/>
              <w:jc w:val="right"/>
              <w:rPr>
                <w:rFonts w:ascii="Times New Roman" w:hAnsi="Times New Roman" w:cs="Times New Roman" w:eastAsia="Times New Roman" w:hint="default"/>
                <w:sz w:val="21"/>
                <w:szCs w:val="21"/>
              </w:rPr>
            </w:pPr>
            <w:r>
              <w:rPr>
                <w:rFonts w:ascii="Times New Roman"/>
                <w:spacing w:val="-1"/>
                <w:sz w:val="21"/>
              </w:rPr>
              <w:t>3,912,878.19</w:t>
            </w:r>
          </w:p>
        </w:tc>
        <w:tc>
          <w:tcPr>
            <w:tcW w:w="1073" w:type="dxa"/>
            <w:tcBorders>
              <w:top w:val="nil" w:sz="6" w:space="0" w:color="auto"/>
              <w:left w:val="nil" w:sz="6" w:space="0" w:color="auto"/>
              <w:bottom w:val="nil" w:sz="6" w:space="0" w:color="auto"/>
              <w:right w:val="nil" w:sz="6" w:space="0" w:color="auto"/>
            </w:tcBorders>
          </w:tcPr>
          <w:p>
            <w:pPr/>
          </w:p>
        </w:tc>
        <w:tc>
          <w:tcPr>
            <w:tcW w:w="3301" w:type="dxa"/>
            <w:tcBorders>
              <w:top w:val="nil" w:sz="6" w:space="0" w:color="auto"/>
              <w:left w:val="nil" w:sz="6" w:space="0" w:color="auto"/>
              <w:bottom w:val="nil" w:sz="6" w:space="0" w:color="auto"/>
              <w:right w:val="nil" w:sz="6" w:space="0" w:color="auto"/>
            </w:tcBorders>
          </w:tcPr>
          <w:p>
            <w:pPr>
              <w:pStyle w:val="TableParagraph"/>
              <w:tabs>
                <w:tab w:pos="1474" w:val="left" w:leader="none"/>
                <w:tab w:pos="2102" w:val="left" w:leader="none"/>
              </w:tabs>
              <w:spacing w:line="240" w:lineRule="auto" w:before="142"/>
              <w:ind w:right="0"/>
              <w:jc w:val="right"/>
              <w:rPr>
                <w:rFonts w:ascii="Times New Roman" w:hAnsi="Times New Roman" w:cs="Times New Roman" w:eastAsia="Times New Roman" w:hint="default"/>
                <w:sz w:val="21"/>
                <w:szCs w:val="21"/>
              </w:rPr>
            </w:pPr>
            <w:r>
              <w:rPr>
                <w:rFonts w:ascii="Times New Roman"/>
                <w:sz w:val="18"/>
              </w:rPr>
              <w:t>-</w:t>
              <w:tab/>
              <w:t>-</w:t>
              <w:tab/>
            </w:r>
            <w:r>
              <w:rPr>
                <w:rFonts w:ascii="Times New Roman"/>
                <w:spacing w:val="-1"/>
                <w:sz w:val="21"/>
              </w:rPr>
              <w:t>3,912,878.19</w:t>
            </w:r>
          </w:p>
        </w:tc>
        <w:tc>
          <w:tcPr>
            <w:tcW w:w="100" w:type="dxa"/>
            <w:tcBorders>
              <w:top w:val="nil" w:sz="6" w:space="0" w:color="auto"/>
              <w:left w:val="nil" w:sz="6" w:space="0" w:color="auto"/>
              <w:bottom w:val="nil" w:sz="6" w:space="0" w:color="auto"/>
              <w:right w:val="nil" w:sz="6" w:space="0" w:color="auto"/>
            </w:tcBorders>
          </w:tcPr>
          <w:p>
            <w:pPr/>
          </w:p>
        </w:tc>
      </w:tr>
      <w:tr>
        <w:trPr>
          <w:trHeight w:val="510" w:hRule="exact"/>
        </w:trPr>
        <w:tc>
          <w:tcPr>
            <w:tcW w:w="218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其他资本公积</w:t>
            </w:r>
            <w:r>
              <w:rPr>
                <w:rFonts w:ascii="Times New Roman" w:hAnsi="Times New Roman" w:cs="Times New Roman" w:eastAsia="Times New Roman" w:hint="default"/>
                <w:sz w:val="21"/>
                <w:szCs w:val="21"/>
              </w:rPr>
              <w:t>*</w:t>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55"/>
              <w:jc w:val="right"/>
              <w:rPr>
                <w:rFonts w:ascii="Times New Roman" w:hAnsi="Times New Roman" w:cs="Times New Roman" w:eastAsia="Times New Roman" w:hint="default"/>
                <w:sz w:val="21"/>
                <w:szCs w:val="21"/>
              </w:rPr>
            </w:pPr>
            <w:r>
              <w:rPr>
                <w:rFonts w:ascii="Times New Roman"/>
                <w:spacing w:val="-1"/>
                <w:sz w:val="21"/>
              </w:rPr>
              <w:t>22,686,165.62</w:t>
            </w:r>
          </w:p>
        </w:tc>
        <w:tc>
          <w:tcPr>
            <w:tcW w:w="1073" w:type="dxa"/>
            <w:tcBorders>
              <w:top w:val="nil" w:sz="6" w:space="0" w:color="auto"/>
              <w:left w:val="nil" w:sz="6" w:space="0" w:color="auto"/>
              <w:bottom w:val="nil" w:sz="6" w:space="0" w:color="auto"/>
              <w:right w:val="nil" w:sz="6" w:space="0" w:color="auto"/>
            </w:tcBorders>
          </w:tcPr>
          <w:p>
            <w:pPr/>
          </w:p>
        </w:tc>
        <w:tc>
          <w:tcPr>
            <w:tcW w:w="3301" w:type="dxa"/>
            <w:tcBorders>
              <w:top w:val="nil" w:sz="6" w:space="0" w:color="auto"/>
              <w:left w:val="nil" w:sz="6" w:space="0" w:color="auto"/>
              <w:bottom w:val="nil" w:sz="6" w:space="0" w:color="auto"/>
              <w:right w:val="nil" w:sz="6" w:space="0" w:color="auto"/>
            </w:tcBorders>
          </w:tcPr>
          <w:p>
            <w:pPr>
              <w:pStyle w:val="TableParagraph"/>
              <w:tabs>
                <w:tab w:pos="523" w:val="left" w:leader="none"/>
              </w:tabs>
              <w:spacing w:line="240" w:lineRule="auto" w:before="140"/>
              <w:ind w:right="0"/>
              <w:jc w:val="right"/>
              <w:rPr>
                <w:rFonts w:ascii="Times New Roman" w:hAnsi="Times New Roman" w:cs="Times New Roman" w:eastAsia="Times New Roman" w:hint="default"/>
                <w:sz w:val="21"/>
                <w:szCs w:val="21"/>
              </w:rPr>
            </w:pPr>
            <w:r>
              <w:rPr>
                <w:rFonts w:ascii="Times New Roman"/>
                <w:sz w:val="18"/>
              </w:rPr>
              <w:t>-</w:t>
              <w:tab/>
            </w:r>
            <w:r>
              <w:rPr>
                <w:rFonts w:ascii="Times New Roman"/>
                <w:spacing w:val="-1"/>
                <w:sz w:val="21"/>
              </w:rPr>
              <w:t>22,686,165.62</w:t>
            </w:r>
          </w:p>
        </w:tc>
        <w:tc>
          <w:tcPr>
            <w:tcW w:w="100" w:type="dxa"/>
            <w:tcBorders>
              <w:top w:val="nil" w:sz="6" w:space="0" w:color="auto"/>
              <w:left w:val="nil" w:sz="6" w:space="0" w:color="auto"/>
              <w:bottom w:val="nil" w:sz="6" w:space="0" w:color="auto"/>
              <w:right w:val="nil" w:sz="6" w:space="0" w:color="auto"/>
            </w:tcBorders>
          </w:tcPr>
          <w:p>
            <w:pPr/>
          </w:p>
        </w:tc>
      </w:tr>
      <w:tr>
        <w:trPr>
          <w:trHeight w:val="394" w:hRule="exact"/>
        </w:trPr>
        <w:tc>
          <w:tcPr>
            <w:tcW w:w="2185" w:type="dxa"/>
            <w:tcBorders>
              <w:top w:val="nil" w:sz="6" w:space="0" w:color="auto"/>
              <w:left w:val="nil" w:sz="6" w:space="0" w:color="auto"/>
              <w:bottom w:val="single" w:sz="12" w:space="0" w:color="000000"/>
              <w:right w:val="nil" w:sz="6" w:space="0" w:color="auto"/>
            </w:tcBorders>
          </w:tcPr>
          <w:p>
            <w:pPr>
              <w:pStyle w:val="TableParagraph"/>
              <w:tabs>
                <w:tab w:pos="525" w:val="left" w:leader="none"/>
              </w:tabs>
              <w:spacing w:line="240" w:lineRule="auto" w:before="71"/>
              <w:ind w:right="539"/>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994"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right="255"/>
              <w:jc w:val="right"/>
              <w:rPr>
                <w:rFonts w:ascii="Times New Roman" w:hAnsi="Times New Roman" w:cs="Times New Roman" w:eastAsia="Times New Roman" w:hint="default"/>
                <w:sz w:val="21"/>
                <w:szCs w:val="21"/>
              </w:rPr>
            </w:pPr>
            <w:r>
              <w:rPr>
                <w:rFonts w:ascii="Times New Roman"/>
                <w:spacing w:val="-1"/>
                <w:sz w:val="21"/>
              </w:rPr>
              <w:t>26,599,043.81</w:t>
            </w:r>
          </w:p>
        </w:tc>
        <w:tc>
          <w:tcPr>
            <w:tcW w:w="1073" w:type="dxa"/>
            <w:tcBorders>
              <w:top w:val="nil" w:sz="6" w:space="0" w:color="auto"/>
              <w:left w:val="nil" w:sz="6" w:space="0" w:color="auto"/>
              <w:bottom w:val="single" w:sz="12" w:space="0" w:color="000000"/>
              <w:right w:val="nil" w:sz="6" w:space="0" w:color="auto"/>
            </w:tcBorders>
          </w:tcPr>
          <w:p>
            <w:pPr/>
          </w:p>
        </w:tc>
        <w:tc>
          <w:tcPr>
            <w:tcW w:w="3301" w:type="dxa"/>
            <w:tcBorders>
              <w:top w:val="nil" w:sz="6" w:space="0" w:color="auto"/>
              <w:left w:val="nil" w:sz="6" w:space="0" w:color="auto"/>
              <w:bottom w:val="single" w:sz="12" w:space="0" w:color="000000"/>
              <w:right w:val="nil" w:sz="6" w:space="0" w:color="auto"/>
            </w:tcBorders>
          </w:tcPr>
          <w:p>
            <w:pPr>
              <w:pStyle w:val="TableParagraph"/>
              <w:tabs>
                <w:tab w:pos="523" w:val="left" w:leader="none"/>
              </w:tabs>
              <w:spacing w:line="240" w:lineRule="auto" w:before="140"/>
              <w:ind w:right="0"/>
              <w:jc w:val="right"/>
              <w:rPr>
                <w:rFonts w:ascii="Times New Roman" w:hAnsi="Times New Roman" w:cs="Times New Roman" w:eastAsia="Times New Roman" w:hint="default"/>
                <w:sz w:val="21"/>
                <w:szCs w:val="21"/>
              </w:rPr>
            </w:pPr>
            <w:r>
              <w:rPr>
                <w:rFonts w:ascii="Times New Roman"/>
                <w:sz w:val="18"/>
              </w:rPr>
              <w:t>-</w:t>
              <w:tab/>
            </w:r>
            <w:r>
              <w:rPr>
                <w:rFonts w:ascii="Times New Roman"/>
                <w:spacing w:val="-1"/>
                <w:sz w:val="21"/>
              </w:rPr>
              <w:t>26,599,043.81</w:t>
            </w:r>
          </w:p>
        </w:tc>
        <w:tc>
          <w:tcPr>
            <w:tcW w:w="100" w:type="dxa"/>
            <w:tcBorders>
              <w:top w:val="nil" w:sz="6" w:space="0" w:color="auto"/>
              <w:left w:val="nil" w:sz="6" w:space="0" w:color="auto"/>
              <w:bottom w:val="single" w:sz="12" w:space="0" w:color="000000"/>
              <w:right w:val="nil" w:sz="6" w:space="0" w:color="auto"/>
            </w:tcBorders>
          </w:tcPr>
          <w:p>
            <w:pPr/>
          </w:p>
        </w:tc>
      </w:tr>
      <w:tr>
        <w:trPr>
          <w:trHeight w:val="529" w:hRule="exact"/>
        </w:trPr>
        <w:tc>
          <w:tcPr>
            <w:tcW w:w="2185" w:type="dxa"/>
            <w:tcBorders>
              <w:top w:val="single" w:sz="12" w:space="0" w:color="000000"/>
              <w:left w:val="nil" w:sz="6" w:space="0" w:color="auto"/>
              <w:bottom w:val="single" w:sz="12" w:space="0" w:color="000000"/>
              <w:right w:val="nil" w:sz="6" w:space="0" w:color="auto"/>
            </w:tcBorders>
          </w:tcPr>
          <w:p>
            <w:pPr>
              <w:pStyle w:val="TableParagraph"/>
              <w:spacing w:line="240" w:lineRule="auto" w:before="192"/>
              <w:ind w:left="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w:t>
            </w:r>
            <w:r>
              <w:rPr>
                <w:rFonts w:ascii="宋体" w:hAnsi="宋体" w:cs="宋体" w:eastAsia="宋体" w:hint="default"/>
                <w:sz w:val="21"/>
                <w:szCs w:val="21"/>
              </w:rPr>
              <w:t>盈余公积</w:t>
            </w:r>
          </w:p>
        </w:tc>
        <w:tc>
          <w:tcPr>
            <w:tcW w:w="1994" w:type="dxa"/>
            <w:tcBorders>
              <w:top w:val="single" w:sz="12" w:space="0" w:color="000000"/>
              <w:left w:val="nil" w:sz="6" w:space="0" w:color="auto"/>
              <w:bottom w:val="single" w:sz="12" w:space="0" w:color="000000"/>
              <w:right w:val="nil" w:sz="6" w:space="0" w:color="auto"/>
            </w:tcBorders>
          </w:tcPr>
          <w:p>
            <w:pPr/>
          </w:p>
        </w:tc>
        <w:tc>
          <w:tcPr>
            <w:tcW w:w="1073" w:type="dxa"/>
            <w:tcBorders>
              <w:top w:val="single" w:sz="12" w:space="0" w:color="000000"/>
              <w:left w:val="nil" w:sz="6" w:space="0" w:color="auto"/>
              <w:bottom w:val="single" w:sz="12" w:space="0" w:color="000000"/>
              <w:right w:val="nil" w:sz="6" w:space="0" w:color="auto"/>
            </w:tcBorders>
          </w:tcPr>
          <w:p>
            <w:pPr/>
          </w:p>
        </w:tc>
        <w:tc>
          <w:tcPr>
            <w:tcW w:w="3301" w:type="dxa"/>
            <w:tcBorders>
              <w:top w:val="single" w:sz="12" w:space="0" w:color="000000"/>
              <w:left w:val="nil" w:sz="6" w:space="0" w:color="auto"/>
              <w:bottom w:val="single" w:sz="12" w:space="0" w:color="000000"/>
              <w:right w:val="nil" w:sz="6" w:space="0" w:color="auto"/>
            </w:tcBorders>
          </w:tcPr>
          <w:p>
            <w:pPr/>
          </w:p>
        </w:tc>
        <w:tc>
          <w:tcPr>
            <w:tcW w:w="100" w:type="dxa"/>
            <w:tcBorders>
              <w:top w:val="single" w:sz="12" w:space="0" w:color="000000"/>
              <w:left w:val="nil" w:sz="6" w:space="0" w:color="auto"/>
              <w:bottom w:val="nil" w:sz="6" w:space="0" w:color="auto"/>
              <w:right w:val="nil" w:sz="6" w:space="0" w:color="auto"/>
            </w:tcBorders>
          </w:tcPr>
          <w:p>
            <w:pPr/>
          </w:p>
        </w:tc>
      </w:tr>
      <w:tr>
        <w:trPr>
          <w:trHeight w:val="644" w:hRule="exact"/>
        </w:trPr>
        <w:tc>
          <w:tcPr>
            <w:tcW w:w="2185"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tabs>
                <w:tab w:pos="449" w:val="left" w:leader="none"/>
              </w:tabs>
              <w:spacing w:line="240" w:lineRule="auto"/>
              <w:ind w:right="578"/>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1994" w:type="dxa"/>
            <w:tcBorders>
              <w:top w:val="single" w:sz="12" w:space="0" w:color="000000"/>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left="704" w:right="0"/>
              <w:jc w:val="left"/>
              <w:rPr>
                <w:rFonts w:ascii="Times New Roman" w:hAnsi="Times New Roman" w:cs="Times New Roman" w:eastAsia="Times New Roman" w:hint="default"/>
                <w:sz w:val="18"/>
                <w:szCs w:val="18"/>
              </w:rPr>
            </w:pPr>
            <w:r>
              <w:rPr>
                <w:rFonts w:ascii="Times New Roman"/>
                <w:sz w:val="18"/>
              </w:rPr>
              <w:t>2007-12-31</w:t>
            </w:r>
          </w:p>
        </w:tc>
        <w:tc>
          <w:tcPr>
            <w:tcW w:w="1073"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2"/>
              <w:jc w:val="right"/>
              <w:rPr>
                <w:rFonts w:ascii="宋体" w:hAnsi="宋体" w:cs="宋体" w:eastAsia="宋体" w:hint="default"/>
                <w:sz w:val="18"/>
                <w:szCs w:val="18"/>
              </w:rPr>
            </w:pPr>
            <w:r>
              <w:rPr>
                <w:rFonts w:ascii="宋体" w:hAnsi="宋体" w:cs="宋体" w:eastAsia="宋体" w:hint="default"/>
                <w:sz w:val="18"/>
                <w:szCs w:val="18"/>
              </w:rPr>
              <w:t>本期增加</w:t>
            </w:r>
          </w:p>
        </w:tc>
        <w:tc>
          <w:tcPr>
            <w:tcW w:w="3301" w:type="dxa"/>
            <w:tcBorders>
              <w:top w:val="single" w:sz="12" w:space="0" w:color="000000"/>
              <w:left w:val="nil" w:sz="6" w:space="0" w:color="auto"/>
              <w:bottom w:val="nil" w:sz="6" w:space="0" w:color="auto"/>
              <w:right w:val="nil" w:sz="6" w:space="0" w:color="auto"/>
            </w:tcBorders>
          </w:tcPr>
          <w:p>
            <w:pPr>
              <w:pStyle w:val="TableParagraph"/>
              <w:tabs>
                <w:tab w:pos="2942" w:val="right" w:leader="none"/>
              </w:tabs>
              <w:spacing w:line="240" w:lineRule="auto" w:before="235"/>
              <w:ind w:left="674"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本期减少</w:t>
            </w:r>
            <w:r>
              <w:rPr>
                <w:rFonts w:ascii="Times New Roman" w:hAnsi="Times New Roman" w:cs="Times New Roman" w:eastAsia="Times New Roman" w:hint="default"/>
                <w:sz w:val="18"/>
                <w:szCs w:val="18"/>
              </w:rPr>
              <w:tab/>
              <w:t>2008-12-31</w:t>
            </w:r>
          </w:p>
        </w:tc>
        <w:tc>
          <w:tcPr>
            <w:tcW w:w="100" w:type="dxa"/>
            <w:tcBorders>
              <w:top w:val="nil" w:sz="6" w:space="0" w:color="auto"/>
              <w:left w:val="nil" w:sz="6" w:space="0" w:color="auto"/>
              <w:bottom w:val="nil" w:sz="6" w:space="0" w:color="auto"/>
              <w:right w:val="nil" w:sz="6" w:space="0" w:color="auto"/>
            </w:tcBorders>
          </w:tcPr>
          <w:p>
            <w:pPr/>
          </w:p>
        </w:tc>
      </w:tr>
      <w:tr>
        <w:trPr>
          <w:trHeight w:val="511" w:hRule="exact"/>
        </w:trPr>
        <w:tc>
          <w:tcPr>
            <w:tcW w:w="2185"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22" w:right="0"/>
              <w:jc w:val="left"/>
              <w:rPr>
                <w:rFonts w:ascii="宋体" w:hAnsi="宋体" w:cs="宋体" w:eastAsia="宋体" w:hint="default"/>
                <w:sz w:val="21"/>
                <w:szCs w:val="21"/>
              </w:rPr>
            </w:pPr>
            <w:r>
              <w:rPr>
                <w:rFonts w:ascii="宋体" w:hAnsi="宋体" w:cs="宋体" w:eastAsia="宋体" w:hint="default"/>
                <w:sz w:val="21"/>
                <w:szCs w:val="21"/>
              </w:rPr>
              <w:t>法定盈余公积</w:t>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230"/>
              <w:jc w:val="right"/>
              <w:rPr>
                <w:rFonts w:ascii="Times New Roman" w:hAnsi="Times New Roman" w:cs="Times New Roman" w:eastAsia="Times New Roman" w:hint="default"/>
                <w:sz w:val="21"/>
                <w:szCs w:val="21"/>
              </w:rPr>
            </w:pPr>
            <w:r>
              <w:rPr>
                <w:rFonts w:ascii="Times New Roman"/>
                <w:spacing w:val="-1"/>
                <w:sz w:val="21"/>
              </w:rPr>
              <w:t>5,887,067.95</w:t>
            </w:r>
          </w:p>
        </w:tc>
        <w:tc>
          <w:tcPr>
            <w:tcW w:w="1073" w:type="dxa"/>
            <w:tcBorders>
              <w:top w:val="nil" w:sz="6" w:space="0" w:color="auto"/>
              <w:left w:val="nil" w:sz="6" w:space="0" w:color="auto"/>
              <w:bottom w:val="nil" w:sz="6" w:space="0" w:color="auto"/>
              <w:right w:val="nil" w:sz="6" w:space="0" w:color="auto"/>
            </w:tcBorders>
          </w:tcPr>
          <w:p>
            <w:pPr/>
          </w:p>
        </w:tc>
        <w:tc>
          <w:tcPr>
            <w:tcW w:w="3301" w:type="dxa"/>
            <w:tcBorders>
              <w:top w:val="nil" w:sz="6" w:space="0" w:color="auto"/>
              <w:left w:val="nil" w:sz="6" w:space="0" w:color="auto"/>
              <w:bottom w:val="nil" w:sz="6" w:space="0" w:color="auto"/>
              <w:right w:val="nil" w:sz="6" w:space="0" w:color="auto"/>
            </w:tcBorders>
          </w:tcPr>
          <w:p>
            <w:pPr>
              <w:pStyle w:val="TableParagraph"/>
              <w:tabs>
                <w:tab w:pos="1610" w:val="left" w:leader="none"/>
                <w:tab w:pos="2056" w:val="left" w:leader="none"/>
              </w:tabs>
              <w:spacing w:line="240" w:lineRule="auto" w:before="142"/>
              <w:ind w:left="122" w:right="0"/>
              <w:jc w:val="left"/>
              <w:rPr>
                <w:rFonts w:ascii="Times New Roman" w:hAnsi="Times New Roman" w:cs="Times New Roman" w:eastAsia="Times New Roman" w:hint="default"/>
                <w:sz w:val="21"/>
                <w:szCs w:val="21"/>
              </w:rPr>
            </w:pPr>
            <w:r>
              <w:rPr>
                <w:rFonts w:ascii="Times New Roman"/>
                <w:sz w:val="18"/>
              </w:rPr>
              <w:t>-</w:t>
              <w:tab/>
              <w:t>-</w:t>
              <w:tab/>
            </w:r>
            <w:r>
              <w:rPr>
                <w:rFonts w:ascii="Times New Roman"/>
                <w:sz w:val="21"/>
              </w:rPr>
              <w:t>5,887,067.95</w:t>
            </w:r>
          </w:p>
        </w:tc>
        <w:tc>
          <w:tcPr>
            <w:tcW w:w="100" w:type="dxa"/>
            <w:tcBorders>
              <w:top w:val="nil" w:sz="6" w:space="0" w:color="auto"/>
              <w:left w:val="nil" w:sz="6" w:space="0" w:color="auto"/>
              <w:bottom w:val="nil" w:sz="6" w:space="0" w:color="auto"/>
              <w:right w:val="nil" w:sz="6" w:space="0" w:color="auto"/>
            </w:tcBorders>
          </w:tcPr>
          <w:p>
            <w:pPr/>
          </w:p>
        </w:tc>
      </w:tr>
      <w:tr>
        <w:trPr>
          <w:trHeight w:val="395" w:hRule="exact"/>
        </w:trPr>
        <w:tc>
          <w:tcPr>
            <w:tcW w:w="2185" w:type="dxa"/>
            <w:tcBorders>
              <w:top w:val="nil" w:sz="6" w:space="0" w:color="auto"/>
              <w:left w:val="nil" w:sz="6" w:space="0" w:color="auto"/>
              <w:bottom w:val="single" w:sz="12" w:space="0" w:color="000000"/>
              <w:right w:val="nil" w:sz="6" w:space="0" w:color="auto"/>
            </w:tcBorders>
          </w:tcPr>
          <w:p>
            <w:pPr>
              <w:pStyle w:val="TableParagraph"/>
              <w:tabs>
                <w:tab w:pos="525" w:val="left" w:leader="none"/>
              </w:tabs>
              <w:spacing w:line="240" w:lineRule="auto" w:before="72"/>
              <w:ind w:right="527"/>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994"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right="230"/>
              <w:jc w:val="right"/>
              <w:rPr>
                <w:rFonts w:ascii="Times New Roman" w:hAnsi="Times New Roman" w:cs="Times New Roman" w:eastAsia="Times New Roman" w:hint="default"/>
                <w:sz w:val="21"/>
                <w:szCs w:val="21"/>
              </w:rPr>
            </w:pPr>
            <w:r>
              <w:rPr>
                <w:rFonts w:ascii="Times New Roman"/>
                <w:spacing w:val="-1"/>
                <w:sz w:val="21"/>
              </w:rPr>
              <w:t>5,887,067.95</w:t>
            </w:r>
          </w:p>
        </w:tc>
        <w:tc>
          <w:tcPr>
            <w:tcW w:w="1073" w:type="dxa"/>
            <w:tcBorders>
              <w:top w:val="nil" w:sz="6" w:space="0" w:color="auto"/>
              <w:left w:val="nil" w:sz="6" w:space="0" w:color="auto"/>
              <w:bottom w:val="single" w:sz="12" w:space="0" w:color="000000"/>
              <w:right w:val="nil" w:sz="6" w:space="0" w:color="auto"/>
            </w:tcBorders>
          </w:tcPr>
          <w:p>
            <w:pPr/>
          </w:p>
        </w:tc>
        <w:tc>
          <w:tcPr>
            <w:tcW w:w="3301" w:type="dxa"/>
            <w:tcBorders>
              <w:top w:val="nil" w:sz="6" w:space="0" w:color="auto"/>
              <w:left w:val="nil" w:sz="6" w:space="0" w:color="auto"/>
              <w:bottom w:val="single" w:sz="12" w:space="0" w:color="000000"/>
              <w:right w:val="nil" w:sz="6" w:space="0" w:color="auto"/>
            </w:tcBorders>
          </w:tcPr>
          <w:p>
            <w:pPr>
              <w:pStyle w:val="TableParagraph"/>
              <w:tabs>
                <w:tab w:pos="1610" w:val="left" w:leader="none"/>
                <w:tab w:pos="2056" w:val="left" w:leader="none"/>
              </w:tabs>
              <w:spacing w:line="240" w:lineRule="auto" w:before="139"/>
              <w:ind w:left="122" w:right="0"/>
              <w:jc w:val="left"/>
              <w:rPr>
                <w:rFonts w:ascii="Times New Roman" w:hAnsi="Times New Roman" w:cs="Times New Roman" w:eastAsia="Times New Roman" w:hint="default"/>
                <w:sz w:val="21"/>
                <w:szCs w:val="21"/>
              </w:rPr>
            </w:pPr>
            <w:r>
              <w:rPr>
                <w:rFonts w:ascii="Times New Roman"/>
                <w:sz w:val="18"/>
              </w:rPr>
              <w:t>-</w:t>
              <w:tab/>
              <w:t>-</w:t>
              <w:tab/>
            </w:r>
            <w:r>
              <w:rPr>
                <w:rFonts w:ascii="Times New Roman"/>
                <w:sz w:val="21"/>
              </w:rPr>
              <w:t>5,887,067.95</w:t>
            </w:r>
          </w:p>
        </w:tc>
        <w:tc>
          <w:tcPr>
            <w:tcW w:w="100" w:type="dxa"/>
            <w:tcBorders>
              <w:top w:val="nil" w:sz="6" w:space="0" w:color="auto"/>
              <w:left w:val="nil" w:sz="6" w:space="0" w:color="auto"/>
              <w:bottom w:val="nil" w:sz="6" w:space="0" w:color="auto"/>
              <w:right w:val="nil" w:sz="6" w:space="0" w:color="auto"/>
            </w:tcBorders>
          </w:tcPr>
          <w:p>
            <w:pPr/>
          </w:p>
        </w:tc>
      </w:tr>
    </w:tbl>
    <w:p>
      <w:pPr>
        <w:spacing w:line="240" w:lineRule="auto" w:before="5"/>
        <w:rPr>
          <w:rFonts w:ascii="Times New Roman" w:hAnsi="Times New Roman" w:cs="Times New Roman" w:eastAsia="Times New Roman" w:hint="default"/>
          <w:sz w:val="12"/>
          <w:szCs w:val="12"/>
        </w:rPr>
      </w:pPr>
    </w:p>
    <w:p>
      <w:pPr>
        <w:spacing w:line="420" w:lineRule="auto" w:before="35"/>
        <w:ind w:left="278" w:right="1155" w:firstLine="420"/>
        <w:jc w:val="both"/>
        <w:rPr>
          <w:rFonts w:ascii="宋体" w:hAnsi="宋体" w:cs="宋体" w:eastAsia="宋体" w:hint="default"/>
          <w:sz w:val="21"/>
          <w:szCs w:val="21"/>
        </w:rPr>
      </w:pPr>
      <w:r>
        <w:rPr/>
        <w:pict>
          <v:group style="position:absolute;margin-left:91.580002pt;margin-top:-86.366013pt;width:426.3pt;height:77.95pt;mso-position-horizontal-relative:page;mso-position-vertical-relative:paragraph;z-index:-442384" coordorigin="1832,-1727" coordsize="8526,1559">
            <v:shape style="position:absolute;left:4372;top:-1727;width:4513;height:539" type="#_x0000_t75" stroked="false">
              <v:imagedata r:id="rId144" o:title=""/>
            </v:shape>
            <v:shape style="position:absolute;left:1832;top:-1221;width:8525;height:1052" type="#_x0000_t75" stroked="false">
              <v:imagedata r:id="rId145" o:title=""/>
            </v:shape>
            <v:shape style="position:absolute;left:5860;top:-707;width:48;height:539" type="#_x0000_t75" stroked="false">
              <v:imagedata r:id="rId146" o:title=""/>
            </v:shape>
            <v:shape style="position:absolute;left:7349;top:-707;width:48;height:539" type="#_x0000_t75" stroked="false">
              <v:imagedata r:id="rId146" o:title=""/>
            </v:shape>
            <v:shape style="position:absolute;left:8837;top:-707;width:48;height:539" type="#_x0000_t75" stroked="false">
              <v:imagedata r:id="rId146" o:title=""/>
            </v:shape>
            <w10:wrap type="none"/>
          </v:group>
        </w:pict>
      </w:r>
      <w:r>
        <w:rPr>
          <w:rFonts w:ascii="宋体" w:hAnsi="宋体" w:cs="宋体" w:eastAsia="宋体" w:hint="default"/>
          <w:sz w:val="21"/>
          <w:szCs w:val="21"/>
        </w:rPr>
        <w:t>根据《中华人民共和国公司法》及本公司章程，本公司按年度净利润的</w:t>
      </w:r>
      <w:r>
        <w:rPr>
          <w:rFonts w:ascii="Times New Roman" w:hAnsi="Times New Roman" w:cs="Times New Roman" w:eastAsia="Times New Roman" w:hint="default"/>
          <w:sz w:val="21"/>
          <w:szCs w:val="21"/>
        </w:rPr>
        <w:t>10%</w:t>
      </w:r>
      <w:r>
        <w:rPr>
          <w:rFonts w:ascii="宋体" w:hAnsi="宋体" w:cs="宋体" w:eastAsia="宋体" w:hint="default"/>
          <w:sz w:val="21"/>
          <w:szCs w:val="21"/>
        </w:rPr>
        <w:t>提取法定盈余公积 金，当法定盈余公积金累计额达到股本的</w:t>
      </w:r>
      <w:r>
        <w:rPr>
          <w:rFonts w:ascii="Times New Roman" w:hAnsi="Times New Roman" w:cs="Times New Roman" w:eastAsia="Times New Roman" w:hint="default"/>
          <w:sz w:val="21"/>
          <w:szCs w:val="21"/>
        </w:rPr>
        <w:t>50%</w:t>
      </w:r>
      <w:r>
        <w:rPr>
          <w:rFonts w:ascii="宋体" w:hAnsi="宋体" w:cs="宋体" w:eastAsia="宋体" w:hint="default"/>
          <w:sz w:val="21"/>
          <w:szCs w:val="21"/>
        </w:rPr>
        <w:t>以上时，可不再提取。法定盈余公积金经有关部门批 准后可用于弥补亏损，或者增加股本。除了用于弥补亏损外，法定盈余公积金于增加股本后，其余 额不得少于股本的</w:t>
      </w:r>
      <w:r>
        <w:rPr>
          <w:rFonts w:ascii="Times New Roman" w:hAnsi="Times New Roman" w:cs="Times New Roman" w:eastAsia="Times New Roman" w:hint="default"/>
          <w:sz w:val="21"/>
          <w:szCs w:val="21"/>
        </w:rPr>
        <w:t>25%</w:t>
      </w:r>
      <w:r>
        <w:rPr>
          <w:rFonts w:ascii="宋体" w:hAnsi="宋体" w:cs="宋体" w:eastAsia="宋体" w:hint="default"/>
          <w:sz w:val="21"/>
          <w:szCs w:val="21"/>
        </w:rPr>
        <w:t>。</w:t>
      </w:r>
    </w:p>
    <w:p>
      <w:pPr>
        <w:spacing w:before="35"/>
        <w:ind w:left="698" w:right="0" w:firstLine="0"/>
        <w:jc w:val="left"/>
        <w:rPr>
          <w:rFonts w:ascii="宋体" w:hAnsi="宋体" w:cs="宋体" w:eastAsia="宋体" w:hint="default"/>
          <w:sz w:val="21"/>
          <w:szCs w:val="21"/>
        </w:rPr>
      </w:pPr>
      <w:r>
        <w:rPr>
          <w:rFonts w:ascii="宋体" w:hAnsi="宋体" w:cs="宋体" w:eastAsia="宋体" w:hint="default"/>
          <w:sz w:val="21"/>
          <w:szCs w:val="21"/>
        </w:rPr>
        <w:t>根据</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日修订并于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日起施行的《中华人民共和国公司法》和本公</w:t>
      </w:r>
    </w:p>
    <w:p>
      <w:pPr>
        <w:spacing w:line="240" w:lineRule="auto" w:before="12"/>
        <w:rPr>
          <w:rFonts w:ascii="宋体" w:hAnsi="宋体" w:cs="宋体" w:eastAsia="宋体" w:hint="default"/>
          <w:sz w:val="15"/>
          <w:szCs w:val="15"/>
        </w:rPr>
      </w:pPr>
    </w:p>
    <w:p>
      <w:pPr>
        <w:spacing w:before="0"/>
        <w:ind w:left="278" w:right="0" w:firstLine="0"/>
        <w:jc w:val="left"/>
        <w:rPr>
          <w:rFonts w:ascii="宋体" w:hAnsi="宋体" w:cs="宋体" w:eastAsia="宋体" w:hint="default"/>
          <w:sz w:val="21"/>
          <w:szCs w:val="21"/>
        </w:rPr>
      </w:pPr>
      <w:r>
        <w:rPr>
          <w:rFonts w:ascii="宋体" w:hAnsi="宋体" w:cs="宋体" w:eastAsia="宋体" w:hint="default"/>
          <w:spacing w:val="-3"/>
          <w:sz w:val="21"/>
          <w:szCs w:val="21"/>
        </w:rPr>
        <w:t>司章程及董事会的决议，本公司从</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年起不再计提公益金。根据财政部</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日发布的</w:t>
      </w:r>
    </w:p>
    <w:p>
      <w:pPr>
        <w:spacing w:line="240" w:lineRule="auto" w:before="0"/>
        <w:rPr>
          <w:rFonts w:ascii="宋体" w:hAnsi="宋体" w:cs="宋体" w:eastAsia="宋体" w:hint="default"/>
          <w:sz w:val="16"/>
          <w:szCs w:val="16"/>
        </w:rPr>
      </w:pPr>
    </w:p>
    <w:p>
      <w:pPr>
        <w:spacing w:line="412" w:lineRule="auto" w:before="0"/>
        <w:ind w:left="278" w:right="1110" w:firstLine="0"/>
        <w:jc w:val="left"/>
        <w:rPr>
          <w:rFonts w:ascii="宋体" w:hAnsi="宋体" w:cs="宋体" w:eastAsia="宋体" w:hint="default"/>
          <w:sz w:val="21"/>
          <w:szCs w:val="21"/>
        </w:rPr>
      </w:pPr>
      <w:r>
        <w:rPr>
          <w:rFonts w:ascii="宋体" w:hAnsi="宋体" w:cs="宋体" w:eastAsia="宋体" w:hint="default"/>
          <w:spacing w:val="-3"/>
          <w:sz w:val="21"/>
          <w:szCs w:val="21"/>
        </w:rPr>
        <w:t>《关于〈公司法〉施行后有关企业财务处理问题的通知》，本公司截至</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日止的公益 金贷方结余，转作法定盈余公积金管理使用。</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spacing w:before="0"/>
        <w:ind w:left="69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w:t>
      </w:r>
      <w:r>
        <w:rPr>
          <w:rFonts w:ascii="宋体" w:hAnsi="宋体" w:cs="宋体" w:eastAsia="宋体" w:hint="default"/>
          <w:sz w:val="21"/>
          <w:szCs w:val="21"/>
        </w:rPr>
        <w:t>未分配利润</w:t>
      </w:r>
    </w:p>
    <w:p>
      <w:pPr>
        <w:spacing w:after="0"/>
        <w:jc w:val="left"/>
        <w:rPr>
          <w:rFonts w:ascii="宋体" w:hAnsi="宋体" w:cs="宋体" w:eastAsia="宋体" w:hint="default"/>
          <w:sz w:val="21"/>
          <w:szCs w:val="21"/>
        </w:rPr>
        <w:sectPr>
          <w:pgSz w:w="11910" w:h="16840"/>
          <w:pgMar w:header="0" w:footer="710" w:top="580" w:bottom="900" w:left="1140" w:right="30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14656"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pict>
          <v:group style="position:absolute;margin-left:69.060013pt;margin-top:20.989061pt;width:457.2pt;height:283.7pt;mso-position-horizontal-relative:page;mso-position-vertical-relative:paragraph;z-index:-442144" coordorigin="1381,420" coordsize="9144,5674">
            <v:group style="position:absolute;left:1388;top:427;width:9130;height:2" coordorigin="1388,427" coordsize="9130,2">
              <v:shape style="position:absolute;left:1388;top:427;width:9130;height:2" coordorigin="1388,427" coordsize="9130,0" path="m1388,427l10518,427e" filled="false" stroked="true" strokeweight=".71997pt" strokecolor="#000000">
                <v:path arrowok="t"/>
              </v:shape>
            </v:group>
            <v:group style="position:absolute;left:1628;top:449;width:8715;height:2" coordorigin="1628,449" coordsize="8715,2">
              <v:shape style="position:absolute;left:1628;top:449;width:8715;height:2" coordorigin="1628,449" coordsize="8715,0" path="m1628,449l10343,449e" filled="false" stroked="true" strokeweight="1.5pt" strokecolor="#000000">
                <v:path arrowok="t"/>
              </v:shape>
              <v:shape style="position:absolute;left:5506;top:445;width:2316;height:538" type="#_x0000_t75" stroked="false">
                <v:imagedata r:id="rId147" o:title=""/>
              </v:shape>
            </v:group>
            <v:group style="position:absolute;left:1614;top:6078;width:3911;height:2" coordorigin="1614,6078" coordsize="3911,2">
              <v:shape style="position:absolute;left:1614;top:6078;width:3911;height:2" coordorigin="1614,6078" coordsize="3911,0" path="m1614,6078l5525,6078e" filled="false" stroked="true" strokeweight="1.5pt" strokecolor="#000000">
                <v:path arrowok="t"/>
              </v:shape>
              <v:shape style="position:absolute;left:1609;top:944;width:8756;height:5138" type="#_x0000_t75" stroked="false">
                <v:imagedata r:id="rId148" o:title=""/>
              </v:shape>
            </v:group>
            <v:group style="position:absolute;left:5525;top:6078;width:2268;height:2" coordorigin="5525,6078" coordsize="2268,2">
              <v:shape style="position:absolute;left:5525;top:6078;width:2268;height:2" coordorigin="5525,6078" coordsize="2268,0" path="m5525,6078l7793,6078e" filled="false" stroked="true" strokeweight="1.5pt" strokecolor="#000000">
                <v:path arrowok="t"/>
              </v:shape>
              <v:shape style="position:absolute;left:7774;top:5544;width:48;height:539" type="#_x0000_t75" stroked="false">
                <v:imagedata r:id="rId101" o:title=""/>
              </v:shape>
            </v:group>
            <v:group style="position:absolute;left:7793;top:6078;width:2558;height:2" coordorigin="7793,6078" coordsize="2558,2">
              <v:shape style="position:absolute;left:7793;top:6078;width:2558;height:2" coordorigin="7793,6078" coordsize="2558,0" path="m7793,6078l10350,6078e" filled="false" stroked="true" strokeweight="1.5pt" strokecolor="#000000">
                <v:path arrowok="t"/>
              </v:shape>
              <v:shape style="position:absolute;left:2096;top:4835;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应付普通股股利</w:t>
                      </w:r>
                    </w:p>
                  </w:txbxContent>
                </v:textbox>
                <w10:wrap type="none"/>
              </v:shape>
              <v:shape style="position:absolute;left:7630;top:4855;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0182;top:4855;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2096;top:5345;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转作股本的利润</w:t>
                      </w:r>
                    </w:p>
                  </w:txbxContent>
                </v:textbox>
                <w10:wrap type="none"/>
              </v:shape>
              <v:shape style="position:absolute;left:7630;top:5365;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0182;top:5365;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736;top:5855;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公司股东未分配利润期末余额</w:t>
                      </w:r>
                    </w:p>
                  </w:txbxContent>
                </v:textbox>
                <w10:wrap type="none"/>
              </v:shape>
              <v:shape style="position:absolute;left:6595;top:5875;width:109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-53,283,504.49</w:t>
                      </w:r>
                    </w:p>
                  </w:txbxContent>
                </v:textbox>
                <w10:wrap type="none"/>
              </v:shape>
              <v:shape style="position:absolute;left:9056;top:5875;width:11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-207,479,768.74</w:t>
                      </w:r>
                    </w:p>
                  </w:txbxContent>
                </v:textbox>
                <w10:wrap type="none"/>
              </v:shape>
            </v:group>
            <w10:wrap type="none"/>
          </v:group>
        </w:pict>
      </w: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0"/>
          <w:szCs w:val="20"/>
        </w:rPr>
      </w:pPr>
    </w:p>
    <w:tbl>
      <w:tblPr>
        <w:tblW w:w="0" w:type="auto"/>
        <w:jc w:val="left"/>
        <w:tblInd w:w="421" w:type="dxa"/>
        <w:tblLayout w:type="fixed"/>
        <w:tblCellMar>
          <w:top w:w="0" w:type="dxa"/>
          <w:left w:w="0" w:type="dxa"/>
          <w:bottom w:w="0" w:type="dxa"/>
          <w:right w:w="0" w:type="dxa"/>
        </w:tblCellMar>
        <w:tblLook w:val="01E0"/>
      </w:tblPr>
      <w:tblGrid>
        <w:gridCol w:w="3729"/>
        <w:gridCol w:w="2741"/>
        <w:gridCol w:w="2106"/>
      </w:tblGrid>
      <w:tr>
        <w:trPr>
          <w:trHeight w:val="964" w:hRule="exact"/>
        </w:trPr>
        <w:tc>
          <w:tcPr>
            <w:tcW w:w="3729" w:type="dxa"/>
            <w:tcBorders>
              <w:top w:val="nil" w:sz="6" w:space="0" w:color="auto"/>
              <w:left w:val="nil" w:sz="6" w:space="0" w:color="auto"/>
              <w:bottom w:val="nil" w:sz="6" w:space="0" w:color="auto"/>
              <w:right w:val="nil" w:sz="6" w:space="0" w:color="auto"/>
            </w:tcBorders>
          </w:tcPr>
          <w:p>
            <w:pPr>
              <w:pStyle w:val="TableParagraph"/>
              <w:tabs>
                <w:tab w:pos="2012" w:val="left" w:leader="none"/>
              </w:tabs>
              <w:spacing w:line="240" w:lineRule="auto" w:before="44"/>
              <w:ind w:left="1562" w:right="0"/>
              <w:jc w:val="left"/>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调整前公司股东未分配利润期初余额</w:t>
            </w:r>
          </w:p>
        </w:tc>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96"/>
              <w:ind w:left="813" w:right="0"/>
              <w:jc w:val="left"/>
              <w:rPr>
                <w:rFonts w:ascii="Times New Roman" w:hAnsi="Times New Roman" w:cs="Times New Roman" w:eastAsia="Times New Roman" w:hint="default"/>
                <w:sz w:val="18"/>
                <w:szCs w:val="18"/>
              </w:rPr>
            </w:pPr>
            <w:r>
              <w:rPr>
                <w:rFonts w:ascii="Times New Roman"/>
                <w:sz w:val="18"/>
              </w:rPr>
              <w:t>2008-12-31</w:t>
            </w:r>
          </w:p>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left="1074" w:right="0"/>
              <w:jc w:val="left"/>
              <w:rPr>
                <w:rFonts w:ascii="Times New Roman" w:hAnsi="Times New Roman" w:cs="Times New Roman" w:eastAsia="Times New Roman" w:hint="default"/>
                <w:sz w:val="18"/>
                <w:szCs w:val="18"/>
              </w:rPr>
            </w:pPr>
            <w:r>
              <w:rPr>
                <w:rFonts w:ascii="Times New Roman"/>
                <w:sz w:val="18"/>
              </w:rPr>
              <w:t>-207,479,768.74</w:t>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96"/>
              <w:ind w:left="481" w:right="0"/>
              <w:jc w:val="left"/>
              <w:rPr>
                <w:rFonts w:ascii="Times New Roman" w:hAnsi="Times New Roman" w:cs="Times New Roman" w:eastAsia="Times New Roman" w:hint="default"/>
                <w:sz w:val="18"/>
                <w:szCs w:val="18"/>
              </w:rPr>
            </w:pPr>
            <w:r>
              <w:rPr>
                <w:rFonts w:ascii="Times New Roman"/>
                <w:sz w:val="18"/>
              </w:rPr>
              <w:t>2007-12-31</w:t>
            </w:r>
          </w:p>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left="884" w:right="0"/>
              <w:jc w:val="left"/>
              <w:rPr>
                <w:rFonts w:ascii="Times New Roman" w:hAnsi="Times New Roman" w:cs="Times New Roman" w:eastAsia="Times New Roman" w:hint="default"/>
                <w:sz w:val="18"/>
                <w:szCs w:val="18"/>
              </w:rPr>
            </w:pPr>
            <w:r>
              <w:rPr>
                <w:rFonts w:ascii="Times New Roman"/>
                <w:sz w:val="18"/>
              </w:rPr>
              <w:t>-214,458,163.54</w:t>
            </w:r>
          </w:p>
        </w:tc>
      </w:tr>
      <w:tr>
        <w:trPr>
          <w:trHeight w:val="510" w:hRule="exact"/>
        </w:trPr>
        <w:tc>
          <w:tcPr>
            <w:tcW w:w="372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调整期初未分配利润（调减－）注</w:t>
            </w:r>
            <w:r>
              <w:rPr>
                <w:rFonts w:ascii="Times New Roman" w:hAnsi="Times New Roman" w:cs="Times New Roman" w:eastAsia="Times New Roman" w:hint="default"/>
                <w:sz w:val="18"/>
                <w:szCs w:val="18"/>
              </w:rPr>
              <w:t>*</w:t>
            </w:r>
          </w:p>
        </w:tc>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47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33"/>
              <w:jc w:val="right"/>
              <w:rPr>
                <w:rFonts w:ascii="Times New Roman" w:hAnsi="Times New Roman" w:cs="Times New Roman" w:eastAsia="Times New Roman" w:hint="default"/>
                <w:sz w:val="18"/>
                <w:szCs w:val="18"/>
              </w:rPr>
            </w:pPr>
            <w:r>
              <w:rPr>
                <w:rFonts w:ascii="Times New Roman"/>
                <w:spacing w:val="-1"/>
                <w:sz w:val="18"/>
              </w:rPr>
              <w:t>-9,161,636.36</w:t>
            </w:r>
          </w:p>
        </w:tc>
      </w:tr>
      <w:tr>
        <w:trPr>
          <w:trHeight w:val="510" w:hRule="exact"/>
        </w:trPr>
        <w:tc>
          <w:tcPr>
            <w:tcW w:w="372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479"/>
              <w:jc w:val="right"/>
              <w:rPr>
                <w:rFonts w:ascii="Times New Roman" w:hAnsi="Times New Roman" w:cs="Times New Roman" w:eastAsia="Times New Roman" w:hint="default"/>
                <w:sz w:val="18"/>
                <w:szCs w:val="18"/>
              </w:rPr>
            </w:pPr>
            <w:r>
              <w:rPr>
                <w:rFonts w:ascii="Times New Roman"/>
                <w:spacing w:val="-1"/>
                <w:sz w:val="18"/>
              </w:rPr>
              <w:t>-207,479,768.74</w:t>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33"/>
              <w:jc w:val="right"/>
              <w:rPr>
                <w:rFonts w:ascii="Times New Roman" w:hAnsi="Times New Roman" w:cs="Times New Roman" w:eastAsia="Times New Roman" w:hint="default"/>
                <w:sz w:val="18"/>
                <w:szCs w:val="18"/>
              </w:rPr>
            </w:pPr>
            <w:r>
              <w:rPr>
                <w:rFonts w:ascii="Times New Roman"/>
                <w:spacing w:val="-1"/>
                <w:sz w:val="18"/>
              </w:rPr>
              <w:t>-223,619,799.90</w:t>
            </w:r>
          </w:p>
        </w:tc>
      </w:tr>
      <w:tr>
        <w:trPr>
          <w:trHeight w:val="510" w:hRule="exact"/>
        </w:trPr>
        <w:tc>
          <w:tcPr>
            <w:tcW w:w="372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宋体" w:hAnsi="宋体" w:cs="宋体" w:eastAsia="宋体" w:hint="default"/>
                <w:sz w:val="18"/>
                <w:szCs w:val="18"/>
              </w:rPr>
            </w:pPr>
            <w:r>
              <w:rPr>
                <w:rFonts w:ascii="宋体" w:hAnsi="宋体" w:cs="宋体" w:eastAsia="宋体" w:hint="default"/>
                <w:sz w:val="18"/>
                <w:szCs w:val="18"/>
              </w:rPr>
              <w:t>加：归属于公司股东的净利润</w:t>
            </w:r>
          </w:p>
        </w:tc>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480"/>
              <w:jc w:val="right"/>
              <w:rPr>
                <w:rFonts w:ascii="Times New Roman" w:hAnsi="Times New Roman" w:cs="Times New Roman" w:eastAsia="Times New Roman" w:hint="default"/>
                <w:sz w:val="18"/>
                <w:szCs w:val="18"/>
              </w:rPr>
            </w:pPr>
            <w:r>
              <w:rPr>
                <w:rFonts w:ascii="Times New Roman"/>
                <w:spacing w:val="-1"/>
                <w:sz w:val="18"/>
              </w:rPr>
              <w:t>154,196,264.25</w:t>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33"/>
              <w:jc w:val="right"/>
              <w:rPr>
                <w:rFonts w:ascii="Times New Roman" w:hAnsi="Times New Roman" w:cs="Times New Roman" w:eastAsia="Times New Roman" w:hint="default"/>
                <w:sz w:val="18"/>
                <w:szCs w:val="18"/>
              </w:rPr>
            </w:pPr>
            <w:r>
              <w:rPr>
                <w:rFonts w:ascii="Times New Roman"/>
                <w:sz w:val="18"/>
              </w:rPr>
              <w:t>16,140,031.16</w:t>
            </w:r>
          </w:p>
        </w:tc>
      </w:tr>
      <w:tr>
        <w:trPr>
          <w:trHeight w:val="510" w:hRule="exact"/>
        </w:trPr>
        <w:tc>
          <w:tcPr>
            <w:tcW w:w="372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47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0" w:hRule="exact"/>
        </w:trPr>
        <w:tc>
          <w:tcPr>
            <w:tcW w:w="372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宋体" w:hAnsi="宋体" w:cs="宋体" w:eastAsia="宋体" w:hint="default"/>
                <w:sz w:val="18"/>
                <w:szCs w:val="18"/>
              </w:rPr>
            </w:pPr>
            <w:r>
              <w:rPr>
                <w:rFonts w:ascii="宋体" w:hAnsi="宋体" w:cs="宋体" w:eastAsia="宋体" w:hint="default"/>
                <w:sz w:val="18"/>
                <w:szCs w:val="18"/>
              </w:rPr>
              <w:t>提取法定公益金</w:t>
            </w:r>
          </w:p>
        </w:tc>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47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55" w:hRule="exact"/>
        </w:trPr>
        <w:tc>
          <w:tcPr>
            <w:tcW w:w="372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宋体" w:hAnsi="宋体" w:cs="宋体" w:eastAsia="宋体" w:hint="default"/>
                <w:sz w:val="18"/>
                <w:szCs w:val="18"/>
              </w:rPr>
            </w:pPr>
            <w:r>
              <w:rPr>
                <w:rFonts w:ascii="宋体" w:hAnsi="宋体" w:cs="宋体" w:eastAsia="宋体" w:hint="default"/>
                <w:sz w:val="18"/>
                <w:szCs w:val="18"/>
              </w:rPr>
              <w:t>提取职工奖励及福利基金</w:t>
            </w:r>
          </w:p>
        </w:tc>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47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171"/>
        <w:ind w:left="558" w:right="0" w:firstLine="0"/>
        <w:jc w:val="left"/>
        <w:rPr>
          <w:rFonts w:ascii="宋体" w:hAnsi="宋体" w:cs="宋体" w:eastAsia="宋体" w:hint="default"/>
          <w:sz w:val="21"/>
          <w:szCs w:val="21"/>
        </w:rPr>
      </w:pPr>
      <w:r>
        <w:rPr/>
        <w:pict>
          <v:group style="position:absolute;margin-left:76.199997pt;margin-top:23.873524pt;width:442.7pt;height:337.5pt;mso-position-horizontal-relative:page;mso-position-vertical-relative:paragraph;z-index:-442096" coordorigin="1524,477" coordsize="8854,6750">
            <v:group style="position:absolute;left:1543;top:492;width:8813;height:2" coordorigin="1543,492" coordsize="8813,2">
              <v:shape style="position:absolute;left:1543;top:492;width:8813;height:2" coordorigin="1543,492" coordsize="8813,0" path="m1543,492l10356,492e" filled="false" stroked="true" strokeweight="1.5pt" strokecolor="#000000">
                <v:path arrowok="t"/>
              </v:shape>
              <v:shape style="position:absolute;left:4500;top:488;width:2988;height:638" type="#_x0000_t75" stroked="false">
                <v:imagedata r:id="rId149" o:title=""/>
              </v:shape>
              <v:shape style="position:absolute;left:1524;top:1088;width:8854;height:6139" type="#_x0000_t75" stroked="false">
                <v:imagedata r:id="rId150" o:title=""/>
              </v:shape>
              <v:shape style="position:absolute;left:7440;top:6588;width:48;height:640" type="#_x0000_t75" stroked="false">
                <v:imagedata r:id="rId151" o:title=""/>
              </v:shape>
            </v:group>
            <w10:wrap type="none"/>
          </v:group>
        </w:pict>
      </w:r>
      <w:r>
        <w:rPr>
          <w:rFonts w:ascii="Times New Roman" w:hAnsi="Times New Roman" w:cs="Times New Roman" w:eastAsia="Times New Roman" w:hint="default"/>
          <w:sz w:val="21"/>
          <w:szCs w:val="21"/>
        </w:rPr>
        <w:t>21.</w:t>
      </w:r>
      <w:r>
        <w:rPr>
          <w:rFonts w:ascii="宋体" w:hAnsi="宋体" w:cs="宋体" w:eastAsia="宋体" w:hint="default"/>
          <w:sz w:val="21"/>
          <w:szCs w:val="21"/>
        </w:rPr>
        <w:t>管理费用</w:t>
      </w:r>
    </w:p>
    <w:p>
      <w:pPr>
        <w:spacing w:line="240" w:lineRule="auto" w:before="2"/>
        <w:rPr>
          <w:rFonts w:ascii="宋体" w:hAnsi="宋体" w:cs="宋体" w:eastAsia="宋体" w:hint="default"/>
          <w:sz w:val="23"/>
          <w:szCs w:val="23"/>
        </w:rPr>
      </w:pPr>
    </w:p>
    <w:tbl>
      <w:tblPr>
        <w:tblW w:w="0" w:type="auto"/>
        <w:jc w:val="left"/>
        <w:tblInd w:w="248" w:type="dxa"/>
        <w:tblLayout w:type="fixed"/>
        <w:tblCellMar>
          <w:top w:w="0" w:type="dxa"/>
          <w:left w:w="0" w:type="dxa"/>
          <w:bottom w:w="0" w:type="dxa"/>
          <w:right w:w="0" w:type="dxa"/>
        </w:tblCellMar>
        <w:tblLook w:val="01E0"/>
      </w:tblPr>
      <w:tblGrid>
        <w:gridCol w:w="3311"/>
        <w:gridCol w:w="3072"/>
        <w:gridCol w:w="2452"/>
      </w:tblGrid>
      <w:tr>
        <w:trPr>
          <w:trHeight w:val="1738" w:hRule="exact"/>
        </w:trPr>
        <w:tc>
          <w:tcPr>
            <w:tcW w:w="3311" w:type="dxa"/>
            <w:tcBorders>
              <w:top w:val="nil" w:sz="6" w:space="0" w:color="auto"/>
              <w:left w:val="nil" w:sz="6" w:space="0" w:color="auto"/>
              <w:bottom w:val="nil" w:sz="6" w:space="0" w:color="auto"/>
              <w:right w:val="nil" w:sz="6" w:space="0" w:color="auto"/>
            </w:tcBorders>
          </w:tcPr>
          <w:p>
            <w:pPr>
              <w:pStyle w:val="TableParagraph"/>
              <w:tabs>
                <w:tab w:pos="1713" w:val="left" w:leader="none"/>
              </w:tabs>
              <w:spacing w:line="532" w:lineRule="auto" w:before="35"/>
              <w:ind w:left="1083" w:right="1385"/>
              <w:jc w:val="center"/>
              <w:rPr>
                <w:rFonts w:ascii="宋体" w:hAnsi="宋体" w:cs="宋体" w:eastAsia="宋体" w:hint="default"/>
                <w:sz w:val="21"/>
                <w:szCs w:val="21"/>
              </w:rPr>
            </w:pPr>
            <w:r>
              <w:rPr>
                <w:rFonts w:ascii="宋体" w:hAnsi="宋体" w:cs="宋体" w:eastAsia="宋体" w:hint="default"/>
                <w:sz w:val="21"/>
                <w:szCs w:val="21"/>
              </w:rPr>
              <w:t>项</w:t>
              <w:tab/>
              <w:t>目 合计</w:t>
            </w:r>
          </w:p>
          <w:p>
            <w:pPr>
              <w:pStyle w:val="TableParagraph"/>
              <w:spacing w:line="240" w:lineRule="auto" w:before="96"/>
              <w:ind w:right="301"/>
              <w:jc w:val="center"/>
              <w:rPr>
                <w:rFonts w:ascii="宋体" w:hAnsi="宋体" w:cs="宋体" w:eastAsia="宋体" w:hint="default"/>
                <w:sz w:val="20"/>
                <w:szCs w:val="20"/>
              </w:rPr>
            </w:pPr>
            <w:r>
              <w:rPr>
                <w:rFonts w:ascii="宋体" w:hAnsi="宋体" w:cs="宋体" w:eastAsia="宋体" w:hint="default"/>
                <w:sz w:val="20"/>
                <w:szCs w:val="20"/>
              </w:rPr>
              <w:t>其中：大额费用列示如下</w:t>
            </w:r>
          </w:p>
        </w:tc>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0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p>
            <w:pPr>
              <w:pStyle w:val="TableParagraph"/>
              <w:spacing w:line="240" w:lineRule="auto" w:before="2"/>
              <w:ind w:right="0"/>
              <w:jc w:val="left"/>
              <w:rPr>
                <w:rFonts w:ascii="宋体" w:hAnsi="宋体" w:cs="宋体" w:eastAsia="宋体" w:hint="default"/>
                <w:sz w:val="30"/>
                <w:szCs w:val="30"/>
              </w:rPr>
            </w:pPr>
          </w:p>
          <w:p>
            <w:pPr>
              <w:pStyle w:val="TableParagraph"/>
              <w:spacing w:line="240" w:lineRule="auto"/>
              <w:ind w:left="1466" w:right="0"/>
              <w:jc w:val="left"/>
              <w:rPr>
                <w:rFonts w:ascii="Times New Roman" w:hAnsi="Times New Roman" w:cs="Times New Roman" w:eastAsia="Times New Roman" w:hint="default"/>
                <w:sz w:val="20"/>
                <w:szCs w:val="20"/>
              </w:rPr>
            </w:pPr>
            <w:r>
              <w:rPr>
                <w:rFonts w:ascii="Times New Roman"/>
                <w:sz w:val="20"/>
              </w:rPr>
              <w:t>4,973,986.40</w:t>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5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p>
            <w:pPr>
              <w:pStyle w:val="TableParagraph"/>
              <w:spacing w:line="240" w:lineRule="auto" w:before="2"/>
              <w:ind w:right="0"/>
              <w:jc w:val="left"/>
              <w:rPr>
                <w:rFonts w:ascii="宋体" w:hAnsi="宋体" w:cs="宋体" w:eastAsia="宋体" w:hint="default"/>
                <w:sz w:val="30"/>
                <w:szCs w:val="30"/>
              </w:rPr>
            </w:pPr>
          </w:p>
          <w:p>
            <w:pPr>
              <w:pStyle w:val="TableParagraph"/>
              <w:spacing w:line="240" w:lineRule="auto"/>
              <w:ind w:left="1294" w:right="0"/>
              <w:jc w:val="left"/>
              <w:rPr>
                <w:rFonts w:ascii="Times New Roman" w:hAnsi="Times New Roman" w:cs="Times New Roman" w:eastAsia="Times New Roman" w:hint="default"/>
                <w:sz w:val="20"/>
                <w:szCs w:val="20"/>
              </w:rPr>
            </w:pPr>
            <w:r>
              <w:rPr>
                <w:rFonts w:ascii="Times New Roman"/>
                <w:sz w:val="20"/>
              </w:rPr>
              <w:t>5,033,713.75</w:t>
            </w:r>
          </w:p>
        </w:tc>
      </w:tr>
      <w:tr>
        <w:trPr>
          <w:trHeight w:val="621" w:hRule="exact"/>
        </w:trPr>
        <w:tc>
          <w:tcPr>
            <w:tcW w:w="3311"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922" w:right="0"/>
              <w:jc w:val="left"/>
              <w:rPr>
                <w:rFonts w:ascii="宋体" w:hAnsi="宋体" w:cs="宋体" w:eastAsia="宋体" w:hint="default"/>
                <w:sz w:val="20"/>
                <w:szCs w:val="20"/>
              </w:rPr>
            </w:pPr>
            <w:r>
              <w:rPr>
                <w:rFonts w:ascii="宋体" w:hAnsi="宋体" w:cs="宋体" w:eastAsia="宋体" w:hint="default"/>
                <w:sz w:val="20"/>
                <w:szCs w:val="20"/>
              </w:rPr>
              <w:t>工资</w:t>
            </w:r>
          </w:p>
        </w:tc>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553"/>
              <w:jc w:val="right"/>
              <w:rPr>
                <w:rFonts w:ascii="Times New Roman" w:hAnsi="Times New Roman" w:cs="Times New Roman" w:eastAsia="Times New Roman" w:hint="default"/>
                <w:sz w:val="20"/>
                <w:szCs w:val="20"/>
              </w:rPr>
            </w:pPr>
            <w:r>
              <w:rPr>
                <w:rFonts w:ascii="Times New Roman"/>
                <w:spacing w:val="-1"/>
                <w:sz w:val="20"/>
              </w:rPr>
              <w:t>829,123.21</w:t>
            </w:r>
            <w:r>
              <w:rPr>
                <w:rFonts w:ascii="Times New Roman"/>
                <w:sz w:val="20"/>
              </w:rPr>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20"/>
                <w:szCs w:val="20"/>
              </w:rPr>
            </w:pPr>
            <w:r>
              <w:rPr>
                <w:rFonts w:ascii="Times New Roman"/>
                <w:spacing w:val="-1"/>
                <w:sz w:val="20"/>
              </w:rPr>
              <w:t>1,174,295.41</w:t>
            </w:r>
            <w:r>
              <w:rPr>
                <w:rFonts w:ascii="Times New Roman"/>
                <w:sz w:val="20"/>
              </w:rPr>
            </w:r>
          </w:p>
        </w:tc>
      </w:tr>
      <w:tr>
        <w:trPr>
          <w:trHeight w:val="610" w:hRule="exact"/>
        </w:trPr>
        <w:tc>
          <w:tcPr>
            <w:tcW w:w="3311"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922" w:right="0"/>
              <w:jc w:val="left"/>
              <w:rPr>
                <w:rFonts w:ascii="宋体" w:hAnsi="宋体" w:cs="宋体" w:eastAsia="宋体" w:hint="default"/>
                <w:sz w:val="20"/>
                <w:szCs w:val="20"/>
              </w:rPr>
            </w:pPr>
            <w:r>
              <w:rPr>
                <w:rFonts w:ascii="宋体" w:hAnsi="宋体" w:cs="宋体" w:eastAsia="宋体" w:hint="default"/>
                <w:sz w:val="20"/>
                <w:szCs w:val="20"/>
              </w:rPr>
              <w:t>折旧费</w:t>
            </w:r>
          </w:p>
        </w:tc>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553"/>
              <w:jc w:val="right"/>
              <w:rPr>
                <w:rFonts w:ascii="Times New Roman" w:hAnsi="Times New Roman" w:cs="Times New Roman" w:eastAsia="Times New Roman" w:hint="default"/>
                <w:sz w:val="20"/>
                <w:szCs w:val="20"/>
              </w:rPr>
            </w:pPr>
            <w:r>
              <w:rPr>
                <w:rFonts w:ascii="Times New Roman"/>
                <w:spacing w:val="-1"/>
                <w:sz w:val="20"/>
              </w:rPr>
              <w:t>646,483.26</w:t>
            </w:r>
            <w:r>
              <w:rPr>
                <w:rFonts w:ascii="Times New Roman"/>
                <w:sz w:val="20"/>
              </w:rPr>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0"/>
                <w:szCs w:val="20"/>
              </w:rPr>
            </w:pPr>
            <w:r>
              <w:rPr>
                <w:rFonts w:ascii="Times New Roman"/>
                <w:spacing w:val="-1"/>
                <w:sz w:val="20"/>
              </w:rPr>
              <w:t>353,152.12</w:t>
            </w:r>
            <w:r>
              <w:rPr>
                <w:rFonts w:ascii="Times New Roman"/>
                <w:sz w:val="20"/>
              </w:rPr>
            </w:r>
          </w:p>
        </w:tc>
      </w:tr>
      <w:tr>
        <w:trPr>
          <w:trHeight w:val="610" w:hRule="exact"/>
        </w:trPr>
        <w:tc>
          <w:tcPr>
            <w:tcW w:w="3311"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922" w:right="0"/>
              <w:jc w:val="left"/>
              <w:rPr>
                <w:rFonts w:ascii="宋体" w:hAnsi="宋体" w:cs="宋体" w:eastAsia="宋体" w:hint="default"/>
                <w:sz w:val="20"/>
                <w:szCs w:val="20"/>
              </w:rPr>
            </w:pPr>
            <w:r>
              <w:rPr>
                <w:rFonts w:ascii="宋体" w:hAnsi="宋体" w:cs="宋体" w:eastAsia="宋体" w:hint="default"/>
                <w:sz w:val="20"/>
                <w:szCs w:val="20"/>
              </w:rPr>
              <w:t>业务招待费</w:t>
            </w:r>
          </w:p>
        </w:tc>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53"/>
              <w:jc w:val="right"/>
              <w:rPr>
                <w:rFonts w:ascii="Times New Roman" w:hAnsi="Times New Roman" w:cs="Times New Roman" w:eastAsia="Times New Roman" w:hint="default"/>
                <w:sz w:val="20"/>
                <w:szCs w:val="20"/>
              </w:rPr>
            </w:pPr>
            <w:r>
              <w:rPr>
                <w:rFonts w:ascii="Times New Roman"/>
                <w:spacing w:val="-1"/>
                <w:sz w:val="20"/>
              </w:rPr>
              <w:t>93,725.50</w:t>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0"/>
                <w:szCs w:val="20"/>
              </w:rPr>
            </w:pPr>
            <w:r>
              <w:rPr>
                <w:rFonts w:ascii="Times New Roman"/>
                <w:spacing w:val="-1"/>
                <w:sz w:val="20"/>
              </w:rPr>
              <w:t>17,879.50</w:t>
            </w:r>
          </w:p>
        </w:tc>
      </w:tr>
      <w:tr>
        <w:trPr>
          <w:trHeight w:val="610" w:hRule="exact"/>
        </w:trPr>
        <w:tc>
          <w:tcPr>
            <w:tcW w:w="3311"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922" w:right="0"/>
              <w:jc w:val="left"/>
              <w:rPr>
                <w:rFonts w:ascii="宋体" w:hAnsi="宋体" w:cs="宋体" w:eastAsia="宋体" w:hint="default"/>
                <w:sz w:val="20"/>
                <w:szCs w:val="20"/>
              </w:rPr>
            </w:pPr>
            <w:r>
              <w:rPr>
                <w:rFonts w:ascii="宋体" w:hAnsi="宋体" w:cs="宋体" w:eastAsia="宋体" w:hint="default"/>
                <w:sz w:val="20"/>
                <w:szCs w:val="20"/>
              </w:rPr>
              <w:t>律师费用</w:t>
            </w:r>
          </w:p>
        </w:tc>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553"/>
              <w:jc w:val="right"/>
              <w:rPr>
                <w:rFonts w:ascii="Times New Roman" w:hAnsi="Times New Roman" w:cs="Times New Roman" w:eastAsia="Times New Roman" w:hint="default"/>
                <w:sz w:val="20"/>
                <w:szCs w:val="20"/>
              </w:rPr>
            </w:pPr>
            <w:r>
              <w:rPr>
                <w:rFonts w:ascii="Times New Roman"/>
                <w:spacing w:val="-1"/>
                <w:sz w:val="20"/>
              </w:rPr>
              <w:t>120,000.00</w:t>
            </w:r>
            <w:r>
              <w:rPr>
                <w:rFonts w:ascii="Times New Roman"/>
                <w:sz w:val="20"/>
              </w:rPr>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0"/>
                <w:szCs w:val="20"/>
              </w:rPr>
            </w:pPr>
            <w:r>
              <w:rPr>
                <w:rFonts w:ascii="Times New Roman"/>
                <w:spacing w:val="-1"/>
                <w:sz w:val="20"/>
              </w:rPr>
              <w:t>1,205,617.10</w:t>
            </w:r>
            <w:r>
              <w:rPr>
                <w:rFonts w:ascii="Times New Roman"/>
                <w:sz w:val="20"/>
              </w:rPr>
            </w:r>
          </w:p>
        </w:tc>
      </w:tr>
      <w:tr>
        <w:trPr>
          <w:trHeight w:val="610" w:hRule="exact"/>
        </w:trPr>
        <w:tc>
          <w:tcPr>
            <w:tcW w:w="3311"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922" w:right="0"/>
              <w:jc w:val="left"/>
              <w:rPr>
                <w:rFonts w:ascii="宋体" w:hAnsi="宋体" w:cs="宋体" w:eastAsia="宋体" w:hint="default"/>
                <w:sz w:val="20"/>
                <w:szCs w:val="20"/>
              </w:rPr>
            </w:pPr>
            <w:r>
              <w:rPr>
                <w:rFonts w:ascii="宋体" w:hAnsi="宋体" w:cs="宋体" w:eastAsia="宋体" w:hint="default"/>
                <w:sz w:val="20"/>
                <w:szCs w:val="20"/>
              </w:rPr>
              <w:t>租赁费</w:t>
            </w:r>
          </w:p>
        </w:tc>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553"/>
              <w:jc w:val="right"/>
              <w:rPr>
                <w:rFonts w:ascii="Times New Roman" w:hAnsi="Times New Roman" w:cs="Times New Roman" w:eastAsia="Times New Roman" w:hint="default"/>
                <w:sz w:val="20"/>
                <w:szCs w:val="20"/>
              </w:rPr>
            </w:pPr>
            <w:r>
              <w:rPr>
                <w:rFonts w:ascii="Times New Roman"/>
                <w:spacing w:val="-1"/>
                <w:sz w:val="20"/>
              </w:rPr>
              <w:t>121,625.72</w:t>
            </w:r>
            <w:r>
              <w:rPr>
                <w:rFonts w:ascii="Times New Roman"/>
                <w:sz w:val="20"/>
              </w:rPr>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0"/>
                <w:szCs w:val="20"/>
              </w:rPr>
            </w:pPr>
            <w:r>
              <w:rPr>
                <w:rFonts w:ascii="Times New Roman"/>
                <w:spacing w:val="-1"/>
                <w:sz w:val="20"/>
              </w:rPr>
              <w:t>183,750.50</w:t>
            </w:r>
            <w:r>
              <w:rPr>
                <w:rFonts w:ascii="Times New Roman"/>
                <w:sz w:val="20"/>
              </w:rPr>
            </w:r>
          </w:p>
        </w:tc>
      </w:tr>
      <w:tr>
        <w:trPr>
          <w:trHeight w:val="610" w:hRule="exact"/>
        </w:trPr>
        <w:tc>
          <w:tcPr>
            <w:tcW w:w="3311"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922" w:right="0"/>
              <w:jc w:val="left"/>
              <w:rPr>
                <w:rFonts w:ascii="宋体" w:hAnsi="宋体" w:cs="宋体" w:eastAsia="宋体" w:hint="default"/>
                <w:sz w:val="20"/>
                <w:szCs w:val="20"/>
              </w:rPr>
            </w:pPr>
            <w:r>
              <w:rPr>
                <w:rFonts w:ascii="宋体" w:hAnsi="宋体" w:cs="宋体" w:eastAsia="宋体" w:hint="default"/>
                <w:sz w:val="20"/>
                <w:szCs w:val="20"/>
              </w:rPr>
              <w:t>办公费</w:t>
            </w:r>
          </w:p>
        </w:tc>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53"/>
              <w:jc w:val="right"/>
              <w:rPr>
                <w:rFonts w:ascii="Times New Roman" w:hAnsi="Times New Roman" w:cs="Times New Roman" w:eastAsia="Times New Roman" w:hint="default"/>
                <w:sz w:val="20"/>
                <w:szCs w:val="20"/>
              </w:rPr>
            </w:pPr>
            <w:r>
              <w:rPr>
                <w:rFonts w:ascii="Times New Roman"/>
                <w:spacing w:val="-1"/>
                <w:sz w:val="20"/>
              </w:rPr>
              <w:t>130,614.77</w:t>
            </w:r>
            <w:r>
              <w:rPr>
                <w:rFonts w:ascii="Times New Roman"/>
                <w:sz w:val="20"/>
              </w:rPr>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0"/>
                <w:szCs w:val="20"/>
              </w:rPr>
            </w:pPr>
            <w:r>
              <w:rPr>
                <w:rFonts w:ascii="Times New Roman"/>
                <w:spacing w:val="-1"/>
                <w:sz w:val="20"/>
              </w:rPr>
              <w:t>155,437.46</w:t>
            </w:r>
            <w:r>
              <w:rPr>
                <w:rFonts w:ascii="Times New Roman"/>
                <w:sz w:val="20"/>
              </w:rPr>
            </w:r>
          </w:p>
        </w:tc>
      </w:tr>
      <w:tr>
        <w:trPr>
          <w:trHeight w:val="610" w:hRule="exact"/>
        </w:trPr>
        <w:tc>
          <w:tcPr>
            <w:tcW w:w="3311"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922" w:right="0"/>
              <w:jc w:val="left"/>
              <w:rPr>
                <w:rFonts w:ascii="宋体" w:hAnsi="宋体" w:cs="宋体" w:eastAsia="宋体" w:hint="default"/>
                <w:sz w:val="20"/>
                <w:szCs w:val="20"/>
              </w:rPr>
            </w:pPr>
            <w:r>
              <w:rPr>
                <w:rFonts w:ascii="宋体" w:hAnsi="宋体" w:cs="宋体" w:eastAsia="宋体" w:hint="default"/>
                <w:sz w:val="20"/>
                <w:szCs w:val="20"/>
              </w:rPr>
              <w:t>社保费</w:t>
            </w:r>
          </w:p>
        </w:tc>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553"/>
              <w:jc w:val="right"/>
              <w:rPr>
                <w:rFonts w:ascii="Times New Roman" w:hAnsi="Times New Roman" w:cs="Times New Roman" w:eastAsia="Times New Roman" w:hint="default"/>
                <w:sz w:val="20"/>
                <w:szCs w:val="20"/>
              </w:rPr>
            </w:pPr>
            <w:r>
              <w:rPr>
                <w:rFonts w:ascii="Times New Roman"/>
                <w:spacing w:val="-1"/>
                <w:sz w:val="20"/>
              </w:rPr>
              <w:t>138,359.94</w:t>
            </w:r>
            <w:r>
              <w:rPr>
                <w:rFonts w:ascii="Times New Roman"/>
                <w:sz w:val="20"/>
              </w:rPr>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0"/>
                <w:szCs w:val="20"/>
              </w:rPr>
            </w:pPr>
            <w:r>
              <w:rPr>
                <w:rFonts w:ascii="Times New Roman"/>
                <w:spacing w:val="-1"/>
                <w:sz w:val="20"/>
              </w:rPr>
              <w:t>265,126.20</w:t>
            </w:r>
            <w:r>
              <w:rPr>
                <w:rFonts w:ascii="Times New Roman"/>
                <w:sz w:val="20"/>
              </w:rPr>
            </w:r>
          </w:p>
        </w:tc>
      </w:tr>
      <w:tr>
        <w:trPr>
          <w:trHeight w:val="439" w:hRule="exact"/>
        </w:trPr>
        <w:tc>
          <w:tcPr>
            <w:tcW w:w="3311" w:type="dxa"/>
            <w:tcBorders>
              <w:top w:val="nil" w:sz="6" w:space="0" w:color="auto"/>
              <w:left w:val="nil" w:sz="6" w:space="0" w:color="auto"/>
              <w:bottom w:val="single" w:sz="12" w:space="0" w:color="000000"/>
              <w:right w:val="nil" w:sz="6" w:space="0" w:color="auto"/>
            </w:tcBorders>
          </w:tcPr>
          <w:p>
            <w:pPr>
              <w:pStyle w:val="TableParagraph"/>
              <w:spacing w:line="240" w:lineRule="auto" w:before="131"/>
              <w:ind w:left="922" w:right="0"/>
              <w:jc w:val="left"/>
              <w:rPr>
                <w:rFonts w:ascii="宋体" w:hAnsi="宋体" w:cs="宋体" w:eastAsia="宋体" w:hint="default"/>
                <w:sz w:val="20"/>
                <w:szCs w:val="20"/>
              </w:rPr>
            </w:pPr>
            <w:r>
              <w:rPr>
                <w:rFonts w:ascii="宋体" w:hAnsi="宋体" w:cs="宋体" w:eastAsia="宋体" w:hint="default"/>
                <w:sz w:val="20"/>
                <w:szCs w:val="20"/>
              </w:rPr>
              <w:t>审计咨询费</w:t>
            </w:r>
          </w:p>
        </w:tc>
        <w:tc>
          <w:tcPr>
            <w:tcW w:w="3072"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553"/>
              <w:jc w:val="right"/>
              <w:rPr>
                <w:rFonts w:ascii="Times New Roman" w:hAnsi="Times New Roman" w:cs="Times New Roman" w:eastAsia="Times New Roman" w:hint="default"/>
                <w:sz w:val="20"/>
                <w:szCs w:val="20"/>
              </w:rPr>
            </w:pPr>
            <w:r>
              <w:rPr>
                <w:rFonts w:ascii="Times New Roman"/>
                <w:spacing w:val="-1"/>
                <w:sz w:val="20"/>
              </w:rPr>
              <w:t>1,138,000.00</w:t>
            </w:r>
            <w:r>
              <w:rPr>
                <w:rFonts w:ascii="Times New Roman"/>
                <w:sz w:val="20"/>
              </w:rPr>
            </w:r>
          </w:p>
        </w:tc>
        <w:tc>
          <w:tcPr>
            <w:tcW w:w="2452"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0"/>
                <w:szCs w:val="20"/>
              </w:rPr>
            </w:pPr>
            <w:r>
              <w:rPr>
                <w:rFonts w:ascii="Times New Roman"/>
                <w:spacing w:val="-1"/>
                <w:sz w:val="20"/>
              </w:rPr>
              <w:t>556,000.00</w:t>
            </w:r>
            <w:r>
              <w:rPr>
                <w:rFonts w:ascii="Times New Roman"/>
                <w:sz w:val="20"/>
              </w:rPr>
            </w:r>
          </w:p>
        </w:tc>
      </w:tr>
    </w:tbl>
    <w:p>
      <w:pPr>
        <w:spacing w:after="0" w:line="240" w:lineRule="auto"/>
        <w:jc w:val="right"/>
        <w:rPr>
          <w:rFonts w:ascii="Times New Roman" w:hAnsi="Times New Roman" w:cs="Times New Roman" w:eastAsia="Times New Roman" w:hint="default"/>
          <w:sz w:val="20"/>
          <w:szCs w:val="20"/>
        </w:rPr>
        <w:sectPr>
          <w:pgSz w:w="11910" w:h="16840"/>
          <w:pgMar w:header="0" w:footer="710" w:top="580" w:bottom="900" w:left="1280" w:right="126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15880"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674" w:lineRule="exact"/>
        <w:ind w:left="10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
          <w:sz w:val="20"/>
          <w:szCs w:val="20"/>
        </w:rPr>
        <w:pict>
          <v:group style="width:457.2pt;height:33.75pt;mso-position-horizontal-relative:char;mso-position-vertical-relative:line" coordorigin="0,0" coordsize="9144,67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style="position:absolute;left:162;top:29;width:8813;height:2" coordorigin="162,29" coordsize="8813,2">
              <v:shape style="position:absolute;left:162;top:29;width:8813;height:2" coordorigin="162,29" coordsize="8813,0" path="m162,29l8975,29e" filled="false" stroked="true" strokeweight="1.5pt" strokecolor="#000000">
                <v:path arrowok="t"/>
              </v:shape>
            </v:group>
            <v:group style="position:absolute;left:148;top:659;width:2991;height:2" coordorigin="148,659" coordsize="2991,2">
              <v:shape style="position:absolute;left:148;top:659;width:2991;height:2" coordorigin="148,659" coordsize="2991,0" path="m148,659l3138,659e" filled="false" stroked="true" strokeweight="1.5pt" strokecolor="#000000">
                <v:path arrowok="t"/>
              </v:shape>
              <v:shape style="position:absolute;left:3119;top:25;width:48;height:638" type="#_x0000_t75" stroked="false">
                <v:imagedata r:id="rId152" o:title=""/>
              </v:shape>
            </v:group>
            <v:group style="position:absolute;left:3138;top:659;width:2940;height:2" coordorigin="3138,659" coordsize="2940,2">
              <v:shape style="position:absolute;left:3138;top:659;width:2940;height:2" coordorigin="3138,659" coordsize="2940,0" path="m3138,659l6078,659e" filled="false" stroked="true" strokeweight="1.5pt" strokecolor="#000000">
                <v:path arrowok="t"/>
              </v:shape>
              <v:shape style="position:absolute;left:6059;top:25;width:48;height:638" type="#_x0000_t75" stroked="false">
                <v:imagedata r:id="rId153" o:title=""/>
              </v:shape>
            </v:group>
            <v:group style="position:absolute;left:6078;top:659;width:2904;height:2" coordorigin="6078,659" coordsize="2904,2">
              <v:shape style="position:absolute;left:6078;top:659;width:2904;height:2" coordorigin="6078,659" coordsize="2904,0" path="m6078,659l8982,659e" filled="false" stroked="true" strokeweight="1.5pt" strokecolor="#000000">
                <v:path arrowok="t"/>
              </v:shape>
              <v:shape style="position:absolute;left:1451;top:41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税费</w:t>
                      </w:r>
                    </w:p>
                  </w:txbxContent>
                </v:textbox>
                <w10:wrap type="none"/>
              </v:shape>
              <v:shape style="position:absolute;left:4163;top:436;width:900;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spacing w:val="-1"/>
                          <w:sz w:val="20"/>
                        </w:rPr>
                        <w:t>878,958.00</w:t>
                      </w:r>
                      <w:r>
                        <w:rPr>
                          <w:rFonts w:ascii="Times New Roman"/>
                          <w:sz w:val="20"/>
                        </w:rPr>
                      </w:r>
                    </w:p>
                  </w:txbxContent>
                </v:textbox>
                <w10:wrap type="none"/>
              </v:shape>
            </v:group>
          </v:group>
        </w:pict>
      </w:r>
      <w:r>
        <w:rPr>
          <w:rFonts w:ascii="Times New Roman" w:hAnsi="Times New Roman" w:cs="Times New Roman" w:eastAsia="Times New Roman" w:hint="default"/>
          <w:position w:val="-12"/>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4"/>
          <w:szCs w:val="24"/>
        </w:rPr>
      </w:pPr>
    </w:p>
    <w:p>
      <w:pPr>
        <w:spacing w:before="35"/>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22.</w:t>
      </w:r>
      <w:r>
        <w:rPr>
          <w:rFonts w:ascii="宋体" w:hAnsi="宋体" w:cs="宋体" w:eastAsia="宋体" w:hint="default"/>
          <w:sz w:val="21"/>
          <w:szCs w:val="21"/>
        </w:rPr>
        <w:t>财务费用</w:t>
      </w:r>
    </w:p>
    <w:p>
      <w:pPr>
        <w:spacing w:line="4320" w:lineRule="exact"/>
        <w:ind w:left="334" w:right="0" w:firstLine="0"/>
        <w:rPr>
          <w:rFonts w:ascii="宋体" w:hAnsi="宋体" w:cs="宋体" w:eastAsia="宋体" w:hint="default"/>
          <w:sz w:val="20"/>
          <w:szCs w:val="20"/>
        </w:rPr>
      </w:pPr>
      <w:r>
        <w:rPr>
          <w:rFonts w:ascii="宋体" w:hAnsi="宋体" w:cs="宋体" w:eastAsia="宋体" w:hint="default"/>
          <w:position w:val="-85"/>
          <w:sz w:val="20"/>
          <w:szCs w:val="20"/>
        </w:rPr>
        <w:pict>
          <v:group style="width:433.65pt;height:216pt;mso-position-horizontal-relative:char;mso-position-vertical-relative:line" coordorigin="0,0" coordsize="8673,4320">
            <v:group style="position:absolute;left:29;top:15;width:8613;height:2" coordorigin="29,15" coordsize="8613,2">
              <v:shape style="position:absolute;left:29;top:15;width:8613;height:2" coordorigin="29,15" coordsize="8613,0" path="m29,15l8642,15e" filled="false" stroked="true" strokeweight="1.5pt" strokecolor="#000000">
                <v:path arrowok="t"/>
              </v:shape>
              <v:shape style="position:absolute;left:3005;top:11;width:2868;height:638" type="#_x0000_t75" stroked="false">
                <v:imagedata r:id="rId154" o:title=""/>
              </v:shape>
            </v:group>
            <v:group style="position:absolute;left:15;top:4305;width:3010;height:2" coordorigin="15,4305" coordsize="3010,2">
              <v:shape style="position:absolute;left:15;top:4305;width:3010;height:2" coordorigin="15,4305" coordsize="3010,0" path="m15,4305l3025,4305e" filled="false" stroked="true" strokeweight="1.5pt" strokecolor="#000000">
                <v:path arrowok="t"/>
              </v:shape>
              <v:shape style="position:absolute;left:10;top:611;width:8663;height:3698" type="#_x0000_t75" stroked="false">
                <v:imagedata r:id="rId155" o:title=""/>
              </v:shape>
            </v:group>
            <v:group style="position:absolute;left:3025;top:4305;width:2820;height:2" coordorigin="3025,4305" coordsize="2820,2">
              <v:shape style="position:absolute;left:3025;top:4305;width:2820;height:2" coordorigin="3025,4305" coordsize="2820,0" path="m3025,4305l5845,4305e" filled="false" stroked="true" strokeweight="1.5pt" strokecolor="#000000">
                <v:path arrowok="t"/>
              </v:shape>
              <v:shape style="position:absolute;left:5825;top:3670;width:48;height:640" type="#_x0000_t75" stroked="false">
                <v:imagedata r:id="rId156" o:title=""/>
              </v:shape>
            </v:group>
            <v:group style="position:absolute;left:5845;top:4305;width:2805;height:2" coordorigin="5845,4305" coordsize="2805,2">
              <v:shape style="position:absolute;left:5845;top:4305;width:2805;height:2" coordorigin="5845,4305" coordsize="2805,0" path="m5845,4305l8649,4305e" filled="false" stroked="true" strokeweight="1.5pt" strokecolor="#000000">
                <v:path arrowok="t"/>
              </v:shape>
              <v:shape style="position:absolute;left:1109;top:387;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1739;top:387;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3992;top:387;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xbxContent>
                </v:textbox>
                <w10:wrap type="none"/>
              </v:shape>
              <v:shape style="position:absolute;left:6802;top:387;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xbxContent>
                </v:textbox>
                <w10:wrap type="none"/>
              </v:shape>
              <v:shape style="position:absolute;left:137;top:99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利息支出</w:t>
                      </w:r>
                    </w:p>
                  </w:txbxContent>
                </v:textbox>
                <w10:wrap type="none"/>
              </v:shape>
              <v:shape style="position:absolute;left:4639;top:1024;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3,420,000.00</w:t>
                      </w:r>
                    </w:p>
                  </w:txbxContent>
                </v:textbox>
                <w10:wrap type="none"/>
              </v:shape>
              <v:shape style="position:absolute;left:7438;top:1024;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5,500,414.37</w:t>
                      </w:r>
                    </w:p>
                  </w:txbxContent>
                </v:textbox>
                <w10:wrap type="none"/>
              </v:shape>
              <v:shape style="position:absolute;left:137;top:160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减：利息收入</w:t>
                      </w:r>
                    </w:p>
                  </w:txbxContent>
                </v:textbox>
                <w10:wrap type="none"/>
              </v:shape>
              <v:shape style="position:absolute;left:4831;top:1633;width:91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-25,466.95</w:t>
                      </w:r>
                      <w:r>
                        <w:rPr>
                          <w:rFonts w:ascii="Times New Roman"/>
                          <w:sz w:val="21"/>
                        </w:rPr>
                      </w:r>
                    </w:p>
                  </w:txbxContent>
                </v:textbox>
                <w10:wrap type="none"/>
              </v:shape>
              <v:shape style="position:absolute;left:7734;top:1633;width:806;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-3,915.23</w:t>
                      </w:r>
                    </w:p>
                  </w:txbxContent>
                </v:textbox>
                <w10:wrap type="none"/>
              </v:shape>
              <v:shape style="position:absolute;left:137;top:221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汇兑损失</w:t>
                      </w:r>
                    </w:p>
                  </w:txbxContent>
                </v:textbox>
                <w10:wrap type="none"/>
              </v:shape>
              <v:shape style="position:absolute;left:5672;top:224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8471;top:224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137;top:282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减：汇兑收益</w:t>
                      </w:r>
                    </w:p>
                  </w:txbxContent>
                </v:textbox>
                <w10:wrap type="none"/>
              </v:shape>
              <v:shape style="position:absolute;left:5672;top:2854;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8471;top:2854;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137;top:3436;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手续费</w:t>
                      </w:r>
                    </w:p>
                  </w:txbxContent>
                </v:textbox>
                <w10:wrap type="none"/>
              </v:shape>
              <v:shape style="position:absolute;left:5006;top:3463;width:73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4,763.28</w:t>
                      </w:r>
                      <w:r>
                        <w:rPr>
                          <w:rFonts w:ascii="Times New Roman"/>
                          <w:sz w:val="21"/>
                        </w:rPr>
                      </w:r>
                    </w:p>
                  </w:txbxContent>
                </v:textbox>
                <w10:wrap type="none"/>
              </v:shape>
              <v:shape style="position:absolute;left:7805;top:3463;width:73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5,513.88</w:t>
                      </w:r>
                      <w:r>
                        <w:rPr>
                          <w:rFonts w:ascii="Times New Roman"/>
                          <w:sz w:val="21"/>
                        </w:rPr>
                      </w:r>
                    </w:p>
                  </w:txbxContent>
                </v:textbox>
                <w10:wrap type="none"/>
              </v:shape>
              <v:shape style="position:absolute;left:1108;top:4046;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1739;top:4046;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4639;top:4073;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3,399,296.33</w:t>
                      </w:r>
                    </w:p>
                  </w:txbxContent>
                </v:textbox>
                <w10:wrap type="none"/>
              </v:shape>
              <v:shape style="position:absolute;left:7438;top:4073;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5,502,013.02</w:t>
                      </w:r>
                    </w:p>
                  </w:txbxContent>
                </v:textbox>
                <w10:wrap type="none"/>
              </v:shape>
            </v:group>
          </v:group>
        </w:pict>
      </w:r>
      <w:r>
        <w:rPr>
          <w:rFonts w:ascii="宋体" w:hAnsi="宋体" w:cs="宋体" w:eastAsia="宋体" w:hint="default"/>
          <w:position w:val="-85"/>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spacing w:before="35"/>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23.</w:t>
      </w:r>
      <w:r>
        <w:rPr>
          <w:rFonts w:ascii="宋体" w:hAnsi="宋体" w:cs="宋体" w:eastAsia="宋体" w:hint="default"/>
          <w:sz w:val="21"/>
          <w:szCs w:val="21"/>
        </w:rPr>
        <w:t>资产减值损失</w:t>
      </w:r>
    </w:p>
    <w:p>
      <w:pPr>
        <w:spacing w:line="1110" w:lineRule="exact"/>
        <w:ind w:left="529"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20.7pt;height:55.5pt;mso-position-horizontal-relative:char;mso-position-vertical-relative:line" coordorigin="0,0" coordsize="8414,1110">
            <v:group style="position:absolute;left:29;top:15;width:8362;height:2" coordorigin="29,15" coordsize="8362,2">
              <v:shape style="position:absolute;left:29;top:15;width:8362;height:2" coordorigin="29,15" coordsize="8362,0" path="m29,15l8391,15e" filled="false" stroked="true" strokeweight="1.5pt" strokecolor="#000000">
                <v:path arrowok="t"/>
              </v:shape>
            </v:group>
            <v:group style="position:absolute;left:15;top:1095;width:2846;height:2" coordorigin="15,1095" coordsize="2846,2">
              <v:shape style="position:absolute;left:15;top:1095;width:2846;height:2" coordorigin="15,1095" coordsize="2846,0" path="m15,1095l2860,1095e" filled="false" stroked="true" strokeweight="1.5pt" strokecolor="#000000">
                <v:path arrowok="t"/>
              </v:shape>
              <v:shape style="position:absolute;left:10;top:11;width:8384;height:1088" type="#_x0000_t75" stroked="false">
                <v:imagedata r:id="rId157" o:title=""/>
              </v:shape>
            </v:group>
            <v:group style="position:absolute;left:2860;top:1095;width:2415;height:2" coordorigin="2860,1095" coordsize="2415,2">
              <v:shape style="position:absolute;left:2860;top:1095;width:2415;height:2" coordorigin="2860,1095" coordsize="2415,0" path="m2860,1095l5275,1095e" filled="false" stroked="true" strokeweight="1.5pt" strokecolor="#000000">
                <v:path arrowok="t"/>
              </v:shape>
              <v:shape style="position:absolute;left:5255;top:541;width:48;height:558" type="#_x0000_t75" stroked="false">
                <v:imagedata r:id="rId158" o:title=""/>
              </v:shape>
            </v:group>
            <v:group style="position:absolute;left:5275;top:1095;width:3124;height:2" coordorigin="5275,1095" coordsize="3124,2">
              <v:shape style="position:absolute;left:5275;top:1095;width:3124;height:2" coordorigin="5275,1095" coordsize="3124,0" path="m5275,1095l8398,1095e" filled="false" stroked="true" strokeweight="1.5pt" strokecolor="#000000">
                <v:path arrowok="t"/>
              </v:shape>
              <v:shape style="position:absolute;left:921;top:30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名</w:t>
                      </w:r>
                    </w:p>
                  </w:txbxContent>
                </v:textbox>
                <w10:wrap type="none"/>
              </v:shape>
              <v:shape style="position:absolute;left:1762;top:30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称</w:t>
                      </w:r>
                    </w:p>
                  </w:txbxContent>
                </v:textbox>
                <w10:wrap type="none"/>
              </v:shape>
              <v:shape style="position:absolute;left:3625;top:308;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xbxContent>
                </v:textbox>
                <w10:wrap type="none"/>
              </v:shape>
              <v:shape style="position:absolute;left:6392;top:308;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xbxContent>
                </v:textbox>
                <w10:wrap type="none"/>
              </v:shape>
              <v:shape style="position:absolute;left:137;top:83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坏账损失</w:t>
                      </w:r>
                    </w:p>
                  </w:txbxContent>
                </v:textbox>
                <w10:wrap type="none"/>
              </v:shape>
              <v:shape style="position:absolute;left:4330;top:864;width:84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10,000.00</w:t>
                      </w:r>
                    </w:p>
                  </w:txbxContent>
                </v:textbox>
                <w10:wrap type="none"/>
              </v:shape>
              <v:shape style="position:absolute;left:7187;top:864;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3,640,482.07</w:t>
                      </w:r>
                    </w:p>
                  </w:txbxContent>
                </v:textbox>
                <w10:wrap type="none"/>
              </v:shape>
            </v:group>
          </v:group>
        </w:pict>
      </w:r>
      <w:r>
        <w:rPr>
          <w:rFonts w:ascii="宋体" w:hAnsi="宋体" w:cs="宋体" w:eastAsia="宋体" w:hint="default"/>
          <w:position w:val="-21"/>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spacing w:before="35"/>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24.</w:t>
      </w:r>
      <w:r>
        <w:rPr>
          <w:rFonts w:ascii="宋体" w:hAnsi="宋体" w:cs="宋体" w:eastAsia="宋体" w:hint="default"/>
          <w:sz w:val="21"/>
          <w:szCs w:val="21"/>
        </w:rPr>
        <w:t>营业外收入</w:t>
      </w:r>
    </w:p>
    <w:p>
      <w:pPr>
        <w:spacing w:line="2490" w:lineRule="exact"/>
        <w:ind w:left="334"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33.35pt;height:124.5pt;mso-position-horizontal-relative:char;mso-position-vertical-relative:line" coordorigin="0,0" coordsize="8667,2490">
            <v:group style="position:absolute;left:29;top:15;width:8613;height:2" coordorigin="29,15" coordsize="8613,2">
              <v:shape style="position:absolute;left:29;top:15;width:8613;height:2" coordorigin="29,15" coordsize="8613,0" path="m29,15l8642,15e" filled="false" stroked="true" strokeweight="1.5pt" strokecolor="#000000">
                <v:path arrowok="t"/>
              </v:shape>
              <v:shape style="position:absolute;left:3365;top:11;width:2748;height:638" type="#_x0000_t75" stroked="false">
                <v:imagedata r:id="rId159" o:title=""/>
              </v:shape>
            </v:group>
            <v:group style="position:absolute;left:15;top:2475;width:3370;height:2" coordorigin="15,2475" coordsize="3370,2">
              <v:shape style="position:absolute;left:15;top:2475;width:3370;height:2" coordorigin="15,2475" coordsize="3370,0" path="m15,2475l3385,2475e" filled="false" stroked="true" strokeweight="1.5pt" strokecolor="#000000">
                <v:path arrowok="t"/>
              </v:shape>
              <v:shape style="position:absolute;left:10;top:611;width:8657;height:1868" type="#_x0000_t75" stroked="false">
                <v:imagedata r:id="rId160" o:title=""/>
              </v:shape>
            </v:group>
            <v:group style="position:absolute;left:3385;top:2475;width:2700;height:2" coordorigin="3385,2475" coordsize="2700,2">
              <v:shape style="position:absolute;left:3385;top:2475;width:2700;height:2" coordorigin="3385,2475" coordsize="2700,0" path="m3385,2475l6085,2475e" filled="false" stroked="true" strokeweight="1.5pt" strokecolor="#000000">
                <v:path arrowok="t"/>
              </v:shape>
              <v:shape style="position:absolute;left:6065;top:1841;width:48;height:638" type="#_x0000_t75" stroked="false">
                <v:imagedata r:id="rId161" o:title=""/>
              </v:shape>
            </v:group>
            <v:group style="position:absolute;left:6085;top:2475;width:2565;height:2" coordorigin="6085,2475" coordsize="2565,2">
              <v:shape style="position:absolute;left:6085;top:2475;width:2565;height:2" coordorigin="6085,2475" coordsize="2565,0" path="m6085,2475l8649,2475e" filled="false" stroked="true" strokeweight="1.5pt" strokecolor="#000000">
                <v:path arrowok="t"/>
              </v:shape>
              <v:shape style="position:absolute;left:1289;top:387;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1919;top:387;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4292;top:387;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xbxContent>
                </v:textbox>
                <w10:wrap type="none"/>
              </v:shape>
              <v:shape style="position:absolute;left:6922;top:387;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xbxContent>
                </v:textbox>
                <w10:wrap type="none"/>
              </v:shape>
              <v:shape style="position:absolute;left:137;top:99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捐赠利得</w:t>
                      </w:r>
                    </w:p>
                  </w:txbxContent>
                </v:textbox>
                <w10:wrap type="none"/>
              </v:shape>
              <v:shape style="position:absolute;left:4669;top:1024;width:131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208,562,237.00</w:t>
                      </w:r>
                    </w:p>
                  </w:txbxContent>
                </v:textbox>
                <w10:wrap type="none"/>
              </v:shape>
              <v:shape style="position:absolute;left:7334;top:1024;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32,444,898.54</w:t>
                      </w:r>
                    </w:p>
                  </w:txbxContent>
                </v:textbox>
                <w10:wrap type="none"/>
              </v:shape>
              <v:shape style="position:absolute;left:137;top:1606;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其他</w:t>
                      </w:r>
                    </w:p>
                  </w:txbxContent>
                </v:textbox>
                <w10:wrap type="none"/>
              </v:shape>
              <v:shape style="position:absolute;left:5140;top:1633;width:84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16,605.94</w:t>
                      </w:r>
                    </w:p>
                  </w:txbxContent>
                </v:textbox>
                <w10:wrap type="none"/>
              </v:shape>
              <v:shape style="position:absolute;left:8471;top:163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1394;top:2217;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4669;top:2244;width:131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208,578,842.94</w:t>
                      </w:r>
                    </w:p>
                  </w:txbxContent>
                </v:textbox>
                <w10:wrap type="none"/>
              </v:shape>
              <v:shape style="position:absolute;left:7334;top:2244;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32,444,898.54</w:t>
                      </w:r>
                    </w:p>
                  </w:txbxContent>
                </v:textbox>
                <w10:wrap type="none"/>
              </v:shape>
            </v:group>
          </v:group>
        </w:pict>
      </w:r>
      <w:r>
        <w:rPr>
          <w:rFonts w:ascii="宋体" w:hAnsi="宋体" w:cs="宋体" w:eastAsia="宋体" w:hint="default"/>
          <w:position w:val="-49"/>
          <w:sz w:val="20"/>
          <w:szCs w:val="20"/>
        </w:rPr>
      </w:r>
    </w:p>
    <w:p>
      <w:pPr>
        <w:spacing w:line="240" w:lineRule="auto" w:before="10"/>
        <w:rPr>
          <w:rFonts w:ascii="宋体" w:hAnsi="宋体" w:cs="宋体" w:eastAsia="宋体" w:hint="default"/>
          <w:sz w:val="11"/>
          <w:szCs w:val="11"/>
        </w:rPr>
      </w:pPr>
    </w:p>
    <w:p>
      <w:pPr>
        <w:spacing w:before="35"/>
        <w:ind w:left="664" w:right="0" w:firstLine="0"/>
        <w:jc w:val="left"/>
        <w:rPr>
          <w:rFonts w:ascii="宋体" w:hAnsi="宋体" w:cs="宋体" w:eastAsia="宋体" w:hint="default"/>
          <w:sz w:val="21"/>
          <w:szCs w:val="21"/>
        </w:rPr>
      </w:pPr>
      <w:r>
        <w:rPr>
          <w:rFonts w:ascii="宋体" w:hAnsi="宋体" w:cs="宋体" w:eastAsia="宋体" w:hint="default"/>
          <w:sz w:val="21"/>
          <w:szCs w:val="21"/>
        </w:rPr>
        <w:t>本期捐赠利得系根据</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日，深大通</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年第一次临时股东大会通过了《资产赠</w:t>
      </w:r>
    </w:p>
    <w:p>
      <w:pPr>
        <w:spacing w:line="396" w:lineRule="auto" w:before="189"/>
        <w:ind w:left="138" w:right="140" w:firstLine="0"/>
        <w:jc w:val="left"/>
        <w:rPr>
          <w:rFonts w:ascii="宋体" w:hAnsi="宋体" w:cs="宋体" w:eastAsia="宋体" w:hint="default"/>
          <w:sz w:val="21"/>
          <w:szCs w:val="21"/>
        </w:rPr>
      </w:pPr>
      <w:r>
        <w:rPr>
          <w:rFonts w:ascii="宋体" w:hAnsi="宋体" w:cs="宋体" w:eastAsia="宋体" w:hint="default"/>
          <w:spacing w:val="-4"/>
          <w:sz w:val="21"/>
          <w:szCs w:val="21"/>
        </w:rPr>
        <w:t>与、资本公积金定向转增股本暨股权分置改革方案的议案》；</w:t>
      </w:r>
      <w:r>
        <w:rPr>
          <w:rFonts w:ascii="Times New Roman" w:hAnsi="Times New Roman" w:cs="Times New Roman" w:eastAsia="Times New Roman" w:hint="default"/>
          <w:spacing w:val="-4"/>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pacing w:val="-1"/>
          <w:sz w:val="21"/>
          <w:szCs w:val="21"/>
        </w:rPr>
        <w:t>28</w:t>
      </w:r>
      <w:r>
        <w:rPr>
          <w:rFonts w:ascii="Times New Roman" w:hAnsi="Times New Roman" w:cs="Times New Roman" w:eastAsia="Times New Roman" w:hint="default"/>
          <w:spacing w:val="2"/>
          <w:sz w:val="21"/>
          <w:szCs w:val="21"/>
        </w:rPr>
        <w:t> </w:t>
      </w:r>
      <w:r>
        <w:rPr>
          <w:rFonts w:ascii="宋体" w:hAnsi="宋体" w:cs="宋体" w:eastAsia="宋体" w:hint="default"/>
          <w:spacing w:val="-1"/>
          <w:sz w:val="21"/>
          <w:szCs w:val="21"/>
        </w:rPr>
        <w:t>日青岛亚星实业有限公</w:t>
      </w:r>
      <w:r>
        <w:rPr>
          <w:rFonts w:ascii="宋体" w:hAnsi="宋体" w:cs="宋体" w:eastAsia="宋体" w:hint="default"/>
          <w:sz w:val="21"/>
          <w:szCs w:val="21"/>
        </w:rPr>
        <w:t> 司已经将其持有的青岛广顺房地产公司</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83%</w:t>
      </w:r>
      <w:r>
        <w:rPr>
          <w:rFonts w:ascii="宋体" w:hAnsi="宋体" w:cs="宋体" w:eastAsia="宋体" w:hint="default"/>
          <w:sz w:val="21"/>
          <w:szCs w:val="21"/>
        </w:rPr>
        <w:t>的股权和兖州海情置业有限公司</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90%</w:t>
      </w:r>
      <w:r>
        <w:rPr>
          <w:rFonts w:ascii="宋体" w:hAnsi="宋体" w:cs="宋体" w:eastAsia="宋体" w:hint="default"/>
          <w:sz w:val="21"/>
          <w:szCs w:val="21"/>
        </w:rPr>
        <w:t>的股权捐赠给本公</w:t>
      </w:r>
    </w:p>
    <w:p>
      <w:pPr>
        <w:spacing w:after="0" w:line="396" w:lineRule="auto"/>
        <w:jc w:val="left"/>
        <w:rPr>
          <w:rFonts w:ascii="宋体" w:hAnsi="宋体" w:cs="宋体" w:eastAsia="宋体" w:hint="default"/>
          <w:sz w:val="21"/>
          <w:szCs w:val="21"/>
        </w:rPr>
        <w:sectPr>
          <w:pgSz w:w="11910" w:h="16840"/>
          <w:pgMar w:header="0" w:footer="710" w:top="580" w:bottom="900" w:left="1280" w:right="126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16480"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6"/>
        <w:rPr>
          <w:rFonts w:ascii="Times New Roman" w:hAnsi="Times New Roman" w:cs="Times New Roman" w:eastAsia="Times New Roman" w:hint="default"/>
          <w:sz w:val="11"/>
          <w:szCs w:val="11"/>
        </w:rPr>
      </w:pPr>
    </w:p>
    <w:p>
      <w:pPr>
        <w:spacing w:before="35"/>
        <w:ind w:left="138" w:right="0" w:firstLine="0"/>
        <w:jc w:val="left"/>
        <w:rPr>
          <w:rFonts w:ascii="宋体" w:hAnsi="宋体" w:cs="宋体" w:eastAsia="宋体" w:hint="default"/>
          <w:sz w:val="21"/>
          <w:szCs w:val="21"/>
        </w:rPr>
      </w:pPr>
      <w:r>
        <w:rPr>
          <w:rFonts w:ascii="宋体" w:hAnsi="宋体" w:cs="宋体" w:eastAsia="宋体" w:hint="default"/>
          <w:sz w:val="21"/>
          <w:szCs w:val="21"/>
        </w:rPr>
        <w:t>司；</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日北京天健兴业资产评估有限公司出具天兴评报字（</w:t>
      </w:r>
      <w:r>
        <w:rPr>
          <w:rFonts w:ascii="Times New Roman" w:hAnsi="Times New Roman" w:cs="Times New Roman" w:eastAsia="Times New Roman" w:hint="default"/>
          <w:sz w:val="21"/>
          <w:szCs w:val="21"/>
        </w:rPr>
        <w:t>2009</w:t>
      </w:r>
      <w:r>
        <w:rPr>
          <w:rFonts w:ascii="宋体" w:hAnsi="宋体" w:cs="宋体" w:eastAsia="宋体" w:hint="default"/>
          <w:sz w:val="21"/>
          <w:szCs w:val="21"/>
        </w:rPr>
        <w:t>）第</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号评估报告，</w:t>
      </w:r>
    </w:p>
    <w:p>
      <w:pPr>
        <w:spacing w:before="189"/>
        <w:ind w:left="138"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截止</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日，青岛广顺房地产有限公司股权价值评估值为</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5,620.86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w:t>
      </w:r>
    </w:p>
    <w:p>
      <w:pPr>
        <w:spacing w:before="189"/>
        <w:ind w:left="138"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日北京天健兴业资产评估有限公司出具天兴评报字（</w:t>
      </w:r>
      <w:r>
        <w:rPr>
          <w:rFonts w:ascii="Times New Roman" w:hAnsi="Times New Roman" w:cs="Times New Roman" w:eastAsia="Times New Roman" w:hint="default"/>
          <w:sz w:val="21"/>
          <w:szCs w:val="21"/>
        </w:rPr>
        <w:t>2009</w:t>
      </w:r>
      <w:r>
        <w:rPr>
          <w:rFonts w:ascii="宋体" w:hAnsi="宋体" w:cs="宋体" w:eastAsia="宋体" w:hint="default"/>
          <w:sz w:val="21"/>
          <w:szCs w:val="21"/>
        </w:rPr>
        <w:t>）第</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号评估报告，截止</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31</w:t>
      </w:r>
    </w:p>
    <w:p>
      <w:pPr>
        <w:spacing w:line="396" w:lineRule="auto" w:before="189"/>
        <w:ind w:left="138" w:right="142" w:firstLine="0"/>
        <w:jc w:val="left"/>
        <w:rPr>
          <w:rFonts w:ascii="宋体" w:hAnsi="宋体" w:cs="宋体" w:eastAsia="宋体" w:hint="default"/>
          <w:sz w:val="21"/>
          <w:szCs w:val="21"/>
        </w:rPr>
      </w:pPr>
      <w:r>
        <w:rPr>
          <w:rFonts w:ascii="宋体" w:hAnsi="宋体" w:cs="宋体" w:eastAsia="宋体" w:hint="default"/>
          <w:sz w:val="21"/>
          <w:szCs w:val="21"/>
        </w:rPr>
        <w:t>日，兖州海情置业有限公司净资产评估值为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18,123.99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万元，上述捐赠股权共计</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208,562,237.00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 根据相关文件规定计入营业外收入</w:t>
      </w:r>
      <w:r>
        <w:rPr>
          <w:rFonts w:ascii="Times New Roman" w:hAnsi="Times New Roman" w:cs="Times New Roman" w:eastAsia="Times New Roman" w:hint="default"/>
          <w:sz w:val="21"/>
          <w:szCs w:val="21"/>
        </w:rPr>
        <w:t>-</w:t>
      </w:r>
      <w:r>
        <w:rPr>
          <w:rFonts w:ascii="宋体" w:hAnsi="宋体" w:cs="宋体" w:eastAsia="宋体" w:hint="default"/>
          <w:sz w:val="21"/>
          <w:szCs w:val="21"/>
        </w:rPr>
        <w:t>捐赠利得，相关详细说明见附注十二</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23"/>
          <w:szCs w:val="23"/>
        </w:rPr>
      </w:pPr>
    </w:p>
    <w:p>
      <w:pPr>
        <w:spacing w:before="0"/>
        <w:ind w:left="5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25.</w:t>
      </w:r>
      <w:r>
        <w:rPr>
          <w:rFonts w:ascii="宋体" w:hAnsi="宋体" w:cs="宋体" w:eastAsia="宋体" w:hint="default"/>
          <w:sz w:val="21"/>
          <w:szCs w:val="21"/>
        </w:rPr>
        <w:t>营业外支出</w:t>
      </w:r>
    </w:p>
    <w:p>
      <w:pPr>
        <w:spacing w:line="3592" w:lineRule="exact"/>
        <w:ind w:left="535" w:right="0" w:firstLine="0"/>
        <w:rPr>
          <w:rFonts w:ascii="宋体" w:hAnsi="宋体" w:cs="宋体" w:eastAsia="宋体" w:hint="default"/>
          <w:sz w:val="20"/>
          <w:szCs w:val="20"/>
        </w:rPr>
      </w:pPr>
      <w:r>
        <w:rPr>
          <w:rFonts w:ascii="宋体" w:hAnsi="宋体" w:cs="宋体" w:eastAsia="宋体" w:hint="default"/>
          <w:position w:val="-71"/>
          <w:sz w:val="20"/>
          <w:szCs w:val="20"/>
        </w:rPr>
        <w:pict>
          <v:group style="width:434.55pt;height:179.65pt;mso-position-horizontal-relative:char;mso-position-vertical-relative:line" coordorigin="0,0" coordsize="8691,3593">
            <v:group style="position:absolute;left:29;top:15;width:8639;height:2" coordorigin="29,15" coordsize="8639,2">
              <v:shape style="position:absolute;left:29;top:15;width:8639;height:2" coordorigin="29,15" coordsize="8639,0" path="m29,15l8668,15e" filled="false" stroked="true" strokeweight="1.5pt" strokecolor="#000000">
                <v:path arrowok="t"/>
              </v:shape>
              <v:shape style="position:absolute;left:3885;top:11;width:1932;height:539" type="#_x0000_t75" stroked="false">
                <v:imagedata r:id="rId162" o:title=""/>
              </v:shape>
            </v:group>
            <v:group style="position:absolute;left:15;top:3578;width:3890;height:2" coordorigin="15,3578" coordsize="3890,2">
              <v:shape style="position:absolute;left:15;top:3578;width:3890;height:2" coordorigin="15,3578" coordsize="3890,0" path="m15,3578l3904,3578e" filled="false" stroked="true" strokeweight="1.5pt" strokecolor="#000000">
                <v:path arrowok="t"/>
              </v:shape>
              <v:shape style="position:absolute;left:10;top:511;width:8677;height:3071" type="#_x0000_t75" stroked="false">
                <v:imagedata r:id="rId163" o:title=""/>
              </v:shape>
            </v:group>
            <v:group style="position:absolute;left:3904;top:3578;width:1884;height:2" coordorigin="3904,3578" coordsize="1884,2">
              <v:shape style="position:absolute;left:3904;top:3578;width:1884;height:2" coordorigin="3904,3578" coordsize="1884,0" path="m3904,3578l5788,3578e" filled="false" stroked="true" strokeweight="1.5pt" strokecolor="#000000">
                <v:path arrowok="t"/>
              </v:shape>
              <v:shape style="position:absolute;left:5769;top:3043;width:48;height:539" type="#_x0000_t75" stroked="false">
                <v:imagedata r:id="rId164" o:title=""/>
              </v:shape>
            </v:group>
            <v:group style="position:absolute;left:5788;top:3578;width:2888;height:2" coordorigin="5788,3578" coordsize="2888,2">
              <v:shape style="position:absolute;left:5788;top:3578;width:2888;height:2" coordorigin="5788,3578" coordsize="2888,0" path="m5788,3578l8675,3578e" filled="false" stroked="true" strokeweight="1.5pt" strokecolor="#000000">
                <v:path arrowok="t"/>
              </v:shape>
              <v:shape style="position:absolute;left:1549;top:28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2179;top:28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4405;top:288;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xbxContent>
                </v:textbox>
                <w10:wrap type="none"/>
              </v:shape>
              <v:shape style="position:absolute;left:6787;top:288;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xbxContent>
                </v:textbox>
                <w10:wrap type="none"/>
              </v:shape>
              <v:shape style="position:absolute;left:137;top:796;width:189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处理固定资产净损失</w:t>
                      </w:r>
                    </w:p>
                  </w:txbxContent>
                </v:textbox>
                <w10:wrap type="none"/>
              </v:shape>
              <v:shape style="position:absolute;left:4585;top:823;width:110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1,156,966.82</w:t>
                      </w:r>
                    </w:p>
                  </w:txbxContent>
                </v:textbox>
                <w10:wrap type="none"/>
              </v:shape>
              <v:shape style="position:absolute;left:7622;top:823;width:946;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651,197.19</w:t>
                      </w:r>
                    </w:p>
                  </w:txbxContent>
                </v:textbox>
                <w10:wrap type="none"/>
              </v:shape>
              <v:shape style="position:absolute;left:137;top:128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罚款支出</w:t>
                      </w:r>
                    </w:p>
                  </w:txbxContent>
                </v:textbox>
                <w10:wrap type="none"/>
              </v:shape>
              <v:shape style="position:absolute;left:4951;top:1308;width:73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1,950.00</w:t>
                      </w:r>
                      <w:r>
                        <w:rPr>
                          <w:rFonts w:ascii="Times New Roman"/>
                          <w:sz w:val="21"/>
                        </w:rPr>
                      </w:r>
                    </w:p>
                  </w:txbxContent>
                </v:textbox>
                <w10:wrap type="none"/>
              </v:shape>
              <v:shape style="position:absolute;left:7621;top:1308;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960,276.74</w:t>
                      </w:r>
                      <w:r>
                        <w:rPr>
                          <w:rFonts w:ascii="Times New Roman"/>
                          <w:sz w:val="21"/>
                        </w:rPr>
                      </w:r>
                    </w:p>
                  </w:txbxContent>
                </v:textbox>
                <w10:wrap type="none"/>
              </v:shape>
              <v:shape style="position:absolute;left:137;top:1813;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捐赠支出</w:t>
                      </w:r>
                    </w:p>
                  </w:txbxContent>
                </v:textbox>
                <w10:wrap type="none"/>
              </v:shape>
              <v:shape style="position:absolute;left:5617;top:1839;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7989;top:1839;width:57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500.00</w:t>
                      </w:r>
                    </w:p>
                  </w:txbxContent>
                </v:textbox>
                <w10:wrap type="none"/>
              </v:shape>
              <v:shape style="position:absolute;left:137;top:230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诉讼损失</w:t>
                      </w:r>
                    </w:p>
                  </w:txbxContent>
                </v:textbox>
                <w10:wrap type="none"/>
              </v:shape>
              <v:shape style="position:absolute;left:4485;top:2332;width:120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11,000,000.00</w:t>
                      </w:r>
                    </w:p>
                  </w:txbxContent>
                </v:textbox>
                <w10:wrap type="none"/>
              </v:shape>
              <v:shape style="position:absolute;left:8498;top:233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137;top:2810;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其他</w:t>
                      </w:r>
                    </w:p>
                  </w:txbxContent>
                </v:textbox>
                <w10:wrap type="none"/>
              </v:shape>
              <v:shape style="position:absolute;left:4741;top:2837;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149,424.56</w:t>
                      </w:r>
                      <w:r>
                        <w:rPr>
                          <w:rFonts w:ascii="Times New Roman"/>
                          <w:sz w:val="21"/>
                        </w:rPr>
                      </w:r>
                    </w:p>
                  </w:txbxContent>
                </v:textbox>
                <w10:wrap type="none"/>
              </v:shape>
              <v:shape style="position:absolute;left:8497;top:2837;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1661;top:3320;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4479;top:3347;width:1207;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12,308,341.38</w:t>
                      </w:r>
                    </w:p>
                  </w:txbxContent>
                </v:textbox>
                <w10:wrap type="none"/>
              </v:shape>
              <v:shape style="position:absolute;left:7473;top:3347;width:109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1,611,973.93</w:t>
                      </w:r>
                    </w:p>
                  </w:txbxContent>
                </v:textbox>
                <w10:wrap type="none"/>
              </v:shape>
            </v:group>
          </v:group>
        </w:pict>
      </w:r>
      <w:r>
        <w:rPr>
          <w:rFonts w:ascii="宋体" w:hAnsi="宋体" w:cs="宋体" w:eastAsia="宋体" w:hint="default"/>
          <w:position w:val="-71"/>
          <w:sz w:val="20"/>
          <w:szCs w:val="20"/>
        </w:rPr>
      </w:r>
    </w:p>
    <w:p>
      <w:pPr>
        <w:spacing w:line="240" w:lineRule="auto" w:before="11"/>
        <w:rPr>
          <w:rFonts w:ascii="宋体" w:hAnsi="宋体" w:cs="宋体" w:eastAsia="宋体" w:hint="default"/>
          <w:sz w:val="14"/>
          <w:szCs w:val="14"/>
        </w:rPr>
      </w:pPr>
    </w:p>
    <w:p>
      <w:pPr>
        <w:spacing w:before="35"/>
        <w:ind w:left="558" w:right="0" w:firstLine="0"/>
        <w:jc w:val="left"/>
        <w:rPr>
          <w:rFonts w:ascii="宋体" w:hAnsi="宋体" w:cs="宋体" w:eastAsia="宋体" w:hint="default"/>
          <w:sz w:val="21"/>
          <w:szCs w:val="21"/>
        </w:rPr>
      </w:pPr>
      <w:r>
        <w:rPr>
          <w:rFonts w:ascii="宋体" w:hAnsi="宋体" w:cs="宋体" w:eastAsia="宋体" w:hint="default"/>
          <w:sz w:val="21"/>
          <w:szCs w:val="21"/>
        </w:rPr>
        <w:t>本期发生营业外支出</w:t>
      </w:r>
      <w:r>
        <w:rPr>
          <w:rFonts w:ascii="Times New Roman" w:hAnsi="Times New Roman" w:cs="Times New Roman" w:eastAsia="Times New Roman" w:hint="default"/>
          <w:sz w:val="21"/>
          <w:szCs w:val="21"/>
        </w:rPr>
        <w:t>-</w:t>
      </w:r>
      <w:r>
        <w:rPr>
          <w:rFonts w:ascii="宋体" w:hAnsi="宋体" w:cs="宋体" w:eastAsia="宋体" w:hint="default"/>
          <w:sz w:val="21"/>
          <w:szCs w:val="21"/>
        </w:rPr>
        <w:t>诉讼损失见附注十一</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诉讼和解说明。</w:t>
      </w:r>
    </w:p>
    <w:p>
      <w:pPr>
        <w:spacing w:line="240" w:lineRule="auto" w:before="12"/>
        <w:rPr>
          <w:rFonts w:ascii="宋体" w:hAnsi="宋体" w:cs="宋体" w:eastAsia="宋体" w:hint="default"/>
          <w:sz w:val="15"/>
          <w:szCs w:val="15"/>
        </w:rPr>
      </w:pPr>
    </w:p>
    <w:p>
      <w:pPr>
        <w:spacing w:before="0"/>
        <w:ind w:left="618" w:right="0" w:firstLine="0"/>
        <w:jc w:val="left"/>
        <w:rPr>
          <w:rFonts w:ascii="黑体" w:hAnsi="黑体" w:cs="黑体" w:eastAsia="黑体" w:hint="default"/>
          <w:sz w:val="21"/>
          <w:szCs w:val="21"/>
        </w:rPr>
      </w:pPr>
      <w:r>
        <w:rPr>
          <w:rFonts w:ascii="黑体" w:hAnsi="黑体" w:cs="黑体" w:eastAsia="黑体" w:hint="default"/>
          <w:sz w:val="21"/>
          <w:szCs w:val="21"/>
        </w:rPr>
        <w:t>八、母公司主要报表项目附注</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before="161"/>
        <w:ind w:left="558" w:right="0" w:firstLine="0"/>
        <w:jc w:val="left"/>
        <w:rPr>
          <w:rFonts w:ascii="宋体" w:hAnsi="宋体" w:cs="宋体" w:eastAsia="宋体" w:hint="default"/>
          <w:sz w:val="21"/>
          <w:szCs w:val="21"/>
        </w:rPr>
      </w:pPr>
      <w:r>
        <w:rPr>
          <w:rFonts w:ascii="宋体" w:hAnsi="宋体" w:cs="宋体" w:eastAsia="宋体" w:hint="default"/>
          <w:sz w:val="21"/>
          <w:szCs w:val="21"/>
        </w:rPr>
        <w:t>长期投资</w:t>
      </w:r>
    </w:p>
    <w:p>
      <w:pPr>
        <w:spacing w:line="240" w:lineRule="auto" w:before="3"/>
        <w:rPr>
          <w:rFonts w:ascii="宋体" w:hAnsi="宋体" w:cs="宋体" w:eastAsia="宋体" w:hint="default"/>
          <w:sz w:val="14"/>
          <w:szCs w:val="14"/>
        </w:rPr>
      </w:pPr>
    </w:p>
    <w:p>
      <w:pPr>
        <w:spacing w:before="0"/>
        <w:ind w:left="558" w:right="0" w:firstLine="0"/>
        <w:jc w:val="left"/>
        <w:rPr>
          <w:rFonts w:ascii="宋体" w:hAnsi="宋体" w:cs="宋体" w:eastAsia="宋体" w:hint="default"/>
          <w:sz w:val="21"/>
          <w:szCs w:val="21"/>
        </w:rPr>
      </w:pPr>
      <w:r>
        <w:rPr/>
        <w:pict>
          <v:group style="position:absolute;margin-left:91.260002pt;margin-top:15.324566pt;width:433.8pt;height:189pt;mso-position-horizontal-relative:page;mso-position-vertical-relative:paragraph;z-index:-440128" coordorigin="1825,306" coordsize="8676,3780">
            <v:group style="position:absolute;left:1844;top:321;width:8639;height:2" coordorigin="1844,321" coordsize="8639,2">
              <v:shape style="position:absolute;left:1844;top:321;width:8639;height:2" coordorigin="1844,321" coordsize="8639,0" path="m1844,321l10483,321e" filled="false" stroked="true" strokeweight="1.5pt" strokecolor="#000000">
                <v:path arrowok="t"/>
              </v:shape>
              <v:shape style="position:absolute;left:4657;top:318;width:4403;height:496" type="#_x0000_t75" stroked="false">
                <v:imagedata r:id="rId165" o:title=""/>
              </v:shape>
              <v:shape style="position:absolute;left:1825;top:783;width:8676;height:3303" type="#_x0000_t75" stroked="false">
                <v:imagedata r:id="rId166" o:title=""/>
              </v:shape>
              <v:shape style="position:absolute;left:2902;top:589;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5046;top:5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期初余额</w:t>
                      </w:r>
                    </w:p>
                  </w:txbxContent>
                </v:textbox>
                <w10:wrap type="none"/>
              </v:shape>
              <v:shape style="position:absolute;left:6498;top:5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7950;top:5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shape style="position:absolute;left:9403;top:5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1952;top:1058;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按成本法核算之长期股权投资</w:t>
                      </w:r>
                    </w:p>
                  </w:txbxContent>
                </v:textbox>
                <w10:wrap type="none"/>
              </v:shape>
            </v:group>
            <w10:wrap type="none"/>
          </v:group>
        </w:pict>
      </w:r>
      <w:r>
        <w:rPr>
          <w:rFonts w:ascii="宋体" w:hAnsi="宋体" w:cs="宋体" w:eastAsia="宋体" w:hint="default"/>
          <w:sz w:val="21"/>
          <w:szCs w:val="21"/>
        </w:rPr>
        <w:t>⑴长期股权投资明细列示如下：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tbl>
      <w:tblPr>
        <w:tblW w:w="0" w:type="auto"/>
        <w:jc w:val="left"/>
        <w:tblInd w:w="550" w:type="dxa"/>
        <w:tblLayout w:type="fixed"/>
        <w:tblCellMar>
          <w:top w:w="0" w:type="dxa"/>
          <w:left w:w="0" w:type="dxa"/>
          <w:bottom w:w="0" w:type="dxa"/>
          <w:right w:w="0" w:type="dxa"/>
        </w:tblCellMar>
        <w:tblLook w:val="01E0"/>
      </w:tblPr>
      <w:tblGrid>
        <w:gridCol w:w="4358"/>
        <w:gridCol w:w="1542"/>
        <w:gridCol w:w="1363"/>
        <w:gridCol w:w="1397"/>
      </w:tblGrid>
      <w:tr>
        <w:trPr>
          <w:trHeight w:val="326" w:hRule="exact"/>
        </w:trPr>
        <w:tc>
          <w:tcPr>
            <w:tcW w:w="4358" w:type="dxa"/>
            <w:tcBorders>
              <w:top w:val="nil" w:sz="6" w:space="0" w:color="auto"/>
              <w:left w:val="nil" w:sz="6" w:space="0" w:color="auto"/>
              <w:bottom w:val="nil" w:sz="6" w:space="0" w:color="auto"/>
              <w:right w:val="nil" w:sz="6" w:space="0" w:color="auto"/>
            </w:tcBorders>
          </w:tcPr>
          <w:p>
            <w:pPr>
              <w:pStyle w:val="TableParagraph"/>
              <w:tabs>
                <w:tab w:pos="4011" w:val="left" w:leader="none"/>
              </w:tabs>
              <w:spacing w:line="185" w:lineRule="exact"/>
              <w:ind w:right="161"/>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其中：子公司投资</w:t>
              <w:tab/>
            </w:r>
            <w:r>
              <w:rPr>
                <w:rFonts w:ascii="Times New Roman" w:hAnsi="Times New Roman" w:cs="Times New Roman" w:eastAsia="Times New Roman" w:hint="default"/>
                <w:sz w:val="18"/>
                <w:szCs w:val="18"/>
              </w:rPr>
              <w:t>-</w:t>
            </w:r>
          </w:p>
        </w:tc>
        <w:tc>
          <w:tcPr>
            <w:tcW w:w="1542" w:type="dxa"/>
            <w:tcBorders>
              <w:top w:val="nil" w:sz="6" w:space="0" w:color="auto"/>
              <w:left w:val="nil" w:sz="6" w:space="0" w:color="auto"/>
              <w:bottom w:val="nil" w:sz="6" w:space="0" w:color="auto"/>
              <w:right w:val="nil" w:sz="6" w:space="0" w:color="auto"/>
            </w:tcBorders>
          </w:tcPr>
          <w:p>
            <w:pPr>
              <w:pStyle w:val="TableParagraph"/>
              <w:spacing w:line="185" w:lineRule="exact"/>
              <w:ind w:right="251"/>
              <w:jc w:val="right"/>
              <w:rPr>
                <w:rFonts w:ascii="Times New Roman" w:hAnsi="Times New Roman" w:cs="Times New Roman" w:eastAsia="Times New Roman" w:hint="default"/>
                <w:sz w:val="18"/>
                <w:szCs w:val="18"/>
              </w:rPr>
            </w:pPr>
            <w:r>
              <w:rPr>
                <w:rFonts w:ascii="Times New Roman"/>
                <w:spacing w:val="-1"/>
                <w:sz w:val="18"/>
              </w:rPr>
              <w:t>208,562,237.00</w:t>
            </w:r>
          </w:p>
        </w:tc>
        <w:tc>
          <w:tcPr>
            <w:tcW w:w="1363" w:type="dxa"/>
            <w:tcBorders>
              <w:top w:val="nil" w:sz="6" w:space="0" w:color="auto"/>
              <w:left w:val="nil" w:sz="6" w:space="0" w:color="auto"/>
              <w:bottom w:val="nil" w:sz="6" w:space="0" w:color="auto"/>
              <w:right w:val="nil" w:sz="6" w:space="0" w:color="auto"/>
            </w:tcBorders>
          </w:tcPr>
          <w:p>
            <w:pPr>
              <w:pStyle w:val="TableParagraph"/>
              <w:spacing w:line="184" w:lineRule="exact"/>
              <w:ind w:right="1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97" w:type="dxa"/>
            <w:tcBorders>
              <w:top w:val="nil" w:sz="6" w:space="0" w:color="auto"/>
              <w:left w:val="nil" w:sz="6" w:space="0" w:color="auto"/>
              <w:bottom w:val="nil" w:sz="6" w:space="0" w:color="auto"/>
              <w:right w:val="nil" w:sz="6" w:space="0" w:color="auto"/>
            </w:tcBorders>
          </w:tcPr>
          <w:p>
            <w:pPr>
              <w:pStyle w:val="TableParagraph"/>
              <w:spacing w:line="185" w:lineRule="exact"/>
              <w:ind w:right="106"/>
              <w:jc w:val="right"/>
              <w:rPr>
                <w:rFonts w:ascii="Times New Roman" w:hAnsi="Times New Roman" w:cs="Times New Roman" w:eastAsia="Times New Roman" w:hint="default"/>
                <w:sz w:val="18"/>
                <w:szCs w:val="18"/>
              </w:rPr>
            </w:pPr>
            <w:r>
              <w:rPr>
                <w:rFonts w:ascii="Times New Roman"/>
                <w:spacing w:val="-1"/>
                <w:sz w:val="18"/>
              </w:rPr>
              <w:t>208,562,237.00</w:t>
            </w:r>
          </w:p>
        </w:tc>
      </w:tr>
      <w:tr>
        <w:trPr>
          <w:trHeight w:val="469" w:hRule="exact"/>
        </w:trPr>
        <w:tc>
          <w:tcPr>
            <w:tcW w:w="4358" w:type="dxa"/>
            <w:tcBorders>
              <w:top w:val="nil" w:sz="6" w:space="0" w:color="auto"/>
              <w:left w:val="nil" w:sz="6" w:space="0" w:color="auto"/>
              <w:bottom w:val="nil" w:sz="6" w:space="0" w:color="auto"/>
              <w:right w:val="nil" w:sz="6" w:space="0" w:color="auto"/>
            </w:tcBorders>
          </w:tcPr>
          <w:p>
            <w:pPr>
              <w:pStyle w:val="TableParagraph"/>
              <w:tabs>
                <w:tab w:pos="2585" w:val="left" w:leader="none"/>
              </w:tabs>
              <w:spacing w:line="240" w:lineRule="auto" w:before="69"/>
              <w:ind w:right="162"/>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法人股股票投资</w:t>
              <w:tab/>
            </w:r>
            <w:r>
              <w:rPr>
                <w:rFonts w:ascii="Times New Roman" w:hAnsi="Times New Roman" w:cs="Times New Roman" w:eastAsia="Times New Roman" w:hint="default"/>
                <w:spacing w:val="-1"/>
                <w:sz w:val="18"/>
                <w:szCs w:val="18"/>
              </w:rPr>
              <w:t>1,640,000.00</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5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62"/>
              <w:jc w:val="right"/>
              <w:rPr>
                <w:rFonts w:ascii="Times New Roman" w:hAnsi="Times New Roman" w:cs="Times New Roman" w:eastAsia="Times New Roman" w:hint="default"/>
                <w:sz w:val="18"/>
                <w:szCs w:val="18"/>
              </w:rPr>
            </w:pPr>
            <w:r>
              <w:rPr>
                <w:rFonts w:ascii="Times New Roman"/>
                <w:spacing w:val="-1"/>
                <w:sz w:val="18"/>
              </w:rPr>
              <w:t>1,640,000.00</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70" w:hRule="exact"/>
        </w:trPr>
        <w:tc>
          <w:tcPr>
            <w:tcW w:w="4358" w:type="dxa"/>
            <w:tcBorders>
              <w:top w:val="nil" w:sz="6" w:space="0" w:color="auto"/>
              <w:left w:val="nil" w:sz="6" w:space="0" w:color="auto"/>
              <w:bottom w:val="nil" w:sz="6" w:space="0" w:color="auto"/>
              <w:right w:val="nil" w:sz="6" w:space="0" w:color="auto"/>
            </w:tcBorders>
          </w:tcPr>
          <w:p>
            <w:pPr>
              <w:pStyle w:val="TableParagraph"/>
              <w:tabs>
                <w:tab w:pos="2585" w:val="left" w:leader="none"/>
              </w:tabs>
              <w:spacing w:line="240" w:lineRule="auto" w:before="69"/>
              <w:ind w:right="162"/>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其他股权投资</w:t>
              <w:tab/>
            </w:r>
            <w:r>
              <w:rPr>
                <w:rFonts w:ascii="Times New Roman" w:hAnsi="Times New Roman" w:cs="Times New Roman" w:eastAsia="Times New Roman" w:hint="default"/>
                <w:spacing w:val="-1"/>
                <w:sz w:val="18"/>
                <w:szCs w:val="18"/>
              </w:rPr>
              <w:t>3,835,697.65</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5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62"/>
              <w:jc w:val="right"/>
              <w:rPr>
                <w:rFonts w:ascii="Times New Roman" w:hAnsi="Times New Roman" w:cs="Times New Roman" w:eastAsia="Times New Roman" w:hint="default"/>
                <w:sz w:val="18"/>
                <w:szCs w:val="18"/>
              </w:rPr>
            </w:pPr>
            <w:r>
              <w:rPr>
                <w:rFonts w:ascii="Times New Roman"/>
                <w:spacing w:val="-1"/>
                <w:sz w:val="18"/>
              </w:rPr>
              <w:t>3,835,697.65</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70" w:hRule="exact"/>
        </w:trPr>
        <w:tc>
          <w:tcPr>
            <w:tcW w:w="4358" w:type="dxa"/>
            <w:tcBorders>
              <w:top w:val="nil" w:sz="6" w:space="0" w:color="auto"/>
              <w:left w:val="nil" w:sz="6" w:space="0" w:color="auto"/>
              <w:bottom w:val="nil" w:sz="6" w:space="0" w:color="auto"/>
              <w:right w:val="nil" w:sz="6" w:space="0" w:color="auto"/>
            </w:tcBorders>
          </w:tcPr>
          <w:p>
            <w:pPr>
              <w:pStyle w:val="TableParagraph"/>
              <w:tabs>
                <w:tab w:pos="1996" w:val="left" w:leader="none"/>
              </w:tabs>
              <w:spacing w:line="240" w:lineRule="auto" w:before="70"/>
              <w:ind w:right="162"/>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合计</w:t>
              <w:tab/>
            </w:r>
            <w:r>
              <w:rPr>
                <w:rFonts w:ascii="Times New Roman" w:hAnsi="Times New Roman" w:cs="Times New Roman" w:eastAsia="Times New Roman" w:hint="default"/>
                <w:spacing w:val="-1"/>
                <w:sz w:val="18"/>
                <w:szCs w:val="18"/>
              </w:rPr>
              <w:t>5,475,697.65</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5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62"/>
              <w:jc w:val="right"/>
              <w:rPr>
                <w:rFonts w:ascii="Times New Roman" w:hAnsi="Times New Roman" w:cs="Times New Roman" w:eastAsia="Times New Roman" w:hint="default"/>
                <w:sz w:val="18"/>
                <w:szCs w:val="18"/>
              </w:rPr>
            </w:pPr>
            <w:r>
              <w:rPr>
                <w:rFonts w:ascii="Times New Roman"/>
                <w:spacing w:val="-1"/>
                <w:sz w:val="18"/>
              </w:rPr>
              <w:t>5,475,697.65</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70" w:hRule="exact"/>
        </w:trPr>
        <w:tc>
          <w:tcPr>
            <w:tcW w:w="4358" w:type="dxa"/>
            <w:tcBorders>
              <w:top w:val="nil" w:sz="6" w:space="0" w:color="auto"/>
              <w:left w:val="nil" w:sz="6" w:space="0" w:color="auto"/>
              <w:bottom w:val="nil" w:sz="6" w:space="0" w:color="auto"/>
              <w:right w:val="nil" w:sz="6" w:space="0" w:color="auto"/>
            </w:tcBorders>
          </w:tcPr>
          <w:p>
            <w:pPr>
              <w:pStyle w:val="TableParagraph"/>
              <w:tabs>
                <w:tab w:pos="3131" w:val="left" w:leader="none"/>
              </w:tabs>
              <w:spacing w:line="240" w:lineRule="auto" w:before="70"/>
              <w:ind w:right="162"/>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减：减值准备</w:t>
              <w:tab/>
            </w:r>
            <w:r>
              <w:rPr>
                <w:rFonts w:ascii="Times New Roman" w:hAnsi="Times New Roman" w:cs="Times New Roman" w:eastAsia="Times New Roman" w:hint="default"/>
                <w:spacing w:val="-1"/>
                <w:sz w:val="18"/>
                <w:szCs w:val="18"/>
              </w:rPr>
              <w:t>5,241,411.94</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5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62"/>
              <w:jc w:val="right"/>
              <w:rPr>
                <w:rFonts w:ascii="Times New Roman" w:hAnsi="Times New Roman" w:cs="Times New Roman" w:eastAsia="Times New Roman" w:hint="default"/>
                <w:sz w:val="18"/>
                <w:szCs w:val="18"/>
              </w:rPr>
            </w:pPr>
            <w:r>
              <w:rPr>
                <w:rFonts w:ascii="Times New Roman"/>
                <w:spacing w:val="-1"/>
                <w:sz w:val="18"/>
              </w:rPr>
              <w:t>5,241,411.94</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9" w:hRule="exact"/>
        </w:trPr>
        <w:tc>
          <w:tcPr>
            <w:tcW w:w="4358" w:type="dxa"/>
            <w:tcBorders>
              <w:top w:val="nil" w:sz="6" w:space="0" w:color="auto"/>
              <w:left w:val="nil" w:sz="6" w:space="0" w:color="auto"/>
              <w:bottom w:val="single" w:sz="12" w:space="0" w:color="000000"/>
              <w:right w:val="nil" w:sz="6" w:space="0" w:color="auto"/>
            </w:tcBorders>
          </w:tcPr>
          <w:p>
            <w:pPr>
              <w:pStyle w:val="TableParagraph"/>
              <w:tabs>
                <w:tab w:pos="3260" w:val="left" w:leader="none"/>
              </w:tabs>
              <w:spacing w:line="240" w:lineRule="auto" w:before="69"/>
              <w:ind w:right="161"/>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长期股权投资净额</w:t>
              <w:tab/>
            </w:r>
            <w:r>
              <w:rPr>
                <w:rFonts w:ascii="Times New Roman" w:hAnsi="Times New Roman" w:cs="Times New Roman" w:eastAsia="Times New Roman" w:hint="default"/>
                <w:sz w:val="18"/>
                <w:szCs w:val="18"/>
              </w:rPr>
              <w:t>234,285.71</w:t>
            </w:r>
          </w:p>
        </w:tc>
        <w:tc>
          <w:tcPr>
            <w:tcW w:w="1542" w:type="dxa"/>
            <w:tcBorders>
              <w:top w:val="nil" w:sz="6" w:space="0" w:color="auto"/>
              <w:left w:val="nil" w:sz="6" w:space="0" w:color="auto"/>
              <w:bottom w:val="single" w:sz="12" w:space="0" w:color="000000"/>
              <w:right w:val="nil" w:sz="6" w:space="0" w:color="auto"/>
            </w:tcBorders>
          </w:tcPr>
          <w:p>
            <w:pPr>
              <w:pStyle w:val="TableParagraph"/>
              <w:spacing w:line="240" w:lineRule="auto" w:before="121"/>
              <w:ind w:right="25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3" w:type="dxa"/>
            <w:tcBorders>
              <w:top w:val="nil" w:sz="6" w:space="0" w:color="auto"/>
              <w:left w:val="nil" w:sz="6" w:space="0" w:color="auto"/>
              <w:bottom w:val="single" w:sz="12" w:space="0" w:color="000000"/>
              <w:right w:val="nil" w:sz="6" w:space="0" w:color="auto"/>
            </w:tcBorders>
          </w:tcPr>
          <w:p>
            <w:pPr>
              <w:pStyle w:val="TableParagraph"/>
              <w:spacing w:line="240" w:lineRule="auto" w:before="121"/>
              <w:ind w:right="161"/>
              <w:jc w:val="right"/>
              <w:rPr>
                <w:rFonts w:ascii="Times New Roman" w:hAnsi="Times New Roman" w:cs="Times New Roman" w:eastAsia="Times New Roman" w:hint="default"/>
                <w:sz w:val="18"/>
                <w:szCs w:val="18"/>
              </w:rPr>
            </w:pPr>
            <w:r>
              <w:rPr>
                <w:rFonts w:ascii="Times New Roman"/>
                <w:sz w:val="18"/>
              </w:rPr>
              <w:t>234,285.71</w:t>
            </w:r>
          </w:p>
        </w:tc>
        <w:tc>
          <w:tcPr>
            <w:tcW w:w="1397" w:type="dxa"/>
            <w:tcBorders>
              <w:top w:val="nil" w:sz="6" w:space="0" w:color="auto"/>
              <w:left w:val="nil" w:sz="6" w:space="0" w:color="auto"/>
              <w:bottom w:val="single" w:sz="12" w:space="0" w:color="000000"/>
              <w:right w:val="nil" w:sz="6" w:space="0" w:color="auto"/>
            </w:tcBorders>
          </w:tcPr>
          <w:p>
            <w:pPr>
              <w:pStyle w:val="TableParagraph"/>
              <w:spacing w:line="240" w:lineRule="auto" w:before="121"/>
              <w:ind w:right="104"/>
              <w:jc w:val="right"/>
              <w:rPr>
                <w:rFonts w:ascii="Times New Roman" w:hAnsi="Times New Roman" w:cs="Times New Roman" w:eastAsia="Times New Roman" w:hint="default"/>
                <w:sz w:val="18"/>
                <w:szCs w:val="18"/>
              </w:rPr>
            </w:pPr>
            <w:r>
              <w:rPr>
                <w:rFonts w:ascii="Times New Roman"/>
                <w:spacing w:val="-1"/>
                <w:sz w:val="18"/>
              </w:rPr>
              <w:t>208,562,237.00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710" w:top="580" w:bottom="900" w:left="1280" w:right="1260"/>
        </w:sectPr>
      </w:pPr>
    </w:p>
    <w:p>
      <w:pPr>
        <w:pStyle w:val="Heading2"/>
        <w:spacing w:line="310" w:lineRule="exact"/>
        <w:ind w:left="3018" w:right="3016"/>
        <w:jc w:val="center"/>
        <w:rPr>
          <w:b w:val="0"/>
          <w:bCs w:val="0"/>
        </w:rPr>
      </w:pPr>
      <w:r>
        <w:rPr/>
        <w:pict>
          <v:shape style="position:absolute;margin-left:88.919998pt;margin-top:3.990308pt;width:57.0pt;height:31.5pt;mso-position-horizontal-relative:page;mso-position-vertical-relative:paragraph;z-index:17752"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2211" w:right="2211"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2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6"/>
          <w:szCs w:val="16"/>
        </w:rPr>
      </w:pPr>
    </w:p>
    <w:p>
      <w:pPr>
        <w:spacing w:before="35"/>
        <w:ind w:left="658" w:right="0" w:firstLine="0"/>
        <w:jc w:val="left"/>
        <w:rPr>
          <w:rFonts w:ascii="宋体" w:hAnsi="宋体" w:cs="宋体" w:eastAsia="宋体" w:hint="default"/>
          <w:sz w:val="21"/>
          <w:szCs w:val="21"/>
        </w:rPr>
      </w:pPr>
      <w:r>
        <w:rPr>
          <w:rFonts w:ascii="宋体" w:hAnsi="宋体" w:cs="宋体" w:eastAsia="宋体" w:hint="default"/>
          <w:sz w:val="21"/>
          <w:szCs w:val="21"/>
        </w:rPr>
        <w:t>⑵子公司投资</w:t>
      </w:r>
    </w:p>
    <w:p>
      <w:pPr>
        <w:spacing w:line="240" w:lineRule="auto" w:before="7"/>
        <w:rPr>
          <w:rFonts w:ascii="宋体" w:hAnsi="宋体" w:cs="宋体" w:eastAsia="宋体" w:hint="default"/>
          <w:sz w:val="2"/>
          <w:szCs w:val="2"/>
        </w:rPr>
      </w:pPr>
    </w:p>
    <w:p>
      <w:pPr>
        <w:spacing w:line="2589" w:lineRule="exact"/>
        <w:ind w:left="101" w:right="0" w:firstLine="0"/>
        <w:rPr>
          <w:rFonts w:ascii="宋体" w:hAnsi="宋体" w:cs="宋体" w:eastAsia="宋体" w:hint="default"/>
          <w:sz w:val="20"/>
          <w:szCs w:val="20"/>
        </w:rPr>
      </w:pPr>
      <w:r>
        <w:rPr>
          <w:rFonts w:ascii="宋体" w:hAnsi="宋体" w:cs="宋体" w:eastAsia="宋体" w:hint="default"/>
          <w:position w:val="-51"/>
          <w:sz w:val="20"/>
          <w:szCs w:val="20"/>
        </w:rPr>
        <w:pict>
          <v:group style="width:466.65pt;height:129.5pt;mso-position-horizontal-relative:char;mso-position-vertical-relative:line" coordorigin="0,0" coordsize="9333,2590">
            <v:group style="position:absolute;left:29;top:15;width:9279;height:2" coordorigin="29,15" coordsize="9279,2">
              <v:shape style="position:absolute;left:29;top:15;width:9279;height:2" coordorigin="29,15" coordsize="9279,0" path="m29,15l9308,15e" filled="false" stroked="true" strokeweight="1.5pt" strokecolor="#000000">
                <v:path arrowok="t"/>
              </v:shape>
              <v:shape style="position:absolute;left:2599;top:11;width:5506;height:1038" type="#_x0000_t75" stroked="false">
                <v:imagedata r:id="rId167" o:title=""/>
              </v:shape>
            </v:group>
            <v:group style="position:absolute;left:15;top:2575;width:2603;height:2" coordorigin="15,2575" coordsize="2603,2">
              <v:shape style="position:absolute;left:15;top:2575;width:2603;height:2" coordorigin="15,2575" coordsize="2603,0" path="m15,2575l2618,2575e" filled="false" stroked="true" strokeweight="1.5pt" strokecolor="#000000">
                <v:path arrowok="t"/>
              </v:shape>
              <v:shape style="position:absolute;left:10;top:1010;width:9323;height:1568" type="#_x0000_t75" stroked="false">
                <v:imagedata r:id="rId168" o:title=""/>
              </v:shape>
            </v:group>
            <v:group style="position:absolute;left:2618;top:2575;width:917;height:2" coordorigin="2618,2575" coordsize="917,2">
              <v:shape style="position:absolute;left:2618;top:2575;width:917;height:2" coordorigin="2618,2575" coordsize="917,0" path="m2618,2575l3535,2575e" filled="false" stroked="true" strokeweight="1.5pt" strokecolor="#000000">
                <v:path arrowok="t"/>
              </v:shape>
              <v:shape style="position:absolute;left:3515;top:2040;width:48;height:539" type="#_x0000_t75" stroked="false">
                <v:imagedata r:id="rId79" o:title=""/>
              </v:shape>
            </v:group>
            <v:group style="position:absolute;left:3535;top:2575;width:1238;height:2" coordorigin="3535,2575" coordsize="1238,2">
              <v:shape style="position:absolute;left:3535;top:2575;width:1238;height:2" coordorigin="3535,2575" coordsize="1238,0" path="m3535,2575l4772,2575e" filled="false" stroked="true" strokeweight="1.5pt" strokecolor="#000000">
                <v:path arrowok="t"/>
              </v:shape>
              <v:shape style="position:absolute;left:4753;top:2040;width:48;height:539" type="#_x0000_t75" stroked="false">
                <v:imagedata r:id="rId79" o:title=""/>
              </v:shape>
            </v:group>
            <v:group style="position:absolute;left:4772;top:2575;width:1187;height:2" coordorigin="4772,2575" coordsize="1187,2">
              <v:shape style="position:absolute;left:4772;top:2575;width:1187;height:2" coordorigin="4772,2575" coordsize="1187,0" path="m4772,2575l5959,2575e" filled="false" stroked="true" strokeweight="1.5pt" strokecolor="#000000">
                <v:path arrowok="t"/>
              </v:shape>
              <v:shape style="position:absolute;left:5939;top:2040;width:48;height:539" type="#_x0000_t75" stroked="false">
                <v:imagedata r:id="rId79" o:title=""/>
              </v:shape>
            </v:group>
            <v:group style="position:absolute;left:5959;top:2575;width:1238;height:2" coordorigin="5959,2575" coordsize="1238,2">
              <v:shape style="position:absolute;left:5959;top:2575;width:1238;height:2" coordorigin="5959,2575" coordsize="1238,0" path="m5959,2575l7196,2575e" filled="false" stroked="true" strokeweight="1.5pt" strokecolor="#000000">
                <v:path arrowok="t"/>
              </v:shape>
              <v:shape style="position:absolute;left:7177;top:2040;width:48;height:539" type="#_x0000_t75" stroked="false">
                <v:imagedata r:id="rId80" o:title=""/>
              </v:shape>
            </v:group>
            <v:group style="position:absolute;left:7196;top:2575;width:880;height:2" coordorigin="7196,2575" coordsize="880,2">
              <v:shape style="position:absolute;left:7196;top:2575;width:880;height:2" coordorigin="7196,2575" coordsize="880,0" path="m7196,2575l8075,2575e" filled="false" stroked="true" strokeweight="1.5pt" strokecolor="#000000">
                <v:path arrowok="t"/>
              </v:shape>
              <v:shape style="position:absolute;left:8056;top:2040;width:48;height:539" type="#_x0000_t75" stroked="false">
                <v:imagedata r:id="rId79" o:title=""/>
              </v:shape>
            </v:group>
            <v:group style="position:absolute;left:8075;top:2575;width:1240;height:2" coordorigin="8075,2575" coordsize="1240,2">
              <v:shape style="position:absolute;left:8075;top:2575;width:1240;height:2" coordorigin="8075,2575" coordsize="1240,0" path="m8075,2575l9315,2575e" filled="false" stroked="true" strokeweight="1.5pt" strokecolor="#000000">
                <v:path arrowok="t"/>
              </v:shape>
              <v:shape style="position:absolute;left:2765;top:288;width:6352;height:460" type="#_x0000_t202" filled="false" stroked="false">
                <v:textbox inset="0,0,0,0">
                  <w:txbxContent>
                    <w:p>
                      <w:pPr>
                        <w:tabs>
                          <w:tab w:pos="971" w:val="left" w:leader="none"/>
                          <w:tab w:pos="4559" w:val="left" w:leader="none"/>
                        </w:tabs>
                        <w:spacing w:line="197"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投资比</w:t>
                        <w:tab/>
                        <w:t>初始投资</w:t>
                        <w:tab/>
                        <w:t>本期减</w:t>
                      </w:r>
                    </w:p>
                    <w:p>
                      <w:pPr>
                        <w:tabs>
                          <w:tab w:pos="3395" w:val="left" w:leader="none"/>
                          <w:tab w:pos="5511" w:val="left" w:leader="none"/>
                        </w:tabs>
                        <w:spacing w:line="262" w:lineRule="exact" w:before="0"/>
                        <w:ind w:left="2184" w:right="0" w:firstLine="0"/>
                        <w:jc w:val="left"/>
                        <w:rPr>
                          <w:rFonts w:ascii="宋体" w:hAnsi="宋体" w:cs="宋体" w:eastAsia="宋体" w:hint="default"/>
                          <w:sz w:val="21"/>
                          <w:szCs w:val="21"/>
                        </w:rPr>
                      </w:pPr>
                      <w:r>
                        <w:rPr>
                          <w:rFonts w:ascii="宋体" w:hAnsi="宋体" w:cs="宋体" w:eastAsia="宋体" w:hint="default"/>
                          <w:sz w:val="21"/>
                          <w:szCs w:val="21"/>
                        </w:rPr>
                        <w:t>期初余额</w:t>
                        <w:tab/>
                        <w:t>本期增加</w:t>
                        <w:tab/>
                        <w:t>期末余额</w:t>
                      </w:r>
                    </w:p>
                  </w:txbxContent>
                </v:textbox>
                <w10:wrap type="none"/>
              </v:shape>
              <v:shape style="position:absolute;left:171;top:788;width:2310;height:585"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被投资单位名称</w:t>
                      </w:r>
                    </w:p>
                    <w:p>
                      <w:pPr>
                        <w:spacing w:before="99"/>
                        <w:ind w:left="0" w:right="0" w:firstLine="0"/>
                        <w:jc w:val="center"/>
                        <w:rPr>
                          <w:rFonts w:ascii="宋体" w:hAnsi="宋体" w:cs="宋体" w:eastAsia="宋体" w:hint="default"/>
                          <w:sz w:val="21"/>
                          <w:szCs w:val="21"/>
                        </w:rPr>
                      </w:pPr>
                      <w:r>
                        <w:rPr>
                          <w:rFonts w:ascii="宋体" w:hAnsi="宋体" w:cs="宋体" w:eastAsia="宋体" w:hint="default"/>
                          <w:sz w:val="21"/>
                          <w:szCs w:val="21"/>
                        </w:rPr>
                        <w:t>青岛广顺房地产有限公司</w:t>
                      </w:r>
                    </w:p>
                  </w:txbxContent>
                </v:textbox>
                <w10:wrap type="none"/>
              </v:shape>
              <v:shape style="position:absolute;left:2943;top:788;width:276;height:537" type="#_x0000_t202" filled="false" stroked="false">
                <v:textbox inset="0,0,0,0">
                  <w:txbxContent>
                    <w:p>
                      <w:pPr>
                        <w:spacing w:line="210" w:lineRule="exact" w:before="0"/>
                        <w:ind w:left="32" w:right="0" w:firstLine="0"/>
                        <w:jc w:val="left"/>
                        <w:rPr>
                          <w:rFonts w:ascii="宋体" w:hAnsi="宋体" w:cs="宋体" w:eastAsia="宋体" w:hint="default"/>
                          <w:sz w:val="21"/>
                          <w:szCs w:val="21"/>
                        </w:rPr>
                      </w:pPr>
                      <w:r>
                        <w:rPr>
                          <w:rFonts w:ascii="宋体" w:hAnsi="宋体" w:cs="宋体" w:eastAsia="宋体" w:hint="default"/>
                          <w:sz w:val="21"/>
                          <w:szCs w:val="21"/>
                        </w:rPr>
                        <w:t>例</w:t>
                      </w:r>
                    </w:p>
                    <w:p>
                      <w:pPr>
                        <w:spacing w:line="169" w:lineRule="exact" w:before="157"/>
                        <w:ind w:left="0" w:right="0" w:firstLine="0"/>
                        <w:jc w:val="left"/>
                        <w:rPr>
                          <w:rFonts w:ascii="Times New Roman" w:hAnsi="Times New Roman" w:cs="Times New Roman" w:eastAsia="Times New Roman" w:hint="default"/>
                          <w:sz w:val="15"/>
                          <w:szCs w:val="15"/>
                        </w:rPr>
                      </w:pPr>
                      <w:r>
                        <w:rPr>
                          <w:rFonts w:ascii="Times New Roman"/>
                          <w:sz w:val="15"/>
                        </w:rPr>
                        <w:t>83%</w:t>
                      </w:r>
                    </w:p>
                  </w:txbxContent>
                </v:textbox>
                <w10:wrap type="none"/>
              </v:shape>
              <v:shape style="position:absolute;left:4053;top:78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额</w:t>
                      </w:r>
                    </w:p>
                  </w:txbxContent>
                </v:textbox>
                <w10:wrap type="none"/>
              </v:shape>
              <v:shape style="position:absolute;left:7535;top:78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少</w:t>
                      </w:r>
                    </w:p>
                  </w:txbxContent>
                </v:textbox>
                <w10:wrap type="none"/>
              </v:shape>
              <v:shape style="position:absolute;left:5805;top:1174;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7922;top:1174;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3725;top:1295;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46,384,740.35</w:t>
                      </w:r>
                    </w:p>
                  </w:txbxContent>
                </v:textbox>
                <w10:wrap type="none"/>
              </v:shape>
              <v:shape style="position:absolute;left:6149;top:1295;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46,384,740.35</w:t>
                      </w:r>
                    </w:p>
                  </w:txbxContent>
                </v:textbox>
                <w10:wrap type="none"/>
              </v:shape>
              <v:shape style="position:absolute;left:8265;top:1295;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46,384,740.35</w:t>
                      </w:r>
                    </w:p>
                  </w:txbxContent>
                </v:textbox>
                <w10:wrap type="none"/>
              </v:shape>
              <v:shape style="position:absolute;left:275;top:1672;width:21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兖州海情置业有限公司</w:t>
                      </w:r>
                    </w:p>
                  </w:txbxContent>
                </v:textbox>
                <w10:wrap type="none"/>
              </v:shape>
              <v:shape style="position:absolute;left:2943;top:1684;width:27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90%</w:t>
                      </w:r>
                    </w:p>
                  </w:txbxContent>
                </v:textbox>
                <w10:wrap type="none"/>
              </v:shape>
              <v:shape style="position:absolute;left:5805;top:1684;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7922;top:1684;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3688;top:1805;width:9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162,177,496.65</w:t>
                      </w:r>
                    </w:p>
                  </w:txbxContent>
                </v:textbox>
                <w10:wrap type="none"/>
              </v:shape>
              <v:shape style="position:absolute;left:6112;top:1805;width:9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162,177,496.65</w:t>
                      </w:r>
                    </w:p>
                  </w:txbxContent>
                </v:textbox>
                <w10:wrap type="none"/>
              </v:shape>
              <v:shape style="position:absolute;left:8228;top:1805;width:9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162,177,496.65</w:t>
                      </w:r>
                    </w:p>
                  </w:txbxContent>
                </v:textbox>
                <w10:wrap type="none"/>
              </v:shape>
              <v:shape style="position:absolute;left:1535;top:2182;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5805;top:2194;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7922;top:2194;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3688;top:2315;width:9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208,562,237.00</w:t>
                      </w:r>
                    </w:p>
                  </w:txbxContent>
                </v:textbox>
                <w10:wrap type="none"/>
              </v:shape>
              <v:shape style="position:absolute;left:6112;top:2315;width:9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208,562,237.00</w:t>
                      </w:r>
                    </w:p>
                  </w:txbxContent>
                </v:textbox>
                <w10:wrap type="none"/>
              </v:shape>
              <v:shape style="position:absolute;left:8228;top:2315;width:9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208,562,237.00</w:t>
                      </w:r>
                    </w:p>
                  </w:txbxContent>
                </v:textbox>
                <w10:wrap type="none"/>
              </v:shape>
            </v:group>
          </v:group>
        </w:pict>
      </w:r>
      <w:r>
        <w:rPr>
          <w:rFonts w:ascii="宋体" w:hAnsi="宋体" w:cs="宋体" w:eastAsia="宋体" w:hint="default"/>
          <w:position w:val="-51"/>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0"/>
        <w:ind w:left="6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股票投资</w:t>
      </w:r>
    </w:p>
    <w:p>
      <w:pPr>
        <w:spacing w:line="2089" w:lineRule="exact"/>
        <w:ind w:left="635"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34.55pt;height:104.5pt;mso-position-horizontal-relative:char;mso-position-vertical-relative:line" coordorigin="0,0" coordsize="8691,2090">
            <v:group style="position:absolute;left:29;top:15;width:4577;height:2" coordorigin="29,15" coordsize="4577,2">
              <v:shape style="position:absolute;left:29;top:15;width:4577;height:2" coordorigin="29,15" coordsize="4577,0" path="m29,15l4606,15e" filled="false" stroked="true" strokeweight="1.5pt" strokecolor="#000000">
                <v:path arrowok="t"/>
              </v:shape>
            </v:group>
            <v:group style="position:absolute;left:4606;top:15;width:1089;height:2" coordorigin="4606,15" coordsize="1089,2">
              <v:shape style="position:absolute;left:4606;top:15;width:1089;height:2" coordorigin="4606,15" coordsize="1089,0" path="m4606,15l5695,15e" filled="false" stroked="true" strokeweight="1.5pt" strokecolor="#000000">
                <v:path arrowok="t"/>
              </v:shape>
            </v:group>
            <v:group style="position:absolute;left:5695;top:15;width:2974;height:2" coordorigin="5695,15" coordsize="2974,2">
              <v:shape style="position:absolute;left:5695;top:15;width:2974;height:2" coordorigin="5695,15" coordsize="2974,0" path="m5695,15l8668,15e" filled="false" stroked="true" strokeweight="1.5pt" strokecolor="#000000">
                <v:path arrowok="t"/>
              </v:shape>
              <v:shape style="position:absolute;left:1989;top:11;width:5795;height:538" type="#_x0000_t75" stroked="false">
                <v:imagedata r:id="rId169" o:title=""/>
              </v:shape>
            </v:group>
            <v:group style="position:absolute;left:15;top:2074;width:1994;height:2" coordorigin="15,2074" coordsize="1994,2">
              <v:shape style="position:absolute;left:15;top:2074;width:1994;height:2" coordorigin="15,2074" coordsize="1994,0" path="m15,2074l2008,2074e" filled="false" stroked="true" strokeweight="1.5pt" strokecolor="#000000">
                <v:path arrowok="t"/>
              </v:shape>
              <v:shape style="position:absolute;left:17;top:516;width:8664;height:1562" type="#_x0000_t75" stroked="false">
                <v:imagedata r:id="rId170" o:title=""/>
              </v:shape>
            </v:group>
            <v:group style="position:absolute;left:2008;top:2074;width:870;height:2" coordorigin="2008,2074" coordsize="870,2">
              <v:shape style="position:absolute;left:2008;top:2074;width:870;height:2" coordorigin="2008,2074" coordsize="870,0" path="m2008,2074l2878,2074e" filled="false" stroked="true" strokeweight="1.5pt" strokecolor="#000000">
                <v:path arrowok="t"/>
              </v:shape>
              <v:shape style="position:absolute;left:2859;top:1540;width:48;height:539" type="#_x0000_t75" stroked="false">
                <v:imagedata r:id="rId171" o:title=""/>
              </v:shape>
            </v:group>
            <v:group style="position:absolute;left:2878;top:2074;width:852;height:2" coordorigin="2878,2074" coordsize="852,2">
              <v:shape style="position:absolute;left:2878;top:2074;width:852;height:2" coordorigin="2878,2074" coordsize="852,0" path="m2878,2074l3730,2074e" filled="false" stroked="true" strokeweight="1.5pt" strokecolor="#000000">
                <v:path arrowok="t"/>
              </v:shape>
              <v:shape style="position:absolute;left:3711;top:1540;width:48;height:539" type="#_x0000_t75" stroked="false">
                <v:imagedata r:id="rId171" o:title=""/>
              </v:shape>
            </v:group>
            <v:group style="position:absolute;left:3730;top:2074;width:846;height:2" coordorigin="3730,2074" coordsize="846,2">
              <v:shape style="position:absolute;left:3730;top:2074;width:846;height:2" coordorigin="3730,2074" coordsize="846,0" path="m3730,2074l4576,2074e" filled="false" stroked="true" strokeweight="1.5pt" strokecolor="#000000">
                <v:path arrowok="t"/>
              </v:shape>
              <v:shape style="position:absolute;left:4557;top:1540;width:48;height:539" type="#_x0000_t75" stroked="false">
                <v:imagedata r:id="rId171" o:title=""/>
              </v:shape>
            </v:group>
            <v:group style="position:absolute;left:4576;top:2074;width:30;height:2" coordorigin="4576,2074" coordsize="30,2">
              <v:shape style="position:absolute;left:4576;top:2074;width:30;height:2" coordorigin="4576,2074" coordsize="30,0" path="m4576,2074l4606,2074e" filled="false" stroked="true" strokeweight="1.5pt" strokecolor="#000000">
                <v:path arrowok="t"/>
              </v:shape>
            </v:group>
            <v:group style="position:absolute;left:4606;top:2074;width:1089;height:2" coordorigin="4606,2074" coordsize="1089,2">
              <v:shape style="position:absolute;left:4606;top:2074;width:1089;height:2" coordorigin="4606,2074" coordsize="1089,0" path="m4606,2074l5695,2074e" filled="false" stroked="true" strokeweight="1.5pt" strokecolor="#000000">
                <v:path arrowok="t"/>
              </v:shape>
              <v:shape style="position:absolute;left:5675;top:1540;width:48;height:539" type="#_x0000_t75" stroked="false">
                <v:imagedata r:id="rId171" o:title=""/>
              </v:shape>
            </v:group>
            <v:group style="position:absolute;left:5695;top:2074;width:1119;height:2" coordorigin="5695,2074" coordsize="1119,2">
              <v:shape style="position:absolute;left:5695;top:2074;width:1119;height:2" coordorigin="5695,2074" coordsize="1119,0" path="m5695,2074l6813,2074e" filled="false" stroked="true" strokeweight="1.5pt" strokecolor="#000000">
                <v:path arrowok="t"/>
              </v:shape>
              <v:shape style="position:absolute;left:6794;top:1540;width:48;height:539" type="#_x0000_t75" stroked="false">
                <v:imagedata r:id="rId171" o:title=""/>
              </v:shape>
            </v:group>
            <v:group style="position:absolute;left:6813;top:2074;width:942;height:2" coordorigin="6813,2074" coordsize="942,2">
              <v:shape style="position:absolute;left:6813;top:2074;width:942;height:2" coordorigin="6813,2074" coordsize="942,0" path="m6813,2074l7755,2074e" filled="false" stroked="true" strokeweight="1.5pt" strokecolor="#000000">
                <v:path arrowok="t"/>
              </v:shape>
              <v:shape style="position:absolute;left:7736;top:1540;width:48;height:539" type="#_x0000_t75" stroked="false">
                <v:imagedata r:id="rId171" o:title=""/>
              </v:shape>
            </v:group>
            <v:group style="position:absolute;left:7755;top:2074;width:921;height:2" coordorigin="7755,2074" coordsize="921,2">
              <v:shape style="position:absolute;left:7755;top:2074;width:921;height:2" coordorigin="7755,2074" coordsize="921,0" path="m7755,2074l8675,2074e" filled="false" stroked="true" strokeweight="1.5pt" strokecolor="#000000">
                <v:path arrowok="t"/>
              </v:shape>
              <v:shape style="position:absolute;left:697;top:378;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被投资单位</w:t>
                      </w:r>
                      <w:r>
                        <w:rPr>
                          <w:rFonts w:ascii="宋体" w:hAnsi="宋体" w:cs="宋体" w:eastAsia="宋体" w:hint="default"/>
                          <w:sz w:val="13"/>
                          <w:szCs w:val="13"/>
                        </w:rPr>
                      </w:r>
                    </w:p>
                  </w:txbxContent>
                </v:textbox>
                <w10:wrap type="none"/>
              </v:shape>
              <v:shape style="position:absolute;left:2188;top:378;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股份性质</w:t>
                      </w:r>
                      <w:r>
                        <w:rPr>
                          <w:rFonts w:ascii="宋体" w:hAnsi="宋体" w:cs="宋体" w:eastAsia="宋体" w:hint="default"/>
                          <w:sz w:val="13"/>
                          <w:szCs w:val="13"/>
                        </w:rPr>
                      </w:r>
                    </w:p>
                  </w:txbxContent>
                </v:textbox>
                <w10:wrap type="none"/>
              </v:shape>
              <v:shape style="position:absolute;left:3178;top:378;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股数</w:t>
                      </w:r>
                      <w:r>
                        <w:rPr>
                          <w:rFonts w:ascii="宋体" w:hAnsi="宋体" w:cs="宋体" w:eastAsia="宋体" w:hint="default"/>
                          <w:sz w:val="13"/>
                          <w:szCs w:val="13"/>
                        </w:rPr>
                      </w:r>
                    </w:p>
                  </w:txbxContent>
                </v:textbox>
                <w10:wrap type="none"/>
              </v:shape>
              <v:shape style="position:absolute;left:3899;top:378;width:1565;height:130" type="#_x0000_t202" filled="false" stroked="false">
                <v:textbox inset="0,0,0,0">
                  <w:txbxContent>
                    <w:p>
                      <w:pPr>
                        <w:tabs>
                          <w:tab w:pos="915"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股权比例</w:t>
                        <w:tab/>
                        <w:t>初始投资额</w:t>
                      </w:r>
                      <w:r>
                        <w:rPr>
                          <w:rFonts w:ascii="宋体" w:hAnsi="宋体" w:cs="宋体" w:eastAsia="宋体" w:hint="default"/>
                          <w:sz w:val="13"/>
                          <w:szCs w:val="13"/>
                        </w:rPr>
                      </w:r>
                    </w:p>
                  </w:txbxContent>
                </v:textbox>
                <w10:wrap type="none"/>
              </v:shape>
              <v:shape style="position:absolute;left:6064;top:378;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期初数</w:t>
                      </w:r>
                      <w:r>
                        <w:rPr>
                          <w:rFonts w:ascii="宋体" w:hAnsi="宋体" w:cs="宋体" w:eastAsia="宋体" w:hint="default"/>
                          <w:sz w:val="13"/>
                          <w:szCs w:val="13"/>
                        </w:rPr>
                      </w:r>
                    </w:p>
                  </w:txbxContent>
                </v:textbox>
                <w10:wrap type="none"/>
              </v:shape>
              <v:shape style="position:absolute;left:6986;top:378;width:605;height:137" type="#_x0000_t202" filled="false" stroked="false">
                <v:textbox inset="0,0,0,0">
                  <w:txbxContent>
                    <w:p>
                      <w:pPr>
                        <w:spacing w:line="137" w:lineRule="exact" w:before="0"/>
                        <w:ind w:left="0" w:right="0" w:firstLine="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本期增</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减</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xbxContent>
                </v:textbox>
                <w10:wrap type="none"/>
              </v:shape>
              <v:shape style="position:absolute;left:8023;top:378;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期末数</w:t>
                      </w:r>
                      <w:r>
                        <w:rPr>
                          <w:rFonts w:ascii="宋体" w:hAnsi="宋体" w:cs="宋体" w:eastAsia="宋体" w:hint="default"/>
                          <w:sz w:val="13"/>
                          <w:szCs w:val="13"/>
                        </w:rPr>
                      </w:r>
                    </w:p>
                  </w:txbxContent>
                </v:textbox>
                <w10:wrap type="none"/>
              </v:shape>
              <v:shape style="position:absolute;left:137;top:887;width:90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成本法核算单位</w:t>
                      </w:r>
                      <w:r>
                        <w:rPr>
                          <w:rFonts w:ascii="宋体" w:hAnsi="宋体" w:cs="宋体" w:eastAsia="宋体" w:hint="default"/>
                          <w:sz w:val="13"/>
                          <w:szCs w:val="13"/>
                        </w:rPr>
                      </w:r>
                    </w:p>
                  </w:txbxContent>
                </v:textbox>
                <w10:wrap type="none"/>
              </v:shape>
              <v:shape style="position:absolute;left:137;top:1091;width:1785;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6"/>
                          <w:sz w:val="18"/>
                          <w:szCs w:val="18"/>
                        </w:rPr>
                        <w:t>深圳市石油化工集团</w:t>
                      </w:r>
                      <w:r>
                        <w:rPr>
                          <w:rFonts w:ascii="宋体" w:hAnsi="宋体" w:cs="宋体" w:eastAsia="宋体" w:hint="default"/>
                          <w:spacing w:val="-72"/>
                          <w:sz w:val="18"/>
                          <w:szCs w:val="18"/>
                        </w:rPr>
                        <w:t> </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股份有限公司</w:t>
                      </w:r>
                    </w:p>
                  </w:txbxContent>
                </v:textbox>
                <w10:wrap type="none"/>
              </v:shape>
              <v:shape style="position:absolute;left:2253;top:1231;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法人股</w:t>
                      </w:r>
                      <w:r>
                        <w:rPr>
                          <w:rFonts w:ascii="宋体" w:hAnsi="宋体" w:cs="宋体" w:eastAsia="宋体" w:hint="default"/>
                          <w:sz w:val="13"/>
                          <w:szCs w:val="13"/>
                        </w:rPr>
                      </w:r>
                    </w:p>
                  </w:txbxContent>
                </v:textbox>
                <w10:wrap type="none"/>
              </v:shape>
              <v:shape style="position:absolute;left:3205;top:1237;width:42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328,000</w:t>
                      </w:r>
                      <w:r>
                        <w:rPr>
                          <w:rFonts w:ascii="Times New Roman"/>
                          <w:sz w:val="13"/>
                        </w:rPr>
                      </w:r>
                    </w:p>
                  </w:txbxContent>
                </v:textbox>
                <w10:wrap type="none"/>
              </v:shape>
              <v:shape style="position:absolute;left:4139;top:1237;width:335;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0.54%</w:t>
                      </w:r>
                      <w:r>
                        <w:rPr>
                          <w:rFonts w:ascii="Times New Roman"/>
                          <w:sz w:val="13"/>
                        </w:rPr>
                      </w:r>
                    </w:p>
                  </w:txbxContent>
                </v:textbox>
                <w10:wrap type="none"/>
              </v:shape>
              <v:shape style="position:absolute;left:4910;top:1237;width:68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1,640,000.00</w:t>
                      </w:r>
                      <w:r>
                        <w:rPr>
                          <w:rFonts w:ascii="Times New Roman"/>
                          <w:sz w:val="13"/>
                        </w:rPr>
                      </w:r>
                    </w:p>
                  </w:txbxContent>
                </v:textbox>
                <w10:wrap type="none"/>
              </v:shape>
              <v:shape style="position:absolute;left:6028;top:1237;width:1624;height:130" type="#_x0000_t202" filled="false" stroked="false">
                <v:textbox inset="0,0,0,0">
                  <w:txbxContent>
                    <w:p>
                      <w:pPr>
                        <w:tabs>
                          <w:tab w:pos="898"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1,640,000.00</w:t>
                        <w:tab/>
                        <w:t>-1,640,000.00</w:t>
                      </w:r>
                      <w:r>
                        <w:rPr>
                          <w:rFonts w:ascii="Times New Roman"/>
                          <w:sz w:val="13"/>
                        </w:rPr>
                      </w:r>
                    </w:p>
                  </w:txbxContent>
                </v:textbox>
                <w10:wrap type="none"/>
              </v:shape>
              <v:shape style="position:absolute;left:8524;top:1413;width:44;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xbxContent>
                </v:textbox>
                <w10:wrap type="none"/>
              </v:shape>
              <v:shape style="position:absolute;left:632;top:1741;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股票投资小计</w:t>
                      </w:r>
                      <w:r>
                        <w:rPr>
                          <w:rFonts w:ascii="宋体" w:hAnsi="宋体" w:cs="宋体" w:eastAsia="宋体" w:hint="default"/>
                          <w:sz w:val="13"/>
                          <w:szCs w:val="13"/>
                        </w:rPr>
                      </w:r>
                    </w:p>
                  </w:txbxContent>
                </v:textbox>
                <w10:wrap type="none"/>
              </v:shape>
              <v:shape style="position:absolute;left:4910;top:1747;width:68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1,640,000.00</w:t>
                      </w:r>
                      <w:r>
                        <w:rPr>
                          <w:rFonts w:ascii="Times New Roman"/>
                          <w:sz w:val="13"/>
                        </w:rPr>
                      </w:r>
                    </w:p>
                  </w:txbxContent>
                </v:textbox>
                <w10:wrap type="none"/>
              </v:shape>
              <v:shape style="position:absolute;left:6028;top:1747;width:1624;height:130" type="#_x0000_t202" filled="false" stroked="false">
                <v:textbox inset="0,0,0,0">
                  <w:txbxContent>
                    <w:p>
                      <w:pPr>
                        <w:tabs>
                          <w:tab w:pos="898"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1,640,000.00</w:t>
                        <w:tab/>
                        <w:t>-1,640,000.00</w:t>
                      </w:r>
                      <w:r>
                        <w:rPr>
                          <w:rFonts w:ascii="Times New Roman"/>
                          <w:sz w:val="13"/>
                        </w:rPr>
                      </w:r>
                    </w:p>
                  </w:txbxContent>
                </v:textbox>
                <w10:wrap type="none"/>
              </v:shape>
              <v:shape style="position:absolute;left:4431;top:1923;width:4137;height:130" type="#_x0000_t202" filled="false" stroked="false">
                <v:textbox inset="0,0,0,0">
                  <w:txbxContent>
                    <w:p>
                      <w:pPr>
                        <w:tabs>
                          <w:tab w:pos="4093"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w:t>
                        <w:tab/>
                      </w:r>
                      <w:r>
                        <w:rPr>
                          <w:rFonts w:ascii="Times New Roman"/>
                          <w:sz w:val="13"/>
                        </w:rPr>
                        <w:t>-</w:t>
                      </w:r>
                    </w:p>
                  </w:txbxContent>
                </v:textbox>
                <w10:wrap type="none"/>
              </v:shape>
            </v:group>
          </v:group>
        </w:pict>
      </w:r>
      <w:r>
        <w:rPr>
          <w:rFonts w:ascii="宋体" w:hAnsi="宋体" w:cs="宋体" w:eastAsia="宋体" w:hint="default"/>
          <w:position w:val="-41"/>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87"/>
        <w:ind w:left="764" w:right="0" w:firstLine="0"/>
        <w:jc w:val="left"/>
        <w:rPr>
          <w:rFonts w:ascii="宋体" w:hAnsi="宋体" w:cs="宋体" w:eastAsia="宋体" w:hint="default"/>
          <w:sz w:val="21"/>
          <w:szCs w:val="21"/>
        </w:rPr>
      </w:pPr>
      <w:r>
        <w:rPr/>
        <w:pict>
          <v:group style="position:absolute;margin-left:91.470001pt;margin-top:24.733818pt;width:433.75pt;height:105.65pt;mso-position-horizontal-relative:page;mso-position-vertical-relative:paragraph;z-index:-438832" coordorigin="1829,495" coordsize="8675,2113">
            <v:group style="position:absolute;left:1844;top:510;width:8639;height:2" coordorigin="1844,510" coordsize="8639,2">
              <v:shape style="position:absolute;left:1844;top:510;width:8639;height:2" coordorigin="1844,510" coordsize="8639,0" path="m1844,510l10483,510e" filled="false" stroked="true" strokeweight="1.5pt" strokecolor="#000000">
                <v:path arrowok="t"/>
              </v:shape>
              <v:shape style="position:absolute;left:3953;top:512;width:4996;height:536" type="#_x0000_t75" stroked="false">
                <v:imagedata r:id="rId172" o:title=""/>
              </v:shape>
              <v:shape style="position:absolute;left:1832;top:1022;width:8673;height:1586" type="#_x0000_t75" stroked="false">
                <v:imagedata r:id="rId173" o:title=""/>
              </v:shape>
              <v:shape style="position:absolute;left:2533;top:855;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项</w:t>
                      </w:r>
                    </w:p>
                  </w:txbxContent>
                </v:textbox>
                <w10:wrap type="none"/>
              </v:shape>
              <v:shape style="position:absolute;left:3132;top:855;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目</w:t>
                      </w:r>
                    </w:p>
                  </w:txbxContent>
                </v:textbox>
                <w10:wrap type="none"/>
              </v:shape>
              <v:shape style="position:absolute;left:4290;top:85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期初余额</w:t>
                      </w:r>
                    </w:p>
                  </w:txbxContent>
                </v:textbox>
                <w10:wrap type="none"/>
              </v:shape>
              <v:shape style="position:absolute;left:5530;top:85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本期增加</w:t>
                      </w:r>
                    </w:p>
                  </w:txbxContent>
                </v:textbox>
                <w10:wrap type="none"/>
              </v:shape>
              <v:shape style="position:absolute;left:6769;top:85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本期减少</w:t>
                      </w:r>
                    </w:p>
                  </w:txbxContent>
                </v:textbox>
                <w10:wrap type="none"/>
              </v:shape>
              <v:shape style="position:absolute;left:8011;top:85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期末余额</w:t>
                      </w:r>
                    </w:p>
                  </w:txbxContent>
                </v:textbox>
                <w10:wrap type="none"/>
              </v:shape>
              <v:shape style="position:absolute;left:9110;top:855;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计提（恢复）原因</w:t>
                      </w:r>
                    </w:p>
                  </w:txbxContent>
                </v:textbox>
                <w10:wrap type="none"/>
              </v:shape>
            </v:group>
            <w10:wrap type="none"/>
          </v:group>
        </w:pict>
      </w:r>
      <w:r>
        <w:rPr>
          <w:rFonts w:ascii="Times New Roman" w:hAnsi="Times New Roman" w:cs="Times New Roman" w:eastAsia="Times New Roman" w:hint="default"/>
          <w:sz w:val="21"/>
          <w:szCs w:val="21"/>
        </w:rPr>
        <w:t>(4)</w:t>
      </w:r>
      <w:r>
        <w:rPr>
          <w:rFonts w:ascii="宋体" w:hAnsi="宋体" w:cs="宋体" w:eastAsia="宋体" w:hint="default"/>
          <w:sz w:val="21"/>
          <w:szCs w:val="21"/>
        </w:rPr>
        <w:t>长期股权投资减值准备</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tbl>
      <w:tblPr>
        <w:tblW w:w="0" w:type="auto"/>
        <w:jc w:val="left"/>
        <w:tblInd w:w="650" w:type="dxa"/>
        <w:tblLayout w:type="fixed"/>
        <w:tblCellMar>
          <w:top w:w="0" w:type="dxa"/>
          <w:left w:w="0" w:type="dxa"/>
          <w:bottom w:w="0" w:type="dxa"/>
          <w:right w:w="0" w:type="dxa"/>
        </w:tblCellMar>
        <w:tblLook w:val="01E0"/>
      </w:tblPr>
      <w:tblGrid>
        <w:gridCol w:w="2185"/>
        <w:gridCol w:w="1677"/>
        <w:gridCol w:w="2480"/>
        <w:gridCol w:w="2318"/>
      </w:tblGrid>
      <w:tr>
        <w:trPr>
          <w:trHeight w:val="544" w:hRule="exact"/>
        </w:trPr>
        <w:tc>
          <w:tcPr>
            <w:tcW w:w="2185" w:type="dxa"/>
            <w:tcBorders>
              <w:top w:val="nil" w:sz="6" w:space="0" w:color="auto"/>
              <w:left w:val="nil" w:sz="6" w:space="0" w:color="auto"/>
              <w:bottom w:val="nil" w:sz="6" w:space="0" w:color="auto"/>
              <w:right w:val="nil" w:sz="6" w:space="0" w:color="auto"/>
            </w:tcBorders>
          </w:tcPr>
          <w:p>
            <w:pPr>
              <w:pStyle w:val="TableParagraph"/>
              <w:spacing w:line="232" w:lineRule="exact" w:before="36"/>
              <w:ind w:left="122" w:right="139"/>
              <w:jc w:val="left"/>
              <w:rPr>
                <w:rFonts w:ascii="宋体" w:hAnsi="宋体" w:cs="宋体" w:eastAsia="宋体" w:hint="default"/>
                <w:sz w:val="18"/>
                <w:szCs w:val="18"/>
              </w:rPr>
            </w:pPr>
            <w:r>
              <w:rPr>
                <w:rFonts w:ascii="宋体" w:hAnsi="宋体" w:cs="宋体" w:eastAsia="宋体" w:hint="default"/>
                <w:spacing w:val="12"/>
                <w:sz w:val="18"/>
                <w:szCs w:val="18"/>
              </w:rPr>
              <w:t>深圳大通食品工业有限 </w:t>
            </w:r>
            <w:r>
              <w:rPr>
                <w:rFonts w:ascii="宋体" w:hAnsi="宋体" w:cs="宋体" w:eastAsia="宋体" w:hint="default"/>
                <w:sz w:val="18"/>
                <w:szCs w:val="18"/>
              </w:rPr>
              <w:t>公司</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41" w:right="0"/>
              <w:jc w:val="left"/>
              <w:rPr>
                <w:rFonts w:ascii="Times New Roman" w:hAnsi="Times New Roman" w:cs="Times New Roman" w:eastAsia="Times New Roman" w:hint="default"/>
                <w:sz w:val="18"/>
                <w:szCs w:val="18"/>
              </w:rPr>
            </w:pPr>
            <w:r>
              <w:rPr>
                <w:rFonts w:ascii="Times New Roman"/>
                <w:sz w:val="18"/>
              </w:rPr>
              <w:t>3,835,697.65</w:t>
            </w:r>
          </w:p>
        </w:tc>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tabs>
                <w:tab w:pos="353" w:val="left" w:leader="none"/>
              </w:tabs>
              <w:spacing w:line="240" w:lineRule="auto"/>
              <w:ind w:right="588"/>
              <w:jc w:val="righ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3,835,697.65</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tabs>
                <w:tab w:pos="899" w:val="left" w:leader="none"/>
              </w:tabs>
              <w:spacing w:line="240" w:lineRule="auto"/>
              <w:ind w:right="107"/>
              <w:jc w:val="right"/>
              <w:rPr>
                <w:rFonts w:ascii="宋体" w:hAnsi="宋体" w:cs="宋体" w:eastAsia="宋体" w:hint="default"/>
                <w:sz w:val="18"/>
                <w:szCs w:val="18"/>
              </w:rPr>
            </w:pPr>
            <w:r>
              <w:rPr>
                <w:rFonts w:ascii="Times New Roman" w:hAnsi="Times New Roman" w:cs="Times New Roman" w:eastAsia="Times New Roman" w:hint="default"/>
                <w:sz w:val="18"/>
                <w:szCs w:val="18"/>
              </w:rPr>
              <w:t>-</w:t>
              <w:tab/>
            </w:r>
            <w:r>
              <w:rPr>
                <w:rFonts w:ascii="宋体" w:hAnsi="宋体" w:cs="宋体" w:eastAsia="宋体" w:hint="default"/>
                <w:w w:val="95"/>
                <w:position w:val="1"/>
                <w:sz w:val="18"/>
                <w:szCs w:val="18"/>
              </w:rPr>
              <w:t>转让核销</w:t>
            </w:r>
            <w:r>
              <w:rPr>
                <w:rFonts w:ascii="宋体" w:hAnsi="宋体" w:cs="宋体" w:eastAsia="宋体" w:hint="default"/>
                <w:sz w:val="18"/>
                <w:szCs w:val="18"/>
              </w:rPr>
            </w:r>
          </w:p>
        </w:tc>
      </w:tr>
      <w:tr>
        <w:trPr>
          <w:trHeight w:val="520" w:hRule="exact"/>
        </w:trPr>
        <w:tc>
          <w:tcPr>
            <w:tcW w:w="2185" w:type="dxa"/>
            <w:tcBorders>
              <w:top w:val="nil" w:sz="6" w:space="0" w:color="auto"/>
              <w:left w:val="nil" w:sz="6" w:space="0" w:color="auto"/>
              <w:bottom w:val="nil" w:sz="6" w:space="0" w:color="auto"/>
              <w:right w:val="nil" w:sz="6" w:space="0" w:color="auto"/>
            </w:tcBorders>
          </w:tcPr>
          <w:p>
            <w:pPr>
              <w:pStyle w:val="TableParagraph"/>
              <w:spacing w:line="234" w:lineRule="exact" w:before="10"/>
              <w:ind w:left="122" w:right="139"/>
              <w:jc w:val="left"/>
              <w:rPr>
                <w:rFonts w:ascii="宋体" w:hAnsi="宋体" w:cs="宋体" w:eastAsia="宋体" w:hint="default"/>
                <w:sz w:val="18"/>
                <w:szCs w:val="18"/>
              </w:rPr>
            </w:pPr>
            <w:r>
              <w:rPr>
                <w:rFonts w:ascii="宋体" w:hAnsi="宋体" w:cs="宋体" w:eastAsia="宋体" w:hint="default"/>
                <w:spacing w:val="12"/>
                <w:sz w:val="18"/>
                <w:szCs w:val="18"/>
              </w:rPr>
              <w:t>深圳市石油化工集团股 </w:t>
            </w:r>
            <w:r>
              <w:rPr>
                <w:rFonts w:ascii="宋体" w:hAnsi="宋体" w:cs="宋体" w:eastAsia="宋体" w:hint="default"/>
                <w:sz w:val="18"/>
                <w:szCs w:val="18"/>
              </w:rPr>
              <w:t>份有限公司</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141" w:right="0"/>
              <w:jc w:val="left"/>
              <w:rPr>
                <w:rFonts w:ascii="Times New Roman" w:hAnsi="Times New Roman" w:cs="Times New Roman" w:eastAsia="Times New Roman" w:hint="default"/>
                <w:sz w:val="18"/>
                <w:szCs w:val="18"/>
              </w:rPr>
            </w:pPr>
            <w:r>
              <w:rPr>
                <w:rFonts w:ascii="Times New Roman"/>
                <w:sz w:val="18"/>
              </w:rPr>
              <w:t>1,405,714.29</w:t>
            </w:r>
          </w:p>
        </w:tc>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tabs>
                <w:tab w:pos="353" w:val="left" w:leader="none"/>
              </w:tabs>
              <w:spacing w:line="240" w:lineRule="auto"/>
              <w:ind w:right="588"/>
              <w:jc w:val="righ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1,405,714.29</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tabs>
                <w:tab w:pos="899" w:val="left" w:leader="none"/>
              </w:tabs>
              <w:spacing w:line="240" w:lineRule="auto"/>
              <w:ind w:right="107"/>
              <w:jc w:val="right"/>
              <w:rPr>
                <w:rFonts w:ascii="宋体" w:hAnsi="宋体" w:cs="宋体" w:eastAsia="宋体" w:hint="default"/>
                <w:sz w:val="18"/>
                <w:szCs w:val="18"/>
              </w:rPr>
            </w:pPr>
            <w:r>
              <w:rPr>
                <w:rFonts w:ascii="Times New Roman" w:hAnsi="Times New Roman" w:cs="Times New Roman" w:eastAsia="Times New Roman" w:hint="default"/>
                <w:sz w:val="18"/>
                <w:szCs w:val="18"/>
              </w:rPr>
              <w:t>-</w:t>
              <w:tab/>
            </w:r>
            <w:r>
              <w:rPr>
                <w:rFonts w:ascii="宋体" w:hAnsi="宋体" w:cs="宋体" w:eastAsia="宋体" w:hint="default"/>
                <w:w w:val="95"/>
                <w:position w:val="1"/>
                <w:sz w:val="18"/>
                <w:szCs w:val="18"/>
              </w:rPr>
              <w:t>转让核销</w:t>
            </w:r>
            <w:r>
              <w:rPr>
                <w:rFonts w:ascii="宋体" w:hAnsi="宋体" w:cs="宋体" w:eastAsia="宋体" w:hint="default"/>
                <w:sz w:val="18"/>
                <w:szCs w:val="18"/>
              </w:rPr>
            </w:r>
          </w:p>
        </w:tc>
      </w:tr>
      <w:tr>
        <w:trPr>
          <w:trHeight w:val="501" w:hRule="exact"/>
        </w:trPr>
        <w:tc>
          <w:tcPr>
            <w:tcW w:w="2185" w:type="dxa"/>
            <w:tcBorders>
              <w:top w:val="nil" w:sz="6" w:space="0" w:color="auto"/>
              <w:left w:val="nil" w:sz="6" w:space="0" w:color="auto"/>
              <w:bottom w:val="single" w:sz="12" w:space="0" w:color="000000"/>
              <w:right w:val="nil" w:sz="6" w:space="0" w:color="auto"/>
            </w:tcBorders>
          </w:tcPr>
          <w:p>
            <w:pPr>
              <w:pStyle w:val="TableParagraph"/>
              <w:spacing w:line="234" w:lineRule="exact" w:before="10"/>
              <w:ind w:left="122" w:right="139"/>
              <w:jc w:val="left"/>
              <w:rPr>
                <w:rFonts w:ascii="宋体" w:hAnsi="宋体" w:cs="宋体" w:eastAsia="宋体" w:hint="default"/>
                <w:sz w:val="18"/>
                <w:szCs w:val="18"/>
              </w:rPr>
            </w:pPr>
            <w:r>
              <w:rPr>
                <w:rFonts w:ascii="宋体" w:hAnsi="宋体" w:cs="宋体" w:eastAsia="宋体" w:hint="default"/>
                <w:spacing w:val="12"/>
                <w:sz w:val="18"/>
                <w:szCs w:val="18"/>
              </w:rPr>
              <w:t>深圳大通食品工业有限 </w:t>
            </w:r>
            <w:r>
              <w:rPr>
                <w:rFonts w:ascii="宋体" w:hAnsi="宋体" w:cs="宋体" w:eastAsia="宋体" w:hint="default"/>
                <w:sz w:val="18"/>
                <w:szCs w:val="18"/>
              </w:rPr>
              <w:t>公司</w:t>
            </w:r>
          </w:p>
        </w:tc>
        <w:tc>
          <w:tcPr>
            <w:tcW w:w="1677"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147" w:right="0"/>
              <w:jc w:val="left"/>
              <w:rPr>
                <w:rFonts w:ascii="Times New Roman" w:hAnsi="Times New Roman" w:cs="Times New Roman" w:eastAsia="Times New Roman" w:hint="default"/>
                <w:sz w:val="18"/>
                <w:szCs w:val="18"/>
              </w:rPr>
            </w:pPr>
            <w:r>
              <w:rPr>
                <w:rFonts w:ascii="Times New Roman"/>
                <w:sz w:val="18"/>
              </w:rPr>
              <w:t>5,241,411.94</w:t>
            </w:r>
          </w:p>
        </w:tc>
        <w:tc>
          <w:tcPr>
            <w:tcW w:w="2480"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tabs>
                <w:tab w:pos="359" w:val="left" w:leader="none"/>
              </w:tabs>
              <w:spacing w:line="240" w:lineRule="auto"/>
              <w:ind w:right="589"/>
              <w:jc w:val="righ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5,241,411.94</w:t>
            </w:r>
          </w:p>
        </w:tc>
        <w:tc>
          <w:tcPr>
            <w:tcW w:w="2318"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tabs>
                <w:tab w:pos="899" w:val="left" w:leader="none"/>
              </w:tabs>
              <w:spacing w:line="240" w:lineRule="auto"/>
              <w:ind w:right="106"/>
              <w:jc w:val="right"/>
              <w:rPr>
                <w:rFonts w:ascii="宋体" w:hAnsi="宋体" w:cs="宋体" w:eastAsia="宋体" w:hint="default"/>
                <w:sz w:val="18"/>
                <w:szCs w:val="18"/>
              </w:rPr>
            </w:pPr>
            <w:r>
              <w:rPr>
                <w:rFonts w:ascii="Times New Roman" w:hAnsi="Times New Roman" w:cs="Times New Roman" w:eastAsia="Times New Roman" w:hint="default"/>
                <w:sz w:val="18"/>
                <w:szCs w:val="18"/>
              </w:rPr>
              <w:t>-</w:t>
              <w:tab/>
            </w:r>
            <w:r>
              <w:rPr>
                <w:rFonts w:ascii="宋体" w:hAnsi="宋体" w:cs="宋体" w:eastAsia="宋体" w:hint="default"/>
                <w:w w:val="95"/>
                <w:position w:val="1"/>
                <w:sz w:val="18"/>
                <w:szCs w:val="18"/>
              </w:rPr>
              <w:t>转让核销</w:t>
            </w:r>
            <w:r>
              <w:rPr>
                <w:rFonts w:ascii="宋体" w:hAnsi="宋体" w:cs="宋体" w:eastAsia="宋体" w:hint="default"/>
                <w:sz w:val="18"/>
                <w:szCs w:val="18"/>
              </w:rPr>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p>
      <w:pPr>
        <w:spacing w:before="35"/>
        <w:ind w:left="658" w:right="0" w:firstLine="0"/>
        <w:jc w:val="left"/>
        <w:rPr>
          <w:rFonts w:ascii="宋体" w:hAnsi="宋体" w:cs="宋体" w:eastAsia="宋体" w:hint="default"/>
          <w:sz w:val="21"/>
          <w:szCs w:val="21"/>
        </w:rPr>
      </w:pPr>
      <w:r>
        <w:rPr>
          <w:rFonts w:ascii="Times New Roman" w:hAnsi="Times New Roman" w:cs="Times New Roman" w:eastAsia="Times New Roman" w:hint="default"/>
          <w:w w:val="99"/>
          <w:sz w:val="21"/>
          <w:szCs w:val="21"/>
        </w:rPr>
        <w:t>(5</w:t>
      </w:r>
      <w:r>
        <w:rPr>
          <w:rFonts w:ascii="Times New Roman" w:hAnsi="Times New Roman" w:cs="Times New Roman" w:eastAsia="Times New Roman" w:hint="default"/>
          <w:spacing w:val="-1"/>
          <w:w w:val="99"/>
          <w:sz w:val="21"/>
          <w:szCs w:val="21"/>
        </w:rPr>
        <w:t>)</w:t>
      </w:r>
      <w:r>
        <w:rPr>
          <w:rFonts w:ascii="宋体" w:hAnsi="宋体" w:cs="宋体" w:eastAsia="宋体" w:hint="default"/>
          <w:w w:val="99"/>
          <w:sz w:val="21"/>
          <w:szCs w:val="21"/>
        </w:rPr>
        <w:t>本期长期投资增加说明见附注十二（</w:t>
      </w:r>
      <w:r>
        <w:rPr>
          <w:rFonts w:ascii="Times New Roman" w:hAnsi="Times New Roman" w:cs="Times New Roman" w:eastAsia="Times New Roman" w:hint="default"/>
          <w:w w:val="99"/>
          <w:sz w:val="21"/>
          <w:szCs w:val="21"/>
        </w:rPr>
        <w:t>2</w:t>
      </w:r>
      <w:r>
        <w:rPr>
          <w:rFonts w:ascii="宋体" w:hAnsi="宋体" w:cs="宋体" w:eastAsia="宋体" w:hint="default"/>
          <w:spacing w:val="-105"/>
          <w:w w:val="99"/>
          <w:sz w:val="21"/>
          <w:szCs w:val="21"/>
        </w:rPr>
        <w:t>）</w:t>
      </w:r>
      <w:r>
        <w:rPr>
          <w:rFonts w:ascii="宋体" w:hAnsi="宋体" w:cs="宋体" w:eastAsia="宋体" w:hint="default"/>
          <w:w w:val="99"/>
          <w:sz w:val="21"/>
          <w:szCs w:val="21"/>
        </w:rPr>
        <w:t>。</w:t>
      </w:r>
      <w:r>
        <w:rPr>
          <w:rFonts w:ascii="宋体" w:hAnsi="宋体" w:cs="宋体" w:eastAsia="宋体" w:hint="default"/>
          <w:sz w:val="21"/>
          <w:szCs w:val="21"/>
        </w:rPr>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718" w:right="0" w:firstLine="0"/>
        <w:jc w:val="left"/>
        <w:rPr>
          <w:rFonts w:ascii="黑体" w:hAnsi="黑体" w:cs="黑体" w:eastAsia="黑体" w:hint="default"/>
          <w:sz w:val="21"/>
          <w:szCs w:val="21"/>
        </w:rPr>
      </w:pPr>
      <w:r>
        <w:rPr>
          <w:rFonts w:ascii="黑体" w:hAnsi="黑体" w:cs="黑体" w:eastAsia="黑体" w:hint="default"/>
          <w:sz w:val="21"/>
          <w:szCs w:val="21"/>
        </w:rPr>
        <w:t>九、关联方关系及交易</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5"/>
          <w:szCs w:val="15"/>
        </w:rPr>
      </w:pPr>
    </w:p>
    <w:p>
      <w:pPr>
        <w:spacing w:before="0"/>
        <w:ind w:left="658" w:right="0" w:firstLine="0"/>
        <w:jc w:val="left"/>
        <w:rPr>
          <w:rFonts w:ascii="宋体" w:hAnsi="宋体" w:cs="宋体" w:eastAsia="宋体" w:hint="default"/>
          <w:sz w:val="21"/>
          <w:szCs w:val="21"/>
        </w:rPr>
      </w:pPr>
      <w:r>
        <w:rPr>
          <w:rFonts w:ascii="宋体" w:hAnsi="宋体" w:cs="宋体" w:eastAsia="宋体" w:hint="default"/>
          <w:sz w:val="21"/>
          <w:szCs w:val="21"/>
        </w:rPr>
        <w:t>（一）关联方概况</w:t>
      </w:r>
    </w:p>
    <w:p>
      <w:pPr>
        <w:spacing w:line="240" w:lineRule="auto" w:before="3"/>
        <w:rPr>
          <w:rFonts w:ascii="宋体" w:hAnsi="宋体" w:cs="宋体" w:eastAsia="宋体" w:hint="default"/>
          <w:sz w:val="17"/>
          <w:szCs w:val="17"/>
        </w:rPr>
      </w:pPr>
    </w:p>
    <w:p>
      <w:pPr>
        <w:spacing w:before="0"/>
        <w:ind w:left="6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、与本公司存在关联关系的关联方，包括下列存在控制关系的本公司股东和不存在控制关系的</w:t>
      </w:r>
    </w:p>
    <w:p>
      <w:pPr>
        <w:spacing w:after="0"/>
        <w:jc w:val="left"/>
        <w:rPr>
          <w:rFonts w:ascii="宋体" w:hAnsi="宋体" w:cs="宋体" w:eastAsia="宋体" w:hint="default"/>
          <w:sz w:val="21"/>
          <w:szCs w:val="21"/>
        </w:rPr>
        <w:sectPr>
          <w:pgSz w:w="11910" w:h="16840"/>
          <w:pgMar w:header="0" w:footer="710" w:top="580" w:bottom="900" w:left="1180" w:right="118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18664"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13"/>
          <w:szCs w:val="13"/>
        </w:rPr>
      </w:pPr>
    </w:p>
    <w:p>
      <w:pPr>
        <w:spacing w:before="35"/>
        <w:ind w:left="138" w:right="0" w:firstLine="0"/>
        <w:jc w:val="left"/>
        <w:rPr>
          <w:rFonts w:ascii="宋体" w:hAnsi="宋体" w:cs="宋体" w:eastAsia="宋体" w:hint="default"/>
          <w:sz w:val="21"/>
          <w:szCs w:val="21"/>
        </w:rPr>
      </w:pPr>
      <w:r>
        <w:rPr>
          <w:rFonts w:ascii="宋体" w:hAnsi="宋体" w:cs="宋体" w:eastAsia="宋体" w:hint="default"/>
          <w:sz w:val="21"/>
          <w:szCs w:val="21"/>
        </w:rPr>
        <w:t>关联各方。</w:t>
      </w:r>
    </w:p>
    <w:p>
      <w:pPr>
        <w:spacing w:line="240" w:lineRule="auto" w:before="2"/>
        <w:rPr>
          <w:rFonts w:ascii="宋体" w:hAnsi="宋体" w:cs="宋体" w:eastAsia="宋体" w:hint="default"/>
          <w:sz w:val="17"/>
          <w:szCs w:val="17"/>
        </w:rPr>
      </w:pPr>
    </w:p>
    <w:p>
      <w:pPr>
        <w:spacing w:before="0"/>
        <w:ind w:left="55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）存在控制关系的本公司股东</w:t>
      </w:r>
    </w:p>
    <w:p>
      <w:pPr>
        <w:spacing w:line="6303" w:lineRule="exact"/>
        <w:ind w:left="535" w:right="0" w:firstLine="0"/>
        <w:rPr>
          <w:rFonts w:ascii="宋体" w:hAnsi="宋体" w:cs="宋体" w:eastAsia="宋体" w:hint="default"/>
          <w:sz w:val="20"/>
          <w:szCs w:val="20"/>
        </w:rPr>
      </w:pPr>
      <w:r>
        <w:rPr>
          <w:rFonts w:ascii="宋体" w:hAnsi="宋体" w:cs="宋体" w:eastAsia="宋体" w:hint="default"/>
          <w:position w:val="-125"/>
          <w:sz w:val="20"/>
          <w:szCs w:val="20"/>
        </w:rPr>
        <w:pict>
          <v:group style="width:433.4pt;height:315.2pt;mso-position-horizontal-relative:char;mso-position-vertical-relative:line" coordorigin="0,0" coordsize="8668,6304">
            <v:group style="position:absolute;left:29;top:15;width:8616;height:2" coordorigin="29,15" coordsize="8616,2">
              <v:shape style="position:absolute;left:29;top:15;width:8616;height:2" coordorigin="29,15" coordsize="8616,0" path="m29,15l8645,15e" filled="false" stroked="true" strokeweight="1.5pt" strokecolor="#000000">
                <v:path arrowok="t"/>
              </v:shape>
              <v:shape style="position:absolute;left:1166;top:11;width:6781;height:654" type="#_x0000_t75" stroked="false">
                <v:imagedata r:id="rId174" o:title=""/>
              </v:shape>
            </v:group>
            <v:group style="position:absolute;left:15;top:6289;width:1170;height:2" coordorigin="15,6289" coordsize="1170,2">
              <v:shape style="position:absolute;left:15;top:6289;width:1170;height:2" coordorigin="15,6289" coordsize="1170,0" path="m15,6289l1185,6289e" filled="false" stroked="true" strokeweight="1.5pt" strokecolor="#000000">
                <v:path arrowok="t"/>
              </v:shape>
              <v:shape style="position:absolute;left:10;top:626;width:8657;height:5663" type="#_x0000_t75" stroked="false">
                <v:imagedata r:id="rId175" o:title=""/>
              </v:shape>
            </v:group>
            <v:group style="position:absolute;left:1185;top:6289;width:900;height:2" coordorigin="1185,6289" coordsize="900,2">
              <v:shape style="position:absolute;left:1185;top:6289;width:900;height:2" coordorigin="1185,6289" coordsize="900,0" path="m1185,6289l2085,6289e" filled="false" stroked="true" strokeweight="1.5pt" strokecolor="#000000">
                <v:path arrowok="t"/>
              </v:shape>
              <v:shape style="position:absolute;left:2069;top:3804;width:41;height:2485" type="#_x0000_t75" stroked="false">
                <v:imagedata r:id="rId176" o:title=""/>
              </v:shape>
            </v:group>
            <v:group style="position:absolute;left:2085;top:6289;width:880;height:2" coordorigin="2085,6289" coordsize="880,2">
              <v:shape style="position:absolute;left:2085;top:6289;width:880;height:2" coordorigin="2085,6289" coordsize="880,0" path="m2085,6289l2965,6289e" filled="false" stroked="true" strokeweight="1.5pt" strokecolor="#000000">
                <v:path arrowok="t"/>
              </v:shape>
              <v:shape style="position:absolute;left:2949;top:3804;width:41;height:2485" type="#_x0000_t75" stroked="false">
                <v:imagedata r:id="rId177" o:title=""/>
              </v:shape>
            </v:group>
            <v:group style="position:absolute;left:2965;top:6289;width:880;height:2" coordorigin="2965,6289" coordsize="880,2">
              <v:shape style="position:absolute;left:2965;top:6289;width:880;height:2" coordorigin="2965,6289" coordsize="880,0" path="m2965,6289l3844,6289e" filled="false" stroked="true" strokeweight="1.5pt" strokecolor="#000000">
                <v:path arrowok="t"/>
              </v:shape>
              <v:shape style="position:absolute;left:3829;top:3804;width:41;height:2485" type="#_x0000_t75" stroked="false">
                <v:imagedata r:id="rId178" o:title=""/>
              </v:shape>
            </v:group>
            <v:group style="position:absolute;left:3844;top:6289;width:2134;height:2" coordorigin="3844,6289" coordsize="2134,2">
              <v:shape style="position:absolute;left:3844;top:6289;width:2134;height:2" coordorigin="3844,6289" coordsize="2134,0" path="m3844,6289l5978,6289e" filled="false" stroked="true" strokeweight="1.5pt" strokecolor="#000000">
                <v:path arrowok="t"/>
              </v:shape>
              <v:shape style="position:absolute;left:5959;top:3800;width:48;height:2477" type="#_x0000_t75" stroked="false">
                <v:imagedata r:id="rId179" o:title=""/>
              </v:shape>
            </v:group>
            <v:group style="position:absolute;left:5978;top:6289;width:1020;height:2" coordorigin="5978,6289" coordsize="1020,2">
              <v:shape style="position:absolute;left:5978;top:6289;width:1020;height:2" coordorigin="5978,6289" coordsize="1020,0" path="m5978,6289l6998,6289e" filled="false" stroked="true" strokeweight="1.5pt" strokecolor="#000000">
                <v:path arrowok="t"/>
              </v:shape>
              <v:shape style="position:absolute;left:6982;top:3804;width:41;height:2485" type="#_x0000_t75" stroked="false">
                <v:imagedata r:id="rId177" o:title=""/>
              </v:shape>
            </v:group>
            <v:group style="position:absolute;left:6998;top:6289;width:921;height:2" coordorigin="6998,6289" coordsize="921,2">
              <v:shape style="position:absolute;left:6998;top:6289;width:921;height:2" coordorigin="6998,6289" coordsize="921,0" path="m6998,6289l7918,6289e" filled="false" stroked="true" strokeweight="1.5pt" strokecolor="#000000">
                <v:path arrowok="t"/>
              </v:shape>
              <v:shape style="position:absolute;left:7903;top:3804;width:41;height:2485" type="#_x0000_t75" stroked="false">
                <v:imagedata r:id="rId177" o:title=""/>
              </v:shape>
            </v:group>
            <v:group style="position:absolute;left:7918;top:6289;width:735;height:2" coordorigin="7918,6289" coordsize="735,2">
              <v:shape style="position:absolute;left:7918;top:6289;width:735;height:2" coordorigin="7918,6289" coordsize="735,0" path="m7918,6289l8653,6289e" filled="false" stroked="true" strokeweight="1.5pt" strokecolor="#000000">
                <v:path arrowok="t"/>
              </v:shape>
              <v:shape style="position:absolute;left:350;top:330;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股东名称</w:t>
                      </w:r>
                      <w:r>
                        <w:rPr>
                          <w:rFonts w:ascii="宋体" w:hAnsi="宋体" w:cs="宋体" w:eastAsia="宋体" w:hint="default"/>
                          <w:sz w:val="13"/>
                          <w:szCs w:val="13"/>
                        </w:rPr>
                      </w:r>
                    </w:p>
                  </w:txbxContent>
                </v:textbox>
                <w10:wrap type="none"/>
              </v:shape>
              <v:shape style="position:absolute;left:1381;top:330;width:1408;height:130" type="#_x0000_t202" filled="false" stroked="false">
                <v:textbox inset="0,0,0,0">
                  <w:txbxContent>
                    <w:p>
                      <w:pPr>
                        <w:tabs>
                          <w:tab w:pos="889"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注册地址</w:t>
                        <w:tab/>
                        <w:t>注册资本</w:t>
                      </w:r>
                      <w:r>
                        <w:rPr>
                          <w:rFonts w:ascii="宋体" w:hAnsi="宋体" w:cs="宋体" w:eastAsia="宋体" w:hint="default"/>
                          <w:sz w:val="13"/>
                          <w:szCs w:val="13"/>
                        </w:rPr>
                      </w:r>
                    </w:p>
                  </w:txbxContent>
                </v:textbox>
                <w10:wrap type="none"/>
              </v:shape>
              <v:shape style="position:absolute;left:3083;top:246;width:650;height:299" type="#_x0000_t202" filled="false" stroked="false">
                <v:textbox inset="0,0,0,0">
                  <w:txbxContent>
                    <w:p>
                      <w:pPr>
                        <w:spacing w:line="129" w:lineRule="exact" w:before="0"/>
                        <w:ind w:left="66" w:right="0" w:hanging="66"/>
                        <w:jc w:val="left"/>
                        <w:rPr>
                          <w:rFonts w:ascii="宋体" w:hAnsi="宋体" w:cs="宋体" w:eastAsia="宋体" w:hint="default"/>
                          <w:sz w:val="13"/>
                          <w:szCs w:val="13"/>
                        </w:rPr>
                      </w:pPr>
                      <w:r>
                        <w:rPr>
                          <w:rFonts w:ascii="宋体" w:hAnsi="宋体" w:cs="宋体" w:eastAsia="宋体" w:hint="default"/>
                          <w:w w:val="95"/>
                          <w:sz w:val="13"/>
                          <w:szCs w:val="13"/>
                        </w:rPr>
                        <w:t>拥有本公司</w:t>
                      </w:r>
                      <w:r>
                        <w:rPr>
                          <w:rFonts w:ascii="宋体" w:hAnsi="宋体" w:cs="宋体" w:eastAsia="宋体" w:hint="default"/>
                          <w:sz w:val="13"/>
                          <w:szCs w:val="13"/>
                        </w:rPr>
                      </w:r>
                    </w:p>
                    <w:p>
                      <w:pPr>
                        <w:spacing w:line="170" w:lineRule="exact" w:before="0"/>
                        <w:ind w:left="66" w:right="0" w:firstLine="0"/>
                        <w:jc w:val="left"/>
                        <w:rPr>
                          <w:rFonts w:ascii="宋体" w:hAnsi="宋体" w:cs="宋体" w:eastAsia="宋体" w:hint="default"/>
                          <w:sz w:val="13"/>
                          <w:szCs w:val="13"/>
                        </w:rPr>
                      </w:pPr>
                      <w:r>
                        <w:rPr>
                          <w:rFonts w:ascii="宋体" w:hAnsi="宋体" w:cs="宋体" w:eastAsia="宋体" w:hint="default"/>
                          <w:sz w:val="13"/>
                          <w:szCs w:val="13"/>
                        </w:rPr>
                        <w:t>股份比例</w:t>
                      </w:r>
                    </w:p>
                  </w:txbxContent>
                </v:textbox>
                <w10:wrap type="none"/>
              </v:shape>
              <v:shape style="position:absolute;left:6233;top:186;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与本公司</w:t>
                      </w:r>
                      <w:r>
                        <w:rPr>
                          <w:rFonts w:ascii="宋体" w:hAnsi="宋体" w:cs="宋体" w:eastAsia="宋体" w:hint="default"/>
                          <w:sz w:val="13"/>
                          <w:szCs w:val="13"/>
                        </w:rPr>
                      </w:r>
                    </w:p>
                  </w:txbxContent>
                </v:textbox>
                <w10:wrap type="none"/>
              </v:shape>
              <v:shape style="position:absolute;left:4558;top:330;width:714;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主 营 业</w:t>
                      </w:r>
                      <w:r>
                        <w:rPr>
                          <w:rFonts w:ascii="宋体" w:hAnsi="宋体" w:cs="宋体" w:eastAsia="宋体" w:hint="default"/>
                          <w:spacing w:val="-3"/>
                          <w:sz w:val="13"/>
                          <w:szCs w:val="13"/>
                        </w:rPr>
                        <w:t> </w:t>
                      </w:r>
                      <w:r>
                        <w:rPr>
                          <w:rFonts w:ascii="宋体" w:hAnsi="宋体" w:cs="宋体" w:eastAsia="宋体" w:hint="default"/>
                          <w:sz w:val="13"/>
                          <w:szCs w:val="13"/>
                        </w:rPr>
                        <w:t>务</w:t>
                      </w:r>
                    </w:p>
                  </w:txbxContent>
                </v:textbox>
                <w10:wrap type="none"/>
              </v:shape>
              <v:shape style="position:absolute;left:7203;top:330;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经济性质</w:t>
                      </w:r>
                      <w:r>
                        <w:rPr>
                          <w:rFonts w:ascii="宋体" w:hAnsi="宋体" w:cs="宋体" w:eastAsia="宋体" w:hint="default"/>
                          <w:sz w:val="13"/>
                          <w:szCs w:val="13"/>
                        </w:rPr>
                      </w:r>
                    </w:p>
                  </w:txbxContent>
                </v:textbox>
                <w10:wrap type="none"/>
              </v:shape>
              <v:shape style="position:absolute;left:6363;top:475;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关系</w:t>
                      </w:r>
                      <w:r>
                        <w:rPr>
                          <w:rFonts w:ascii="宋体" w:hAnsi="宋体" w:cs="宋体" w:eastAsia="宋体" w:hint="default"/>
                          <w:sz w:val="13"/>
                          <w:szCs w:val="13"/>
                        </w:rPr>
                      </w:r>
                    </w:p>
                  </w:txbxContent>
                </v:textbox>
                <w10:wrap type="none"/>
              </v:shape>
              <v:shape style="position:absolute;left:8092;top:246;width:389;height:299" type="#_x0000_t202" filled="false" stroked="false">
                <v:textbox inset="0,0,0,0">
                  <w:txbxContent>
                    <w:p>
                      <w:pPr>
                        <w:spacing w:line="129" w:lineRule="exact" w:before="0"/>
                        <w:ind w:left="66" w:right="0" w:hanging="66"/>
                        <w:jc w:val="left"/>
                        <w:rPr>
                          <w:rFonts w:ascii="宋体" w:hAnsi="宋体" w:cs="宋体" w:eastAsia="宋体" w:hint="default"/>
                          <w:sz w:val="13"/>
                          <w:szCs w:val="13"/>
                        </w:rPr>
                      </w:pPr>
                      <w:r>
                        <w:rPr>
                          <w:rFonts w:ascii="宋体" w:hAnsi="宋体" w:cs="宋体" w:eastAsia="宋体" w:hint="default"/>
                          <w:w w:val="95"/>
                          <w:sz w:val="13"/>
                          <w:szCs w:val="13"/>
                        </w:rPr>
                        <w:t>法定代</w:t>
                      </w:r>
                      <w:r>
                        <w:rPr>
                          <w:rFonts w:ascii="宋体" w:hAnsi="宋体" w:cs="宋体" w:eastAsia="宋体" w:hint="default"/>
                          <w:sz w:val="13"/>
                          <w:szCs w:val="13"/>
                        </w:rPr>
                      </w:r>
                    </w:p>
                    <w:p>
                      <w:pPr>
                        <w:spacing w:line="170" w:lineRule="exact" w:before="0"/>
                        <w:ind w:left="66" w:right="0" w:firstLine="0"/>
                        <w:jc w:val="left"/>
                        <w:rPr>
                          <w:rFonts w:ascii="宋体" w:hAnsi="宋体" w:cs="宋体" w:eastAsia="宋体" w:hint="default"/>
                          <w:sz w:val="13"/>
                          <w:szCs w:val="13"/>
                        </w:rPr>
                      </w:pPr>
                      <w:r>
                        <w:rPr>
                          <w:rFonts w:ascii="宋体" w:hAnsi="宋体" w:cs="宋体" w:eastAsia="宋体" w:hint="default"/>
                          <w:sz w:val="13"/>
                          <w:szCs w:val="13"/>
                        </w:rPr>
                        <w:t>表人</w:t>
                      </w:r>
                    </w:p>
                  </w:txbxContent>
                </v:textbox>
                <w10:wrap type="none"/>
              </v:shape>
              <v:shape style="position:absolute;left:137;top:2085;width:954;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方正延中传</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媒有限公司</w:t>
                      </w:r>
                    </w:p>
                  </w:txbxContent>
                </v:textbox>
                <w10:wrap type="none"/>
              </v:shape>
              <v:shape style="position:absolute;left:1315;top:2057;width:650;height:467" type="#_x0000_t202" filled="false" stroked="false">
                <v:textbox inset="0,0,0,0">
                  <w:txbxContent>
                    <w:p>
                      <w:pPr>
                        <w:spacing w:line="129" w:lineRule="exact" w:before="0"/>
                        <w:ind w:left="0" w:right="0" w:firstLine="0"/>
                        <w:jc w:val="center"/>
                        <w:rPr>
                          <w:rFonts w:ascii="宋体" w:hAnsi="宋体" w:cs="宋体" w:eastAsia="宋体" w:hint="default"/>
                          <w:sz w:val="13"/>
                          <w:szCs w:val="13"/>
                        </w:rPr>
                      </w:pPr>
                      <w:r>
                        <w:rPr>
                          <w:rFonts w:ascii="宋体" w:hAnsi="宋体" w:cs="宋体" w:eastAsia="宋体" w:hint="default"/>
                          <w:w w:val="95"/>
                          <w:sz w:val="13"/>
                          <w:szCs w:val="13"/>
                        </w:rPr>
                        <w:t>上海市蓬莱</w:t>
                      </w:r>
                      <w:r>
                        <w:rPr>
                          <w:rFonts w:ascii="宋体" w:hAnsi="宋体" w:cs="宋体" w:eastAsia="宋体" w:hint="default"/>
                          <w:sz w:val="13"/>
                          <w:szCs w:val="13"/>
                        </w:rPr>
                      </w:r>
                    </w:p>
                    <w:p>
                      <w:pPr>
                        <w:spacing w:line="174" w:lineRule="exact" w:before="0"/>
                        <w:ind w:left="0" w:right="1" w:firstLine="0"/>
                        <w:jc w:val="center"/>
                        <w:rPr>
                          <w:rFonts w:ascii="Times New Roman" w:hAnsi="Times New Roman" w:cs="Times New Roman" w:eastAsia="Times New Roman" w:hint="default"/>
                          <w:sz w:val="13"/>
                          <w:szCs w:val="13"/>
                        </w:rPr>
                      </w:pPr>
                      <w:r>
                        <w:rPr>
                          <w:rFonts w:ascii="宋体" w:hAnsi="宋体" w:cs="宋体" w:eastAsia="宋体" w:hint="default"/>
                          <w:sz w:val="13"/>
                          <w:szCs w:val="13"/>
                        </w:rPr>
                        <w:t>路</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285</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弄</w:t>
                      </w:r>
                      <w:r>
                        <w:rPr>
                          <w:rFonts w:ascii="宋体" w:hAnsi="宋体" w:cs="宋体" w:eastAsia="宋体" w:hint="default"/>
                          <w:spacing w:val="-33"/>
                          <w:sz w:val="13"/>
                          <w:szCs w:val="13"/>
                        </w:rPr>
                        <w:t> </w:t>
                      </w:r>
                      <w:r>
                        <w:rPr>
                          <w:rFonts w:ascii="Times New Roman" w:hAnsi="Times New Roman" w:cs="Times New Roman" w:eastAsia="Times New Roman" w:hint="default"/>
                          <w:sz w:val="13"/>
                          <w:szCs w:val="13"/>
                        </w:rPr>
                        <w:t>4</w:t>
                      </w:r>
                    </w:p>
                    <w:p>
                      <w:pPr>
                        <w:spacing w:line="165" w:lineRule="exact" w:before="0"/>
                        <w:ind w:left="1" w:right="0" w:firstLine="0"/>
                        <w:jc w:val="center"/>
                        <w:rPr>
                          <w:rFonts w:ascii="宋体" w:hAnsi="宋体" w:cs="宋体" w:eastAsia="宋体" w:hint="default"/>
                          <w:sz w:val="13"/>
                          <w:szCs w:val="13"/>
                        </w:rPr>
                      </w:pPr>
                      <w:r>
                        <w:rPr>
                          <w:rFonts w:ascii="宋体" w:hAnsi="宋体" w:cs="宋体" w:eastAsia="宋体" w:hint="default"/>
                          <w:w w:val="99"/>
                          <w:sz w:val="13"/>
                          <w:szCs w:val="13"/>
                        </w:rPr>
                        <w:t>号</w:t>
                      </w:r>
                      <w:r>
                        <w:rPr>
                          <w:rFonts w:ascii="宋体" w:hAnsi="宋体" w:cs="宋体" w:eastAsia="宋体" w:hint="default"/>
                          <w:sz w:val="13"/>
                          <w:szCs w:val="13"/>
                        </w:rPr>
                      </w:r>
                    </w:p>
                  </w:txbxContent>
                </v:textbox>
                <w10:wrap type="none"/>
              </v:shape>
              <v:shape style="position:absolute;left:2215;top:2201;width:1473;height:190" type="#_x0000_t202" filled="false" stroked="false">
                <v:textbox inset="0,0,0,0">
                  <w:txbxContent>
                    <w:p>
                      <w:pPr>
                        <w:tabs>
                          <w:tab w:pos="916" w:val="left" w:leader="none"/>
                        </w:tabs>
                        <w:spacing w:line="19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tab/>
                      </w:r>
                      <w:r>
                        <w:rPr>
                          <w:rFonts w:ascii="Times New Roman" w:hAnsi="Times New Roman" w:cs="Times New Roman" w:eastAsia="Times New Roman" w:hint="default"/>
                          <w:sz w:val="18"/>
                          <w:szCs w:val="18"/>
                        </w:rPr>
                        <w:t>29.84%</w:t>
                      </w:r>
                    </w:p>
                  </w:txbxContent>
                </v:textbox>
                <w10:wrap type="none"/>
              </v:shape>
              <v:shape style="position:absolute;left:3957;top:801;width:1931;height:2981"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spacing w:val="-6"/>
                          <w:sz w:val="18"/>
                          <w:szCs w:val="18"/>
                        </w:rPr>
                        <w:t>资产管理，实业投资，房</w:t>
                      </w:r>
                    </w:p>
                    <w:p>
                      <w:pPr>
                        <w:spacing w:before="0"/>
                        <w:ind w:left="0" w:right="0" w:firstLine="0"/>
                        <w:jc w:val="both"/>
                        <w:rPr>
                          <w:rFonts w:ascii="宋体" w:hAnsi="宋体" w:cs="宋体" w:eastAsia="宋体" w:hint="default"/>
                          <w:sz w:val="18"/>
                          <w:szCs w:val="18"/>
                        </w:rPr>
                      </w:pPr>
                      <w:r>
                        <w:rPr>
                          <w:rFonts w:ascii="宋体" w:hAnsi="宋体" w:cs="宋体" w:eastAsia="宋体" w:hint="default"/>
                          <w:spacing w:val="-6"/>
                          <w:sz w:val="18"/>
                          <w:szCs w:val="18"/>
                        </w:rPr>
                        <w:t>地产开发与经营；计算机</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2"/>
                          <w:sz w:val="18"/>
                          <w:szCs w:val="18"/>
                        </w:rPr>
                        <w:t>软硬件开发；国内贸易</w:t>
                      </w:r>
                      <w:r>
                        <w:rPr>
                          <w:rFonts w:ascii="宋体" w:hAnsi="宋体" w:cs="宋体" w:eastAsia="宋体" w:hint="default"/>
                          <w:sz w:val="18"/>
                          <w:szCs w:val="18"/>
                        </w:rPr>
                      </w:r>
                    </w:p>
                    <w:p>
                      <w:pPr>
                        <w:spacing w:line="237" w:lineRule="auto" w:before="0"/>
                        <w:ind w:left="0" w:right="0" w:firstLine="0"/>
                        <w:jc w:val="both"/>
                        <w:rPr>
                          <w:rFonts w:ascii="宋体" w:hAnsi="宋体" w:cs="宋体" w:eastAsia="宋体" w:hint="default"/>
                          <w:sz w:val="13"/>
                          <w:szCs w:val="13"/>
                        </w:rPr>
                      </w:pPr>
                      <w:r>
                        <w:rPr>
                          <w:rFonts w:ascii="宋体" w:hAnsi="宋体" w:cs="宋体" w:eastAsia="宋体" w:hint="default"/>
                          <w:spacing w:val="-7"/>
                          <w:sz w:val="18"/>
                          <w:szCs w:val="18"/>
                        </w:rPr>
                        <w:t>（除专项审批业），自营</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12"/>
                          <w:sz w:val="18"/>
                          <w:szCs w:val="18"/>
                        </w:rPr>
                        <w:t>或代理各类商品和技术</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的进出品，但国家限定公</w:t>
                      </w:r>
                      <w:r>
                        <w:rPr>
                          <w:rFonts w:ascii="宋体" w:hAnsi="宋体" w:cs="宋体" w:eastAsia="宋体" w:hint="default"/>
                          <w:sz w:val="18"/>
                          <w:szCs w:val="18"/>
                        </w:rPr>
                        <w:t> </w:t>
                      </w:r>
                      <w:r>
                        <w:rPr>
                          <w:rFonts w:ascii="宋体" w:hAnsi="宋体" w:cs="宋体" w:eastAsia="宋体" w:hint="default"/>
                          <w:spacing w:val="12"/>
                          <w:sz w:val="18"/>
                          <w:szCs w:val="18"/>
                        </w:rPr>
                        <w:t>司经营或禁止进出口的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商品和技术除外；承接各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6"/>
                          <w:sz w:val="18"/>
                          <w:szCs w:val="18"/>
                        </w:rPr>
                        <w:t>类广告设计、制作；承办</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2"/>
                          <w:sz w:val="18"/>
                          <w:szCs w:val="18"/>
                        </w:rPr>
                        <w:t>本公司所属场地发布国</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内广告；商务、文化活动</w:t>
                      </w:r>
                      <w:r>
                        <w:rPr>
                          <w:rFonts w:ascii="宋体" w:hAnsi="宋体" w:cs="宋体" w:eastAsia="宋体" w:hint="default"/>
                          <w:sz w:val="18"/>
                          <w:szCs w:val="18"/>
                        </w:rPr>
                        <w:t> </w:t>
                      </w:r>
                      <w:r>
                        <w:rPr>
                          <w:rFonts w:ascii="宋体" w:hAnsi="宋体" w:cs="宋体" w:eastAsia="宋体" w:hint="default"/>
                          <w:spacing w:val="-6"/>
                          <w:sz w:val="18"/>
                          <w:szCs w:val="18"/>
                        </w:rPr>
                        <w:t>策划、咨询服务；展示展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览；礼仪和会务服务</w:t>
                      </w:r>
                      <w:r>
                        <w:rPr>
                          <w:rFonts w:ascii="宋体" w:hAnsi="宋体" w:cs="宋体" w:eastAsia="宋体" w:hint="default"/>
                          <w:sz w:val="13"/>
                          <w:szCs w:val="13"/>
                        </w:rPr>
                        <w:t>。</w:t>
                      </w:r>
                    </w:p>
                  </w:txbxContent>
                </v:textbox>
                <w10:wrap type="none"/>
              </v:shape>
              <v:shape style="position:absolute;left:6091;top:2141;width:808;height:298" type="#_x0000_t202" filled="false" stroked="false">
                <v:textbox inset="0,0,0,0">
                  <w:txbxContent>
                    <w:p>
                      <w:pPr>
                        <w:spacing w:line="129" w:lineRule="exact" w:before="0"/>
                        <w:ind w:left="0" w:right="0" w:firstLine="0"/>
                        <w:jc w:val="left"/>
                        <w:rPr>
                          <w:rFonts w:ascii="宋体" w:hAnsi="宋体" w:cs="宋体" w:eastAsia="宋体" w:hint="default"/>
                          <w:sz w:val="13"/>
                          <w:szCs w:val="13"/>
                        </w:rPr>
                      </w:pPr>
                      <w:r>
                        <w:rPr>
                          <w:rFonts w:ascii="宋体" w:hAnsi="宋体" w:cs="宋体" w:eastAsia="宋体" w:hint="default"/>
                          <w:spacing w:val="4"/>
                          <w:sz w:val="13"/>
                          <w:szCs w:val="13"/>
                        </w:rPr>
                        <w:t>本公司相对控</w:t>
                      </w:r>
                      <w:r>
                        <w:rPr>
                          <w:rFonts w:ascii="宋体" w:hAnsi="宋体" w:cs="宋体" w:eastAsia="宋体" w:hint="default"/>
                          <w:sz w:val="13"/>
                          <w:szCs w:val="13"/>
                        </w:rPr>
                      </w:r>
                    </w:p>
                    <w:p>
                      <w:pPr>
                        <w:spacing w:line="169"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股股东</w:t>
                      </w:r>
                    </w:p>
                  </w:txbxContent>
                </v:textbox>
                <w10:wrap type="none"/>
              </v:shape>
              <v:shape style="position:absolute;left:7192;top:1907;width:540;height:767"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有限责</w:t>
                      </w:r>
                    </w:p>
                    <w:p>
                      <w:pPr>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任</w:t>
                      </w:r>
                    </w:p>
                    <w:p>
                      <w:pPr>
                        <w:spacing w:before="118"/>
                        <w:ind w:left="9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8078;top:2186;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芦旸</w:t>
                      </w:r>
                    </w:p>
                  </w:txbxContent>
                </v:textbox>
                <w10:wrap type="none"/>
              </v:shape>
              <v:shape style="position:absolute;left:137;top:4899;width:954;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青岛亚星实</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业有限公司</w:t>
                      </w:r>
                    </w:p>
                  </w:txbxContent>
                </v:textbox>
                <w10:wrap type="none"/>
              </v:shape>
              <v:shape style="position:absolute;left:1298;top:4787;width:683;height:642" type="#_x0000_t202" filled="false" stroked="false">
                <v:textbox inset="0,0,0,0">
                  <w:txbxContent>
                    <w:p>
                      <w:pPr>
                        <w:spacing w:line="129" w:lineRule="exact" w:before="0"/>
                        <w:ind w:left="16" w:right="0" w:firstLine="0"/>
                        <w:jc w:val="both"/>
                        <w:rPr>
                          <w:rFonts w:ascii="宋体" w:hAnsi="宋体" w:cs="宋体" w:eastAsia="宋体" w:hint="default"/>
                          <w:sz w:val="13"/>
                          <w:szCs w:val="13"/>
                        </w:rPr>
                      </w:pPr>
                      <w:r>
                        <w:rPr>
                          <w:rFonts w:ascii="宋体" w:hAnsi="宋体" w:cs="宋体" w:eastAsia="宋体" w:hint="default"/>
                          <w:sz w:val="13"/>
                          <w:szCs w:val="13"/>
                        </w:rPr>
                        <w:t>青岛市市南</w:t>
                      </w:r>
                    </w:p>
                    <w:p>
                      <w:pPr>
                        <w:spacing w:line="230" w:lineRule="auto" w:before="5"/>
                        <w:ind w:left="0" w:right="0" w:firstLine="16"/>
                        <w:jc w:val="both"/>
                        <w:rPr>
                          <w:rFonts w:ascii="宋体" w:hAnsi="宋体" w:cs="宋体" w:eastAsia="宋体" w:hint="default"/>
                          <w:sz w:val="13"/>
                          <w:szCs w:val="13"/>
                        </w:rPr>
                      </w:pPr>
                      <w:r>
                        <w:rPr>
                          <w:rFonts w:ascii="宋体" w:hAnsi="宋体" w:cs="宋体" w:eastAsia="宋体" w:hint="default"/>
                          <w:sz w:val="13"/>
                          <w:szCs w:val="13"/>
                        </w:rPr>
                        <w:t>区东海西路</w:t>
                      </w:r>
                      <w:r>
                        <w:rPr>
                          <w:rFonts w:ascii="宋体" w:hAnsi="宋体" w:cs="宋体" w:eastAsia="宋体" w:hint="default"/>
                          <w:w w:val="99"/>
                          <w:sz w:val="13"/>
                          <w:szCs w:val="13"/>
                        </w:rPr>
                        <w:t> </w:t>
                      </w:r>
                      <w:r>
                        <w:rPr>
                          <w:rFonts w:ascii="Times New Roman" w:hAnsi="Times New Roman" w:cs="Times New Roman" w:eastAsia="Times New Roman" w:hint="default"/>
                          <w:sz w:val="13"/>
                          <w:szCs w:val="13"/>
                        </w:rPr>
                        <w:t>43</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号凯旋大</w:t>
                      </w:r>
                      <w:r>
                        <w:rPr>
                          <w:rFonts w:ascii="宋体" w:hAnsi="宋体" w:cs="宋体" w:eastAsia="宋体" w:hint="default"/>
                          <w:w w:val="99"/>
                          <w:sz w:val="13"/>
                          <w:szCs w:val="13"/>
                        </w:rPr>
                        <w:t> </w:t>
                      </w:r>
                      <w:r>
                        <w:rPr>
                          <w:rFonts w:ascii="宋体" w:hAnsi="宋体" w:cs="宋体" w:eastAsia="宋体" w:hint="default"/>
                          <w:sz w:val="13"/>
                          <w:szCs w:val="13"/>
                        </w:rPr>
                        <w:t>厦东塔</w:t>
                      </w:r>
                      <w:r>
                        <w:rPr>
                          <w:rFonts w:ascii="宋体" w:hAnsi="宋体" w:cs="宋体" w:eastAsia="宋体" w:hint="default"/>
                          <w:spacing w:val="-50"/>
                          <w:sz w:val="13"/>
                          <w:szCs w:val="13"/>
                        </w:rPr>
                        <w:t> </w:t>
                      </w:r>
                      <w:r>
                        <w:rPr>
                          <w:rFonts w:ascii="Times New Roman" w:hAnsi="Times New Roman" w:cs="Times New Roman" w:eastAsia="Times New Roman" w:hint="default"/>
                          <w:sz w:val="13"/>
                          <w:szCs w:val="13"/>
                        </w:rPr>
                        <w:t>15</w:t>
                      </w:r>
                      <w:r>
                        <w:rPr>
                          <w:rFonts w:ascii="Times New Roman" w:hAnsi="Times New Roman" w:cs="Times New Roman" w:eastAsia="Times New Roman" w:hint="default"/>
                          <w:spacing w:val="-17"/>
                          <w:sz w:val="13"/>
                          <w:szCs w:val="13"/>
                        </w:rPr>
                        <w:t> </w:t>
                      </w:r>
                      <w:r>
                        <w:rPr>
                          <w:rFonts w:ascii="宋体" w:hAnsi="宋体" w:cs="宋体" w:eastAsia="宋体" w:hint="default"/>
                          <w:sz w:val="13"/>
                          <w:szCs w:val="13"/>
                        </w:rPr>
                        <w:t>楼</w:t>
                      </w:r>
                    </w:p>
                  </w:txbxContent>
                </v:textbox>
                <w10:wrap type="none"/>
              </v:shape>
              <v:shape style="position:absolute;left:2215;top:5015;width:63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p>
                  </w:txbxContent>
                </v:textbox>
                <w10:wrap type="none"/>
              </v:shape>
              <v:shape style="position:absolute;left:3957;top:3965;width:1919;height:2282"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spacing w:val="-6"/>
                          <w:sz w:val="18"/>
                          <w:szCs w:val="18"/>
                        </w:rPr>
                        <w:t>批发零售：金属材料（不</w:t>
                      </w:r>
                    </w:p>
                    <w:p>
                      <w:pPr>
                        <w:spacing w:line="237" w:lineRule="auto" w:before="0"/>
                        <w:ind w:left="0" w:right="0" w:firstLine="0"/>
                        <w:jc w:val="both"/>
                        <w:rPr>
                          <w:rFonts w:ascii="宋体" w:hAnsi="宋体" w:cs="宋体" w:eastAsia="宋体" w:hint="default"/>
                          <w:sz w:val="18"/>
                          <w:szCs w:val="18"/>
                        </w:rPr>
                      </w:pPr>
                      <w:r>
                        <w:rPr>
                          <w:rFonts w:ascii="宋体" w:hAnsi="宋体" w:cs="宋体" w:eastAsia="宋体" w:hint="default"/>
                          <w:spacing w:val="-6"/>
                          <w:sz w:val="18"/>
                          <w:szCs w:val="18"/>
                        </w:rPr>
                        <w:t>含贵重金属），建筑装饰</w:t>
                      </w:r>
                      <w:r>
                        <w:rPr>
                          <w:rFonts w:ascii="宋体" w:hAnsi="宋体" w:cs="宋体" w:eastAsia="宋体" w:hint="default"/>
                          <w:spacing w:val="2"/>
                          <w:sz w:val="18"/>
                          <w:szCs w:val="18"/>
                        </w:rPr>
                        <w:t> </w:t>
                      </w:r>
                      <w:r>
                        <w:rPr>
                          <w:rFonts w:ascii="宋体" w:hAnsi="宋体" w:cs="宋体" w:eastAsia="宋体" w:hint="default"/>
                          <w:spacing w:val="-21"/>
                          <w:sz w:val="18"/>
                          <w:szCs w:val="18"/>
                        </w:rPr>
                        <w:t>材料，机电产品，汽车（不</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6"/>
                          <w:sz w:val="18"/>
                          <w:szCs w:val="18"/>
                        </w:rPr>
                        <w:t>含小轿车），摩托车，木</w:t>
                      </w:r>
                      <w:r>
                        <w:rPr>
                          <w:rFonts w:ascii="宋体" w:hAnsi="宋体" w:cs="宋体" w:eastAsia="宋体" w:hint="default"/>
                          <w:spacing w:val="2"/>
                          <w:sz w:val="18"/>
                          <w:szCs w:val="18"/>
                        </w:rPr>
                        <w:t> </w:t>
                      </w:r>
                      <w:r>
                        <w:rPr>
                          <w:rFonts w:ascii="宋体" w:hAnsi="宋体" w:cs="宋体" w:eastAsia="宋体" w:hint="default"/>
                          <w:spacing w:val="-6"/>
                          <w:sz w:val="18"/>
                          <w:szCs w:val="18"/>
                        </w:rPr>
                        <w:t>材，化工产品（不含危险</w:t>
                      </w:r>
                      <w:r>
                        <w:rPr>
                          <w:rFonts w:ascii="宋体" w:hAnsi="宋体" w:cs="宋体" w:eastAsia="宋体" w:hint="default"/>
                          <w:sz w:val="18"/>
                          <w:szCs w:val="18"/>
                        </w:rPr>
                        <w:t> </w:t>
                      </w:r>
                      <w:r>
                        <w:rPr>
                          <w:rFonts w:ascii="宋体" w:hAnsi="宋体" w:cs="宋体" w:eastAsia="宋体" w:hint="default"/>
                          <w:spacing w:val="-6"/>
                          <w:sz w:val="18"/>
                          <w:szCs w:val="18"/>
                        </w:rPr>
                        <w:t>品），五金交电，办公自</w:t>
                      </w:r>
                      <w:r>
                        <w:rPr>
                          <w:rFonts w:ascii="宋体" w:hAnsi="宋体" w:cs="宋体" w:eastAsia="宋体" w:hint="default"/>
                          <w:spacing w:val="2"/>
                          <w:sz w:val="18"/>
                          <w:szCs w:val="18"/>
                        </w:rPr>
                        <w:t> </w:t>
                      </w:r>
                      <w:r>
                        <w:rPr>
                          <w:rFonts w:ascii="宋体" w:hAnsi="宋体" w:cs="宋体" w:eastAsia="宋体" w:hint="default"/>
                          <w:spacing w:val="-6"/>
                          <w:sz w:val="18"/>
                          <w:szCs w:val="18"/>
                        </w:rPr>
                        <w:t>动化设备，百货；电子产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6"/>
                          <w:sz w:val="18"/>
                          <w:szCs w:val="18"/>
                        </w:rPr>
                        <w:t>品及机械产品、包装容器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6"/>
                          <w:sz w:val="18"/>
                          <w:szCs w:val="18"/>
                        </w:rPr>
                        <w:t>开发生产；劳务服务。房</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地产开发、经营。</w:t>
                      </w:r>
                    </w:p>
                  </w:txbxContent>
                </v:textbox>
                <w10:wrap type="none"/>
              </v:shape>
              <v:shape style="position:absolute;left:6091;top:4955;width:808;height:298" type="#_x0000_t202" filled="false" stroked="false">
                <v:textbox inset="0,0,0,0">
                  <w:txbxContent>
                    <w:p>
                      <w:pPr>
                        <w:spacing w:line="129" w:lineRule="exact" w:before="0"/>
                        <w:ind w:left="0" w:right="0" w:firstLine="0"/>
                        <w:jc w:val="left"/>
                        <w:rPr>
                          <w:rFonts w:ascii="宋体" w:hAnsi="宋体" w:cs="宋体" w:eastAsia="宋体" w:hint="default"/>
                          <w:sz w:val="13"/>
                          <w:szCs w:val="13"/>
                        </w:rPr>
                      </w:pPr>
                      <w:r>
                        <w:rPr>
                          <w:rFonts w:ascii="宋体" w:hAnsi="宋体" w:cs="宋体" w:eastAsia="宋体" w:hint="default"/>
                          <w:spacing w:val="4"/>
                          <w:sz w:val="13"/>
                          <w:szCs w:val="13"/>
                        </w:rPr>
                        <w:t>本公司控股股</w:t>
                      </w:r>
                      <w:r>
                        <w:rPr>
                          <w:rFonts w:ascii="宋体" w:hAnsi="宋体" w:cs="宋体" w:eastAsia="宋体" w:hint="default"/>
                          <w:sz w:val="13"/>
                          <w:szCs w:val="13"/>
                        </w:rPr>
                      </w:r>
                    </w:p>
                    <w:p>
                      <w:pPr>
                        <w:spacing w:line="169" w:lineRule="exact" w:before="0"/>
                        <w:ind w:left="0" w:right="0" w:firstLine="0"/>
                        <w:jc w:val="left"/>
                        <w:rPr>
                          <w:rFonts w:ascii="宋体" w:hAnsi="宋体" w:cs="宋体" w:eastAsia="宋体" w:hint="default"/>
                          <w:sz w:val="13"/>
                          <w:szCs w:val="13"/>
                        </w:rPr>
                      </w:pPr>
                      <w:r>
                        <w:rPr>
                          <w:rFonts w:ascii="宋体" w:hAnsi="宋体" w:cs="宋体" w:eastAsia="宋体" w:hint="default"/>
                          <w:w w:val="99"/>
                          <w:sz w:val="13"/>
                          <w:szCs w:val="13"/>
                        </w:rPr>
                        <w:t>东</w:t>
                      </w:r>
                      <w:r>
                        <w:rPr>
                          <w:rFonts w:ascii="宋体" w:hAnsi="宋体" w:cs="宋体" w:eastAsia="宋体" w:hint="default"/>
                          <w:sz w:val="13"/>
                          <w:szCs w:val="13"/>
                        </w:rPr>
                      </w:r>
                    </w:p>
                  </w:txbxContent>
                </v:textbox>
                <w10:wrap type="none"/>
              </v:shape>
              <v:shape style="position:absolute;left:7192;top:4722;width:540;height:767"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有限责</w:t>
                      </w:r>
                    </w:p>
                    <w:p>
                      <w:pPr>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任</w:t>
                      </w:r>
                    </w:p>
                    <w:p>
                      <w:pPr>
                        <w:spacing w:before="118"/>
                        <w:ind w:left="9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8078;top:5000;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姜剑</w:t>
                      </w:r>
                    </w:p>
                  </w:txbxContent>
                </v:textbox>
                <w10:wrap type="none"/>
              </v:shape>
            </v:group>
          </v:group>
        </w:pict>
      </w:r>
      <w:r>
        <w:rPr>
          <w:rFonts w:ascii="宋体" w:hAnsi="宋体" w:cs="宋体" w:eastAsia="宋体" w:hint="default"/>
          <w:position w:val="-125"/>
          <w:sz w:val="20"/>
          <w:szCs w:val="20"/>
        </w:rPr>
      </w:r>
    </w:p>
    <w:p>
      <w:pPr>
        <w:spacing w:line="240" w:lineRule="auto" w:before="12"/>
        <w:rPr>
          <w:rFonts w:ascii="宋体" w:hAnsi="宋体" w:cs="宋体" w:eastAsia="宋体" w:hint="default"/>
          <w:sz w:val="11"/>
          <w:szCs w:val="11"/>
        </w:rPr>
      </w:pPr>
    </w:p>
    <w:p>
      <w:pPr>
        <w:spacing w:before="35"/>
        <w:ind w:left="558" w:right="0" w:firstLine="0"/>
        <w:jc w:val="left"/>
        <w:rPr>
          <w:rFonts w:ascii="宋体" w:hAnsi="宋体" w:cs="宋体" w:eastAsia="宋体" w:hint="default"/>
          <w:sz w:val="21"/>
          <w:szCs w:val="21"/>
        </w:rPr>
      </w:pPr>
      <w:r>
        <w:rPr>
          <w:rFonts w:ascii="宋体" w:hAnsi="宋体" w:cs="宋体" w:eastAsia="宋体" w:hint="default"/>
          <w:sz w:val="21"/>
          <w:szCs w:val="21"/>
        </w:rPr>
        <w:t>公司第一大股东方正延中传媒有限公司于</w:t>
      </w:r>
      <w:r>
        <w:rPr>
          <w:rFonts w:ascii="宋体" w:hAnsi="宋体" w:cs="宋体" w:eastAsia="宋体" w:hint="default"/>
          <w:spacing w:val="-79"/>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年</w:t>
      </w:r>
      <w:r>
        <w:rPr>
          <w:rFonts w:ascii="宋体" w:hAnsi="宋体" w:cs="宋体" w:eastAsia="宋体" w:hint="default"/>
          <w:spacing w:val="-79"/>
          <w:sz w:val="21"/>
          <w:szCs w:val="21"/>
        </w:rPr>
        <w:t> </w:t>
      </w:r>
      <w:r>
        <w:rPr>
          <w:rFonts w:ascii="Times New Roman" w:hAnsi="Times New Roman" w:cs="Times New Roman" w:eastAsia="Times New Roman" w:hint="default"/>
          <w:spacing w:val="-4"/>
          <w:sz w:val="21"/>
          <w:szCs w:val="21"/>
        </w:rPr>
        <w:t>11 </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79"/>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日与青岛亚星实业有限公司</w:t>
      </w:r>
      <w:r>
        <w:rPr>
          <w:rFonts w:ascii="Times New Roman" w:hAnsi="Times New Roman" w:cs="Times New Roman" w:eastAsia="Times New Roman" w:hint="default"/>
          <w:sz w:val="21"/>
          <w:szCs w:val="21"/>
        </w:rPr>
        <w:t>(</w:t>
      </w:r>
      <w:r>
        <w:rPr>
          <w:rFonts w:ascii="宋体" w:hAnsi="宋体" w:cs="宋体" w:eastAsia="宋体" w:hint="default"/>
          <w:sz w:val="21"/>
          <w:szCs w:val="21"/>
        </w:rPr>
        <w:t>以下称</w:t>
      </w:r>
    </w:p>
    <w:p>
      <w:pPr>
        <w:spacing w:before="189"/>
        <w:ind w:left="138" w:right="0" w:firstLine="0"/>
        <w:jc w:val="both"/>
        <w:rPr>
          <w:rFonts w:ascii="Times New Roman" w:hAnsi="Times New Roman" w:cs="Times New Roman" w:eastAsia="Times New Roman" w:hint="default"/>
          <w:sz w:val="21"/>
          <w:szCs w:val="21"/>
        </w:rPr>
      </w:pPr>
      <w:r>
        <w:rPr>
          <w:rFonts w:ascii="宋体" w:hAnsi="宋体" w:cs="宋体" w:eastAsia="宋体" w:hint="default"/>
          <w:sz w:val="21"/>
          <w:szCs w:val="21"/>
        </w:rPr>
        <w:t>亚星实业公司</w:t>
      </w:r>
      <w:r>
        <w:rPr>
          <w:rFonts w:ascii="Times New Roman" w:hAnsi="Times New Roman" w:cs="Times New Roman" w:eastAsia="Times New Roman" w:hint="default"/>
          <w:spacing w:val="-1"/>
          <w:sz w:val="21"/>
          <w:szCs w:val="21"/>
        </w:rPr>
        <w:t>)</w:t>
      </w:r>
      <w:r>
        <w:rPr>
          <w:rFonts w:ascii="宋体" w:hAnsi="宋体" w:cs="宋体" w:eastAsia="宋体" w:hint="default"/>
          <w:sz w:val="21"/>
          <w:szCs w:val="21"/>
        </w:rPr>
        <w:t>签</w:t>
      </w:r>
      <w:r>
        <w:rPr>
          <w:rFonts w:ascii="宋体" w:hAnsi="宋体" w:cs="宋体" w:eastAsia="宋体" w:hint="default"/>
          <w:spacing w:val="-28"/>
          <w:sz w:val="21"/>
          <w:szCs w:val="21"/>
        </w:rPr>
        <w:t>署</w:t>
      </w:r>
      <w:r>
        <w:rPr>
          <w:rFonts w:ascii="宋体" w:hAnsi="宋体" w:cs="宋体" w:eastAsia="宋体" w:hint="default"/>
          <w:sz w:val="21"/>
          <w:szCs w:val="21"/>
        </w:rPr>
        <w:t>《股份转让协议</w:t>
      </w:r>
      <w:r>
        <w:rPr>
          <w:rFonts w:ascii="宋体" w:hAnsi="宋体" w:cs="宋体" w:eastAsia="宋体" w:hint="default"/>
          <w:spacing w:val="-106"/>
          <w:sz w:val="21"/>
          <w:szCs w:val="21"/>
        </w:rPr>
        <w:t>》</w:t>
      </w:r>
      <w:r>
        <w:rPr>
          <w:rFonts w:ascii="宋体" w:hAnsi="宋体" w:cs="宋体" w:eastAsia="宋体" w:hint="default"/>
          <w:spacing w:val="-28"/>
          <w:sz w:val="21"/>
          <w:szCs w:val="21"/>
        </w:rPr>
        <w:t>，</w:t>
      </w:r>
      <w:r>
        <w:rPr>
          <w:rFonts w:ascii="宋体" w:hAnsi="宋体" w:cs="宋体" w:eastAsia="宋体" w:hint="default"/>
          <w:sz w:val="21"/>
          <w:szCs w:val="21"/>
        </w:rPr>
        <w:t>将其持有本公司的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00</w:t>
      </w:r>
      <w:r>
        <w:rPr>
          <w:rFonts w:ascii="Times New Roman" w:hAnsi="Times New Roman" w:cs="Times New Roman" w:eastAsia="Times New Roman" w:hint="default"/>
          <w:sz w:val="21"/>
          <w:szCs w:val="21"/>
        </w:rPr>
        <w:t>0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万股股</w:t>
      </w:r>
      <w:r>
        <w:rPr>
          <w:rFonts w:ascii="宋体" w:hAnsi="宋体" w:cs="宋体" w:eastAsia="宋体" w:hint="default"/>
          <w:spacing w:val="-2"/>
          <w:sz w:val="21"/>
          <w:szCs w:val="21"/>
        </w:rPr>
        <w:t>份</w:t>
      </w:r>
      <w:r>
        <w:rPr>
          <w:rFonts w:ascii="宋体" w:hAnsi="宋体" w:cs="宋体" w:eastAsia="宋体" w:hint="default"/>
          <w:sz w:val="21"/>
          <w:szCs w:val="21"/>
        </w:rPr>
        <w:t>转让给亚星实业公司</w:t>
      </w:r>
      <w:r>
        <w:rPr>
          <w:rFonts w:ascii="宋体" w:hAnsi="宋体" w:cs="宋体" w:eastAsia="宋体" w:hint="default"/>
          <w:spacing w:val="-28"/>
          <w:sz w:val="21"/>
          <w:szCs w:val="21"/>
        </w:rPr>
        <w:t>，</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9</w:t>
      </w:r>
    </w:p>
    <w:p>
      <w:pPr>
        <w:spacing w:before="189"/>
        <w:ind w:left="138" w:right="0" w:firstLine="0"/>
        <w:jc w:val="both"/>
        <w:rPr>
          <w:rFonts w:ascii="宋体" w:hAnsi="宋体" w:cs="宋体" w:eastAsia="宋体" w:hint="default"/>
          <w:sz w:val="21"/>
          <w:szCs w:val="21"/>
        </w:rPr>
      </w:pP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 </w:t>
      </w:r>
      <w:r>
        <w:rPr>
          <w:rFonts w:ascii="Times New Roman" w:hAnsi="Times New Roman" w:cs="Times New Roman" w:eastAsia="Times New Roman" w:hint="default"/>
          <w:sz w:val="21"/>
          <w:szCs w:val="21"/>
        </w:rPr>
        <w:t>29  </w:t>
      </w:r>
      <w:r>
        <w:rPr>
          <w:rFonts w:ascii="宋体" w:hAnsi="宋体" w:cs="宋体" w:eastAsia="宋体" w:hint="default"/>
          <w:sz w:val="21"/>
          <w:szCs w:val="21"/>
        </w:rPr>
        <w:t>日，已经办理了过户登记手续，亚星实业公司持有本公司 </w:t>
      </w: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万股股份，占总股本的</w:t>
      </w:r>
    </w:p>
    <w:p>
      <w:pPr>
        <w:spacing w:line="396" w:lineRule="auto" w:before="189"/>
        <w:ind w:left="138" w:right="154"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11.05%</w:t>
      </w:r>
      <w:r>
        <w:rPr>
          <w:rFonts w:ascii="宋体" w:hAnsi="宋体" w:cs="宋体" w:eastAsia="宋体" w:hint="default"/>
          <w:sz w:val="21"/>
          <w:szCs w:val="21"/>
        </w:rPr>
        <w:t>。</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日深大通</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年第一次临时股东大会通过了《资产赠与、资本公积金定向 </w:t>
      </w:r>
      <w:r>
        <w:rPr>
          <w:rFonts w:ascii="宋体" w:hAnsi="宋体" w:cs="宋体" w:eastAsia="宋体" w:hint="default"/>
          <w:spacing w:val="-5"/>
          <w:sz w:val="21"/>
          <w:szCs w:val="21"/>
        </w:rPr>
        <w:t>转增股本暨股权分置改革方案的议案》，非流通股股东将按照</w:t>
      </w:r>
      <w:r>
        <w:rPr>
          <w:rFonts w:ascii="宋体" w:hAnsi="宋体" w:cs="宋体" w:eastAsia="宋体" w:hint="default"/>
          <w:spacing w:val="-38"/>
          <w:sz w:val="21"/>
          <w:szCs w:val="21"/>
        </w:rPr>
        <w:t> </w:t>
      </w:r>
      <w:r>
        <w:rPr>
          <w:rFonts w:ascii="Times New Roman" w:hAnsi="Times New Roman" w:cs="Times New Roman" w:eastAsia="Times New Roman" w:hint="default"/>
          <w:spacing w:val="-2"/>
          <w:sz w:val="21"/>
          <w:szCs w:val="21"/>
        </w:rPr>
        <w:t>10</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6.5</w:t>
      </w:r>
      <w:r>
        <w:rPr>
          <w:rFonts w:ascii="Times New Roman" w:hAnsi="Times New Roman" w:cs="Times New Roman" w:eastAsia="Times New Roman" w:hint="default"/>
          <w:spacing w:val="15"/>
          <w:sz w:val="21"/>
          <w:szCs w:val="21"/>
        </w:rPr>
        <w:t> </w:t>
      </w:r>
      <w:r>
        <w:rPr>
          <w:rFonts w:ascii="宋体" w:hAnsi="宋体" w:cs="宋体" w:eastAsia="宋体" w:hint="default"/>
          <w:spacing w:val="-1"/>
          <w:sz w:val="21"/>
          <w:szCs w:val="21"/>
        </w:rPr>
        <w:t>向亚星实业有限公司送股过户</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完成后，亚星实业有限公司成为本公司控股股东。</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4"/>
          <w:szCs w:val="24"/>
        </w:rPr>
      </w:pPr>
    </w:p>
    <w:p>
      <w:pPr>
        <w:spacing w:before="0"/>
        <w:ind w:left="558"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存在控制关系的股东的注册资本及其变化</w:t>
      </w:r>
      <w:r>
        <w:rPr>
          <w:rFonts w:ascii="Times New Roman" w:hAnsi="Times New Roman" w:cs="Times New Roman" w:eastAsia="Times New Roman" w:hint="default"/>
          <w:sz w:val="21"/>
          <w:szCs w:val="21"/>
        </w:rPr>
        <w:t>.</w:t>
      </w:r>
    </w:p>
    <w:p>
      <w:pPr>
        <w:spacing w:line="962" w:lineRule="exact"/>
        <w:ind w:left="535"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
          <w:sz w:val="20"/>
          <w:szCs w:val="20"/>
        </w:rPr>
        <w:pict>
          <v:group style="width:435.2pt;height:48.15pt;mso-position-horizontal-relative:char;mso-position-vertical-relative:line" coordorigin="0,0" coordsize="8704,963">
            <v:group style="position:absolute;left:29;top:15;width:8652;height:2" coordorigin="29,15" coordsize="8652,2">
              <v:shape style="position:absolute;left:29;top:15;width:8652;height:2" coordorigin="29,15" coordsize="8652,0" path="m29,15l8681,15e" filled="false" stroked="true" strokeweight="1.5pt" strokecolor="#000000">
                <v:path arrowok="t"/>
              </v:shape>
            </v:group>
            <v:group style="position:absolute;left:15;top:947;width:2549;height:2" coordorigin="15,947" coordsize="2549,2">
              <v:shape style="position:absolute;left:15;top:947;width:2549;height:2" coordorigin="15,947" coordsize="2549,0" path="m15,947l2564,947e" filled="false" stroked="true" strokeweight="1.5pt" strokecolor="#000000">
                <v:path arrowok="t"/>
              </v:shape>
            </v:group>
            <v:group style="position:absolute;left:2564;top:947;width:2140;height:2" coordorigin="2564,947" coordsize="2140,2">
              <v:shape style="position:absolute;left:2564;top:947;width:2140;height:2" coordorigin="2564,947" coordsize="2140,0" path="m2564,947l4703,947e" filled="false" stroked="true" strokeweight="1.5pt" strokecolor="#000000">
                <v:path arrowok="t"/>
              </v:shape>
            </v:group>
            <v:group style="position:absolute;left:4703;top:947;width:2021;height:2" coordorigin="4703,947" coordsize="2021,2">
              <v:shape style="position:absolute;left:4703;top:947;width:2021;height:2" coordorigin="4703,947" coordsize="2021,0" path="m4703,947l6724,947e" filled="false" stroked="true" strokeweight="1.5pt" strokecolor="#000000">
                <v:path arrowok="t"/>
              </v:shape>
              <v:shape style="position:absolute;left:10;top:11;width:8682;height:922" type="#_x0000_t75" stroked="false">
                <v:imagedata r:id="rId180" o:title=""/>
              </v:shape>
            </v:group>
            <v:group style="position:absolute;left:6724;top:947;width:1965;height:2" coordorigin="6724,947" coordsize="1965,2">
              <v:shape style="position:absolute;left:6724;top:947;width:1965;height:2" coordorigin="6724,947" coordsize="1965,0" path="m6724,947l8689,947e" filled="false" stroked="true" strokeweight="1.5pt" strokecolor="#000000">
                <v:path arrowok="t"/>
              </v:shape>
              <v:shape style="position:absolute;left:137;top:322;width:2100;height:577" type="#_x0000_t202" filled="false" stroked="false">
                <v:textbox inset="0,0,0,0">
                  <w:txbxContent>
                    <w:p>
                      <w:pPr>
                        <w:spacing w:line="180" w:lineRule="exact" w:before="0"/>
                        <w:ind w:left="801" w:right="0" w:firstLine="0"/>
                        <w:jc w:val="left"/>
                        <w:rPr>
                          <w:rFonts w:ascii="宋体" w:hAnsi="宋体" w:cs="宋体" w:eastAsia="宋体" w:hint="default"/>
                          <w:sz w:val="18"/>
                          <w:szCs w:val="18"/>
                        </w:rPr>
                      </w:pPr>
                      <w:r>
                        <w:rPr>
                          <w:rFonts w:ascii="宋体" w:hAnsi="宋体" w:cs="宋体" w:eastAsia="宋体" w:hint="default"/>
                          <w:sz w:val="18"/>
                          <w:szCs w:val="18"/>
                        </w:rPr>
                        <w:t>股东名称</w:t>
                      </w:r>
                    </w:p>
                    <w:p>
                      <w:pPr>
                        <w:spacing w:before="122"/>
                        <w:ind w:left="0" w:right="0" w:firstLine="0"/>
                        <w:jc w:val="left"/>
                        <w:rPr>
                          <w:rFonts w:ascii="宋体" w:hAnsi="宋体" w:cs="宋体" w:eastAsia="宋体" w:hint="default"/>
                          <w:sz w:val="21"/>
                          <w:szCs w:val="21"/>
                        </w:rPr>
                      </w:pPr>
                      <w:r>
                        <w:rPr>
                          <w:rFonts w:ascii="宋体" w:hAnsi="宋体" w:cs="宋体" w:eastAsia="宋体" w:hint="default"/>
                          <w:sz w:val="21"/>
                          <w:szCs w:val="21"/>
                        </w:rPr>
                        <w:t>方正延中传媒有限公司</w:t>
                      </w:r>
                    </w:p>
                  </w:txbxContent>
                </v:textbox>
                <w10:wrap type="none"/>
              </v:shape>
              <v:shape style="position:absolute;left:3271;top:322;width:736;height:589" type="#_x0000_t202" filled="false" stroked="false">
                <v:textbox inset="0,0,0,0">
                  <w:txbxContent>
                    <w:p>
                      <w:pPr>
                        <w:spacing w:line="180" w:lineRule="exact" w:before="0"/>
                        <w:ind w:left="0" w:right="0" w:firstLine="97"/>
                        <w:jc w:val="left"/>
                        <w:rPr>
                          <w:rFonts w:ascii="宋体" w:hAnsi="宋体" w:cs="宋体" w:eastAsia="宋体" w:hint="default"/>
                          <w:sz w:val="18"/>
                          <w:szCs w:val="18"/>
                        </w:rPr>
                      </w:pPr>
                      <w:r>
                        <w:rPr>
                          <w:rFonts w:ascii="宋体" w:hAnsi="宋体" w:cs="宋体" w:eastAsia="宋体" w:hint="default"/>
                          <w:sz w:val="18"/>
                          <w:szCs w:val="18"/>
                        </w:rPr>
                        <w:t>年初数</w:t>
                      </w:r>
                    </w:p>
                    <w:p>
                      <w:pPr>
                        <w:spacing w:line="286" w:lineRule="exact" w:before="122"/>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亿元</w:t>
                      </w:r>
                    </w:p>
                  </w:txbxContent>
                </v:textbox>
                <w10:wrap type="none"/>
              </v:shape>
              <v:shape style="position:absolute;left:5117;top:322;width:1200;height:568" type="#_x0000_t202" filled="false" stroked="false">
                <v:textbox inset="0,0,0,0">
                  <w:txbxContent>
                    <w:p>
                      <w:pPr>
                        <w:spacing w:line="194" w:lineRule="exact" w:before="0"/>
                        <w:ind w:left="-1" w:right="0" w:firstLine="0"/>
                        <w:jc w:val="center"/>
                        <w:rPr>
                          <w:rFonts w:ascii="Times New Roman" w:hAnsi="Times New Roman" w:cs="Times New Roman" w:eastAsia="Times New Roman" w:hint="default"/>
                          <w:sz w:val="18"/>
                          <w:szCs w:val="18"/>
                        </w:rPr>
                      </w:pPr>
                      <w:r>
                        <w:rPr>
                          <w:rFonts w:ascii="宋体" w:hAnsi="宋体" w:cs="宋体" w:eastAsia="宋体" w:hint="default"/>
                          <w:sz w:val="18"/>
                          <w:szCs w:val="18"/>
                        </w:rPr>
                        <w:t>本期增加</w:t>
                      </w:r>
                      <w:r>
                        <w:rPr>
                          <w:rFonts w:ascii="Times New Roman" w:hAnsi="Times New Roman" w:cs="Times New Roman" w:eastAsia="Times New Roman" w:hint="default"/>
                          <w:sz w:val="18"/>
                          <w:szCs w:val="18"/>
                        </w:rPr>
                        <w:t>(</w:t>
                      </w:r>
                      <w:r>
                        <w:rPr>
                          <w:rFonts w:ascii="宋体" w:hAnsi="宋体" w:cs="宋体" w:eastAsia="宋体" w:hint="default"/>
                          <w:sz w:val="18"/>
                          <w:szCs w:val="18"/>
                        </w:rPr>
                        <w:t>减少</w:t>
                      </w:r>
                      <w:r>
                        <w:rPr>
                          <w:rFonts w:ascii="Times New Roman" w:hAnsi="Times New Roman" w:cs="Times New Roman" w:eastAsia="Times New Roman" w:hint="default"/>
                          <w:sz w:val="18"/>
                          <w:szCs w:val="18"/>
                        </w:rPr>
                        <w:t>)</w:t>
                      </w:r>
                    </w:p>
                    <w:p>
                      <w:pPr>
                        <w:spacing w:line="240" w:lineRule="auto" w:before="10"/>
                        <w:rPr>
                          <w:rFonts w:ascii="Times New Roman" w:hAnsi="Times New Roman" w:cs="Times New Roman" w:eastAsia="Times New Roman" w:hint="default"/>
                          <w:sz w:val="14"/>
                          <w:szCs w:val="14"/>
                        </w:rPr>
                      </w:pPr>
                    </w:p>
                    <w:p>
                      <w:pPr>
                        <w:spacing w:line="203" w:lineRule="exact" w:before="0"/>
                        <w:ind w:left="0" w:right="0" w:firstLine="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7341;top:322;width:736;height:589" type="#_x0000_t202" filled="false" stroked="false">
                <v:textbox inset="0,0,0,0">
                  <w:txbxContent>
                    <w:p>
                      <w:pPr>
                        <w:spacing w:line="180" w:lineRule="exact" w:before="0"/>
                        <w:ind w:left="0" w:right="0" w:firstLine="97"/>
                        <w:jc w:val="left"/>
                        <w:rPr>
                          <w:rFonts w:ascii="宋体" w:hAnsi="宋体" w:cs="宋体" w:eastAsia="宋体" w:hint="default"/>
                          <w:sz w:val="18"/>
                          <w:szCs w:val="18"/>
                        </w:rPr>
                      </w:pPr>
                      <w:r>
                        <w:rPr>
                          <w:rFonts w:ascii="宋体" w:hAnsi="宋体" w:cs="宋体" w:eastAsia="宋体" w:hint="default"/>
                          <w:sz w:val="18"/>
                          <w:szCs w:val="18"/>
                        </w:rPr>
                        <w:t>期末数</w:t>
                      </w:r>
                    </w:p>
                    <w:p>
                      <w:pPr>
                        <w:spacing w:line="286" w:lineRule="exact" w:before="122"/>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亿元</w:t>
                      </w:r>
                    </w:p>
                  </w:txbxContent>
                </v:textbox>
                <w10:wrap type="none"/>
              </v:shape>
            </v:group>
          </v:group>
        </w:pict>
      </w:r>
      <w:r>
        <w:rPr>
          <w:rFonts w:ascii="Times New Roman" w:hAnsi="Times New Roman" w:cs="Times New Roman" w:eastAsia="Times New Roman" w:hint="default"/>
          <w:position w:val="-18"/>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8"/>
          <w:szCs w:val="18"/>
        </w:rPr>
      </w:pPr>
    </w:p>
    <w:p>
      <w:pPr>
        <w:spacing w:before="35"/>
        <w:ind w:left="558"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r>
      <w:r>
        <w:rPr>
          <w:rFonts w:ascii="宋体" w:hAnsi="宋体" w:cs="宋体" w:eastAsia="宋体" w:hint="default"/>
          <w:sz w:val="21"/>
          <w:szCs w:val="21"/>
          <w:u w:val="single" w:color="000000"/>
        </w:rPr>
        <w:t>存在控制关系的关联方所持股份及其变化</w:t>
      </w:r>
      <w:r>
        <w:rPr>
          <w:rFonts w:ascii="宋体" w:hAnsi="宋体" w:cs="宋体" w:eastAsia="宋体" w:hint="default"/>
          <w:sz w:val="21"/>
          <w:szCs w:val="21"/>
        </w:rPr>
      </w:r>
      <w:r>
        <w:rPr>
          <w:rFonts w:ascii="Times New Roman" w:hAnsi="Times New Roman" w:cs="Times New Roman" w:eastAsia="Times New Roman" w:hint="default"/>
          <w:sz w:val="21"/>
          <w:szCs w:val="21"/>
        </w:rPr>
        <w:t>.</w:t>
      </w:r>
    </w:p>
    <w:p>
      <w:pPr>
        <w:spacing w:after="0"/>
        <w:jc w:val="left"/>
        <w:rPr>
          <w:rFonts w:ascii="Times New Roman" w:hAnsi="Times New Roman" w:cs="Times New Roman" w:eastAsia="Times New Roman" w:hint="default"/>
          <w:sz w:val="21"/>
          <w:szCs w:val="21"/>
        </w:rPr>
        <w:sectPr>
          <w:pgSz w:w="11910" w:h="16840"/>
          <w:pgMar w:header="0" w:footer="710" w:top="580" w:bottom="900" w:left="1280" w:right="1260"/>
        </w:sectPr>
      </w:pPr>
    </w:p>
    <w:p>
      <w:pPr>
        <w:pStyle w:val="Heading2"/>
        <w:spacing w:line="310" w:lineRule="exact"/>
        <w:ind w:right="3016"/>
        <w:jc w:val="center"/>
        <w:rPr>
          <w:b w:val="0"/>
          <w:bCs w:val="0"/>
        </w:rPr>
      </w:pPr>
      <w:r>
        <w:rPr/>
        <w:pict>
          <v:shape style="position:absolute;margin-left:88.919998pt;margin-top:3.990308pt;width:57.0pt;height:31.5pt;mso-position-horizontal-relative:page;mso-position-vertical-relative:paragraph;z-index:19192"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2111" w:right="2211"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1748" w:lineRule="exact"/>
        <w:ind w:left="10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4"/>
          <w:sz w:val="20"/>
          <w:szCs w:val="20"/>
        </w:rPr>
        <w:pict>
          <v:group style="width:461.5pt;height:87.45pt;mso-position-horizontal-relative:char;mso-position-vertical-relative:line" coordorigin="0,0" coordsize="9230,1749">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style="position:absolute;left:463;top:29;width:5147;height:2" coordorigin="463,29" coordsize="5147,2">
              <v:shape style="position:absolute;left:463;top:29;width:5147;height:2" coordorigin="463,29" coordsize="5147,0" path="m463,29l5610,29e" filled="false" stroked="true" strokeweight="1.5pt" strokecolor="#000000">
                <v:path arrowok="t"/>
              </v:shape>
            </v:group>
            <v:group style="position:absolute;left:5610;top:29;width:1124;height:2" coordorigin="5610,29" coordsize="1124,2">
              <v:shape style="position:absolute;left:5610;top:29;width:1124;height:2" coordorigin="5610,29" coordsize="1124,0" path="m5610,29l6733,29e" filled="false" stroked="true" strokeweight="1.5pt" strokecolor="#000000">
                <v:path arrowok="t"/>
              </v:shape>
            </v:group>
            <v:group style="position:absolute;left:6733;top:29;width:2475;height:2" coordorigin="6733,29" coordsize="2475,2">
              <v:shape style="position:absolute;left:6733;top:29;width:2475;height:2" coordorigin="6733,29" coordsize="2475,0" path="m6733,29l9208,29e" filled="false" stroked="true" strokeweight="1.5pt" strokecolor="#000000">
                <v:path arrowok="t"/>
              </v:shape>
            </v:group>
            <v:group style="position:absolute;left:449;top:1733;width:2175;height:2" coordorigin="449,1733" coordsize="2175,2">
              <v:shape style="position:absolute;left:449;top:1733;width:2175;height:2" coordorigin="449,1733" coordsize="2175,0" path="m449,1733l2623,1733e" filled="false" stroked="true" strokeweight="1.5pt" strokecolor="#000000">
                <v:path arrowok="t"/>
              </v:shape>
            </v:group>
            <v:group style="position:absolute;left:2623;top:1733;width:1847;height:2" coordorigin="2623,1733" coordsize="1847,2">
              <v:shape style="position:absolute;left:2623;top:1733;width:1847;height:2" coordorigin="2623,1733" coordsize="1847,0" path="m2623,1733l4470,1733e" filled="false" stroked="true" strokeweight="1.5pt" strokecolor="#000000">
                <v:path arrowok="t"/>
              </v:shape>
            </v:group>
            <v:group style="position:absolute;left:4470;top:1733;width:1118;height:2" coordorigin="4470,1733" coordsize="1118,2">
              <v:shape style="position:absolute;left:4470;top:1733;width:1118;height:2" coordorigin="4470,1733" coordsize="1118,0" path="m4470,1733l5587,1733e" filled="false" stroked="true" strokeweight="1.5pt" strokecolor="#000000">
                <v:path arrowok="t"/>
              </v:shape>
            </v:group>
            <v:group style="position:absolute;left:5573;top:1733;width:1161;height:2" coordorigin="5573,1733" coordsize="1161,2">
              <v:shape style="position:absolute;left:5573;top:1733;width:1161;height:2" coordorigin="5573,1733" coordsize="1161,0" path="m5573,1733l6733,1733e" filled="false" stroked="true" strokeweight="1.5pt" strokecolor="#000000">
                <v:path arrowok="t"/>
              </v:shape>
              <v:shape style="position:absolute;left:444;top:25;width:8780;height:1706" type="#_x0000_t75" stroked="false">
                <v:imagedata r:id="rId181" o:title=""/>
              </v:shape>
            </v:group>
            <v:group style="position:absolute;left:6733;top:1733;width:1222;height:2" coordorigin="6733,1733" coordsize="1222,2">
              <v:shape style="position:absolute;left:6733;top:1733;width:1222;height:2" coordorigin="6733,1733" coordsize="1222,0" path="m6733,1733l7955,1733e" filled="false" stroked="true" strokeweight="1.5pt" strokecolor="#000000">
                <v:path arrowok="t"/>
              </v:shape>
            </v:group>
            <v:group style="position:absolute;left:7940;top:1733;width:1275;height:2" coordorigin="7940,1733" coordsize="1275,2">
              <v:shape style="position:absolute;left:7940;top:1733;width:1275;height:2" coordorigin="7940,1733" coordsize="1275,0" path="m7940,1733l9215,1733e" filled="false" stroked="true" strokeweight="1.5pt" strokecolor="#000000">
                <v:path arrowok="t"/>
              </v:shape>
              <v:shape style="position:absolute;left:4760;top:33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占比例</w:t>
                      </w:r>
                    </w:p>
                  </w:txbxContent>
                </v:textbox>
                <w10:wrap type="none"/>
              </v:shape>
              <v:shape style="position:absolute;left:5802;top:33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7076;top:33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1186;top:58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股东名称</w:t>
                      </w:r>
                    </w:p>
                  </w:txbxContent>
                </v:textbox>
                <w10:wrap type="none"/>
              </v:shape>
              <v:shape style="position:absolute;left:3281;top:58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年初数</w:t>
                      </w:r>
                    </w:p>
                  </w:txbxContent>
                </v:textbox>
                <w10:wrap type="none"/>
              </v:shape>
              <v:shape style="position:absolute;left:8315;top:58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占比例</w:t>
                      </w:r>
                    </w:p>
                  </w:txbxContent>
                </v:textbox>
                <w10:wrap type="none"/>
              </v:shape>
              <v:shape style="position:absolute;left:5922;top:835;width:48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减少</w:t>
                      </w:r>
                      <w:r>
                        <w:rPr>
                          <w:rFonts w:ascii="Times New Roman" w:hAnsi="Times New Roman" w:cs="Times New Roman" w:eastAsia="Times New Roman" w:hint="default"/>
                          <w:sz w:val="18"/>
                          <w:szCs w:val="18"/>
                        </w:rPr>
                        <w:t>)</w:t>
                      </w:r>
                    </w:p>
                  </w:txbxContent>
                </v:textbox>
                <w10:wrap type="none"/>
              </v:shape>
              <v:shape style="position:absolute;left:571;top:1203;width:1957;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7"/>
                          <w:sz w:val="21"/>
                          <w:szCs w:val="21"/>
                        </w:rPr>
                        <w:t>方正延中传媒有限公</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司</w:t>
                      </w:r>
                    </w:p>
                  </w:txbxContent>
                </v:textbox>
                <w10:wrap type="none"/>
              </v:shape>
              <v:shape style="position:absolute;left:4753;top:1192;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29.84%</w:t>
                      </w:r>
                    </w:p>
                  </w:txbxContent>
                </v:textbox>
                <w10:wrap type="none"/>
              </v:shape>
              <v:shape style="position:absolute;left:8306;top:1192;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29.84%</w:t>
                      </w:r>
                    </w:p>
                  </w:txbxContent>
                </v:textbox>
                <w10:wrap type="none"/>
              </v:shape>
              <v:shape style="position:absolute;left:3104;top:1339;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2700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万股</w:t>
                      </w:r>
                    </w:p>
                  </w:txbxContent>
                </v:textbox>
                <w10:wrap type="none"/>
              </v:shape>
              <v:shape style="position:absolute;left:6132;top:1361;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6899;top:1339;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2700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万股</w:t>
                      </w:r>
                    </w:p>
                  </w:txbxContent>
                </v:textbox>
                <w10:wrap type="none"/>
              </v:shape>
            </v:group>
          </v:group>
        </w:pict>
      </w:r>
      <w:r>
        <w:rPr>
          <w:rFonts w:ascii="Times New Roman" w:hAnsi="Times New Roman" w:cs="Times New Roman" w:eastAsia="Times New Roman" w:hint="default"/>
          <w:position w:val="-34"/>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7"/>
          <w:szCs w:val="17"/>
        </w:rPr>
      </w:pPr>
    </w:p>
    <w:p>
      <w:pPr>
        <w:spacing w:before="35"/>
        <w:ind w:left="558" w:right="214"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）不存在控制关系但有交易往来的关联方</w:t>
      </w:r>
    </w:p>
    <w:p>
      <w:pPr>
        <w:spacing w:line="1579" w:lineRule="exact"/>
        <w:ind w:left="535"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34.55pt;height:79pt;mso-position-horizontal-relative:char;mso-position-vertical-relative:line" coordorigin="0,0" coordsize="8691,1580">
            <v:group style="position:absolute;left:29;top:15;width:8639;height:2" coordorigin="29,15" coordsize="8639,2">
              <v:shape style="position:absolute;left:29;top:15;width:8639;height:2" coordorigin="29,15" coordsize="8639,0" path="m29,15l8668,15e" filled="false" stroked="true" strokeweight="1.5pt" strokecolor="#000000">
                <v:path arrowok="t"/>
              </v:shape>
              <v:shape style="position:absolute;left:3407;top:11;width:48;height:538" type="#_x0000_t75" stroked="false">
                <v:imagedata r:id="rId182" o:title=""/>
              </v:shape>
            </v:group>
            <v:group style="position:absolute;left:15;top:1564;width:3412;height:2" coordorigin="15,1564" coordsize="3412,2">
              <v:shape style="position:absolute;left:15;top:1564;width:3412;height:2" coordorigin="15,1564" coordsize="3412,0" path="m15,1564l3427,1564e" filled="false" stroked="true" strokeweight="1.5pt" strokecolor="#000000">
                <v:path arrowok="t"/>
              </v:shape>
              <v:shape style="position:absolute;left:10;top:510;width:8677;height:1058" type="#_x0000_t75" stroked="false">
                <v:imagedata r:id="rId183" o:title=""/>
              </v:shape>
            </v:group>
            <v:group style="position:absolute;left:3427;top:1564;width:5249;height:2" coordorigin="3427,1564" coordsize="5249,2">
              <v:shape style="position:absolute;left:3427;top:1564;width:5249;height:2" coordorigin="3427,1564" coordsize="5249,0" path="m3427,1564l8675,1564e" filled="false" stroked="true" strokeweight="1.5pt" strokecolor="#000000">
                <v:path arrowok="t"/>
              </v:shape>
              <v:shape style="position:absolute;left:1235;top:322;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 业 名 称</w:t>
                      </w:r>
                    </w:p>
                  </w:txbxContent>
                </v:textbox>
                <w10:wrap type="none"/>
              </v:shape>
              <v:shape style="position:absolute;left:5423;top:32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与本公司的关系</w:t>
                      </w:r>
                    </w:p>
                  </w:txbxContent>
                </v:textbox>
                <w10:wrap type="none"/>
              </v:shape>
              <v:shape style="position:absolute;left:137;top:809;width:2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青岛亚星置业有限公司</w:t>
                      </w:r>
                    </w:p>
                  </w:txbxContent>
                </v:textbox>
                <w10:wrap type="none"/>
              </v:shape>
              <v:shape style="position:absolute;left:4693;top:808;width:2721;height:201" type="#_x0000_t202" filled="false" stroked="false">
                <v:textbox inset="0,0,0,0">
                  <w:txbxContent>
                    <w:p>
                      <w:pPr>
                        <w:spacing w:line="20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20"/>
                          <w:szCs w:val="20"/>
                        </w:rPr>
                        <w:t>青岛亚星投资有限公司</w:t>
                      </w:r>
                      <w:r>
                        <w:rPr>
                          <w:rFonts w:ascii="宋体" w:hAnsi="宋体" w:cs="宋体" w:eastAsia="宋体" w:hint="default"/>
                          <w:spacing w:val="-1"/>
                          <w:sz w:val="18"/>
                          <w:szCs w:val="18"/>
                        </w:rPr>
                        <w:t>之子公司</w:t>
                      </w:r>
                    </w:p>
                  </w:txbxContent>
                </v:textbox>
                <w10:wrap type="none"/>
              </v:shape>
              <v:shape style="position:absolute;left:137;top:1319;width:2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青岛亚星投资有限公司</w:t>
                      </w:r>
                    </w:p>
                  </w:txbxContent>
                </v:textbox>
                <w10:wrap type="none"/>
              </v:shape>
              <v:shape style="position:absolute;left:4973;top:1341;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亚星实业公司之全资子公司</w:t>
                      </w:r>
                    </w:p>
                  </w:txbxContent>
                </v:textbox>
                <w10:wrap type="none"/>
              </v:shape>
            </v:group>
          </v:group>
        </w:pict>
      </w:r>
      <w:r>
        <w:rPr>
          <w:rFonts w:ascii="宋体" w:hAnsi="宋体" w:cs="宋体" w:eastAsia="宋体" w:hint="default"/>
          <w:position w:val="-31"/>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81" w:lineRule="exact" w:before="167"/>
        <w:ind w:left="664" w:right="21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宋体" w:hAnsi="宋体" w:cs="宋体" w:eastAsia="宋体" w:hint="default"/>
          <w:sz w:val="21"/>
          <w:szCs w:val="21"/>
        </w:rPr>
        <w:t>关联方交易事项</w:t>
      </w:r>
    </w:p>
    <w:p>
      <w:pPr>
        <w:spacing w:line="281" w:lineRule="exact" w:before="0"/>
        <w:ind w:left="574" w:right="115" w:firstLine="0"/>
        <w:jc w:val="left"/>
        <w:rPr>
          <w:rFonts w:ascii="宋体" w:hAnsi="宋体" w:cs="宋体" w:eastAsia="宋体" w:hint="default"/>
          <w:sz w:val="21"/>
          <w:szCs w:val="21"/>
        </w:rPr>
      </w:pPr>
      <w:r>
        <w:rPr>
          <w:rFonts w:ascii="宋体" w:hAnsi="宋体" w:cs="宋体" w:eastAsia="宋体" w:hint="default"/>
          <w:sz w:val="21"/>
          <w:szCs w:val="21"/>
        </w:rPr>
        <w:t>为了支持深大通实施股改方案，</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月</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日，深大通与股东方正延中传媒有限公司签订</w:t>
      </w:r>
    </w:p>
    <w:p>
      <w:pPr>
        <w:spacing w:line="240" w:lineRule="auto" w:before="5"/>
        <w:rPr>
          <w:rFonts w:ascii="宋体" w:hAnsi="宋体" w:cs="宋体" w:eastAsia="宋体" w:hint="default"/>
          <w:sz w:val="19"/>
          <w:szCs w:val="19"/>
        </w:rPr>
      </w:pPr>
    </w:p>
    <w:p>
      <w:pPr>
        <w:spacing w:before="0"/>
        <w:ind w:left="138" w:right="115" w:firstLine="0"/>
        <w:jc w:val="left"/>
        <w:rPr>
          <w:rFonts w:ascii="宋体" w:hAnsi="宋体" w:cs="宋体" w:eastAsia="宋体" w:hint="default"/>
          <w:sz w:val="21"/>
          <w:szCs w:val="21"/>
        </w:rPr>
      </w:pPr>
      <w:r>
        <w:rPr>
          <w:rFonts w:ascii="宋体" w:hAnsi="宋体" w:cs="宋体" w:eastAsia="宋体" w:hint="default"/>
          <w:spacing w:val="-14"/>
          <w:sz w:val="21"/>
          <w:szCs w:val="21"/>
        </w:rPr>
        <w:t>的</w:t>
      </w:r>
      <w:r>
        <w:rPr>
          <w:rFonts w:ascii="宋体" w:hAnsi="宋体" w:cs="宋体" w:eastAsia="宋体" w:hint="default"/>
          <w:sz w:val="21"/>
          <w:szCs w:val="21"/>
        </w:rPr>
        <w:t>“资产转让协议</w:t>
      </w:r>
      <w:r>
        <w:rPr>
          <w:rFonts w:ascii="宋体" w:hAnsi="宋体" w:cs="宋体" w:eastAsia="宋体" w:hint="default"/>
          <w:spacing w:val="-105"/>
          <w:sz w:val="21"/>
          <w:szCs w:val="21"/>
        </w:rPr>
        <w:t>”</w:t>
      </w:r>
      <w:r>
        <w:rPr>
          <w:rFonts w:ascii="宋体" w:hAnsi="宋体" w:cs="宋体" w:eastAsia="宋体" w:hint="default"/>
          <w:spacing w:val="-14"/>
          <w:sz w:val="21"/>
          <w:szCs w:val="21"/>
        </w:rPr>
        <w:t>，</w:t>
      </w:r>
      <w:r>
        <w:rPr>
          <w:rFonts w:ascii="宋体" w:hAnsi="宋体" w:cs="宋体" w:eastAsia="宋体" w:hint="default"/>
          <w:sz w:val="21"/>
          <w:szCs w:val="21"/>
        </w:rPr>
        <w:t>根据沃克</w:t>
      </w:r>
      <w:r>
        <w:rPr>
          <w:rFonts w:ascii="宋体" w:hAnsi="宋体" w:cs="宋体" w:eastAsia="宋体" w:hint="default"/>
          <w:spacing w:val="-14"/>
          <w:sz w:val="21"/>
          <w:szCs w:val="21"/>
        </w:rPr>
        <w:t>森</w:t>
      </w:r>
      <w:r>
        <w:rPr>
          <w:rFonts w:ascii="宋体" w:hAnsi="宋体" w:cs="宋体" w:eastAsia="宋体" w:hint="default"/>
          <w:sz w:val="21"/>
          <w:szCs w:val="21"/>
        </w:rPr>
        <w:t>（北京</w:t>
      </w:r>
      <w:r>
        <w:rPr>
          <w:rFonts w:ascii="宋体" w:hAnsi="宋体" w:cs="宋体" w:eastAsia="宋体" w:hint="default"/>
          <w:spacing w:val="-14"/>
          <w:sz w:val="21"/>
          <w:szCs w:val="21"/>
        </w:rPr>
        <w:t>）</w:t>
      </w:r>
      <w:r>
        <w:rPr>
          <w:rFonts w:ascii="宋体" w:hAnsi="宋体" w:cs="宋体" w:eastAsia="宋体" w:hint="default"/>
          <w:sz w:val="21"/>
          <w:szCs w:val="21"/>
        </w:rPr>
        <w:t>国际资产评估有限公司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00</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5 </w:t>
      </w:r>
      <w:r>
        <w:rPr>
          <w:rFonts w:ascii="宋体" w:hAnsi="宋体" w:cs="宋体" w:eastAsia="宋体" w:hint="default"/>
          <w:spacing w:val="-2"/>
          <w:sz w:val="21"/>
          <w:szCs w:val="21"/>
        </w:rPr>
        <w:t>日</w:t>
      </w:r>
      <w:r>
        <w:rPr>
          <w:rFonts w:ascii="宋体" w:hAnsi="宋体" w:cs="宋体" w:eastAsia="宋体" w:hint="default"/>
          <w:sz w:val="21"/>
          <w:szCs w:val="21"/>
        </w:rPr>
        <w:t>出具</w:t>
      </w:r>
      <w:r>
        <w:rPr>
          <w:rFonts w:ascii="宋体" w:hAnsi="宋体" w:cs="宋体" w:eastAsia="宋体" w:hint="default"/>
          <w:spacing w:val="-14"/>
          <w:sz w:val="21"/>
          <w:szCs w:val="21"/>
        </w:rPr>
        <w:t>的</w:t>
      </w:r>
      <w:r>
        <w:rPr>
          <w:rFonts w:ascii="宋体" w:hAnsi="宋体" w:cs="宋体" w:eastAsia="宋体" w:hint="default"/>
          <w:sz w:val="21"/>
          <w:szCs w:val="21"/>
        </w:rPr>
        <w:t>《深大通</w:t>
      </w:r>
    </w:p>
    <w:p>
      <w:pPr>
        <w:spacing w:line="240" w:lineRule="auto" w:before="5"/>
        <w:rPr>
          <w:rFonts w:ascii="宋体" w:hAnsi="宋体" w:cs="宋体" w:eastAsia="宋体" w:hint="default"/>
          <w:sz w:val="19"/>
          <w:szCs w:val="19"/>
        </w:rPr>
      </w:pPr>
    </w:p>
    <w:p>
      <w:pPr>
        <w:spacing w:before="0"/>
        <w:ind w:left="138" w:right="115" w:firstLine="0"/>
        <w:jc w:val="left"/>
        <w:rPr>
          <w:rFonts w:ascii="宋体" w:hAnsi="宋体" w:cs="宋体" w:eastAsia="宋体" w:hint="default"/>
          <w:sz w:val="21"/>
          <w:szCs w:val="21"/>
        </w:rPr>
      </w:pPr>
      <w:r>
        <w:rPr>
          <w:rFonts w:ascii="宋体" w:hAnsi="宋体" w:cs="宋体" w:eastAsia="宋体" w:hint="default"/>
          <w:sz w:val="21"/>
          <w:szCs w:val="21"/>
        </w:rPr>
        <w:t>实业股份有限公司拟转让资产评估报告书》沃克森评报字</w:t>
      </w:r>
      <w:r>
        <w:rPr>
          <w:rFonts w:ascii="Times New Roman" w:hAnsi="Times New Roman" w:cs="Times New Roman" w:eastAsia="Times New Roman" w:hint="default"/>
          <w:sz w:val="21"/>
          <w:szCs w:val="21"/>
        </w:rPr>
        <w:t>[2008] 0096 </w:t>
      </w:r>
      <w:r>
        <w:rPr>
          <w:rFonts w:ascii="宋体" w:hAnsi="宋体" w:cs="宋体" w:eastAsia="宋体" w:hint="default"/>
          <w:sz w:val="21"/>
          <w:szCs w:val="21"/>
        </w:rPr>
        <w:t>号评估报告，双方同意将深大</w:t>
      </w:r>
    </w:p>
    <w:p>
      <w:pPr>
        <w:spacing w:line="240" w:lineRule="auto" w:before="5"/>
        <w:rPr>
          <w:rFonts w:ascii="宋体" w:hAnsi="宋体" w:cs="宋体" w:eastAsia="宋体" w:hint="default"/>
          <w:sz w:val="19"/>
          <w:szCs w:val="19"/>
        </w:rPr>
      </w:pPr>
    </w:p>
    <w:p>
      <w:pPr>
        <w:spacing w:before="0"/>
        <w:ind w:left="138" w:right="115" w:firstLine="0"/>
        <w:jc w:val="left"/>
        <w:rPr>
          <w:rFonts w:ascii="宋体" w:hAnsi="宋体" w:cs="宋体" w:eastAsia="宋体" w:hint="default"/>
          <w:sz w:val="21"/>
          <w:szCs w:val="21"/>
        </w:rPr>
      </w:pPr>
      <w:r>
        <w:rPr>
          <w:rFonts w:ascii="宋体" w:hAnsi="宋体" w:cs="宋体" w:eastAsia="宋体" w:hint="default"/>
          <w:sz w:val="21"/>
          <w:szCs w:val="21"/>
        </w:rPr>
        <w:t>通公司截止</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日的应收账款、其他应收款、长期投资按照评估值</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27,198.72</w:t>
      </w:r>
      <w:r>
        <w:rPr>
          <w:rFonts w:ascii="Times New Roman" w:hAnsi="Times New Roman" w:cs="Times New Roman" w:eastAsia="Times New Roman" w:hint="default"/>
          <w:spacing w:val="2"/>
          <w:sz w:val="21"/>
          <w:szCs w:val="21"/>
        </w:rPr>
        <w:t> </w:t>
      </w:r>
      <w:r>
        <w:rPr>
          <w:rFonts w:ascii="宋体" w:hAnsi="宋体" w:cs="宋体" w:eastAsia="宋体" w:hint="default"/>
          <w:spacing w:val="-5"/>
          <w:sz w:val="21"/>
          <w:szCs w:val="21"/>
        </w:rPr>
        <w:t>元，转让给</w:t>
      </w:r>
    </w:p>
    <w:p>
      <w:pPr>
        <w:spacing w:line="240" w:lineRule="auto" w:before="5"/>
        <w:rPr>
          <w:rFonts w:ascii="宋体" w:hAnsi="宋体" w:cs="宋体" w:eastAsia="宋体" w:hint="default"/>
          <w:sz w:val="19"/>
          <w:szCs w:val="19"/>
        </w:rPr>
      </w:pPr>
    </w:p>
    <w:p>
      <w:pPr>
        <w:spacing w:before="0"/>
        <w:ind w:left="138" w:right="0" w:firstLine="0"/>
        <w:jc w:val="left"/>
        <w:rPr>
          <w:rFonts w:ascii="宋体" w:hAnsi="宋体" w:cs="宋体" w:eastAsia="宋体" w:hint="default"/>
          <w:sz w:val="21"/>
          <w:szCs w:val="21"/>
        </w:rPr>
      </w:pPr>
      <w:r>
        <w:rPr>
          <w:rFonts w:ascii="宋体" w:hAnsi="宋体" w:cs="宋体" w:eastAsia="宋体" w:hint="default"/>
          <w:spacing w:val="-4"/>
          <w:sz w:val="21"/>
          <w:szCs w:val="21"/>
        </w:rPr>
        <w:t>方正延中传媒有限公司。上述关联交易于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2008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24 </w:t>
      </w:r>
      <w:r>
        <w:rPr>
          <w:rFonts w:ascii="宋体" w:hAnsi="宋体" w:cs="宋体" w:eastAsia="宋体" w:hint="default"/>
          <w:sz w:val="21"/>
          <w:szCs w:val="21"/>
        </w:rPr>
        <w:t>日经过深大通第六届第十五次董事会通过。</w:t>
      </w:r>
    </w:p>
    <w:p>
      <w:pPr>
        <w:spacing w:line="240" w:lineRule="auto" w:before="0"/>
        <w:rPr>
          <w:rFonts w:ascii="宋体" w:hAnsi="宋体" w:cs="宋体" w:eastAsia="宋体" w:hint="default"/>
          <w:sz w:val="22"/>
          <w:szCs w:val="22"/>
        </w:rPr>
      </w:pPr>
    </w:p>
    <w:p>
      <w:pPr>
        <w:spacing w:before="174"/>
        <w:ind w:left="679" w:right="214" w:firstLine="0"/>
        <w:jc w:val="left"/>
        <w:rPr>
          <w:rFonts w:ascii="宋体" w:hAnsi="宋体" w:cs="宋体" w:eastAsia="宋体" w:hint="default"/>
          <w:sz w:val="21"/>
          <w:szCs w:val="21"/>
        </w:rPr>
      </w:pPr>
      <w:r>
        <w:rPr/>
        <w:pict>
          <v:group style="position:absolute;margin-left:91.260002pt;margin-top:24.022858pt;width:434.1pt;height:231.5pt;mso-position-horizontal-relative:page;mso-position-vertical-relative:paragraph;z-index:-437488" coordorigin="1825,480" coordsize="8682,4630">
            <v:group style="position:absolute;left:1852;top:495;width:8632;height:2" coordorigin="1852,495" coordsize="8632,2">
              <v:shape style="position:absolute;left:1852;top:495;width:8632;height:2" coordorigin="1852,495" coordsize="8632,0" path="m1852,495l10483,495e" filled="false" stroked="true" strokeweight="1.5pt" strokecolor="#000000">
                <v:path arrowok="t"/>
              </v:shape>
              <v:shape style="position:absolute;left:4360;top:491;width:3088;height:539" type="#_x0000_t75" stroked="false">
                <v:imagedata r:id="rId184" o:title=""/>
              </v:shape>
              <v:shape style="position:absolute;left:4360;top:992;width:6148;height:548" type="#_x0000_t75" stroked="false">
                <v:imagedata r:id="rId185" o:title=""/>
              </v:shape>
              <v:shape style="position:absolute;left:1825;top:1502;width:8682;height:3608" type="#_x0000_t75" stroked="false">
                <v:imagedata r:id="rId186" o:title=""/>
              </v:shape>
              <v:shape style="position:absolute;left:5880;top:4571;width:48;height:539" type="#_x0000_t75" stroked="false">
                <v:imagedata r:id="rId146" o:title=""/>
              </v:shape>
              <v:shape style="position:absolute;left:7399;top:4571;width:48;height:539" type="#_x0000_t75" stroked="false">
                <v:imagedata r:id="rId146" o:title=""/>
              </v:shape>
              <v:shape style="position:absolute;left:8933;top:4571;width:48;height:539" type="#_x0000_t75" stroked="false">
                <v:imagedata r:id="rId146" o:title=""/>
              </v:shape>
              <v:shape style="position:absolute;left:5723;top:80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8057;top:802;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占各项目款项余额比例</w:t>
                      </w:r>
                    </w:p>
                  </w:txbxContent>
                </v:textbox>
                <w10:wrap type="none"/>
              </v:shape>
              <v:shape style="position:absolute;left:2664;top:104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关联方名称</w:t>
                      </w:r>
                    </w:p>
                  </w:txbxContent>
                </v:textbox>
                <w10:wrap type="none"/>
              </v:shape>
            </v:group>
            <w10:wrap type="none"/>
          </v:group>
        </w:pict>
      </w: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宋体" w:hAnsi="宋体" w:cs="宋体" w:eastAsia="宋体" w:hint="default"/>
          <w:sz w:val="21"/>
          <w:szCs w:val="21"/>
        </w:rPr>
        <w:t>关联方应收应付款项余额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tbl>
      <w:tblPr>
        <w:tblW w:w="0" w:type="auto"/>
        <w:jc w:val="left"/>
        <w:tblInd w:w="550" w:type="dxa"/>
        <w:tblLayout w:type="fixed"/>
        <w:tblCellMar>
          <w:top w:w="0" w:type="dxa"/>
          <w:left w:w="0" w:type="dxa"/>
          <w:bottom w:w="0" w:type="dxa"/>
          <w:right w:w="0" w:type="dxa"/>
        </w:tblCellMar>
        <w:tblLook w:val="01E0"/>
      </w:tblPr>
      <w:tblGrid>
        <w:gridCol w:w="2431"/>
        <w:gridCol w:w="1749"/>
        <w:gridCol w:w="1457"/>
        <w:gridCol w:w="1493"/>
        <w:gridCol w:w="1530"/>
      </w:tblGrid>
      <w:tr>
        <w:trPr>
          <w:trHeight w:val="915"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749" w:type="dxa"/>
            <w:tcBorders>
              <w:top w:val="nil" w:sz="6" w:space="0" w:color="auto"/>
              <w:left w:val="nil" w:sz="6" w:space="0" w:color="auto"/>
              <w:bottom w:val="nil" w:sz="6" w:space="0" w:color="auto"/>
              <w:right w:val="nil" w:sz="6" w:space="0" w:color="auto"/>
            </w:tcBorders>
          </w:tcPr>
          <w:p>
            <w:pPr>
              <w:pStyle w:val="TableParagraph"/>
              <w:spacing w:line="230" w:lineRule="exact"/>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57" w:type="dxa"/>
            <w:tcBorders>
              <w:top w:val="nil" w:sz="6" w:space="0" w:color="auto"/>
              <w:left w:val="nil" w:sz="6" w:space="0" w:color="auto"/>
              <w:bottom w:val="nil" w:sz="6" w:space="0" w:color="auto"/>
              <w:right w:val="nil" w:sz="6" w:space="0" w:color="auto"/>
            </w:tcBorders>
          </w:tcPr>
          <w:p>
            <w:pPr>
              <w:pStyle w:val="TableParagraph"/>
              <w:spacing w:line="230" w:lineRule="exact"/>
              <w:ind w:right="149"/>
              <w:jc w:val="center"/>
              <w:rPr>
                <w:rFonts w:ascii="宋体" w:hAnsi="宋体" w:cs="宋体" w:eastAsia="宋体" w:hint="default"/>
                <w:sz w:val="18"/>
                <w:szCs w:val="18"/>
              </w:rPr>
            </w:pPr>
            <w:r>
              <w:rPr>
                <w:rFonts w:ascii="宋体" w:hAnsi="宋体" w:cs="宋体" w:eastAsia="宋体" w:hint="default"/>
                <w:sz w:val="18"/>
                <w:szCs w:val="18"/>
              </w:rPr>
              <w:t>期初余额</w:t>
            </w: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49"/>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3" w:type="dxa"/>
            <w:tcBorders>
              <w:top w:val="nil" w:sz="6" w:space="0" w:color="auto"/>
              <w:left w:val="nil" w:sz="6" w:space="0" w:color="auto"/>
              <w:bottom w:val="nil" w:sz="6" w:space="0" w:color="auto"/>
              <w:right w:val="nil" w:sz="6" w:space="0" w:color="auto"/>
            </w:tcBorders>
          </w:tcPr>
          <w:p>
            <w:pPr>
              <w:pStyle w:val="TableParagraph"/>
              <w:spacing w:line="230" w:lineRule="exact"/>
              <w:ind w:right="45"/>
              <w:jc w:val="center"/>
              <w:rPr>
                <w:rFonts w:ascii="宋体" w:hAnsi="宋体" w:cs="宋体" w:eastAsia="宋体" w:hint="default"/>
                <w:sz w:val="18"/>
                <w:szCs w:val="18"/>
              </w:rPr>
            </w:pPr>
            <w:r>
              <w:rPr>
                <w:rFonts w:ascii="宋体" w:hAnsi="宋体" w:cs="宋体" w:eastAsia="宋体" w:hint="default"/>
                <w:sz w:val="18"/>
                <w:szCs w:val="18"/>
              </w:rPr>
              <w:t>期末数</w:t>
            </w: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46"/>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30" w:type="dxa"/>
            <w:tcBorders>
              <w:top w:val="nil" w:sz="6" w:space="0" w:color="auto"/>
              <w:left w:val="nil" w:sz="6" w:space="0" w:color="auto"/>
              <w:bottom w:val="nil" w:sz="6" w:space="0" w:color="auto"/>
              <w:right w:val="nil" w:sz="6" w:space="0" w:color="auto"/>
            </w:tcBorders>
          </w:tcPr>
          <w:p>
            <w:pPr>
              <w:pStyle w:val="TableParagraph"/>
              <w:spacing w:line="230" w:lineRule="exact"/>
              <w:ind w:right="1"/>
              <w:jc w:val="center"/>
              <w:rPr>
                <w:rFonts w:ascii="宋体" w:hAnsi="宋体" w:cs="宋体" w:eastAsia="宋体" w:hint="default"/>
                <w:sz w:val="18"/>
                <w:szCs w:val="18"/>
              </w:rPr>
            </w:pPr>
            <w:r>
              <w:rPr>
                <w:rFonts w:ascii="宋体" w:hAnsi="宋体" w:cs="宋体" w:eastAsia="宋体" w:hint="default"/>
                <w:sz w:val="18"/>
                <w:szCs w:val="18"/>
              </w:rPr>
              <w:t>期初数</w:t>
            </w: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0"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方正延中传媒有限公司</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15" w:right="0"/>
              <w:jc w:val="center"/>
              <w:rPr>
                <w:rFonts w:ascii="Times New Roman" w:hAnsi="Times New Roman" w:cs="Times New Roman" w:eastAsia="Times New Roman" w:hint="default"/>
                <w:sz w:val="18"/>
                <w:szCs w:val="18"/>
              </w:rPr>
            </w:pPr>
            <w:r>
              <w:rPr>
                <w:rFonts w:ascii="Times New Roman"/>
                <w:sz w:val="18"/>
              </w:rPr>
              <w:t>27,198.72</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592" w:right="0"/>
              <w:jc w:val="left"/>
              <w:rPr>
                <w:rFonts w:ascii="Times New Roman" w:hAnsi="Times New Roman" w:cs="Times New Roman" w:eastAsia="Times New Roman" w:hint="default"/>
                <w:sz w:val="18"/>
                <w:szCs w:val="18"/>
              </w:rPr>
            </w:pPr>
            <w:r>
              <w:rPr>
                <w:rFonts w:ascii="Times New Roman"/>
                <w:sz w:val="18"/>
              </w:rPr>
              <w:t>--</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489" w:right="0"/>
              <w:jc w:val="left"/>
              <w:rPr>
                <w:rFonts w:ascii="Times New Roman" w:hAnsi="Times New Roman" w:cs="Times New Roman" w:eastAsia="Times New Roman" w:hint="default"/>
                <w:sz w:val="18"/>
                <w:szCs w:val="18"/>
              </w:rPr>
            </w:pPr>
            <w:r>
              <w:rPr>
                <w:rFonts w:ascii="Times New Roman"/>
                <w:sz w:val="18"/>
              </w:rPr>
              <w:t>0.26%</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2"/>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0"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1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62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3" w:type="dxa"/>
            <w:tcBorders>
              <w:top w:val="nil" w:sz="6" w:space="0" w:color="auto"/>
              <w:left w:val="nil" w:sz="6" w:space="0" w:color="auto"/>
              <w:bottom w:val="nil" w:sz="6" w:space="0" w:color="auto"/>
              <w:right w:val="nil" w:sz="6" w:space="0" w:color="auto"/>
            </w:tcBorders>
          </w:tcPr>
          <w:p>
            <w:pPr/>
          </w:p>
        </w:tc>
        <w:tc>
          <w:tcPr>
            <w:tcW w:w="1530" w:type="dxa"/>
            <w:tcBorders>
              <w:top w:val="nil" w:sz="6" w:space="0" w:color="auto"/>
              <w:left w:val="nil" w:sz="6" w:space="0" w:color="auto"/>
              <w:bottom w:val="nil" w:sz="6" w:space="0" w:color="auto"/>
              <w:right w:val="nil" w:sz="6" w:space="0" w:color="auto"/>
            </w:tcBorders>
          </w:tcPr>
          <w:p>
            <w:pPr/>
          </w:p>
        </w:tc>
      </w:tr>
      <w:tr>
        <w:trPr>
          <w:trHeight w:val="500"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青岛亚星实业有限公司</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14" w:right="0"/>
              <w:jc w:val="center"/>
              <w:rPr>
                <w:rFonts w:ascii="Times New Roman" w:hAnsi="Times New Roman" w:cs="Times New Roman" w:eastAsia="Times New Roman" w:hint="default"/>
                <w:sz w:val="20"/>
                <w:szCs w:val="20"/>
              </w:rPr>
            </w:pPr>
            <w:r>
              <w:rPr>
                <w:rFonts w:ascii="Times New Roman"/>
                <w:sz w:val="20"/>
              </w:rPr>
              <w:t>27,128,000.00</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62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444" w:right="0"/>
              <w:jc w:val="left"/>
              <w:rPr>
                <w:rFonts w:ascii="Times New Roman" w:hAnsi="Times New Roman" w:cs="Times New Roman" w:eastAsia="Times New Roman" w:hint="default"/>
                <w:sz w:val="18"/>
                <w:szCs w:val="18"/>
              </w:rPr>
            </w:pPr>
            <w:r>
              <w:rPr>
                <w:rFonts w:ascii="Times New Roman"/>
                <w:sz w:val="18"/>
              </w:rPr>
              <w:t>28.67%</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0"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22" w:right="0"/>
              <w:jc w:val="left"/>
              <w:rPr>
                <w:rFonts w:ascii="宋体" w:hAnsi="宋体" w:cs="宋体" w:eastAsia="宋体" w:hint="default"/>
                <w:sz w:val="20"/>
                <w:szCs w:val="20"/>
              </w:rPr>
            </w:pPr>
            <w:r>
              <w:rPr>
                <w:rFonts w:ascii="宋体" w:hAnsi="宋体" w:cs="宋体" w:eastAsia="宋体" w:hint="default"/>
                <w:sz w:val="20"/>
                <w:szCs w:val="20"/>
              </w:rPr>
              <w:t>青岛亚星置业有限公司</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4" w:right="0"/>
              <w:jc w:val="center"/>
              <w:rPr>
                <w:rFonts w:ascii="Times New Roman" w:hAnsi="Times New Roman" w:cs="Times New Roman" w:eastAsia="Times New Roman" w:hint="default"/>
                <w:sz w:val="20"/>
                <w:szCs w:val="20"/>
              </w:rPr>
            </w:pPr>
            <w:r>
              <w:rPr>
                <w:rFonts w:ascii="Times New Roman"/>
                <w:sz w:val="20"/>
              </w:rPr>
              <w:t>26,741,982.42</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161"/>
              <w:ind w:left="62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61"/>
              <w:ind w:left="444" w:right="0"/>
              <w:jc w:val="left"/>
              <w:rPr>
                <w:rFonts w:ascii="Times New Roman" w:hAnsi="Times New Roman" w:cs="Times New Roman" w:eastAsia="Times New Roman" w:hint="default"/>
                <w:sz w:val="18"/>
                <w:szCs w:val="18"/>
              </w:rPr>
            </w:pPr>
            <w:r>
              <w:rPr>
                <w:rFonts w:ascii="Times New Roman"/>
                <w:sz w:val="18"/>
              </w:rPr>
              <w:t>31.43%</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21"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22" w:right="0"/>
              <w:jc w:val="left"/>
              <w:rPr>
                <w:rFonts w:ascii="宋体" w:hAnsi="宋体" w:cs="宋体" w:eastAsia="宋体" w:hint="default"/>
                <w:sz w:val="20"/>
                <w:szCs w:val="20"/>
              </w:rPr>
            </w:pPr>
            <w:r>
              <w:rPr>
                <w:rFonts w:ascii="宋体" w:hAnsi="宋体" w:cs="宋体" w:eastAsia="宋体" w:hint="default"/>
                <w:sz w:val="20"/>
                <w:szCs w:val="20"/>
              </w:rPr>
              <w:t>青岛亚星投资有限公司</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4" w:right="0"/>
              <w:jc w:val="center"/>
              <w:rPr>
                <w:rFonts w:ascii="Times New Roman" w:hAnsi="Times New Roman" w:cs="Times New Roman" w:eastAsia="Times New Roman" w:hint="default"/>
                <w:sz w:val="20"/>
                <w:szCs w:val="20"/>
              </w:rPr>
            </w:pPr>
            <w:r>
              <w:rPr>
                <w:rFonts w:ascii="Times New Roman"/>
                <w:sz w:val="20"/>
              </w:rPr>
              <w:t>16,549,930.78</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161"/>
              <w:ind w:left="62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61"/>
              <w:ind w:left="444" w:right="0"/>
              <w:jc w:val="left"/>
              <w:rPr>
                <w:rFonts w:ascii="Times New Roman" w:hAnsi="Times New Roman" w:cs="Times New Roman" w:eastAsia="Times New Roman" w:hint="default"/>
                <w:sz w:val="18"/>
                <w:szCs w:val="18"/>
              </w:rPr>
            </w:pPr>
            <w:r>
              <w:rPr>
                <w:rFonts w:ascii="Times New Roman"/>
                <w:sz w:val="18"/>
              </w:rPr>
              <w:t>17.49%</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8" w:hRule="exact"/>
        </w:trPr>
        <w:tc>
          <w:tcPr>
            <w:tcW w:w="2431"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方正延中传媒有限公司</w:t>
            </w:r>
          </w:p>
        </w:tc>
        <w:tc>
          <w:tcPr>
            <w:tcW w:w="1749" w:type="dxa"/>
            <w:tcBorders>
              <w:top w:val="nil" w:sz="6" w:space="0" w:color="auto"/>
              <w:left w:val="nil" w:sz="6" w:space="0" w:color="auto"/>
              <w:bottom w:val="single" w:sz="12" w:space="0" w:color="000000"/>
              <w:right w:val="nil" w:sz="6" w:space="0" w:color="auto"/>
            </w:tcBorders>
          </w:tcPr>
          <w:p>
            <w:pPr>
              <w:pStyle w:val="TableParagraph"/>
              <w:spacing w:line="240" w:lineRule="auto" w:before="150"/>
              <w:ind w:left="14" w:right="0"/>
              <w:jc w:val="center"/>
              <w:rPr>
                <w:rFonts w:ascii="Times New Roman" w:hAnsi="Times New Roman" w:cs="Times New Roman" w:eastAsia="Times New Roman" w:hint="default"/>
                <w:sz w:val="18"/>
                <w:szCs w:val="18"/>
              </w:rPr>
            </w:pPr>
            <w:r>
              <w:rPr>
                <w:rFonts w:ascii="Times New Roman"/>
                <w:sz w:val="18"/>
              </w:rPr>
              <w:t>422,122.00</w:t>
            </w:r>
          </w:p>
        </w:tc>
        <w:tc>
          <w:tcPr>
            <w:tcW w:w="1457" w:type="dxa"/>
            <w:tcBorders>
              <w:top w:val="nil" w:sz="6" w:space="0" w:color="auto"/>
              <w:left w:val="nil" w:sz="6" w:space="0" w:color="auto"/>
              <w:bottom w:val="single" w:sz="12" w:space="0" w:color="000000"/>
              <w:right w:val="nil" w:sz="6" w:space="0" w:color="auto"/>
            </w:tcBorders>
          </w:tcPr>
          <w:p>
            <w:pPr>
              <w:pStyle w:val="TableParagraph"/>
              <w:spacing w:line="240" w:lineRule="auto" w:before="150"/>
              <w:ind w:left="62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93" w:type="dxa"/>
            <w:tcBorders>
              <w:top w:val="nil" w:sz="6" w:space="0" w:color="auto"/>
              <w:left w:val="nil" w:sz="6" w:space="0" w:color="auto"/>
              <w:bottom w:val="single" w:sz="12" w:space="0" w:color="000000"/>
              <w:right w:val="nil" w:sz="6" w:space="0" w:color="auto"/>
            </w:tcBorders>
          </w:tcPr>
          <w:p>
            <w:pPr>
              <w:pStyle w:val="TableParagraph"/>
              <w:spacing w:line="240" w:lineRule="auto" w:before="150"/>
              <w:ind w:left="489" w:right="0"/>
              <w:jc w:val="left"/>
              <w:rPr>
                <w:rFonts w:ascii="Times New Roman" w:hAnsi="Times New Roman" w:cs="Times New Roman" w:eastAsia="Times New Roman" w:hint="default"/>
                <w:sz w:val="18"/>
                <w:szCs w:val="18"/>
              </w:rPr>
            </w:pPr>
            <w:r>
              <w:rPr>
                <w:rFonts w:ascii="Times New Roman"/>
                <w:sz w:val="18"/>
              </w:rPr>
              <w:t>0.45%</w:t>
            </w:r>
          </w:p>
        </w:tc>
        <w:tc>
          <w:tcPr>
            <w:tcW w:w="1530" w:type="dxa"/>
            <w:tcBorders>
              <w:top w:val="nil" w:sz="6" w:space="0" w:color="auto"/>
              <w:left w:val="nil" w:sz="6" w:space="0" w:color="auto"/>
              <w:bottom w:val="single" w:sz="12" w:space="0" w:color="000000"/>
              <w:right w:val="nil" w:sz="6" w:space="0" w:color="auto"/>
            </w:tcBorders>
          </w:tcPr>
          <w:p>
            <w:pPr>
              <w:pStyle w:val="TableParagraph"/>
              <w:spacing w:line="240" w:lineRule="auto" w:before="150"/>
              <w:ind w:right="2"/>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center"/>
        <w:rPr>
          <w:rFonts w:ascii="Times New Roman" w:hAnsi="Times New Roman" w:cs="Times New Roman" w:eastAsia="Times New Roman" w:hint="default"/>
          <w:sz w:val="18"/>
          <w:szCs w:val="18"/>
        </w:rPr>
        <w:sectPr>
          <w:pgSz w:w="11910" w:h="16840"/>
          <w:pgMar w:header="0" w:footer="710" w:top="580" w:bottom="900" w:left="1280" w:right="118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19336"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6"/>
        <w:rPr>
          <w:rFonts w:ascii="Times New Roman" w:hAnsi="Times New Roman" w:cs="Times New Roman" w:eastAsia="Times New Roman" w:hint="default"/>
          <w:sz w:val="11"/>
          <w:szCs w:val="11"/>
        </w:rPr>
      </w:pPr>
    </w:p>
    <w:p>
      <w:pPr>
        <w:spacing w:before="35"/>
        <w:ind w:left="558" w:right="0" w:firstLine="0"/>
        <w:jc w:val="left"/>
        <w:rPr>
          <w:rFonts w:ascii="黑体" w:hAnsi="黑体" w:cs="黑体" w:eastAsia="黑体" w:hint="default"/>
          <w:sz w:val="21"/>
          <w:szCs w:val="21"/>
        </w:rPr>
      </w:pPr>
      <w:r>
        <w:rPr>
          <w:rFonts w:ascii="黑体" w:hAnsi="黑体" w:cs="黑体" w:eastAsia="黑体" w:hint="default"/>
          <w:sz w:val="21"/>
          <w:szCs w:val="21"/>
        </w:rPr>
        <w:t>十、承诺事项</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before="161"/>
        <w:ind w:left="558" w:right="0" w:firstLine="0"/>
        <w:jc w:val="left"/>
        <w:rPr>
          <w:rFonts w:ascii="宋体" w:hAnsi="宋体" w:cs="宋体" w:eastAsia="宋体" w:hint="default"/>
          <w:sz w:val="21"/>
          <w:szCs w:val="21"/>
        </w:rPr>
      </w:pPr>
      <w:r>
        <w:rPr>
          <w:rFonts w:ascii="宋体" w:hAnsi="宋体" w:cs="宋体" w:eastAsia="宋体" w:hint="default"/>
          <w:sz w:val="21"/>
          <w:szCs w:val="21"/>
        </w:rPr>
        <w:t>本期公司无需披露的承诺事项。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1"/>
        <w:ind w:left="558" w:right="0" w:firstLine="0"/>
        <w:jc w:val="left"/>
        <w:rPr>
          <w:rFonts w:ascii="黑体" w:hAnsi="黑体" w:cs="黑体" w:eastAsia="黑体" w:hint="default"/>
          <w:sz w:val="21"/>
          <w:szCs w:val="21"/>
        </w:rPr>
      </w:pPr>
      <w:r>
        <w:rPr>
          <w:rFonts w:ascii="黑体" w:hAnsi="黑体" w:cs="黑体" w:eastAsia="黑体" w:hint="default"/>
          <w:sz w:val="21"/>
          <w:szCs w:val="21"/>
        </w:rPr>
        <w:t>十一、或有事项</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396" w:lineRule="auto" w:before="161"/>
        <w:ind w:left="138" w:right="153"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2003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pacing w:val="-4"/>
          <w:sz w:val="21"/>
          <w:szCs w:val="21"/>
        </w:rPr>
        <w:t>11 </w:t>
      </w:r>
      <w:r>
        <w:rPr>
          <w:rFonts w:ascii="宋体" w:hAnsi="宋体" w:cs="宋体" w:eastAsia="宋体" w:hint="default"/>
          <w:sz w:val="21"/>
          <w:szCs w:val="21"/>
        </w:rPr>
        <w:t>月深大通与中国银行遵化支行签订担保合同，为遵化新利能源开发有限公司在中 </w:t>
      </w:r>
      <w:r>
        <w:rPr>
          <w:rFonts w:ascii="宋体" w:hAnsi="宋体" w:cs="宋体" w:eastAsia="宋体" w:hint="default"/>
          <w:spacing w:val="7"/>
          <w:sz w:val="21"/>
          <w:szCs w:val="21"/>
        </w:rPr>
        <w:t>国银行遵化支行的 </w:t>
      </w:r>
      <w:r>
        <w:rPr>
          <w:rFonts w:ascii="Times New Roman" w:hAnsi="Times New Roman" w:cs="Times New Roman" w:eastAsia="Times New Roman" w:hint="default"/>
          <w:sz w:val="21"/>
          <w:szCs w:val="21"/>
        </w:rPr>
        <w:t>15000 </w:t>
      </w:r>
      <w:r>
        <w:rPr>
          <w:rFonts w:ascii="Times New Roman" w:hAnsi="Times New Roman" w:cs="Times New Roman" w:eastAsia="Times New Roman" w:hint="default"/>
          <w:spacing w:val="29"/>
          <w:sz w:val="21"/>
          <w:szCs w:val="21"/>
        </w:rPr>
        <w:t> </w:t>
      </w:r>
      <w:r>
        <w:rPr>
          <w:rFonts w:ascii="宋体" w:hAnsi="宋体" w:cs="宋体" w:eastAsia="宋体" w:hint="default"/>
          <w:spacing w:val="8"/>
          <w:sz w:val="21"/>
          <w:szCs w:val="21"/>
        </w:rPr>
        <w:t>万元贷款授信提供担保。遵化新利能源开发有限公司已经向银行贷款</w:t>
      </w:r>
    </w:p>
    <w:p>
      <w:pPr>
        <w:spacing w:before="38"/>
        <w:ind w:left="13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14,824.4 </w:t>
      </w:r>
      <w:r>
        <w:rPr>
          <w:rFonts w:ascii="宋体" w:hAnsi="宋体" w:cs="宋体" w:eastAsia="宋体" w:hint="default"/>
          <w:spacing w:val="-8"/>
          <w:sz w:val="21"/>
          <w:szCs w:val="21"/>
        </w:rPr>
        <w:t>万元，贷款期限</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2003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26 </w:t>
      </w:r>
      <w:r>
        <w:rPr>
          <w:rFonts w:ascii="宋体" w:hAnsi="宋体" w:cs="宋体" w:eastAsia="宋体" w:hint="default"/>
          <w:sz w:val="21"/>
          <w:szCs w:val="21"/>
        </w:rPr>
        <w:t>日至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1"/>
          <w:sz w:val="21"/>
          <w:szCs w:val="21"/>
        </w:rPr>
        <w:t> </w:t>
      </w:r>
      <w:r>
        <w:rPr>
          <w:rFonts w:ascii="宋体" w:hAnsi="宋体" w:cs="宋体" w:eastAsia="宋体" w:hint="default"/>
          <w:spacing w:val="-4"/>
          <w:sz w:val="21"/>
          <w:szCs w:val="21"/>
        </w:rPr>
        <w:t>日，担保期限为最后一期还款履行届</w:t>
      </w:r>
    </w:p>
    <w:p>
      <w:pPr>
        <w:spacing w:line="274" w:lineRule="exact" w:before="189"/>
        <w:ind w:left="138" w:right="0" w:firstLine="0"/>
        <w:jc w:val="left"/>
        <w:rPr>
          <w:rFonts w:ascii="宋体" w:hAnsi="宋体" w:cs="宋体" w:eastAsia="宋体" w:hint="default"/>
          <w:sz w:val="21"/>
          <w:szCs w:val="21"/>
        </w:rPr>
      </w:pPr>
      <w:r>
        <w:rPr>
          <w:rFonts w:ascii="宋体" w:hAnsi="宋体" w:cs="宋体" w:eastAsia="宋体" w:hint="default"/>
          <w:sz w:val="21"/>
          <w:szCs w:val="21"/>
        </w:rPr>
        <w:t>满之日起经过两年。</w:t>
      </w:r>
    </w:p>
    <w:p>
      <w:pPr>
        <w:spacing w:line="336" w:lineRule="auto" w:before="0"/>
        <w:ind w:left="138" w:right="154"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日，中国银行股份有限公司遵化支行给本公司下达解除担保通知书，解除本公 司上述贷款担保责任。</w:t>
      </w:r>
    </w:p>
    <w:p>
      <w:pPr>
        <w:spacing w:line="240" w:lineRule="auto" w:before="9"/>
        <w:rPr>
          <w:rFonts w:ascii="宋体" w:hAnsi="宋体" w:cs="宋体" w:eastAsia="宋体" w:hint="default"/>
          <w:sz w:val="19"/>
          <w:szCs w:val="19"/>
        </w:rPr>
      </w:pPr>
    </w:p>
    <w:p>
      <w:pPr>
        <w:spacing w:line="396" w:lineRule="auto" w:before="0"/>
        <w:ind w:left="138" w:right="152" w:firstLine="419"/>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、深大通为深圳益生堂在上海浦东发展银行深圳红荔路支行</w:t>
      </w:r>
      <w:r>
        <w:rPr>
          <w:rFonts w:ascii="Times New Roman" w:hAnsi="Times New Roman" w:cs="Times New Roman" w:eastAsia="Times New Roman" w:hint="default"/>
          <w:sz w:val="21"/>
          <w:szCs w:val="21"/>
        </w:rPr>
        <w:t>(</w:t>
      </w:r>
      <w:r>
        <w:rPr>
          <w:rFonts w:ascii="宋体" w:hAnsi="宋体" w:cs="宋体" w:eastAsia="宋体" w:hint="default"/>
          <w:sz w:val="21"/>
          <w:szCs w:val="21"/>
        </w:rPr>
        <w:t>现更名为上海浦东发展银行股份 有限公司深圳凤凰大厦支行</w:t>
      </w:r>
      <w:r>
        <w:rPr>
          <w:rFonts w:ascii="Times New Roman" w:hAnsi="Times New Roman" w:cs="Times New Roman" w:eastAsia="Times New Roman" w:hint="default"/>
          <w:sz w:val="21"/>
          <w:szCs w:val="21"/>
        </w:rPr>
        <w:t>)</w:t>
      </w:r>
      <w:r>
        <w:rPr>
          <w:rFonts w:ascii="宋体" w:hAnsi="宋体" w:cs="宋体" w:eastAsia="宋体" w:hint="default"/>
          <w:sz w:val="21"/>
          <w:szCs w:val="21"/>
        </w:rPr>
        <w:t>贷款 </w:t>
      </w:r>
      <w:r>
        <w:rPr>
          <w:rFonts w:ascii="Times New Roman" w:hAnsi="Times New Roman" w:cs="Times New Roman" w:eastAsia="Times New Roman" w:hint="default"/>
          <w:sz w:val="21"/>
          <w:szCs w:val="21"/>
        </w:rPr>
        <w:t>2500</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万元提供担保，上海浦东发展银行深圳红荔路支行在深圳市</w:t>
      </w:r>
    </w:p>
    <w:p>
      <w:pPr>
        <w:spacing w:line="396" w:lineRule="auto" w:before="38"/>
        <w:ind w:left="138" w:right="144" w:firstLine="0"/>
        <w:jc w:val="left"/>
        <w:rPr>
          <w:rFonts w:ascii="宋体" w:hAnsi="宋体" w:cs="宋体" w:eastAsia="宋体" w:hint="default"/>
          <w:sz w:val="21"/>
          <w:szCs w:val="21"/>
        </w:rPr>
      </w:pPr>
      <w:r>
        <w:rPr>
          <w:rFonts w:ascii="宋体" w:hAnsi="宋体" w:cs="宋体" w:eastAsia="宋体" w:hint="default"/>
          <w:sz w:val="21"/>
          <w:szCs w:val="21"/>
        </w:rPr>
        <w:t>中级人民法院诉益生堂、深大通借款担保合同纠纷案涉及本金</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2500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万元及利息</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324.6</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万元，已经法 院立案并正在审理中。</w:t>
      </w:r>
    </w:p>
    <w:p>
      <w:pPr>
        <w:spacing w:line="420" w:lineRule="auto" w:before="68"/>
        <w:ind w:left="138" w:right="152" w:firstLine="420"/>
        <w:jc w:val="both"/>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11</w:t>
      </w:r>
      <w:r>
        <w:rPr>
          <w:rFonts w:ascii="宋体" w:hAnsi="宋体" w:cs="宋体" w:eastAsia="宋体" w:hint="default"/>
          <w:spacing w:val="-57"/>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27</w:t>
      </w:r>
      <w:r>
        <w:rPr>
          <w:rFonts w:ascii="宋体" w:hAnsi="宋体" w:cs="宋体" w:eastAsia="宋体" w:hint="default"/>
          <w:spacing w:val="-56"/>
          <w:sz w:val="21"/>
          <w:szCs w:val="21"/>
        </w:rPr>
        <w:t> </w:t>
      </w:r>
      <w:r>
        <w:rPr>
          <w:rFonts w:ascii="宋体" w:hAnsi="宋体" w:cs="宋体" w:eastAsia="宋体" w:hint="default"/>
          <w:sz w:val="21"/>
          <w:szCs w:val="21"/>
        </w:rPr>
        <w:t>日，青岛亚星实业有限公司、深圳大通实业股份有限公司、上海浦东发展银行</w:t>
      </w:r>
      <w:r>
        <w:rPr>
          <w:rFonts w:ascii="宋体" w:hAnsi="宋体" w:cs="宋体" w:eastAsia="宋体" w:hint="default"/>
          <w:sz w:val="21"/>
          <w:szCs w:val="21"/>
        </w:rPr>
        <w:t> 股份有限公司深圳凤凰大厦支行、上海文慧投资有限公司、上海港银投资管理有限公司及其他相关</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各方包括河南方正信息技术有限公司、深圳市益生堂药业有限公司和创益生物科技有限公司签署了</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3"/>
          <w:sz w:val="21"/>
          <w:szCs w:val="21"/>
        </w:rPr>
        <w:t>浦银深保字（2008）第</w:t>
      </w:r>
      <w:r>
        <w:rPr>
          <w:rFonts w:ascii="宋体" w:hAnsi="宋体" w:cs="宋体" w:eastAsia="宋体" w:hint="default"/>
          <w:spacing w:val="-43"/>
          <w:sz w:val="21"/>
          <w:szCs w:val="21"/>
        </w:rPr>
        <w:t> </w:t>
      </w:r>
      <w:r>
        <w:rPr>
          <w:rFonts w:ascii="宋体" w:hAnsi="宋体" w:cs="宋体" w:eastAsia="宋体" w:hint="default"/>
          <w:spacing w:val="-1"/>
          <w:sz w:val="21"/>
          <w:szCs w:val="21"/>
        </w:rPr>
        <w:t>001</w:t>
      </w:r>
      <w:r>
        <w:rPr>
          <w:rFonts w:ascii="宋体" w:hAnsi="宋体" w:cs="宋体" w:eastAsia="宋体" w:hint="default"/>
          <w:spacing w:val="-42"/>
          <w:sz w:val="21"/>
          <w:szCs w:val="21"/>
        </w:rPr>
        <w:t> </w:t>
      </w:r>
      <w:r>
        <w:rPr>
          <w:rFonts w:ascii="宋体" w:hAnsi="宋体" w:cs="宋体" w:eastAsia="宋体" w:hint="default"/>
          <w:spacing w:val="-5"/>
          <w:sz w:val="21"/>
          <w:szCs w:val="21"/>
        </w:rPr>
        <w:t>号《协议书》，在满足约定条件下，上海浦东发展银行股份有限公司深圳</w:t>
      </w:r>
    </w:p>
    <w:p>
      <w:pPr>
        <w:spacing w:before="47"/>
        <w:ind w:left="138" w:right="0" w:firstLine="0"/>
        <w:jc w:val="left"/>
        <w:rPr>
          <w:rFonts w:ascii="宋体" w:hAnsi="宋体" w:cs="宋体" w:eastAsia="宋体" w:hint="default"/>
          <w:sz w:val="21"/>
          <w:szCs w:val="21"/>
        </w:rPr>
      </w:pPr>
      <w:r>
        <w:rPr>
          <w:rFonts w:ascii="宋体" w:hAnsi="宋体" w:cs="宋体" w:eastAsia="宋体" w:hint="default"/>
          <w:sz w:val="21"/>
          <w:szCs w:val="21"/>
        </w:rPr>
        <w:t>凤凰大厦支行同意免除深圳大通实业股份有限公司</w:t>
      </w:r>
      <w:r>
        <w:rPr>
          <w:rFonts w:ascii="宋体" w:hAnsi="宋体" w:cs="宋体" w:eastAsia="宋体" w:hint="default"/>
          <w:spacing w:val="-74"/>
          <w:sz w:val="21"/>
          <w:szCs w:val="21"/>
        </w:rPr>
        <w:t> </w:t>
      </w:r>
      <w:r>
        <w:rPr>
          <w:rFonts w:ascii="宋体" w:hAnsi="宋体" w:cs="宋体" w:eastAsia="宋体" w:hint="default"/>
          <w:sz w:val="21"/>
          <w:szCs w:val="21"/>
        </w:rPr>
        <w:t>2500</w:t>
      </w:r>
      <w:r>
        <w:rPr>
          <w:rFonts w:ascii="宋体" w:hAnsi="宋体" w:cs="宋体" w:eastAsia="宋体" w:hint="default"/>
          <w:spacing w:val="-73"/>
          <w:sz w:val="21"/>
          <w:szCs w:val="21"/>
        </w:rPr>
        <w:t> </w:t>
      </w:r>
      <w:r>
        <w:rPr>
          <w:rFonts w:ascii="宋体" w:hAnsi="宋体" w:cs="宋体" w:eastAsia="宋体" w:hint="default"/>
          <w:sz w:val="21"/>
          <w:szCs w:val="21"/>
        </w:rPr>
        <w:t>万元的担保责任，并撤回相关诉讼。</w:t>
      </w:r>
    </w:p>
    <w:p>
      <w:pPr>
        <w:spacing w:line="240" w:lineRule="auto" w:before="9"/>
        <w:rPr>
          <w:rFonts w:ascii="宋体" w:hAnsi="宋体" w:cs="宋体" w:eastAsia="宋体" w:hint="default"/>
          <w:sz w:val="15"/>
          <w:szCs w:val="15"/>
        </w:rPr>
      </w:pPr>
    </w:p>
    <w:p>
      <w:pPr>
        <w:spacing w:line="396" w:lineRule="auto" w:before="0"/>
        <w:ind w:left="138" w:right="153"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、中联实业股份有限公司诉深大通、深圳益生堂生物企业有限公司</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12"/>
          <w:sz w:val="21"/>
          <w:szCs w:val="21"/>
        </w:rPr>
        <w:t> </w:t>
      </w:r>
      <w:r>
        <w:rPr>
          <w:rFonts w:ascii="宋体" w:hAnsi="宋体" w:cs="宋体" w:eastAsia="宋体" w:hint="default"/>
          <w:spacing w:val="-5"/>
          <w:sz w:val="21"/>
          <w:szCs w:val="21"/>
        </w:rPr>
        <w:t>以下简称“益生堂”</w:t>
      </w:r>
      <w:r>
        <w:rPr>
          <w:rFonts w:ascii="Times New Roman" w:hAnsi="Times New Roman" w:cs="Times New Roman" w:eastAsia="Times New Roman" w:hint="default"/>
          <w:spacing w:val="-5"/>
          <w:sz w:val="21"/>
          <w:szCs w:val="21"/>
        </w:rPr>
        <w:t>)</w:t>
      </w:r>
      <w:r>
        <w:rPr>
          <w:rFonts w:ascii="宋体" w:hAnsi="宋体" w:cs="宋体" w:eastAsia="宋体" w:hint="default"/>
          <w:spacing w:val="-5"/>
          <w:sz w:val="21"/>
          <w:szCs w:val="21"/>
        </w:rPr>
        <w:t>反担</w:t>
      </w:r>
      <w:r>
        <w:rPr>
          <w:rFonts w:ascii="宋体" w:hAnsi="宋体" w:cs="宋体" w:eastAsia="宋体" w:hint="default"/>
          <w:sz w:val="21"/>
          <w:szCs w:val="21"/>
        </w:rPr>
        <w:t> 保合同纠纷上诉案（民生银行深圳分行（</w:t>
      </w:r>
      <w:r>
        <w:rPr>
          <w:rFonts w:ascii="Times New Roman" w:hAnsi="Times New Roman" w:cs="Times New Roman" w:eastAsia="Times New Roman" w:hint="default"/>
          <w:sz w:val="21"/>
          <w:szCs w:val="21"/>
        </w:rPr>
        <w:t>2004</w:t>
      </w:r>
      <w:r>
        <w:rPr>
          <w:rFonts w:ascii="宋体" w:hAnsi="宋体" w:cs="宋体" w:eastAsia="宋体" w:hint="default"/>
          <w:sz w:val="21"/>
          <w:szCs w:val="21"/>
        </w:rPr>
        <w:t>）年深振业贷字（</w:t>
      </w:r>
      <w:r>
        <w:rPr>
          <w:rFonts w:ascii="Times New Roman" w:hAnsi="Times New Roman" w:cs="Times New Roman" w:eastAsia="Times New Roman" w:hint="default"/>
          <w:sz w:val="21"/>
          <w:szCs w:val="21"/>
        </w:rPr>
        <w:t>027</w:t>
      </w:r>
      <w:r>
        <w:rPr>
          <w:rFonts w:ascii="Times New Roman" w:hAnsi="Times New Roman" w:cs="Times New Roman" w:eastAsia="Times New Roman" w:hint="default"/>
          <w:spacing w:val="19"/>
          <w:sz w:val="21"/>
          <w:szCs w:val="21"/>
        </w:rPr>
        <w:t> </w:t>
      </w:r>
      <w:r>
        <w:rPr>
          <w:rFonts w:ascii="宋体" w:hAnsi="宋体" w:cs="宋体" w:eastAsia="宋体" w:hint="default"/>
          <w:spacing w:val="-7"/>
          <w:sz w:val="21"/>
          <w:szCs w:val="21"/>
        </w:rPr>
        <w:t>号—</w:t>
      </w:r>
      <w:r>
        <w:rPr>
          <w:rFonts w:ascii="Times New Roman" w:hAnsi="Times New Roman" w:cs="Times New Roman" w:eastAsia="Times New Roman" w:hint="default"/>
          <w:spacing w:val="-7"/>
          <w:sz w:val="21"/>
          <w:szCs w:val="21"/>
        </w:rPr>
        <w:t>1</w:t>
      </w:r>
      <w:r>
        <w:rPr>
          <w:rFonts w:ascii="宋体" w:hAnsi="宋体" w:cs="宋体" w:eastAsia="宋体" w:hint="default"/>
          <w:spacing w:val="-7"/>
          <w:sz w:val="21"/>
          <w:szCs w:val="21"/>
        </w:rPr>
        <w:t>）《保证合同》和光大银</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行深南支行</w:t>
      </w:r>
      <w:r>
        <w:rPr>
          <w:rFonts w:ascii="宋体" w:hAnsi="宋体" w:cs="宋体" w:eastAsia="宋体" w:hint="default"/>
          <w:spacing w:val="-49"/>
          <w:sz w:val="21"/>
          <w:szCs w:val="21"/>
        </w:rPr>
        <w:t> </w:t>
      </w:r>
      <w:r>
        <w:rPr>
          <w:rFonts w:ascii="Times New Roman" w:hAnsi="Times New Roman" w:cs="Times New Roman" w:eastAsia="Times New Roman" w:hint="default"/>
          <w:spacing w:val="-1"/>
          <w:sz w:val="21"/>
          <w:szCs w:val="21"/>
        </w:rPr>
        <w:t>03022</w:t>
      </w:r>
      <w:r>
        <w:rPr>
          <w:rFonts w:ascii="Times New Roman" w:hAnsi="Times New Roman" w:cs="Times New Roman" w:eastAsia="Times New Roman" w:hint="default"/>
          <w:spacing w:val="4"/>
          <w:sz w:val="21"/>
          <w:szCs w:val="21"/>
        </w:rPr>
        <w:t> </w:t>
      </w:r>
      <w:r>
        <w:rPr>
          <w:rFonts w:ascii="宋体" w:hAnsi="宋体" w:cs="宋体" w:eastAsia="宋体" w:hint="default"/>
          <w:spacing w:val="-14"/>
          <w:sz w:val="21"/>
          <w:szCs w:val="21"/>
        </w:rPr>
        <w:t>号《最高额保证合同》），涉及担保金额为</w:t>
      </w:r>
      <w:r>
        <w:rPr>
          <w:rFonts w:ascii="宋体" w:hAnsi="宋体" w:cs="宋体" w:eastAsia="宋体" w:hint="default"/>
          <w:spacing w:val="-49"/>
          <w:sz w:val="21"/>
          <w:szCs w:val="21"/>
        </w:rPr>
        <w:t> </w:t>
      </w:r>
      <w:r>
        <w:rPr>
          <w:rFonts w:ascii="Times New Roman" w:hAnsi="Times New Roman" w:cs="Times New Roman" w:eastAsia="Times New Roman" w:hint="default"/>
          <w:spacing w:val="-1"/>
          <w:sz w:val="21"/>
          <w:szCs w:val="21"/>
        </w:rPr>
        <w:t>3,025,010</w:t>
      </w:r>
      <w:r>
        <w:rPr>
          <w:rFonts w:ascii="Times New Roman" w:hAnsi="Times New Roman" w:cs="Times New Roman" w:eastAsia="Times New Roman" w:hint="default"/>
          <w:spacing w:val="4"/>
          <w:sz w:val="21"/>
          <w:szCs w:val="21"/>
        </w:rPr>
        <w:t> </w:t>
      </w:r>
      <w:r>
        <w:rPr>
          <w:rFonts w:ascii="宋体" w:hAnsi="宋体" w:cs="宋体" w:eastAsia="宋体" w:hint="default"/>
          <w:spacing w:val="-2"/>
          <w:sz w:val="21"/>
          <w:szCs w:val="21"/>
        </w:rPr>
        <w:t>元，已经深圳市中级人民法院</w:t>
      </w:r>
    </w:p>
    <w:p>
      <w:pPr>
        <w:spacing w:line="412" w:lineRule="auto" w:before="38"/>
        <w:ind w:left="558" w:right="0" w:hanging="420"/>
        <w:jc w:val="left"/>
        <w:rPr>
          <w:rFonts w:ascii="宋体" w:hAnsi="宋体" w:cs="宋体" w:eastAsia="宋体" w:hint="default"/>
          <w:sz w:val="21"/>
          <w:szCs w:val="21"/>
        </w:rPr>
      </w:pPr>
      <w:r>
        <w:rPr>
          <w:rFonts w:ascii="宋体" w:hAnsi="宋体" w:cs="宋体" w:eastAsia="宋体" w:hint="default"/>
          <w:spacing w:val="-5"/>
          <w:sz w:val="21"/>
          <w:szCs w:val="21"/>
        </w:rPr>
        <w:t>立案受理（案号为：（</w:t>
      </w:r>
      <w:r>
        <w:rPr>
          <w:rFonts w:ascii="Times New Roman" w:hAnsi="Times New Roman" w:cs="Times New Roman" w:eastAsia="Times New Roman" w:hint="default"/>
          <w:spacing w:val="-5"/>
          <w:sz w:val="21"/>
          <w:szCs w:val="21"/>
        </w:rPr>
        <w:t>2007</w:t>
      </w:r>
      <w:r>
        <w:rPr>
          <w:rFonts w:ascii="宋体" w:hAnsi="宋体" w:cs="宋体" w:eastAsia="宋体" w:hint="default"/>
          <w:spacing w:val="-5"/>
          <w:sz w:val="21"/>
          <w:szCs w:val="21"/>
        </w:rPr>
        <w:t>）深中法民二终字第</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820</w:t>
      </w:r>
      <w:r>
        <w:rPr>
          <w:rFonts w:ascii="Times New Roman" w:hAnsi="Times New Roman" w:cs="Times New Roman" w:eastAsia="Times New Roman" w:hint="default"/>
          <w:sz w:val="21"/>
          <w:szCs w:val="21"/>
        </w:rPr>
        <w:t> </w:t>
      </w:r>
      <w:r>
        <w:rPr>
          <w:rFonts w:ascii="宋体" w:hAnsi="宋体" w:cs="宋体" w:eastAsia="宋体" w:hint="default"/>
          <w:spacing w:val="-36"/>
          <w:sz w:val="21"/>
          <w:szCs w:val="21"/>
        </w:rPr>
        <w:t>号）。</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中联实业股份有限公司诉深大通、益生堂反担保合同纠纷案（民生银行深圳分行（</w:t>
      </w:r>
      <w:r>
        <w:rPr>
          <w:rFonts w:ascii="Times New Roman" w:hAnsi="Times New Roman" w:cs="Times New Roman" w:eastAsia="Times New Roman" w:hint="default"/>
          <w:sz w:val="21"/>
          <w:szCs w:val="21"/>
        </w:rPr>
        <w:t>2004</w:t>
      </w:r>
      <w:r>
        <w:rPr>
          <w:rFonts w:ascii="宋体" w:hAnsi="宋体" w:cs="宋体" w:eastAsia="宋体" w:hint="default"/>
          <w:sz w:val="21"/>
          <w:szCs w:val="21"/>
        </w:rPr>
        <w:t>）年深</w:t>
      </w:r>
    </w:p>
    <w:p>
      <w:pPr>
        <w:spacing w:line="412" w:lineRule="auto" w:before="41"/>
        <w:ind w:left="138" w:right="147" w:hanging="1"/>
        <w:jc w:val="left"/>
        <w:rPr>
          <w:rFonts w:ascii="Times New Roman" w:hAnsi="Times New Roman" w:cs="Times New Roman" w:eastAsia="Times New Roman" w:hint="default"/>
          <w:sz w:val="21"/>
          <w:szCs w:val="21"/>
        </w:rPr>
      </w:pPr>
      <w:r>
        <w:rPr>
          <w:rFonts w:ascii="宋体" w:hAnsi="宋体" w:cs="宋体" w:eastAsia="宋体" w:hint="default"/>
          <w:sz w:val="21"/>
          <w:szCs w:val="21"/>
        </w:rPr>
        <w:t>振业贷字（</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27 </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号—</w:t>
      </w:r>
      <w:r>
        <w:rPr>
          <w:rFonts w:ascii="Times New Roman" w:hAnsi="Times New Roman" w:cs="Times New Roman" w:eastAsia="Times New Roman" w:hint="default"/>
          <w:spacing w:val="-1"/>
          <w:sz w:val="21"/>
          <w:szCs w:val="21"/>
        </w:rPr>
        <w:t>1</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保证合同》和光大银行深南支行</w:t>
      </w:r>
      <w:r>
        <w:rPr>
          <w:rFonts w:ascii="宋体" w:hAnsi="宋体" w:cs="宋体" w:eastAsia="宋体" w:hint="default"/>
          <w:spacing w:val="-23"/>
          <w:sz w:val="21"/>
          <w:szCs w:val="21"/>
        </w:rPr>
        <w:t> </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3</w:t>
      </w:r>
      <w:r>
        <w:rPr>
          <w:rFonts w:ascii="Times New Roman" w:hAnsi="Times New Roman" w:cs="Times New Roman" w:eastAsia="Times New Roman" w:hint="default"/>
          <w:sz w:val="21"/>
          <w:szCs w:val="21"/>
        </w:rPr>
        <w:t>022 </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号《</w:t>
      </w:r>
      <w:r>
        <w:rPr>
          <w:rFonts w:ascii="宋体" w:hAnsi="宋体" w:cs="宋体" w:eastAsia="宋体" w:hint="default"/>
          <w:spacing w:val="-2"/>
          <w:sz w:val="21"/>
          <w:szCs w:val="21"/>
        </w:rPr>
        <w:t>最</w:t>
      </w:r>
      <w:r>
        <w:rPr>
          <w:rFonts w:ascii="宋体" w:hAnsi="宋体" w:cs="宋体" w:eastAsia="宋体" w:hint="default"/>
          <w:sz w:val="21"/>
          <w:szCs w:val="21"/>
        </w:rPr>
        <w:t>高额保证合同</w:t>
      </w:r>
      <w:r>
        <w:rPr>
          <w:rFonts w:ascii="宋体" w:hAnsi="宋体" w:cs="宋体" w:eastAsia="宋体" w:hint="default"/>
          <w:spacing w:val="-105"/>
          <w:sz w:val="21"/>
          <w:szCs w:val="21"/>
        </w:rPr>
        <w:t>》）</w:t>
      </w:r>
      <w:r>
        <w:rPr>
          <w:rFonts w:ascii="宋体" w:hAnsi="宋体" w:cs="宋体" w:eastAsia="宋体" w:hint="default"/>
          <w:sz w:val="21"/>
          <w:szCs w:val="21"/>
        </w:rPr>
        <w:t>，涉</w:t>
      </w:r>
      <w:r>
        <w:rPr>
          <w:rFonts w:ascii="宋体" w:hAnsi="宋体" w:cs="宋体" w:eastAsia="宋体" w:hint="default"/>
          <w:spacing w:val="-2"/>
          <w:sz w:val="21"/>
          <w:szCs w:val="21"/>
        </w:rPr>
        <w:t>及</w:t>
      </w:r>
      <w:r>
        <w:rPr>
          <w:rFonts w:ascii="宋体" w:hAnsi="宋体" w:cs="宋体" w:eastAsia="宋体" w:hint="default"/>
          <w:sz w:val="21"/>
          <w:szCs w:val="21"/>
        </w:rPr>
        <w:t>担保</w:t>
      </w:r>
      <w:r>
        <w:rPr>
          <w:rFonts w:ascii="宋体" w:hAnsi="宋体" w:cs="宋体" w:eastAsia="宋体" w:hint="default"/>
          <w:sz w:val="21"/>
          <w:szCs w:val="21"/>
        </w:rPr>
        <w:t> 金额为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 </w:t>
      </w:r>
      <w:r>
        <w:rPr>
          <w:rFonts w:ascii="宋体" w:hAnsi="宋体" w:cs="宋体" w:eastAsia="宋体" w:hint="default"/>
          <w:sz w:val="21"/>
          <w:szCs w:val="21"/>
        </w:rPr>
        <w:t>元</w:t>
      </w:r>
      <w:r>
        <w:rPr>
          <w:rFonts w:ascii="宋体" w:hAnsi="宋体" w:cs="宋体" w:eastAsia="宋体" w:hint="default"/>
          <w:spacing w:val="-56"/>
          <w:sz w:val="21"/>
          <w:szCs w:val="21"/>
        </w:rPr>
        <w:t>，</w:t>
      </w:r>
      <w:r>
        <w:rPr>
          <w:rFonts w:ascii="宋体" w:hAnsi="宋体" w:cs="宋体" w:eastAsia="宋体" w:hint="default"/>
          <w:sz w:val="21"/>
          <w:szCs w:val="21"/>
        </w:rPr>
        <w:t>已</w:t>
      </w:r>
      <w:r>
        <w:rPr>
          <w:rFonts w:ascii="宋体" w:hAnsi="宋体" w:cs="宋体" w:eastAsia="宋体" w:hint="default"/>
          <w:spacing w:val="-2"/>
          <w:sz w:val="21"/>
          <w:szCs w:val="21"/>
        </w:rPr>
        <w:t>经</w:t>
      </w:r>
      <w:r>
        <w:rPr>
          <w:rFonts w:ascii="宋体" w:hAnsi="宋体" w:cs="宋体" w:eastAsia="宋体" w:hint="default"/>
          <w:sz w:val="21"/>
          <w:szCs w:val="21"/>
        </w:rPr>
        <w:t>深圳市福田区人民法院立案受</w:t>
      </w:r>
      <w:r>
        <w:rPr>
          <w:rFonts w:ascii="宋体" w:hAnsi="宋体" w:cs="宋体" w:eastAsia="宋体" w:hint="default"/>
          <w:spacing w:val="-56"/>
          <w:sz w:val="21"/>
          <w:szCs w:val="21"/>
        </w:rPr>
        <w:t>理</w:t>
      </w:r>
      <w:r>
        <w:rPr>
          <w:rFonts w:ascii="宋体" w:hAnsi="宋体" w:cs="宋体" w:eastAsia="宋体" w:hint="default"/>
          <w:sz w:val="21"/>
          <w:szCs w:val="21"/>
        </w:rPr>
        <w:t>（案号为</w:t>
      </w:r>
      <w:r>
        <w:rPr>
          <w:rFonts w:ascii="宋体" w:hAnsi="宋体" w:cs="宋体" w:eastAsia="宋体" w:hint="default"/>
          <w:spacing w:val="-160"/>
          <w:sz w:val="21"/>
          <w:szCs w:val="21"/>
        </w:rPr>
        <w:t>：</w:t>
      </w:r>
      <w:r>
        <w:rPr>
          <w:rFonts w:ascii="宋体" w:hAnsi="宋体" w:cs="宋体" w:eastAsia="宋体" w:hint="default"/>
          <w:sz w:val="21"/>
          <w:szCs w:val="21"/>
        </w:rPr>
        <w:t>（</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07</w:t>
      </w:r>
      <w:r>
        <w:rPr>
          <w:rFonts w:ascii="宋体" w:hAnsi="宋体" w:cs="宋体" w:eastAsia="宋体" w:hint="default"/>
          <w:spacing w:val="-56"/>
          <w:sz w:val="21"/>
          <w:szCs w:val="21"/>
        </w:rPr>
        <w:t>）</w:t>
      </w:r>
      <w:r>
        <w:rPr>
          <w:rFonts w:ascii="宋体" w:hAnsi="宋体" w:cs="宋体" w:eastAsia="宋体" w:hint="default"/>
          <w:sz w:val="21"/>
          <w:szCs w:val="21"/>
        </w:rPr>
        <w:t>深福法民二初字第</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5</w:t>
      </w:r>
      <w:r>
        <w:rPr>
          <w:rFonts w:ascii="Times New Roman" w:hAnsi="Times New Roman" w:cs="Times New Roman" w:eastAsia="Times New Roman" w:hint="default"/>
          <w:sz w:val="21"/>
          <w:szCs w:val="21"/>
        </w:rPr>
        <w:t>04</w:t>
      </w:r>
    </w:p>
    <w:p>
      <w:pPr>
        <w:spacing w:after="0" w:line="412" w:lineRule="auto"/>
        <w:jc w:val="left"/>
        <w:rPr>
          <w:rFonts w:ascii="Times New Roman" w:hAnsi="Times New Roman" w:cs="Times New Roman" w:eastAsia="Times New Roman" w:hint="default"/>
          <w:sz w:val="21"/>
          <w:szCs w:val="21"/>
        </w:rPr>
        <w:sectPr>
          <w:pgSz w:w="11910" w:h="16840"/>
          <w:pgMar w:header="0" w:footer="710" w:top="580" w:bottom="900" w:left="1280" w:right="1260"/>
        </w:sectPr>
      </w:pPr>
    </w:p>
    <w:p>
      <w:pPr>
        <w:pStyle w:val="Heading2"/>
        <w:spacing w:line="310" w:lineRule="exact"/>
        <w:ind w:left="2898" w:right="2936"/>
        <w:jc w:val="center"/>
        <w:rPr>
          <w:b w:val="0"/>
          <w:bCs w:val="0"/>
        </w:rPr>
      </w:pPr>
      <w:r>
        <w:rPr/>
        <w:pict>
          <v:shape style="position:absolute;margin-left:88.919998pt;margin-top:3.990308pt;width:57.0pt;height:31.5pt;mso-position-horizontal-relative:page;mso-position-vertical-relative:paragraph;z-index:19384"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2091" w:right="2131"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13"/>
          <w:szCs w:val="13"/>
        </w:rPr>
      </w:pPr>
    </w:p>
    <w:p>
      <w:pPr>
        <w:spacing w:before="35"/>
        <w:ind w:left="138" w:right="126" w:firstLine="0"/>
        <w:jc w:val="left"/>
        <w:rPr>
          <w:rFonts w:ascii="宋体" w:hAnsi="宋体" w:cs="宋体" w:eastAsia="宋体" w:hint="default"/>
          <w:sz w:val="21"/>
          <w:szCs w:val="21"/>
        </w:rPr>
      </w:pPr>
      <w:r>
        <w:rPr>
          <w:rFonts w:ascii="宋体" w:hAnsi="宋体" w:cs="宋体" w:eastAsia="宋体" w:hint="default"/>
          <w:sz w:val="21"/>
          <w:szCs w:val="21"/>
        </w:rPr>
        <w:t>号</w:t>
      </w:r>
      <w:r>
        <w:rPr>
          <w:rFonts w:ascii="宋体" w:hAnsi="宋体" w:cs="宋体" w:eastAsia="宋体" w:hint="default"/>
          <w:spacing w:val="-105"/>
          <w:sz w:val="21"/>
          <w:szCs w:val="21"/>
        </w:rPr>
        <w:t>）</w:t>
      </w:r>
      <w:r>
        <w:rPr>
          <w:rFonts w:ascii="宋体" w:hAnsi="宋体" w:cs="宋体" w:eastAsia="宋体" w:hint="default"/>
          <w:sz w:val="21"/>
          <w:szCs w:val="21"/>
        </w:rPr>
        <w:t>，</w:t>
      </w:r>
    </w:p>
    <w:p>
      <w:pPr>
        <w:spacing w:line="240" w:lineRule="auto" w:before="2"/>
        <w:rPr>
          <w:rFonts w:ascii="宋体" w:hAnsi="宋体" w:cs="宋体" w:eastAsia="宋体" w:hint="default"/>
          <w:sz w:val="17"/>
          <w:szCs w:val="17"/>
        </w:rPr>
      </w:pPr>
    </w:p>
    <w:p>
      <w:pPr>
        <w:spacing w:before="0"/>
        <w:ind w:left="558" w:right="126" w:firstLine="0"/>
        <w:jc w:val="left"/>
        <w:rPr>
          <w:rFonts w:ascii="宋体" w:hAnsi="宋体" w:cs="宋体" w:eastAsia="宋体" w:hint="default"/>
          <w:sz w:val="21"/>
          <w:szCs w:val="21"/>
        </w:rPr>
      </w:pPr>
      <w:r>
        <w:rPr>
          <w:rFonts w:ascii="宋体" w:hAnsi="宋体" w:cs="宋体" w:eastAsia="宋体" w:hint="default"/>
          <w:sz w:val="21"/>
          <w:szCs w:val="21"/>
        </w:rPr>
        <w:t>尚未起诉的金额人民币 </w:t>
      </w:r>
      <w:r>
        <w:rPr>
          <w:rFonts w:ascii="Times New Roman" w:hAnsi="Times New Roman" w:cs="Times New Roman" w:eastAsia="Times New Roman" w:hint="default"/>
          <w:sz w:val="21"/>
          <w:szCs w:val="21"/>
        </w:rPr>
        <w:t>2,810,000.00</w:t>
      </w:r>
      <w:r>
        <w:rPr>
          <w:rFonts w:ascii="Times New Roman" w:hAnsi="Times New Roman" w:cs="Times New Roman" w:eastAsia="Times New Roman" w:hint="default"/>
          <w:spacing w:val="33"/>
          <w:sz w:val="21"/>
          <w:szCs w:val="21"/>
        </w:rPr>
        <w:t> </w:t>
      </w:r>
      <w:r>
        <w:rPr>
          <w:rFonts w:ascii="宋体" w:hAnsi="宋体" w:cs="宋体" w:eastAsia="宋体" w:hint="default"/>
          <w:sz w:val="21"/>
          <w:szCs w:val="21"/>
        </w:rPr>
        <w:t>元以及执行费，上述三项金额合计中联实业股份有限公司</w:t>
      </w:r>
    </w:p>
    <w:p>
      <w:pPr>
        <w:spacing w:line="240" w:lineRule="auto" w:before="0"/>
        <w:rPr>
          <w:rFonts w:ascii="宋体" w:hAnsi="宋体" w:cs="宋体" w:eastAsia="宋体" w:hint="default"/>
          <w:sz w:val="16"/>
          <w:szCs w:val="16"/>
        </w:rPr>
      </w:pPr>
    </w:p>
    <w:p>
      <w:pPr>
        <w:spacing w:before="0"/>
        <w:ind w:left="138" w:right="126" w:firstLine="0"/>
        <w:jc w:val="left"/>
        <w:rPr>
          <w:rFonts w:ascii="宋体" w:hAnsi="宋体" w:cs="宋体" w:eastAsia="宋体" w:hint="default"/>
          <w:sz w:val="21"/>
          <w:szCs w:val="21"/>
        </w:rPr>
      </w:pPr>
      <w:r>
        <w:rPr>
          <w:rFonts w:ascii="宋体" w:hAnsi="宋体" w:cs="宋体" w:eastAsia="宋体" w:hint="default"/>
          <w:sz w:val="21"/>
          <w:szCs w:val="21"/>
        </w:rPr>
        <w:t>代深圳益生堂生物企业有限公司偿还款项为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9,365,510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16"/>
          <w:szCs w:val="16"/>
        </w:rPr>
      </w:pPr>
    </w:p>
    <w:p>
      <w:pPr>
        <w:spacing w:line="429" w:lineRule="auto" w:before="0"/>
        <w:ind w:left="138" w:right="172"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日，本公司与中联实业股份有限公司、青岛亚星实业有限公司、益生堂四方签 订和解协议书，深大通潜在股东青岛亚星实业公司承诺在其通过重组取得深大通股份后按照和解协</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议书约定条件向中联实业股份有限公司承担债务清偿责任，解除深大通反担保责任及相应的连带清</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偿责任。</w:t>
      </w:r>
    </w:p>
    <w:p>
      <w:pPr>
        <w:spacing w:line="400" w:lineRule="auto" w:before="4"/>
        <w:ind w:left="138" w:right="173" w:firstLine="420"/>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4</w:t>
      </w:r>
      <w:r>
        <w:rPr>
          <w:rFonts w:ascii="宋体" w:hAnsi="宋体" w:cs="宋体" w:eastAsia="宋体" w:hint="default"/>
          <w:spacing w:val="-2"/>
          <w:sz w:val="21"/>
          <w:szCs w:val="21"/>
        </w:rPr>
        <w:t>、本公司就深圳市益田集团股份有限公司（下称“益田集团公司”）为深圳市益生堂生物企业</w:t>
      </w:r>
      <w:r>
        <w:rPr>
          <w:rFonts w:ascii="宋体" w:hAnsi="宋体" w:cs="宋体" w:eastAsia="宋体" w:hint="default"/>
          <w:spacing w:val="1"/>
          <w:sz w:val="21"/>
          <w:szCs w:val="21"/>
        </w:rPr>
        <w:t> </w:t>
      </w:r>
      <w:r>
        <w:rPr>
          <w:rFonts w:ascii="宋体" w:hAnsi="宋体" w:cs="宋体" w:eastAsia="宋体" w:hint="default"/>
          <w:spacing w:val="3"/>
          <w:sz w:val="21"/>
          <w:szCs w:val="21"/>
        </w:rPr>
        <w:t>有限公司向上海浦东发展银行深圳红荔路支行</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现更名为上海浦东发展银行股份有限公司深圳凤凰</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1"/>
          <w:sz w:val="21"/>
          <w:szCs w:val="21"/>
        </w:rPr>
        <w:t>路支行</w:t>
      </w:r>
      <w:r>
        <w:rPr>
          <w:rFonts w:ascii="Times New Roman" w:hAnsi="Times New Roman" w:cs="Times New Roman" w:eastAsia="Times New Roman" w:hint="default"/>
          <w:spacing w:val="-1"/>
          <w:sz w:val="21"/>
          <w:szCs w:val="21"/>
        </w:rPr>
        <w:t>)5000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万元贷款（借款合同为浦银深（红荔）借字第（</w:t>
      </w:r>
      <w:r>
        <w:rPr>
          <w:rFonts w:ascii="Times New Roman" w:hAnsi="Times New Roman" w:cs="Times New Roman" w:eastAsia="Times New Roman" w:hint="default"/>
          <w:spacing w:val="-3"/>
          <w:sz w:val="21"/>
          <w:szCs w:val="21"/>
        </w:rPr>
        <w:t>2005</w:t>
      </w:r>
      <w:r>
        <w:rPr>
          <w:rFonts w:ascii="宋体" w:hAnsi="宋体" w:cs="宋体" w:eastAsia="宋体" w:hint="default"/>
          <w:spacing w:val="-3"/>
          <w:sz w:val="21"/>
          <w:szCs w:val="21"/>
        </w:rPr>
        <w:t>）第</w:t>
      </w:r>
      <w:r>
        <w:rPr>
          <w:rFonts w:ascii="宋体" w:hAnsi="宋体" w:cs="宋体" w:eastAsia="宋体" w:hint="default"/>
          <w:spacing w:val="-45"/>
          <w:sz w:val="21"/>
          <w:szCs w:val="21"/>
        </w:rPr>
        <w:t> </w:t>
      </w:r>
      <w:r>
        <w:rPr>
          <w:rFonts w:ascii="Times New Roman" w:hAnsi="Times New Roman" w:cs="Times New Roman" w:eastAsia="Times New Roman" w:hint="default"/>
          <w:spacing w:val="-1"/>
          <w:sz w:val="21"/>
          <w:szCs w:val="21"/>
        </w:rPr>
        <w:t>13</w:t>
      </w:r>
      <w:r>
        <w:rPr>
          <w:rFonts w:ascii="Times New Roman" w:hAnsi="Times New Roman" w:cs="Times New Roman" w:eastAsia="Times New Roman" w:hint="default"/>
          <w:spacing w:val="8"/>
          <w:sz w:val="21"/>
          <w:szCs w:val="21"/>
        </w:rPr>
        <w:t> </w:t>
      </w:r>
      <w:r>
        <w:rPr>
          <w:rFonts w:ascii="宋体" w:hAnsi="宋体" w:cs="宋体" w:eastAsia="宋体" w:hint="default"/>
          <w:spacing w:val="-11"/>
          <w:sz w:val="21"/>
          <w:szCs w:val="21"/>
        </w:rPr>
        <w:t>号《借款合同》）提供担保</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而向益田集团公司提供连带保证的反担保，并于</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日向益田集团公司出具了《不可撤 </w:t>
      </w:r>
      <w:r>
        <w:rPr>
          <w:rFonts w:ascii="宋体" w:hAnsi="宋体" w:cs="宋体" w:eastAsia="宋体" w:hint="default"/>
          <w:spacing w:val="-4"/>
          <w:sz w:val="21"/>
          <w:szCs w:val="21"/>
        </w:rPr>
        <w:t>销反担保函》。益田集团公司已经履行担保责任，代深圳市益生堂生物企业有限公司偿付上海浦东发</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展银行贷款</w:t>
      </w:r>
      <w:r>
        <w:rPr>
          <w:rFonts w:ascii="宋体" w:hAnsi="宋体" w:cs="宋体" w:eastAsia="宋体" w:hint="default"/>
          <w:spacing w:val="-88"/>
          <w:sz w:val="21"/>
          <w:szCs w:val="21"/>
        </w:rPr>
        <w:t> </w:t>
      </w:r>
      <w:r>
        <w:rPr>
          <w:rFonts w:ascii="Times New Roman" w:hAnsi="Times New Roman" w:cs="Times New Roman" w:eastAsia="Times New Roman" w:hint="default"/>
          <w:sz w:val="21"/>
          <w:szCs w:val="21"/>
        </w:rPr>
        <w:t>5000</w:t>
      </w:r>
      <w:r>
        <w:rPr>
          <w:rFonts w:ascii="Times New Roman" w:hAnsi="Times New Roman" w:cs="Times New Roman" w:eastAsia="Times New Roman" w:hint="default"/>
          <w:spacing w:val="-35"/>
          <w:sz w:val="21"/>
          <w:szCs w:val="21"/>
        </w:rPr>
        <w:t> </w:t>
      </w:r>
      <w:r>
        <w:rPr>
          <w:rFonts w:ascii="宋体" w:hAnsi="宋体" w:cs="宋体" w:eastAsia="宋体" w:hint="default"/>
          <w:sz w:val="21"/>
          <w:szCs w:val="21"/>
        </w:rPr>
        <w:t>万元。益田集团公司诉深大通担保合同纠纷一案已经深圳市中级人民法院立案受理</w:t>
      </w:r>
    </w:p>
    <w:p>
      <w:pPr>
        <w:spacing w:before="33"/>
        <w:ind w:left="138" w:right="126" w:firstLine="0"/>
        <w:jc w:val="left"/>
        <w:rPr>
          <w:rFonts w:ascii="宋体" w:hAnsi="宋体" w:cs="宋体" w:eastAsia="宋体" w:hint="default"/>
          <w:sz w:val="21"/>
          <w:szCs w:val="21"/>
        </w:rPr>
      </w:pPr>
      <w:r>
        <w:rPr>
          <w:rFonts w:ascii="宋体" w:hAnsi="宋体" w:cs="宋体" w:eastAsia="宋体" w:hint="default"/>
          <w:sz w:val="21"/>
          <w:szCs w:val="21"/>
        </w:rPr>
        <w:t>（案号为</w:t>
      </w:r>
      <w:r>
        <w:rPr>
          <w:rFonts w:ascii="宋体" w:hAnsi="宋体" w:cs="宋体" w:eastAsia="宋体" w:hint="default"/>
          <w:spacing w:val="-122"/>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07</w:t>
      </w:r>
      <w:r>
        <w:rPr>
          <w:rFonts w:ascii="宋体" w:hAnsi="宋体" w:cs="宋体" w:eastAsia="宋体" w:hint="default"/>
          <w:spacing w:val="-17"/>
          <w:sz w:val="21"/>
          <w:szCs w:val="21"/>
        </w:rPr>
        <w:t>）</w:t>
      </w:r>
      <w:r>
        <w:rPr>
          <w:rFonts w:ascii="宋体" w:hAnsi="宋体" w:cs="宋体" w:eastAsia="宋体" w:hint="default"/>
          <w:sz w:val="21"/>
          <w:szCs w:val="21"/>
        </w:rPr>
        <w:t>深</w:t>
      </w:r>
      <w:r>
        <w:rPr>
          <w:rFonts w:ascii="宋体" w:hAnsi="宋体" w:cs="宋体" w:eastAsia="宋体" w:hint="default"/>
          <w:spacing w:val="-2"/>
          <w:sz w:val="21"/>
          <w:szCs w:val="21"/>
        </w:rPr>
        <w:t>中</w:t>
      </w:r>
      <w:r>
        <w:rPr>
          <w:rFonts w:ascii="宋体" w:hAnsi="宋体" w:cs="宋体" w:eastAsia="宋体" w:hint="default"/>
          <w:sz w:val="21"/>
          <w:szCs w:val="21"/>
        </w:rPr>
        <w:t>法民四初字第</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6</w:t>
      </w:r>
      <w:r>
        <w:rPr>
          <w:rFonts w:ascii="Times New Roman" w:hAnsi="Times New Roman" w:cs="Times New Roman" w:eastAsia="Times New Roman" w:hint="default"/>
          <w:sz w:val="21"/>
          <w:szCs w:val="21"/>
        </w:rPr>
        <w:t>2 </w:t>
      </w:r>
      <w:r>
        <w:rPr>
          <w:rFonts w:ascii="宋体" w:hAnsi="宋体" w:cs="宋体" w:eastAsia="宋体" w:hint="default"/>
          <w:sz w:val="21"/>
          <w:szCs w:val="21"/>
        </w:rPr>
        <w:t>号</w:t>
      </w:r>
      <w:r>
        <w:rPr>
          <w:rFonts w:ascii="宋体" w:hAnsi="宋体" w:cs="宋体" w:eastAsia="宋体" w:hint="default"/>
          <w:spacing w:val="-18"/>
          <w:sz w:val="21"/>
          <w:szCs w:val="21"/>
        </w:rPr>
        <w:t>）</w:t>
      </w:r>
      <w:r>
        <w:rPr>
          <w:rFonts w:ascii="宋体" w:hAnsi="宋体" w:cs="宋体" w:eastAsia="宋体" w:hint="default"/>
          <w:sz w:val="21"/>
          <w:szCs w:val="21"/>
        </w:rPr>
        <w:t>并正在审理过程中</w:t>
      </w:r>
      <w:r>
        <w:rPr>
          <w:rFonts w:ascii="宋体" w:hAnsi="宋体" w:cs="宋体" w:eastAsia="宋体" w:hint="default"/>
          <w:spacing w:val="-17"/>
          <w:sz w:val="21"/>
          <w:szCs w:val="21"/>
        </w:rPr>
        <w:t>。</w:t>
      </w:r>
      <w:r>
        <w:rPr>
          <w:rFonts w:ascii="宋体" w:hAnsi="宋体" w:cs="宋体" w:eastAsia="宋体" w:hint="default"/>
          <w:sz w:val="21"/>
          <w:szCs w:val="21"/>
        </w:rPr>
        <w:t>益田房地产要求深大通承担反担</w:t>
      </w:r>
    </w:p>
    <w:p>
      <w:pPr>
        <w:spacing w:before="189"/>
        <w:ind w:left="138" w:right="126" w:firstLine="0"/>
        <w:jc w:val="left"/>
        <w:rPr>
          <w:rFonts w:ascii="宋体" w:hAnsi="宋体" w:cs="宋体" w:eastAsia="宋体" w:hint="default"/>
          <w:sz w:val="21"/>
          <w:szCs w:val="21"/>
        </w:rPr>
      </w:pPr>
      <w:r>
        <w:rPr>
          <w:rFonts w:ascii="宋体" w:hAnsi="宋体" w:cs="宋体" w:eastAsia="宋体" w:hint="default"/>
          <w:sz w:val="21"/>
          <w:szCs w:val="21"/>
        </w:rPr>
        <w:t>保责任并向其支付本金及利息</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48,078,715.36</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元。</w:t>
      </w:r>
    </w:p>
    <w:p>
      <w:pPr>
        <w:spacing w:line="403" w:lineRule="auto" w:before="189"/>
        <w:ind w:left="138" w:right="174" w:firstLine="420"/>
        <w:jc w:val="both"/>
        <w:rPr>
          <w:rFonts w:ascii="宋体" w:hAnsi="宋体" w:cs="宋体" w:eastAsia="宋体" w:hint="default"/>
          <w:sz w:val="21"/>
          <w:szCs w:val="21"/>
        </w:rPr>
      </w:pPr>
      <w:r>
        <w:rPr>
          <w:rFonts w:ascii="Times New Roman" w:hAnsi="Times New Roman" w:cs="Times New Roman" w:eastAsia="Times New Roman" w:hint="default"/>
          <w:spacing w:val="-5"/>
          <w:sz w:val="21"/>
          <w:szCs w:val="21"/>
        </w:rPr>
        <w:t>2007</w:t>
      </w:r>
      <w:r>
        <w:rPr>
          <w:rFonts w:ascii="宋体" w:hAnsi="宋体" w:cs="宋体" w:eastAsia="宋体" w:hint="default"/>
          <w:spacing w:val="-5"/>
          <w:sz w:val="21"/>
          <w:szCs w:val="21"/>
        </w:rPr>
        <w:t>年</w:t>
      </w:r>
      <w:r>
        <w:rPr>
          <w:rFonts w:ascii="Times New Roman" w:hAnsi="Times New Roman" w:cs="Times New Roman" w:eastAsia="Times New Roman" w:hint="default"/>
          <w:spacing w:val="-5"/>
          <w:sz w:val="21"/>
          <w:szCs w:val="21"/>
        </w:rPr>
        <w:t>11</w:t>
      </w:r>
      <w:r>
        <w:rPr>
          <w:rFonts w:ascii="宋体" w:hAnsi="宋体" w:cs="宋体" w:eastAsia="宋体" w:hint="default"/>
          <w:spacing w:val="-5"/>
          <w:sz w:val="21"/>
          <w:szCs w:val="21"/>
        </w:rPr>
        <w:t>月</w:t>
      </w:r>
      <w:r>
        <w:rPr>
          <w:rFonts w:ascii="Times New Roman" w:hAnsi="Times New Roman" w:cs="Times New Roman" w:eastAsia="Times New Roman" w:hint="default"/>
          <w:spacing w:val="-5"/>
          <w:sz w:val="21"/>
          <w:szCs w:val="21"/>
        </w:rPr>
        <w:t>26</w:t>
      </w:r>
      <w:r>
        <w:rPr>
          <w:rFonts w:ascii="宋体" w:hAnsi="宋体" w:cs="宋体" w:eastAsia="宋体" w:hint="default"/>
          <w:spacing w:val="-5"/>
          <w:sz w:val="21"/>
          <w:szCs w:val="21"/>
        </w:rPr>
        <w:t>日，青岛亚星实业有限公司、深大通、益田集团公司三方签订《和解协议书》，青</w:t>
      </w:r>
      <w:r>
        <w:rPr>
          <w:rFonts w:ascii="宋体" w:hAnsi="宋体" w:cs="宋体" w:eastAsia="宋体" w:hint="default"/>
          <w:spacing w:val="-12"/>
          <w:sz w:val="21"/>
          <w:szCs w:val="21"/>
        </w:rPr>
        <w:t> </w:t>
      </w:r>
      <w:r>
        <w:rPr>
          <w:rFonts w:ascii="宋体" w:hAnsi="宋体" w:cs="宋体" w:eastAsia="宋体" w:hint="default"/>
          <w:sz w:val="21"/>
          <w:szCs w:val="21"/>
        </w:rPr>
        <w:t>岛亚星实业有限公司承诺在其通过重组取得深大通股份后按照和解协议书约定条件向益田房地产支</w:t>
      </w:r>
      <w:r>
        <w:rPr>
          <w:rFonts w:ascii="宋体" w:hAnsi="宋体" w:cs="宋体" w:eastAsia="宋体" w:hint="default"/>
          <w:sz w:val="21"/>
          <w:szCs w:val="21"/>
        </w:rPr>
        <w:t> 付约定对价，益田集团公司解除深大通对其的反担保责任并放弃就代偿的</w:t>
      </w:r>
      <w:r>
        <w:rPr>
          <w:rFonts w:ascii="Times New Roman" w:hAnsi="Times New Roman" w:cs="Times New Roman" w:eastAsia="Times New Roman" w:hint="default"/>
          <w:sz w:val="21"/>
          <w:szCs w:val="21"/>
        </w:rPr>
        <w:t>5000</w:t>
      </w:r>
      <w:r>
        <w:rPr>
          <w:rFonts w:ascii="宋体" w:hAnsi="宋体" w:cs="宋体" w:eastAsia="宋体" w:hint="default"/>
          <w:sz w:val="21"/>
          <w:szCs w:val="21"/>
        </w:rPr>
        <w:t>万元借款向深大通追 </w:t>
      </w:r>
      <w:r>
        <w:rPr>
          <w:rFonts w:ascii="宋体" w:hAnsi="宋体" w:cs="宋体" w:eastAsia="宋体" w:hint="default"/>
          <w:spacing w:val="-2"/>
          <w:sz w:val="21"/>
          <w:szCs w:val="21"/>
        </w:rPr>
        <w:t>偿的权利。按和解协议约定益田集团公司已向法院申请撤诉。</w:t>
      </w:r>
      <w:r>
        <w:rPr>
          <w:rFonts w:ascii="Times New Roman" w:hAnsi="Times New Roman" w:cs="Times New Roman" w:eastAsia="Times New Roman" w:hint="default"/>
          <w:spacing w:val="-2"/>
          <w:sz w:val="21"/>
          <w:szCs w:val="21"/>
        </w:rPr>
        <w:t>2008</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5</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16</w:t>
      </w:r>
      <w:r>
        <w:rPr>
          <w:rFonts w:ascii="宋体" w:hAnsi="宋体" w:cs="宋体" w:eastAsia="宋体" w:hint="default"/>
          <w:spacing w:val="-2"/>
          <w:sz w:val="21"/>
          <w:szCs w:val="21"/>
        </w:rPr>
        <w:t>日，深圳市中级人民法院</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出具了（</w:t>
      </w:r>
      <w:r>
        <w:rPr>
          <w:rFonts w:ascii="Times New Roman" w:hAnsi="Times New Roman" w:cs="Times New Roman" w:eastAsia="Times New Roman" w:hint="default"/>
          <w:sz w:val="21"/>
          <w:szCs w:val="21"/>
        </w:rPr>
        <w:t>2007</w:t>
      </w:r>
      <w:r>
        <w:rPr>
          <w:rFonts w:ascii="宋体" w:hAnsi="宋体" w:cs="宋体" w:eastAsia="宋体" w:hint="default"/>
          <w:sz w:val="21"/>
          <w:szCs w:val="21"/>
        </w:rPr>
        <w:t>）深中法民四初字第</w:t>
      </w:r>
      <w:r>
        <w:rPr>
          <w:rFonts w:ascii="Times New Roman" w:hAnsi="Times New Roman" w:cs="Times New Roman" w:eastAsia="Times New Roman" w:hint="default"/>
          <w:sz w:val="21"/>
          <w:szCs w:val="21"/>
        </w:rPr>
        <w:t>162</w:t>
      </w:r>
      <w:r>
        <w:rPr>
          <w:rFonts w:ascii="宋体" w:hAnsi="宋体" w:cs="宋体" w:eastAsia="宋体" w:hint="default"/>
          <w:sz w:val="21"/>
          <w:szCs w:val="21"/>
        </w:rPr>
        <w:t>号，准许益田集团公司撤诉。</w:t>
      </w:r>
    </w:p>
    <w:p>
      <w:pPr>
        <w:spacing w:before="31"/>
        <w:ind w:left="558" w:right="126"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09</w:t>
      </w:r>
      <w:r>
        <w:rPr>
          <w:rFonts w:ascii="宋体" w:hAnsi="宋体" w:cs="宋体" w:eastAsia="宋体" w:hint="default"/>
          <w:spacing w:val="-2"/>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pacing w:val="-1"/>
          <w:sz w:val="21"/>
          <w:szCs w:val="21"/>
        </w:rPr>
        <w:t>9</w:t>
      </w:r>
      <w:r>
        <w:rPr>
          <w:rFonts w:ascii="宋体" w:hAnsi="宋体" w:cs="宋体" w:eastAsia="宋体" w:hint="default"/>
          <w:sz w:val="21"/>
          <w:szCs w:val="21"/>
        </w:rPr>
        <w:t>日，上述协议各方签订了补充协议书（二</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将</w:t>
      </w:r>
      <w:r>
        <w:rPr>
          <w:rFonts w:ascii="宋体" w:hAnsi="宋体" w:cs="宋体" w:eastAsia="宋体" w:hint="default"/>
          <w:sz w:val="21"/>
          <w:szCs w:val="21"/>
        </w:rPr>
        <w:t>和解协议的期限延长到</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9</w:t>
      </w:r>
      <w:r>
        <w:rPr>
          <w:rFonts w:ascii="宋体" w:hAnsi="宋体" w:cs="宋体" w:eastAsia="宋体" w:hint="default"/>
          <w:sz w:val="21"/>
          <w:szCs w:val="21"/>
        </w:rPr>
        <w:t>年</w:t>
      </w:r>
      <w:r>
        <w:rPr>
          <w:rFonts w:ascii="Times New Roman" w:hAnsi="Times New Roman" w:cs="Times New Roman" w:eastAsia="Times New Roman" w:hint="default"/>
          <w:sz w:val="21"/>
          <w:szCs w:val="21"/>
        </w:rPr>
        <w:t>9</w:t>
      </w:r>
      <w:r>
        <w:rPr>
          <w:rFonts w:ascii="宋体" w:hAnsi="宋体" w:cs="宋体" w:eastAsia="宋体" w:hint="default"/>
          <w:spacing w:val="-2"/>
          <w:sz w:val="21"/>
          <w:szCs w:val="21"/>
        </w:rPr>
        <w:t>月</w:t>
      </w:r>
      <w:r>
        <w:rPr>
          <w:rFonts w:ascii="Times New Roman" w:hAnsi="Times New Roman" w:cs="Times New Roman" w:eastAsia="Times New Roman" w:hint="default"/>
          <w:sz w:val="21"/>
          <w:szCs w:val="21"/>
        </w:rPr>
        <w:t>30</w:t>
      </w:r>
    </w:p>
    <w:p>
      <w:pPr>
        <w:spacing w:before="189"/>
        <w:ind w:left="138" w:right="126" w:firstLine="0"/>
        <w:jc w:val="left"/>
        <w:rPr>
          <w:rFonts w:ascii="宋体" w:hAnsi="宋体" w:cs="宋体" w:eastAsia="宋体" w:hint="default"/>
          <w:sz w:val="21"/>
          <w:szCs w:val="21"/>
        </w:rPr>
      </w:pPr>
      <w:r>
        <w:rPr>
          <w:rFonts w:ascii="宋体" w:hAnsi="宋体" w:cs="宋体" w:eastAsia="宋体" w:hint="default"/>
          <w:sz w:val="21"/>
          <w:szCs w:val="21"/>
        </w:rPr>
        <w:t>日。</w:t>
      </w:r>
    </w:p>
    <w:p>
      <w:pPr>
        <w:spacing w:before="32"/>
        <w:ind w:left="558" w:right="126" w:firstLine="0"/>
        <w:jc w:val="left"/>
        <w:rPr>
          <w:rFonts w:ascii="宋体" w:hAnsi="宋体" w:cs="宋体" w:eastAsia="宋体" w:hint="default"/>
          <w:sz w:val="21"/>
          <w:szCs w:val="21"/>
        </w:rPr>
      </w:pPr>
      <w:r>
        <w:rPr>
          <w:rFonts w:ascii="宋体" w:hAnsi="宋体" w:cs="宋体" w:eastAsia="宋体" w:hint="default"/>
          <w:sz w:val="21"/>
          <w:szCs w:val="21"/>
        </w:rPr>
        <w:t>5、诉讼和解</w:t>
      </w:r>
    </w:p>
    <w:p>
      <w:pPr>
        <w:spacing w:line="240" w:lineRule="auto" w:before="2"/>
        <w:rPr>
          <w:rFonts w:ascii="宋体" w:hAnsi="宋体" w:cs="宋体" w:eastAsia="宋体" w:hint="default"/>
          <w:sz w:val="26"/>
          <w:szCs w:val="26"/>
        </w:rPr>
      </w:pPr>
    </w:p>
    <w:p>
      <w:pPr>
        <w:spacing w:line="396" w:lineRule="auto" w:before="0"/>
        <w:ind w:left="138" w:right="174" w:firstLine="420"/>
        <w:jc w:val="both"/>
        <w:rPr>
          <w:rFonts w:ascii="Times New Roman" w:hAnsi="Times New Roman" w:cs="Times New Roman" w:eastAsia="Times New Roman" w:hint="default"/>
          <w:sz w:val="21"/>
          <w:szCs w:val="21"/>
        </w:rPr>
      </w:pPr>
      <w:r>
        <w:rPr>
          <w:rFonts w:ascii="宋体" w:hAnsi="宋体" w:cs="宋体" w:eastAsia="宋体" w:hint="default"/>
          <w:sz w:val="21"/>
          <w:szCs w:val="21"/>
        </w:rPr>
        <w:t>因本公司与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CENTRA</w:t>
      </w:r>
      <w:r>
        <w:rPr>
          <w:rFonts w:ascii="Times New Roman" w:hAnsi="Times New Roman" w:cs="Times New Roman" w:eastAsia="Times New Roman" w:hint="default"/>
          <w:spacing w:val="-10"/>
          <w:sz w:val="21"/>
          <w:szCs w:val="21"/>
        </w:rPr>
        <w:t> </w:t>
      </w:r>
      <w:r>
        <w:rPr>
          <w:rFonts w:ascii="Times New Roman" w:hAnsi="Times New Roman" w:cs="Times New Roman" w:eastAsia="Times New Roman" w:hint="default"/>
          <w:spacing w:val="-2"/>
          <w:w w:val="99"/>
          <w:sz w:val="21"/>
          <w:szCs w:val="21"/>
        </w:rPr>
        <w:t>INTERTRACO</w:t>
      </w:r>
      <w:r>
        <w:rPr>
          <w:rFonts w:ascii="Times New Roman" w:hAnsi="Times New Roman" w:cs="Times New Roman" w:eastAsia="Times New Roman" w:hint="default"/>
          <w:spacing w:val="3"/>
          <w:w w:val="99"/>
          <w:sz w:val="21"/>
          <w:szCs w:val="21"/>
        </w:rPr>
        <w:t> </w:t>
      </w:r>
      <w:r>
        <w:rPr>
          <w:rFonts w:ascii="Times New Roman" w:hAnsi="Times New Roman" w:cs="Times New Roman" w:eastAsia="Times New Roman" w:hint="default"/>
          <w:spacing w:val="-6"/>
          <w:w w:val="99"/>
          <w:sz w:val="21"/>
          <w:szCs w:val="21"/>
        </w:rPr>
        <w:t>LTD</w:t>
      </w:r>
      <w:r>
        <w:rPr>
          <w:rFonts w:ascii="宋体" w:hAnsi="宋体" w:cs="宋体" w:eastAsia="宋体" w:hint="default"/>
          <w:spacing w:val="-6"/>
          <w:w w:val="99"/>
          <w:sz w:val="21"/>
          <w:szCs w:val="21"/>
        </w:rPr>
        <w:t>（以下简称“中央国际有限公司”）关于“合资经营深</w:t>
      </w:r>
      <w:r>
        <w:rPr>
          <w:rFonts w:ascii="宋体" w:hAnsi="宋体" w:cs="宋体" w:eastAsia="宋体" w:hint="default"/>
          <w:sz w:val="21"/>
          <w:szCs w:val="21"/>
        </w:rPr>
        <w:t> 圳大通食品工业有限公司合同争议”</w:t>
      </w:r>
      <w:r>
        <w:rPr>
          <w:rFonts w:ascii="宋体" w:hAnsi="宋体" w:cs="宋体" w:eastAsia="宋体" w:hint="default"/>
          <w:spacing w:val="-64"/>
          <w:sz w:val="21"/>
          <w:szCs w:val="21"/>
        </w:rPr>
        <w:t> </w:t>
      </w:r>
      <w:r>
        <w:rPr>
          <w:rFonts w:ascii="宋体" w:hAnsi="宋体" w:cs="宋体" w:eastAsia="宋体" w:hint="default"/>
          <w:sz w:val="21"/>
          <w:szCs w:val="21"/>
        </w:rPr>
        <w:t>经中国国际经济贸易仲裁委员会作出的（</w:t>
      </w:r>
      <w:r>
        <w:rPr>
          <w:rFonts w:ascii="Times New Roman" w:hAnsi="Times New Roman" w:cs="Times New Roman" w:eastAsia="Times New Roman" w:hint="default"/>
          <w:sz w:val="21"/>
          <w:szCs w:val="21"/>
        </w:rPr>
        <w:t>2004</w:t>
      </w:r>
      <w:r>
        <w:rPr>
          <w:rFonts w:ascii="宋体" w:hAnsi="宋体" w:cs="宋体" w:eastAsia="宋体" w:hint="default"/>
          <w:sz w:val="21"/>
          <w:szCs w:val="21"/>
        </w:rPr>
        <w:t>）中国贸仲深裁 字第</w:t>
      </w:r>
      <w:r>
        <w:rPr>
          <w:rFonts w:ascii="宋体" w:hAnsi="宋体" w:cs="宋体" w:eastAsia="宋体" w:hint="default"/>
          <w:spacing w:val="-50"/>
          <w:sz w:val="21"/>
          <w:szCs w:val="21"/>
        </w:rPr>
        <w:t> </w:t>
      </w:r>
      <w:r>
        <w:rPr>
          <w:rFonts w:ascii="Times New Roman" w:hAnsi="Times New Roman" w:cs="Times New Roman" w:eastAsia="Times New Roman" w:hint="default"/>
          <w:spacing w:val="-1"/>
          <w:sz w:val="21"/>
          <w:szCs w:val="21"/>
        </w:rPr>
        <w:t>76</w:t>
      </w:r>
      <w:r>
        <w:rPr>
          <w:rFonts w:ascii="Times New Roman" w:hAnsi="Times New Roman" w:cs="Times New Roman" w:eastAsia="Times New Roman" w:hint="default"/>
          <w:spacing w:val="3"/>
          <w:sz w:val="21"/>
          <w:szCs w:val="21"/>
        </w:rPr>
        <w:t> </w:t>
      </w:r>
      <w:r>
        <w:rPr>
          <w:rFonts w:ascii="宋体" w:hAnsi="宋体" w:cs="宋体" w:eastAsia="宋体" w:hint="default"/>
          <w:spacing w:val="-5"/>
          <w:sz w:val="21"/>
          <w:szCs w:val="21"/>
        </w:rPr>
        <w:t>号裁决书裁决。中央国际有限公司向广东省普宁市人民法院提出申请，以人民币</w:t>
      </w:r>
      <w:r>
        <w:rPr>
          <w:rFonts w:ascii="宋体" w:hAnsi="宋体" w:cs="宋体" w:eastAsia="宋体" w:hint="default"/>
          <w:spacing w:val="-50"/>
          <w:sz w:val="21"/>
          <w:szCs w:val="21"/>
        </w:rPr>
        <w:t> </w:t>
      </w:r>
      <w:r>
        <w:rPr>
          <w:rFonts w:ascii="Times New Roman" w:hAnsi="Times New Roman" w:cs="Times New Roman" w:eastAsia="Times New Roman" w:hint="default"/>
          <w:spacing w:val="-1"/>
          <w:sz w:val="21"/>
          <w:szCs w:val="21"/>
        </w:rPr>
        <w:t>7,920,200.00</w:t>
      </w:r>
    </w:p>
    <w:p>
      <w:pPr>
        <w:spacing w:before="38"/>
        <w:ind w:left="138"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元及相关利息</w:t>
      </w:r>
      <w:r>
        <w:rPr>
          <w:rFonts w:ascii="宋体" w:hAnsi="宋体" w:cs="宋体" w:eastAsia="宋体" w:hint="default"/>
          <w:spacing w:val="-105"/>
          <w:sz w:val="21"/>
          <w:szCs w:val="21"/>
        </w:rPr>
        <w:t>、</w:t>
      </w:r>
      <w:r>
        <w:rPr>
          <w:rFonts w:ascii="宋体" w:hAnsi="宋体" w:cs="宋体" w:eastAsia="宋体" w:hint="default"/>
          <w:sz w:val="21"/>
          <w:szCs w:val="21"/>
        </w:rPr>
        <w:t>执行费</w:t>
      </w:r>
      <w:r>
        <w:rPr>
          <w:rFonts w:ascii="宋体" w:hAnsi="宋体" w:cs="宋体" w:eastAsia="宋体" w:hint="default"/>
          <w:spacing w:val="-2"/>
          <w:sz w:val="21"/>
          <w:szCs w:val="21"/>
        </w:rPr>
        <w:t>为</w:t>
      </w:r>
      <w:r>
        <w:rPr>
          <w:rFonts w:ascii="宋体" w:hAnsi="宋体" w:cs="宋体" w:eastAsia="宋体" w:hint="default"/>
          <w:sz w:val="21"/>
          <w:szCs w:val="21"/>
        </w:rPr>
        <w:t>限查封本公司资产</w:t>
      </w:r>
      <w:r>
        <w:rPr>
          <w:rFonts w:ascii="宋体" w:hAnsi="宋体" w:cs="宋体" w:eastAsia="宋体" w:hint="default"/>
          <w:spacing w:val="-105"/>
          <w:sz w:val="21"/>
          <w:szCs w:val="21"/>
        </w:rPr>
        <w:t>。</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6"/>
          <w:sz w:val="21"/>
          <w:szCs w:val="21"/>
        </w:rPr>
        <w:t> </w:t>
      </w:r>
      <w:r>
        <w:rPr>
          <w:rFonts w:ascii="宋体" w:hAnsi="宋体" w:cs="宋体" w:eastAsia="宋体" w:hint="default"/>
          <w:spacing w:val="-2"/>
          <w:sz w:val="21"/>
          <w:szCs w:val="21"/>
        </w:rPr>
        <w:t>日</w:t>
      </w:r>
      <w:r>
        <w:rPr>
          <w:rFonts w:ascii="宋体" w:hAnsi="宋体" w:cs="宋体" w:eastAsia="宋体" w:hint="default"/>
          <w:spacing w:val="-106"/>
          <w:sz w:val="21"/>
          <w:szCs w:val="21"/>
        </w:rPr>
        <w:t>，</w:t>
      </w:r>
      <w:r>
        <w:rPr>
          <w:rFonts w:ascii="宋体" w:hAnsi="宋体" w:cs="宋体" w:eastAsia="宋体" w:hint="default"/>
          <w:sz w:val="21"/>
          <w:szCs w:val="21"/>
        </w:rPr>
        <w:t>公司接到广东省普宁市人民法院</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6)</w:t>
      </w:r>
    </w:p>
    <w:p>
      <w:pPr>
        <w:spacing w:before="189"/>
        <w:ind w:left="138" w:right="126" w:firstLine="0"/>
        <w:jc w:val="left"/>
        <w:rPr>
          <w:rFonts w:ascii="宋体" w:hAnsi="宋体" w:cs="宋体" w:eastAsia="宋体" w:hint="default"/>
          <w:sz w:val="21"/>
          <w:szCs w:val="21"/>
        </w:rPr>
      </w:pPr>
      <w:r>
        <w:rPr>
          <w:rFonts w:ascii="宋体" w:hAnsi="宋体" w:cs="宋体" w:eastAsia="宋体" w:hint="default"/>
          <w:sz w:val="21"/>
          <w:szCs w:val="21"/>
        </w:rPr>
        <w:t>普法季执字第</w:t>
      </w:r>
      <w:r>
        <w:rPr>
          <w:rFonts w:ascii="宋体" w:hAnsi="宋体" w:cs="宋体" w:eastAsia="宋体" w:hint="default"/>
          <w:spacing w:val="-15"/>
          <w:sz w:val="21"/>
          <w:szCs w:val="21"/>
        </w:rPr>
        <w:t> </w:t>
      </w:r>
      <w:r>
        <w:rPr>
          <w:rFonts w:ascii="Times New Roman" w:hAnsi="Times New Roman" w:cs="Times New Roman" w:eastAsia="Times New Roman" w:hint="default"/>
          <w:sz w:val="21"/>
          <w:szCs w:val="21"/>
        </w:rPr>
        <w:t>25-1 </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号</w:t>
      </w:r>
      <w:r>
        <w:rPr>
          <w:rFonts w:ascii="宋体" w:hAnsi="宋体" w:cs="宋体" w:eastAsia="宋体" w:hint="default"/>
          <w:spacing w:val="-2"/>
          <w:sz w:val="21"/>
          <w:szCs w:val="21"/>
        </w:rPr>
        <w:t>《</w:t>
      </w:r>
      <w:r>
        <w:rPr>
          <w:rFonts w:ascii="宋体" w:hAnsi="宋体" w:cs="宋体" w:eastAsia="宋体" w:hint="default"/>
          <w:sz w:val="21"/>
          <w:szCs w:val="21"/>
        </w:rPr>
        <w:t>民事裁定书</w:t>
      </w:r>
      <w:r>
        <w:rPr>
          <w:rFonts w:ascii="宋体" w:hAnsi="宋体" w:cs="宋体" w:eastAsia="宋体" w:hint="default"/>
          <w:spacing w:val="-106"/>
          <w:sz w:val="21"/>
          <w:szCs w:val="21"/>
        </w:rPr>
        <w:t>》</w:t>
      </w:r>
      <w:r>
        <w:rPr>
          <w:rFonts w:ascii="宋体" w:hAnsi="宋体" w:cs="宋体" w:eastAsia="宋体" w:hint="default"/>
          <w:sz w:val="21"/>
          <w:szCs w:val="21"/>
        </w:rPr>
        <w:t>。查封了本公司位于宝安区公明镇大通工业城九号厂房的土地</w:t>
      </w:r>
    </w:p>
    <w:p>
      <w:pPr>
        <w:spacing w:after="0"/>
        <w:jc w:val="left"/>
        <w:rPr>
          <w:rFonts w:ascii="宋体" w:hAnsi="宋体" w:cs="宋体" w:eastAsia="宋体" w:hint="default"/>
          <w:sz w:val="21"/>
          <w:szCs w:val="21"/>
        </w:rPr>
        <w:sectPr>
          <w:pgSz w:w="11910" w:h="16840"/>
          <w:pgMar w:header="0" w:footer="710" w:top="580" w:bottom="900" w:left="1280" w:right="1240"/>
        </w:sectPr>
      </w:pPr>
    </w:p>
    <w:p>
      <w:pPr>
        <w:pStyle w:val="Heading2"/>
        <w:spacing w:line="310" w:lineRule="exact"/>
        <w:ind w:right="2996"/>
        <w:jc w:val="center"/>
        <w:rPr>
          <w:b w:val="0"/>
          <w:bCs w:val="0"/>
        </w:rPr>
      </w:pPr>
      <w:r>
        <w:rPr/>
        <w:pict>
          <v:shape style="position:absolute;margin-left:88.919998pt;margin-top:3.990308pt;width:57.0pt;height:31.5pt;mso-position-horizontal-relative:page;mso-position-vertical-relative:paragraph;z-index:19432"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645" w:right="725"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6"/>
        <w:rPr>
          <w:rFonts w:ascii="Times New Roman" w:hAnsi="Times New Roman" w:cs="Times New Roman" w:eastAsia="Times New Roman" w:hint="default"/>
          <w:sz w:val="11"/>
          <w:szCs w:val="11"/>
        </w:rPr>
      </w:pPr>
    </w:p>
    <w:p>
      <w:pPr>
        <w:spacing w:before="35"/>
        <w:ind w:left="138" w:right="111" w:firstLine="0"/>
        <w:jc w:val="left"/>
        <w:rPr>
          <w:rFonts w:ascii="宋体" w:hAnsi="宋体" w:cs="宋体" w:eastAsia="宋体" w:hint="default"/>
          <w:sz w:val="21"/>
          <w:szCs w:val="21"/>
        </w:rPr>
      </w:pPr>
      <w:r>
        <w:rPr>
          <w:rFonts w:ascii="宋体" w:hAnsi="宋体" w:cs="宋体" w:eastAsia="宋体" w:hint="default"/>
          <w:sz w:val="21"/>
          <w:szCs w:val="21"/>
        </w:rPr>
        <w:t>及地上建</w:t>
      </w:r>
      <w:r>
        <w:rPr>
          <w:rFonts w:ascii="宋体" w:hAnsi="宋体" w:cs="宋体" w:eastAsia="宋体" w:hint="default"/>
          <w:spacing w:val="-17"/>
          <w:sz w:val="21"/>
          <w:szCs w:val="21"/>
        </w:rPr>
        <w:t>筑</w:t>
      </w:r>
      <w:r>
        <w:rPr>
          <w:rFonts w:ascii="宋体" w:hAnsi="宋体" w:cs="宋体" w:eastAsia="宋体" w:hint="default"/>
          <w:sz w:val="21"/>
          <w:szCs w:val="21"/>
        </w:rPr>
        <w:t>（宗地号为Ａ</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52</w:t>
      </w:r>
      <w:r>
        <w:rPr>
          <w:rFonts w:ascii="宋体" w:hAnsi="宋体" w:cs="宋体" w:eastAsia="宋体" w:hint="default"/>
          <w:spacing w:val="-17"/>
          <w:sz w:val="21"/>
          <w:szCs w:val="21"/>
        </w:rPr>
        <w:t>，</w:t>
      </w:r>
      <w:r>
        <w:rPr>
          <w:rFonts w:ascii="宋体" w:hAnsi="宋体" w:cs="宋体" w:eastAsia="宋体" w:hint="default"/>
          <w:sz w:val="21"/>
          <w:szCs w:val="21"/>
        </w:rPr>
        <w:t>房产证号列</w:t>
      </w:r>
      <w:r>
        <w:rPr>
          <w:rFonts w:ascii="宋体" w:hAnsi="宋体" w:cs="宋体" w:eastAsia="宋体" w:hint="default"/>
          <w:spacing w:val="-17"/>
          <w:sz w:val="21"/>
          <w:szCs w:val="21"/>
        </w:rPr>
        <w:t>：</w:t>
      </w:r>
      <w:r>
        <w:rPr>
          <w:rFonts w:ascii="宋体" w:hAnsi="宋体" w:cs="宋体" w:eastAsia="宋体" w:hint="default"/>
          <w:sz w:val="21"/>
          <w:szCs w:val="21"/>
        </w:rPr>
        <w:t>深房地字第</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46</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7</w:t>
      </w:r>
      <w:r>
        <w:rPr>
          <w:rFonts w:ascii="Times New Roman" w:hAnsi="Times New Roman" w:cs="Times New Roman" w:eastAsia="Times New Roman" w:hint="default"/>
          <w:sz w:val="21"/>
          <w:szCs w:val="21"/>
        </w:rPr>
        <w:t>0 </w:t>
      </w:r>
      <w:r>
        <w:rPr>
          <w:rFonts w:ascii="宋体" w:hAnsi="宋体" w:cs="宋体" w:eastAsia="宋体" w:hint="default"/>
          <w:sz w:val="21"/>
          <w:szCs w:val="21"/>
        </w:rPr>
        <w:t>号</w:t>
      </w:r>
      <w:r>
        <w:rPr>
          <w:rFonts w:ascii="宋体" w:hAnsi="宋体" w:cs="宋体" w:eastAsia="宋体" w:hint="default"/>
          <w:spacing w:val="-105"/>
          <w:sz w:val="21"/>
          <w:szCs w:val="21"/>
        </w:rPr>
        <w:t>）</w:t>
      </w:r>
      <w:r>
        <w:rPr>
          <w:rFonts w:ascii="宋体" w:hAnsi="宋体" w:cs="宋体" w:eastAsia="宋体" w:hint="default"/>
          <w:spacing w:val="-17"/>
          <w:sz w:val="21"/>
          <w:szCs w:val="21"/>
        </w:rPr>
        <w:t>，</w:t>
      </w:r>
      <w:r>
        <w:rPr>
          <w:rFonts w:ascii="宋体" w:hAnsi="宋体" w:cs="宋体" w:eastAsia="宋体" w:hint="default"/>
          <w:spacing w:val="-2"/>
          <w:sz w:val="21"/>
          <w:szCs w:val="21"/>
        </w:rPr>
        <w:t>查</w:t>
      </w:r>
      <w:r>
        <w:rPr>
          <w:rFonts w:ascii="宋体" w:hAnsi="宋体" w:cs="宋体" w:eastAsia="宋体" w:hint="default"/>
          <w:sz w:val="21"/>
          <w:szCs w:val="21"/>
        </w:rPr>
        <w:t>封了公司持</w:t>
      </w:r>
      <w:r>
        <w:rPr>
          <w:rFonts w:ascii="宋体" w:hAnsi="宋体" w:cs="宋体" w:eastAsia="宋体" w:hint="default"/>
          <w:spacing w:val="1"/>
          <w:sz w:val="21"/>
          <w:szCs w:val="21"/>
        </w:rPr>
        <w:t>有</w:t>
      </w:r>
      <w:r>
        <w:rPr>
          <w:rFonts w:ascii="宋体" w:hAnsi="宋体" w:cs="宋体" w:eastAsia="宋体" w:hint="default"/>
          <w:sz w:val="21"/>
          <w:szCs w:val="21"/>
        </w:rPr>
        <w:t>的</w:t>
      </w:r>
    </w:p>
    <w:p>
      <w:pPr>
        <w:spacing w:before="189"/>
        <w:ind w:left="138" w:right="111" w:firstLine="0"/>
        <w:jc w:val="left"/>
        <w:rPr>
          <w:rFonts w:ascii="宋体" w:hAnsi="宋体" w:cs="宋体" w:eastAsia="宋体" w:hint="default"/>
          <w:sz w:val="21"/>
          <w:szCs w:val="21"/>
        </w:rPr>
      </w:pPr>
      <w:r>
        <w:rPr>
          <w:rFonts w:ascii="宋体" w:hAnsi="宋体" w:cs="宋体" w:eastAsia="宋体" w:hint="default"/>
          <w:sz w:val="21"/>
          <w:szCs w:val="21"/>
        </w:rPr>
        <w:t>深圳大通食品工业有限公司</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30</w:t>
      </w:r>
      <w:r>
        <w:rPr>
          <w:rFonts w:ascii="宋体" w:hAnsi="宋体" w:cs="宋体" w:eastAsia="宋体" w:hint="default"/>
          <w:sz w:val="21"/>
          <w:szCs w:val="21"/>
        </w:rPr>
        <w:t>％的股权。查封期限为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p>
      <w:pPr>
        <w:spacing w:line="240" w:lineRule="auto" w:before="12"/>
        <w:rPr>
          <w:rFonts w:ascii="宋体" w:hAnsi="宋体" w:cs="宋体" w:eastAsia="宋体" w:hint="default"/>
          <w:sz w:val="15"/>
          <w:szCs w:val="15"/>
        </w:rPr>
      </w:pPr>
    </w:p>
    <w:p>
      <w:pPr>
        <w:spacing w:line="424" w:lineRule="auto" w:before="0"/>
        <w:ind w:left="138" w:right="214"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w:t>
      </w:r>
      <w:r>
        <w:rPr>
          <w:rFonts w:ascii="宋体" w:hAnsi="宋体" w:cs="宋体" w:eastAsia="宋体" w:hint="default"/>
          <w:spacing w:val="-35"/>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月</w:t>
      </w:r>
      <w:r>
        <w:rPr>
          <w:rFonts w:ascii="宋体" w:hAnsi="宋体" w:cs="宋体" w:eastAsia="宋体" w:hint="default"/>
          <w:spacing w:val="-35"/>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日，</w:t>
      </w:r>
      <w:r>
        <w:rPr>
          <w:rFonts w:ascii="宋体" w:hAnsi="宋体" w:cs="宋体" w:eastAsia="宋体" w:hint="default"/>
          <w:spacing w:val="-2"/>
          <w:sz w:val="21"/>
          <w:szCs w:val="21"/>
        </w:rPr>
        <w:t>本</w:t>
      </w:r>
      <w:r>
        <w:rPr>
          <w:rFonts w:ascii="宋体" w:hAnsi="宋体" w:cs="宋体" w:eastAsia="宋体" w:hint="default"/>
          <w:sz w:val="21"/>
          <w:szCs w:val="21"/>
        </w:rPr>
        <w:t>公司与深圳大通食品工业有限公司（以下简称”大通食品公司</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中</w:t>
      </w:r>
      <w:r>
        <w:rPr>
          <w:rFonts w:ascii="宋体" w:hAnsi="宋体" w:cs="宋体" w:eastAsia="宋体" w:hint="default"/>
          <w:sz w:val="21"/>
          <w:szCs w:val="21"/>
        </w:rPr>
        <w:t>央</w:t>
      </w:r>
      <w:r>
        <w:rPr>
          <w:rFonts w:ascii="宋体" w:hAnsi="宋体" w:cs="宋体" w:eastAsia="宋体" w:hint="default"/>
          <w:sz w:val="21"/>
          <w:szCs w:val="21"/>
        </w:rPr>
        <w:t> 国际有限公司和河南方正信息技术有限公</w:t>
      </w:r>
      <w:r>
        <w:rPr>
          <w:rFonts w:ascii="宋体" w:hAnsi="宋体" w:cs="宋体" w:eastAsia="宋体" w:hint="default"/>
          <w:spacing w:val="-17"/>
          <w:sz w:val="21"/>
          <w:szCs w:val="21"/>
        </w:rPr>
        <w:t>司</w:t>
      </w:r>
      <w:r>
        <w:rPr>
          <w:rFonts w:ascii="宋体" w:hAnsi="宋体" w:cs="宋体" w:eastAsia="宋体" w:hint="default"/>
          <w:sz w:val="21"/>
          <w:szCs w:val="21"/>
        </w:rPr>
        <w:t>（以下简</w:t>
      </w:r>
      <w:r>
        <w:rPr>
          <w:rFonts w:ascii="宋体" w:hAnsi="宋体" w:cs="宋体" w:eastAsia="宋体" w:hint="default"/>
          <w:spacing w:val="-17"/>
          <w:sz w:val="21"/>
          <w:szCs w:val="21"/>
        </w:rPr>
        <w:t>称</w:t>
      </w:r>
      <w:r>
        <w:rPr>
          <w:rFonts w:ascii="宋体" w:hAnsi="宋体" w:cs="宋体" w:eastAsia="宋体" w:hint="default"/>
          <w:sz w:val="21"/>
          <w:szCs w:val="21"/>
        </w:rPr>
        <w:t>“河南方正</w:t>
      </w:r>
      <w:r>
        <w:rPr>
          <w:rFonts w:ascii="宋体" w:hAnsi="宋体" w:cs="宋体" w:eastAsia="宋体" w:hint="default"/>
          <w:spacing w:val="-105"/>
          <w:sz w:val="21"/>
          <w:szCs w:val="21"/>
        </w:rPr>
        <w:t>”</w:t>
      </w:r>
      <w:r>
        <w:rPr>
          <w:rFonts w:ascii="宋体" w:hAnsi="宋体" w:cs="宋体" w:eastAsia="宋体" w:hint="default"/>
          <w:spacing w:val="-17"/>
          <w:sz w:val="21"/>
          <w:szCs w:val="21"/>
        </w:rPr>
        <w:t>）</w:t>
      </w:r>
      <w:r>
        <w:rPr>
          <w:rFonts w:ascii="宋体" w:hAnsi="宋体" w:cs="宋体" w:eastAsia="宋体" w:hint="default"/>
          <w:sz w:val="21"/>
          <w:szCs w:val="21"/>
        </w:rPr>
        <w:t>经友好协商</w:t>
      </w:r>
      <w:r>
        <w:rPr>
          <w:rFonts w:ascii="宋体" w:hAnsi="宋体" w:cs="宋体" w:eastAsia="宋体" w:hint="default"/>
          <w:spacing w:val="-17"/>
          <w:sz w:val="21"/>
          <w:szCs w:val="21"/>
        </w:rPr>
        <w:t>，</w:t>
      </w:r>
      <w:r>
        <w:rPr>
          <w:rFonts w:ascii="宋体" w:hAnsi="宋体" w:cs="宋体" w:eastAsia="宋体" w:hint="default"/>
          <w:sz w:val="21"/>
          <w:szCs w:val="21"/>
        </w:rPr>
        <w:t>在郑州市中级人</w:t>
      </w:r>
      <w:r>
        <w:rPr>
          <w:rFonts w:ascii="宋体" w:hAnsi="宋体" w:cs="宋体" w:eastAsia="宋体" w:hint="default"/>
          <w:sz w:val="21"/>
          <w:szCs w:val="21"/>
        </w:rPr>
        <w:t> 民法院（以下简称“郑州中院</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协</w:t>
      </w:r>
      <w:r>
        <w:rPr>
          <w:rFonts w:ascii="宋体" w:hAnsi="宋体" w:cs="宋体" w:eastAsia="宋体" w:hint="default"/>
          <w:sz w:val="21"/>
          <w:szCs w:val="21"/>
        </w:rPr>
        <w:t>调下签署如下和解协议，协议主要内容如下：</w:t>
      </w:r>
    </w:p>
    <w:p>
      <w:pPr>
        <w:spacing w:line="420" w:lineRule="auto" w:before="64"/>
        <w:ind w:left="138" w:right="101" w:firstLine="420"/>
        <w:jc w:val="left"/>
        <w:rPr>
          <w:rFonts w:ascii="宋体" w:hAnsi="宋体" w:cs="宋体" w:eastAsia="宋体" w:hint="default"/>
          <w:sz w:val="21"/>
          <w:szCs w:val="21"/>
        </w:rPr>
      </w:pPr>
      <w:r>
        <w:rPr>
          <w:rFonts w:ascii="宋体" w:hAnsi="宋体" w:cs="宋体" w:eastAsia="宋体" w:hint="default"/>
          <w:spacing w:val="-4"/>
          <w:sz w:val="21"/>
          <w:szCs w:val="21"/>
        </w:rPr>
        <w:t>（</w:t>
      </w:r>
      <w:r>
        <w:rPr>
          <w:rFonts w:ascii="Times New Roman" w:hAnsi="Times New Roman" w:cs="Times New Roman" w:eastAsia="Times New Roman" w:hint="default"/>
          <w:spacing w:val="-4"/>
          <w:sz w:val="21"/>
          <w:szCs w:val="21"/>
        </w:rPr>
        <w:t>1</w:t>
      </w:r>
      <w:r>
        <w:rPr>
          <w:rFonts w:ascii="宋体" w:hAnsi="宋体" w:cs="宋体" w:eastAsia="宋体" w:hint="default"/>
          <w:spacing w:val="-4"/>
          <w:sz w:val="21"/>
          <w:szCs w:val="21"/>
        </w:rPr>
        <w:t>）对河南方正生效判决执行和解，四方一致同意将郑州中院已经查封，普宁法院针对（</w:t>
      </w:r>
      <w:r>
        <w:rPr>
          <w:rFonts w:ascii="Times New Roman" w:hAnsi="Times New Roman" w:cs="Times New Roman" w:eastAsia="Times New Roman" w:hint="default"/>
          <w:spacing w:val="-4"/>
          <w:sz w:val="21"/>
          <w:szCs w:val="21"/>
        </w:rPr>
        <w:t>2004</w:t>
      </w:r>
      <w:r>
        <w:rPr>
          <w:rFonts w:ascii="宋体" w:hAnsi="宋体" w:cs="宋体" w:eastAsia="宋体" w:hint="default"/>
          <w:spacing w:val="-4"/>
          <w:sz w:val="21"/>
          <w:szCs w:val="21"/>
        </w:rPr>
        <w:t>）</w:t>
      </w:r>
      <w:r>
        <w:rPr>
          <w:rFonts w:ascii="宋体" w:hAnsi="宋体" w:cs="宋体" w:eastAsia="宋体" w:hint="default"/>
          <w:sz w:val="21"/>
          <w:szCs w:val="21"/>
        </w:rPr>
        <w:t> 中国贸仲深裁字第</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76 </w:t>
      </w:r>
      <w:r>
        <w:rPr>
          <w:rFonts w:ascii="宋体" w:hAnsi="宋体" w:cs="宋体" w:eastAsia="宋体" w:hint="default"/>
          <w:spacing w:val="-5"/>
          <w:sz w:val="21"/>
          <w:szCs w:val="21"/>
        </w:rPr>
        <w:t>号《裁决书》的执行轮候查封的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 </w:t>
      </w:r>
      <w:r>
        <w:rPr>
          <w:rFonts w:ascii="宋体" w:hAnsi="宋体" w:cs="宋体" w:eastAsia="宋体" w:hint="default"/>
          <w:sz w:val="21"/>
          <w:szCs w:val="21"/>
        </w:rPr>
        <w:t>号厂房所有权及所占土地使用权转移过户给 </w:t>
      </w:r>
      <w:r>
        <w:rPr>
          <w:rFonts w:ascii="宋体" w:hAnsi="宋体" w:cs="宋体" w:eastAsia="宋体" w:hint="default"/>
          <w:spacing w:val="-4"/>
          <w:sz w:val="21"/>
          <w:szCs w:val="21"/>
        </w:rPr>
        <w:t>河南方正指定的上海高科房地产有限公司（以下简称“上海高科公司”）名下，作为对河南方正生效</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判决执行事宜的了结；</w:t>
      </w:r>
    </w:p>
    <w:p>
      <w:pPr>
        <w:spacing w:line="412" w:lineRule="auto" w:before="67"/>
        <w:ind w:left="138" w:right="213"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）对（</w:t>
      </w:r>
      <w:r>
        <w:rPr>
          <w:rFonts w:ascii="Times New Roman" w:hAnsi="Times New Roman" w:cs="Times New Roman" w:eastAsia="Times New Roman" w:hint="default"/>
          <w:sz w:val="21"/>
          <w:szCs w:val="21"/>
        </w:rPr>
        <w:t>2004</w:t>
      </w:r>
      <w:r>
        <w:rPr>
          <w:rFonts w:ascii="宋体" w:hAnsi="宋体" w:cs="宋体" w:eastAsia="宋体" w:hint="default"/>
          <w:sz w:val="21"/>
          <w:szCs w:val="21"/>
        </w:rPr>
        <w:t>）中国贸仲深裁字第 </w:t>
      </w:r>
      <w:r>
        <w:rPr>
          <w:rFonts w:ascii="Times New Roman" w:hAnsi="Times New Roman" w:cs="Times New Roman" w:eastAsia="Times New Roman" w:hint="default"/>
          <w:sz w:val="21"/>
          <w:szCs w:val="21"/>
        </w:rPr>
        <w:t>76</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号《裁决书》执行和解，四方一致同意并确认由深大通 向中央国际支付人民币 </w:t>
      </w:r>
      <w:r>
        <w:rPr>
          <w:rFonts w:ascii="Times New Roman" w:hAnsi="Times New Roman" w:cs="Times New Roman" w:eastAsia="Times New Roman" w:hint="default"/>
          <w:sz w:val="21"/>
          <w:szCs w:val="21"/>
        </w:rPr>
        <w:t>11</w:t>
      </w:r>
      <w:r>
        <w:rPr>
          <w:rFonts w:ascii="宋体" w:hAnsi="宋体" w:cs="宋体" w:eastAsia="宋体" w:hint="default"/>
          <w:sz w:val="21"/>
          <w:szCs w:val="21"/>
        </w:rPr>
        <w:t>，</w:t>
      </w:r>
      <w:r>
        <w:rPr>
          <w:rFonts w:ascii="Times New Roman" w:hAnsi="Times New Roman" w:cs="Times New Roman" w:eastAsia="Times New Roman" w:hint="default"/>
          <w:sz w:val="21"/>
          <w:szCs w:val="21"/>
        </w:rPr>
        <w:t>000</w:t>
      </w:r>
      <w:r>
        <w:rPr>
          <w:rFonts w:ascii="宋体" w:hAnsi="宋体" w:cs="宋体" w:eastAsia="宋体" w:hint="default"/>
          <w:sz w:val="21"/>
          <w:szCs w:val="21"/>
        </w:rPr>
        <w:t>，</w:t>
      </w:r>
      <w:r>
        <w:rPr>
          <w:rFonts w:ascii="Times New Roman" w:hAnsi="Times New Roman" w:cs="Times New Roman" w:eastAsia="Times New Roman" w:hint="default"/>
          <w:sz w:val="21"/>
          <w:szCs w:val="21"/>
        </w:rPr>
        <w:t>000.00 </w:t>
      </w:r>
      <w:r>
        <w:rPr>
          <w:rFonts w:ascii="宋体" w:hAnsi="宋体" w:cs="宋体" w:eastAsia="宋体" w:hint="default"/>
          <w:sz w:val="21"/>
          <w:szCs w:val="21"/>
        </w:rPr>
        <w:t>元，并且深大通将其持在大通食品的</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30%</w:t>
      </w:r>
      <w:r>
        <w:rPr>
          <w:rFonts w:ascii="宋体" w:hAnsi="宋体" w:cs="宋体" w:eastAsia="宋体" w:hint="default"/>
          <w:sz w:val="21"/>
          <w:szCs w:val="21"/>
        </w:rPr>
        <w:t>股权无偿转让给 中央国际，作为深大通与中央国际就合资成立大通食品的合资纠纷及（</w:t>
      </w:r>
      <w:r>
        <w:rPr>
          <w:rFonts w:ascii="Times New Roman" w:hAnsi="Times New Roman" w:cs="Times New Roman" w:eastAsia="Times New Roman" w:hint="default"/>
          <w:sz w:val="21"/>
          <w:szCs w:val="21"/>
        </w:rPr>
        <w:t>2004</w:t>
      </w:r>
      <w:r>
        <w:rPr>
          <w:rFonts w:ascii="宋体" w:hAnsi="宋体" w:cs="宋体" w:eastAsia="宋体" w:hint="default"/>
          <w:sz w:val="21"/>
          <w:szCs w:val="21"/>
        </w:rPr>
        <w:t>）中国贸仲深裁字第</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76 </w:t>
      </w:r>
      <w:r>
        <w:rPr>
          <w:rFonts w:ascii="宋体" w:hAnsi="宋体" w:cs="宋体" w:eastAsia="宋体" w:hint="default"/>
          <w:sz w:val="21"/>
          <w:szCs w:val="21"/>
        </w:rPr>
        <w:t>号《裁决书》执行事宜的了结。</w:t>
      </w:r>
    </w:p>
    <w:p>
      <w:pPr>
        <w:spacing w:before="74"/>
        <w:ind w:left="558" w:right="11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、协议资产抵债</w:t>
      </w:r>
    </w:p>
    <w:p>
      <w:pPr>
        <w:spacing w:line="240" w:lineRule="auto" w:before="0"/>
        <w:rPr>
          <w:rFonts w:ascii="宋体" w:hAnsi="宋体" w:cs="宋体" w:eastAsia="宋体" w:hint="default"/>
          <w:sz w:val="16"/>
          <w:szCs w:val="16"/>
        </w:rPr>
      </w:pPr>
    </w:p>
    <w:p>
      <w:pPr>
        <w:spacing w:before="0"/>
        <w:ind w:left="138" w:right="111" w:firstLine="0"/>
        <w:jc w:val="left"/>
        <w:rPr>
          <w:rFonts w:ascii="宋体" w:hAnsi="宋体" w:cs="宋体" w:eastAsia="宋体" w:hint="default"/>
          <w:sz w:val="21"/>
          <w:szCs w:val="21"/>
        </w:rPr>
      </w:pPr>
      <w:r>
        <w:rPr>
          <w:rFonts w:ascii="宋体" w:hAnsi="宋体" w:cs="宋体" w:eastAsia="宋体" w:hint="default"/>
          <w:sz w:val="21"/>
          <w:szCs w:val="21"/>
        </w:rPr>
        <w:t>另外</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日，本公司与河南方正公司签署抵债协议，双方同意以郑州中院委托深圳市国</w:t>
      </w:r>
    </w:p>
    <w:p>
      <w:pPr>
        <w:spacing w:line="240" w:lineRule="auto" w:before="12"/>
        <w:rPr>
          <w:rFonts w:ascii="宋体" w:hAnsi="宋体" w:cs="宋体" w:eastAsia="宋体" w:hint="default"/>
          <w:sz w:val="15"/>
          <w:szCs w:val="15"/>
        </w:rPr>
      </w:pPr>
    </w:p>
    <w:p>
      <w:pPr>
        <w:spacing w:before="0"/>
        <w:ind w:left="138" w:right="111" w:firstLine="0"/>
        <w:jc w:val="left"/>
        <w:rPr>
          <w:rFonts w:ascii="宋体" w:hAnsi="宋体" w:cs="宋体" w:eastAsia="宋体" w:hint="default"/>
          <w:sz w:val="21"/>
          <w:szCs w:val="21"/>
        </w:rPr>
      </w:pPr>
      <w:r>
        <w:rPr>
          <w:rFonts w:ascii="宋体" w:hAnsi="宋体" w:cs="宋体" w:eastAsia="宋体" w:hint="default"/>
          <w:sz w:val="21"/>
          <w:szCs w:val="21"/>
        </w:rPr>
        <w:t>房土地房地产评估咨询有限公司于</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日出具的大通工业城</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号厂房及占地的评估结果</w:t>
      </w:r>
    </w:p>
    <w:p>
      <w:pPr>
        <w:spacing w:line="240" w:lineRule="auto" w:before="0"/>
        <w:rPr>
          <w:rFonts w:ascii="宋体" w:hAnsi="宋体" w:cs="宋体" w:eastAsia="宋体" w:hint="default"/>
          <w:sz w:val="16"/>
          <w:szCs w:val="16"/>
        </w:rPr>
      </w:pPr>
    </w:p>
    <w:p>
      <w:pPr>
        <w:spacing w:line="412" w:lineRule="auto" w:before="0"/>
        <w:ind w:left="138" w:right="20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11,769,959.00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元作为依据，将深大通</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号厂房及占地作价</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11,769,959.00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元，抵偿欠河南方正的诉讼 款项。</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before="0"/>
        <w:ind w:left="558" w:right="111" w:firstLine="0"/>
        <w:jc w:val="left"/>
        <w:rPr>
          <w:rFonts w:ascii="黑体" w:hAnsi="黑体" w:cs="黑体" w:eastAsia="黑体" w:hint="default"/>
          <w:sz w:val="21"/>
          <w:szCs w:val="21"/>
        </w:rPr>
      </w:pPr>
      <w:r>
        <w:rPr>
          <w:rFonts w:ascii="黑体" w:hAnsi="黑体" w:cs="黑体" w:eastAsia="黑体" w:hint="default"/>
          <w:sz w:val="21"/>
          <w:szCs w:val="21"/>
        </w:rPr>
        <w:t>十二、其他重大事项</w:t>
      </w:r>
    </w:p>
    <w:p>
      <w:pPr>
        <w:spacing w:line="240" w:lineRule="auto" w:before="9"/>
        <w:rPr>
          <w:rFonts w:ascii="黑体" w:hAnsi="黑体" w:cs="黑体" w:eastAsia="黑体" w:hint="default"/>
          <w:sz w:val="15"/>
          <w:szCs w:val="15"/>
        </w:rPr>
      </w:pPr>
    </w:p>
    <w:p>
      <w:pPr>
        <w:spacing w:before="0"/>
        <w:ind w:left="645" w:right="864" w:firstLine="0"/>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）公司重组方青岛亚星实业有限公司收购报告书和豁免要约收购义务获证监会批准</w:t>
      </w:r>
    </w:p>
    <w:p>
      <w:pPr>
        <w:spacing w:line="408" w:lineRule="auto" w:before="189"/>
        <w:ind w:left="138" w:right="212" w:firstLine="525"/>
        <w:jc w:val="both"/>
        <w:rPr>
          <w:rFonts w:ascii="宋体" w:hAnsi="宋体" w:cs="宋体" w:eastAsia="宋体" w:hint="default"/>
          <w:sz w:val="21"/>
          <w:szCs w:val="21"/>
        </w:rPr>
      </w:pPr>
      <w:r>
        <w:rPr>
          <w:rFonts w:ascii="Times New Roman" w:hAnsi="Times New Roman" w:cs="Times New Roman" w:eastAsia="Times New Roman" w:hint="default"/>
          <w:spacing w:val="-1"/>
          <w:sz w:val="21"/>
          <w:szCs w:val="21"/>
        </w:rPr>
        <w:t>2009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5"/>
          <w:sz w:val="21"/>
          <w:szCs w:val="21"/>
        </w:rPr>
        <w:t> </w:t>
      </w:r>
      <w:r>
        <w:rPr>
          <w:rFonts w:ascii="宋体" w:hAnsi="宋体" w:cs="宋体" w:eastAsia="宋体" w:hint="default"/>
          <w:spacing w:val="-1"/>
          <w:sz w:val="21"/>
          <w:szCs w:val="21"/>
        </w:rPr>
        <w:t>日中国证券监督管理委员会证监许可</w:t>
      </w:r>
      <w:r>
        <w:rPr>
          <w:rFonts w:ascii="Times New Roman" w:hAnsi="Times New Roman" w:cs="Times New Roman" w:eastAsia="Times New Roman" w:hint="default"/>
          <w:spacing w:val="-1"/>
          <w:sz w:val="21"/>
          <w:szCs w:val="21"/>
        </w:rPr>
        <w:t>[2009]338</w:t>
      </w:r>
      <w:r>
        <w:rPr>
          <w:rFonts w:ascii="Times New Roman" w:hAnsi="Times New Roman" w:cs="Times New Roman" w:eastAsia="Times New Roman" w:hint="default"/>
          <w:spacing w:val="5"/>
          <w:sz w:val="21"/>
          <w:szCs w:val="21"/>
        </w:rPr>
        <w:t> </w:t>
      </w:r>
      <w:r>
        <w:rPr>
          <w:rFonts w:ascii="宋体" w:hAnsi="宋体" w:cs="宋体" w:eastAsia="宋体" w:hint="default"/>
          <w:spacing w:val="-8"/>
          <w:sz w:val="21"/>
          <w:szCs w:val="21"/>
        </w:rPr>
        <w:t>号“关于核准青岛亚星实业有限</w:t>
      </w:r>
      <w:r>
        <w:rPr>
          <w:rFonts w:ascii="宋体" w:hAnsi="宋体" w:cs="宋体" w:eastAsia="宋体" w:hint="default"/>
          <w:sz w:val="21"/>
          <w:szCs w:val="21"/>
        </w:rPr>
        <w:t> </w:t>
      </w:r>
      <w:r>
        <w:rPr>
          <w:rFonts w:ascii="宋体" w:hAnsi="宋体" w:cs="宋体" w:eastAsia="宋体" w:hint="default"/>
          <w:spacing w:val="-4"/>
          <w:sz w:val="21"/>
          <w:szCs w:val="21"/>
        </w:rPr>
        <w:t>公司公告深圳大通实业股份有限公司收购报告书并豁免其要约收购义务的批复”，核准青岛亚星实业</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有限公司公告深圳大通实业股份有限公司收购报告书；豁免青岛亚星实业有限公司因本公司实施股</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权分置改革方案而增持本公司</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29,063,249</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股股份，导致合计持股</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39,063,249</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股股份，约占该公司总 股本的</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40.59%</w:t>
      </w:r>
      <w:r>
        <w:rPr>
          <w:rFonts w:ascii="宋体" w:hAnsi="宋体" w:cs="宋体" w:eastAsia="宋体" w:hint="default"/>
          <w:sz w:val="21"/>
          <w:szCs w:val="21"/>
        </w:rPr>
        <w:t>而应履行的要约收购义务。</w:t>
      </w:r>
    </w:p>
    <w:p>
      <w:pPr>
        <w:spacing w:before="26"/>
        <w:ind w:left="558" w:right="11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）公司接受重组方资产赠与</w:t>
      </w:r>
    </w:p>
    <w:p>
      <w:pPr>
        <w:spacing w:after="0"/>
        <w:jc w:val="left"/>
        <w:rPr>
          <w:rFonts w:ascii="宋体" w:hAnsi="宋体" w:cs="宋体" w:eastAsia="宋体" w:hint="default"/>
          <w:sz w:val="21"/>
          <w:szCs w:val="21"/>
        </w:rPr>
        <w:sectPr>
          <w:pgSz w:w="11910" w:h="16840"/>
          <w:pgMar w:header="0" w:footer="710" w:top="580" w:bottom="900" w:left="1280" w:right="1200"/>
        </w:sectPr>
      </w:pPr>
    </w:p>
    <w:p>
      <w:pPr>
        <w:pStyle w:val="Heading2"/>
        <w:spacing w:line="310" w:lineRule="exact"/>
        <w:ind w:right="2996"/>
        <w:jc w:val="center"/>
        <w:rPr>
          <w:b w:val="0"/>
          <w:bCs w:val="0"/>
        </w:rPr>
      </w:pPr>
      <w:r>
        <w:rPr/>
        <w:pict>
          <v:shape style="position:absolute;margin-left:88.919998pt;margin-top:3.990308pt;width:57.0pt;height:31.5pt;mso-position-horizontal-relative:page;mso-position-vertical-relative:paragraph;z-index:19480"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645" w:right="725"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6"/>
        <w:rPr>
          <w:rFonts w:ascii="Times New Roman" w:hAnsi="Times New Roman" w:cs="Times New Roman" w:eastAsia="Times New Roman" w:hint="default"/>
          <w:sz w:val="11"/>
          <w:szCs w:val="11"/>
        </w:rPr>
      </w:pPr>
    </w:p>
    <w:p>
      <w:pPr>
        <w:spacing w:before="35"/>
        <w:ind w:left="664" w:right="11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日，深大通</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年第一次临时股东大会通过了《资产赠与、资本公积金定向</w:t>
      </w:r>
    </w:p>
    <w:p>
      <w:pPr>
        <w:spacing w:before="189"/>
        <w:ind w:left="138" w:right="0" w:firstLine="0"/>
        <w:jc w:val="both"/>
        <w:rPr>
          <w:rFonts w:ascii="宋体" w:hAnsi="宋体" w:cs="宋体" w:eastAsia="宋体" w:hint="default"/>
          <w:sz w:val="21"/>
          <w:szCs w:val="21"/>
        </w:rPr>
      </w:pPr>
      <w:r>
        <w:rPr>
          <w:rFonts w:ascii="宋体" w:hAnsi="宋体" w:cs="宋体" w:eastAsia="宋体" w:hint="default"/>
          <w:sz w:val="21"/>
          <w:szCs w:val="21"/>
        </w:rPr>
        <w:t>转增股本暨股权分置改革方案的议案</w:t>
      </w:r>
      <w:r>
        <w:rPr>
          <w:rFonts w:ascii="宋体" w:hAnsi="宋体" w:cs="宋体" w:eastAsia="宋体" w:hint="default"/>
          <w:spacing w:val="-105"/>
          <w:sz w:val="21"/>
          <w:szCs w:val="21"/>
        </w:rPr>
        <w:t>》</w:t>
      </w:r>
      <w:r>
        <w:rPr>
          <w:rFonts w:ascii="宋体" w:hAnsi="宋体" w:cs="宋体" w:eastAsia="宋体" w:hint="default"/>
          <w:spacing w:val="-106"/>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r>
        <w:rPr>
          <w:rFonts w:ascii="宋体" w:hAnsi="宋体" w:cs="宋体" w:eastAsia="宋体" w:hint="default"/>
          <w:spacing w:val="-2"/>
          <w:sz w:val="21"/>
          <w:szCs w:val="21"/>
        </w:rPr>
        <w:t>亚</w:t>
      </w:r>
      <w:r>
        <w:rPr>
          <w:rFonts w:ascii="宋体" w:hAnsi="宋体" w:cs="宋体" w:eastAsia="宋体" w:hint="default"/>
          <w:sz w:val="21"/>
          <w:szCs w:val="21"/>
        </w:rPr>
        <w:t>星实业公司与本公司签署股权转让协议，</w:t>
      </w:r>
    </w:p>
    <w:p>
      <w:pPr>
        <w:spacing w:line="396" w:lineRule="auto" w:before="189"/>
        <w:ind w:left="138" w:right="214"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日青岛亚星实业有限公司已经将其持有的青岛广顺房地产公司</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83%</w:t>
      </w:r>
      <w:r>
        <w:rPr>
          <w:rFonts w:ascii="宋体" w:hAnsi="宋体" w:cs="宋体" w:eastAsia="宋体" w:hint="default"/>
          <w:sz w:val="21"/>
          <w:szCs w:val="21"/>
        </w:rPr>
        <w:t>的股权过户给本 公司，</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日青岛亚星实业有限公司将其持有的兖州海情置业有限公司</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90%</w:t>
      </w:r>
      <w:r>
        <w:rPr>
          <w:rFonts w:ascii="宋体" w:hAnsi="宋体" w:cs="宋体" w:eastAsia="宋体" w:hint="default"/>
          <w:sz w:val="21"/>
          <w:szCs w:val="21"/>
        </w:rPr>
        <w:t>的股权过户 给本公司；</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日北京天健兴业资产评估有限公司出具天兴评报字（</w:t>
      </w:r>
      <w:r>
        <w:rPr>
          <w:rFonts w:ascii="Times New Roman" w:hAnsi="Times New Roman" w:cs="Times New Roman" w:eastAsia="Times New Roman" w:hint="default"/>
          <w:sz w:val="21"/>
          <w:szCs w:val="21"/>
        </w:rPr>
        <w:t>2009</w:t>
      </w:r>
      <w:r>
        <w:rPr>
          <w:rFonts w:ascii="宋体" w:hAnsi="宋体" w:cs="宋体" w:eastAsia="宋体" w:hint="default"/>
          <w:sz w:val="21"/>
          <w:szCs w:val="21"/>
        </w:rPr>
        <w:t>）第</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号评估</w:t>
      </w:r>
    </w:p>
    <w:p>
      <w:pPr>
        <w:spacing w:before="38"/>
        <w:ind w:left="138" w:right="0" w:firstLine="0"/>
        <w:jc w:val="both"/>
        <w:rPr>
          <w:rFonts w:ascii="宋体" w:hAnsi="宋体" w:cs="宋体" w:eastAsia="宋体" w:hint="default"/>
          <w:sz w:val="21"/>
          <w:szCs w:val="21"/>
        </w:rPr>
      </w:pPr>
      <w:r>
        <w:rPr>
          <w:rFonts w:ascii="宋体" w:hAnsi="宋体" w:cs="宋体" w:eastAsia="宋体" w:hint="default"/>
          <w:sz w:val="21"/>
          <w:szCs w:val="21"/>
        </w:rPr>
        <w:t>报告，截止</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日，青岛广顺房地产有限公司股权价值评估值为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5,620.86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p>
    <w:p>
      <w:pPr>
        <w:spacing w:before="189"/>
        <w:ind w:left="138" w:right="0" w:firstLine="0"/>
        <w:jc w:val="both"/>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日北京天健兴业资产评估有限公司出具天兴评报字（</w:t>
      </w:r>
      <w:r>
        <w:rPr>
          <w:rFonts w:ascii="Times New Roman" w:hAnsi="Times New Roman" w:cs="Times New Roman" w:eastAsia="Times New Roman" w:hint="default"/>
          <w:sz w:val="21"/>
          <w:szCs w:val="21"/>
        </w:rPr>
        <w:t>2009</w:t>
      </w:r>
      <w:r>
        <w:rPr>
          <w:rFonts w:ascii="宋体" w:hAnsi="宋体" w:cs="宋体" w:eastAsia="宋体" w:hint="default"/>
          <w:sz w:val="21"/>
          <w:szCs w:val="21"/>
        </w:rPr>
        <w:t>）第</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8"/>
          <w:sz w:val="21"/>
          <w:szCs w:val="21"/>
        </w:rPr>
        <w:t> </w:t>
      </w:r>
      <w:r>
        <w:rPr>
          <w:rFonts w:ascii="宋体" w:hAnsi="宋体" w:cs="宋体" w:eastAsia="宋体" w:hint="default"/>
          <w:spacing w:val="-3"/>
          <w:sz w:val="21"/>
          <w:szCs w:val="21"/>
        </w:rPr>
        <w:t>号评估报告，截止</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8</w:t>
      </w:r>
    </w:p>
    <w:p>
      <w:pPr>
        <w:spacing w:line="396" w:lineRule="auto" w:before="189"/>
        <w:ind w:left="664" w:right="206" w:hanging="526"/>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日，兖州海情置业有限公司净资产评估值为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18,123.99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 </w:t>
      </w:r>
      <w:r>
        <w:rPr>
          <w:rFonts w:ascii="宋体" w:hAnsi="宋体" w:cs="宋体" w:eastAsia="宋体" w:hint="default"/>
          <w:spacing w:val="-1"/>
          <w:sz w:val="21"/>
          <w:szCs w:val="21"/>
        </w:rPr>
        <w:t>根据证监会关于《上市公司执行企业会计准则监管问题解答（</w:t>
      </w:r>
      <w:r>
        <w:rPr>
          <w:rFonts w:ascii="Times New Roman" w:hAnsi="Times New Roman" w:cs="Times New Roman" w:eastAsia="Times New Roman" w:hint="default"/>
          <w:spacing w:val="-1"/>
          <w:sz w:val="21"/>
          <w:szCs w:val="21"/>
        </w:rPr>
        <w:t>2009</w:t>
      </w:r>
      <w:r>
        <w:rPr>
          <w:rFonts w:ascii="Times New Roman" w:hAnsi="Times New Roman" w:cs="Times New Roman" w:eastAsia="Times New Roman" w:hint="default"/>
          <w:sz w:val="21"/>
          <w:szCs w:val="21"/>
        </w:rPr>
        <w:t> </w:t>
      </w:r>
      <w:r>
        <w:rPr>
          <w:rFonts w:ascii="宋体" w:hAnsi="宋体" w:cs="宋体" w:eastAsia="宋体" w:hint="default"/>
          <w:spacing w:val="-1"/>
          <w:sz w:val="21"/>
          <w:szCs w:val="21"/>
        </w:rPr>
        <w:t>年第</w:t>
      </w:r>
      <w:r>
        <w:rPr>
          <w:rFonts w:ascii="宋体" w:hAnsi="宋体" w:cs="宋体" w:eastAsia="宋体" w:hint="default"/>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31"/>
          <w:sz w:val="21"/>
          <w:szCs w:val="21"/>
        </w:rPr>
        <w:t> </w:t>
      </w:r>
      <w:r>
        <w:rPr>
          <w:rFonts w:ascii="宋体" w:hAnsi="宋体" w:cs="宋体" w:eastAsia="宋体" w:hint="default"/>
          <w:spacing w:val="-13"/>
          <w:sz w:val="21"/>
          <w:szCs w:val="21"/>
        </w:rPr>
        <w:t>期）》中相关问题的</w:t>
      </w:r>
    </w:p>
    <w:p>
      <w:pPr>
        <w:spacing w:before="38"/>
        <w:ind w:left="138" w:right="0" w:firstLine="0"/>
        <w:jc w:val="both"/>
        <w:rPr>
          <w:rFonts w:ascii="Times New Roman" w:hAnsi="Times New Roman" w:cs="Times New Roman" w:eastAsia="Times New Roman" w:hint="default"/>
          <w:sz w:val="21"/>
          <w:szCs w:val="21"/>
        </w:rPr>
      </w:pPr>
      <w:r>
        <w:rPr>
          <w:rFonts w:ascii="宋体" w:hAnsi="宋体" w:cs="宋体" w:eastAsia="宋体" w:hint="default"/>
          <w:sz w:val="21"/>
          <w:szCs w:val="21"/>
        </w:rPr>
        <w:t>解答公</w:t>
      </w:r>
      <w:r>
        <w:rPr>
          <w:rFonts w:ascii="宋体" w:hAnsi="宋体" w:cs="宋体" w:eastAsia="宋体" w:hint="default"/>
          <w:spacing w:val="-4"/>
          <w:sz w:val="21"/>
          <w:szCs w:val="21"/>
        </w:rPr>
        <w:t>司</w:t>
      </w:r>
      <w:r>
        <w:rPr>
          <w:rFonts w:ascii="宋体" w:hAnsi="宋体" w:cs="宋体" w:eastAsia="宋体" w:hint="default"/>
          <w:spacing w:val="-2"/>
          <w:sz w:val="21"/>
          <w:szCs w:val="21"/>
        </w:rPr>
        <w:t>《</w:t>
      </w:r>
      <w:r>
        <w:rPr>
          <w:rFonts w:ascii="宋体" w:hAnsi="宋体" w:cs="宋体" w:eastAsia="宋体" w:hint="default"/>
          <w:sz w:val="21"/>
          <w:szCs w:val="21"/>
        </w:rPr>
        <w:t>资产赠与</w:t>
      </w:r>
      <w:r>
        <w:rPr>
          <w:rFonts w:ascii="宋体" w:hAnsi="宋体" w:cs="宋体" w:eastAsia="宋体" w:hint="default"/>
          <w:spacing w:val="-5"/>
          <w:sz w:val="21"/>
          <w:szCs w:val="21"/>
        </w:rPr>
        <w:t>、</w:t>
      </w:r>
      <w:r>
        <w:rPr>
          <w:rFonts w:ascii="宋体" w:hAnsi="宋体" w:cs="宋体" w:eastAsia="宋体" w:hint="default"/>
          <w:sz w:val="21"/>
          <w:szCs w:val="21"/>
        </w:rPr>
        <w:t>资本公积金定向转增股本暨股权分置改革方案的议案</w:t>
      </w:r>
      <w:r>
        <w:rPr>
          <w:rFonts w:ascii="宋体" w:hAnsi="宋体" w:cs="宋体" w:eastAsia="宋体" w:hint="default"/>
          <w:spacing w:val="-105"/>
          <w:sz w:val="21"/>
          <w:szCs w:val="21"/>
        </w:rPr>
        <w:t>》</w:t>
      </w:r>
      <w:r>
        <w:rPr>
          <w:rFonts w:ascii="宋体" w:hAnsi="宋体" w:cs="宋体" w:eastAsia="宋体" w:hint="default"/>
          <w:spacing w:val="-4"/>
          <w:sz w:val="21"/>
          <w:szCs w:val="21"/>
        </w:rPr>
        <w:t>，</w:t>
      </w:r>
      <w:r>
        <w:rPr>
          <w:rFonts w:ascii="宋体" w:hAnsi="宋体" w:cs="宋体" w:eastAsia="宋体" w:hint="default"/>
          <w:spacing w:val="-2"/>
          <w:sz w:val="21"/>
          <w:szCs w:val="21"/>
        </w:rPr>
        <w:t>已</w:t>
      </w:r>
      <w:r>
        <w:rPr>
          <w:rFonts w:ascii="宋体" w:hAnsi="宋体" w:cs="宋体" w:eastAsia="宋体" w:hint="default"/>
          <w:sz w:val="21"/>
          <w:szCs w:val="21"/>
        </w:rPr>
        <w:t>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00</w:t>
      </w:r>
      <w:r>
        <w:rPr>
          <w:rFonts w:ascii="Times New Roman" w:hAnsi="Times New Roman" w:cs="Times New Roman" w:eastAsia="Times New Roman" w:hint="default"/>
          <w:sz w:val="21"/>
          <w:szCs w:val="21"/>
        </w:rPr>
        <w:t>8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22</w:t>
      </w:r>
    </w:p>
    <w:p>
      <w:pPr>
        <w:spacing w:line="396" w:lineRule="auto" w:before="189"/>
        <w:ind w:left="138" w:right="214" w:firstLine="0"/>
        <w:jc w:val="both"/>
        <w:rPr>
          <w:rFonts w:ascii="宋体" w:hAnsi="宋体" w:cs="宋体" w:eastAsia="宋体" w:hint="default"/>
          <w:sz w:val="21"/>
          <w:szCs w:val="21"/>
        </w:rPr>
      </w:pPr>
      <w:r>
        <w:rPr>
          <w:rFonts w:ascii="宋体" w:hAnsi="宋体" w:cs="宋体" w:eastAsia="宋体" w:hint="default"/>
          <w:sz w:val="21"/>
          <w:szCs w:val="21"/>
        </w:rPr>
        <w:t>日经深大通</w:t>
      </w:r>
      <w:r>
        <w:rPr>
          <w:rFonts w:ascii="宋体" w:hAnsi="宋体" w:cs="宋体" w:eastAsia="宋体" w:hint="default"/>
          <w:spacing w:val="-8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2"/>
          <w:sz w:val="21"/>
          <w:szCs w:val="21"/>
        </w:rPr>
        <w:t> </w:t>
      </w:r>
      <w:r>
        <w:rPr>
          <w:rFonts w:ascii="宋体" w:hAnsi="宋体" w:cs="宋体" w:eastAsia="宋体" w:hint="default"/>
          <w:sz w:val="21"/>
          <w:szCs w:val="21"/>
        </w:rPr>
        <w:t>年第一次临时股东大会，并在年报公告前完成股改，公司将重组方青岛亚星实业有 限公司捐赠的青岛广顺房地产公司</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83%</w:t>
      </w:r>
      <w:r>
        <w:rPr>
          <w:rFonts w:ascii="宋体" w:hAnsi="宋体" w:cs="宋体" w:eastAsia="宋体" w:hint="default"/>
          <w:sz w:val="21"/>
          <w:szCs w:val="21"/>
        </w:rPr>
        <w:t>和兖州海情置业有限公司</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90%</w:t>
      </w:r>
      <w:r>
        <w:rPr>
          <w:rFonts w:ascii="宋体" w:hAnsi="宋体" w:cs="宋体" w:eastAsia="宋体" w:hint="default"/>
          <w:sz w:val="21"/>
          <w:szCs w:val="21"/>
        </w:rPr>
        <w:t>的股权共计</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208,562,237.00</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元 计入营业外收入，相应增加长期投资 </w:t>
      </w:r>
      <w:r>
        <w:rPr>
          <w:rFonts w:ascii="Times New Roman" w:hAnsi="Times New Roman" w:cs="Times New Roman" w:eastAsia="Times New Roman" w:hint="default"/>
          <w:sz w:val="21"/>
          <w:szCs w:val="21"/>
        </w:rPr>
        <w:t>208,562,237.00</w:t>
      </w:r>
      <w:r>
        <w:rPr>
          <w:rFonts w:ascii="Times New Roman" w:hAnsi="Times New Roman" w:cs="Times New Roman" w:eastAsia="Times New Roman" w:hint="default"/>
          <w:spacing w:val="32"/>
          <w:sz w:val="21"/>
          <w:szCs w:val="21"/>
        </w:rPr>
        <w:t> </w:t>
      </w:r>
      <w:r>
        <w:rPr>
          <w:rFonts w:ascii="宋体" w:hAnsi="宋体" w:cs="宋体" w:eastAsia="宋体" w:hint="default"/>
          <w:sz w:val="21"/>
          <w:szCs w:val="21"/>
        </w:rPr>
        <w:t>元，并将上述子公司纳入本年财务报告合并范 围。</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spacing w:before="0"/>
        <w:ind w:left="558" w:right="111" w:firstLine="0"/>
        <w:jc w:val="left"/>
        <w:rPr>
          <w:rFonts w:ascii="黑体" w:hAnsi="黑体" w:cs="黑体" w:eastAsia="黑体" w:hint="default"/>
          <w:sz w:val="21"/>
          <w:szCs w:val="21"/>
        </w:rPr>
      </w:pPr>
      <w:r>
        <w:rPr>
          <w:rFonts w:ascii="黑体" w:hAnsi="黑体" w:cs="黑体" w:eastAsia="黑体" w:hint="default"/>
          <w:sz w:val="21"/>
          <w:szCs w:val="21"/>
        </w:rPr>
        <w:t>十三、期后事项</w:t>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20"/>
          <w:szCs w:val="20"/>
        </w:rPr>
      </w:pPr>
    </w:p>
    <w:p>
      <w:pPr>
        <w:spacing w:before="0"/>
        <w:ind w:left="664" w:right="111" w:firstLine="0"/>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1</w:t>
      </w:r>
      <w:r>
        <w:rPr>
          <w:rFonts w:ascii="黑体" w:hAnsi="黑体" w:cs="黑体" w:eastAsia="黑体" w:hint="default"/>
          <w:spacing w:val="-4"/>
          <w:sz w:val="21"/>
          <w:szCs w:val="21"/>
        </w:rPr>
        <w:t>、</w:t>
      </w:r>
      <w:r>
        <w:rPr>
          <w:rFonts w:ascii="宋体" w:hAnsi="宋体" w:cs="宋体" w:eastAsia="宋体" w:hint="default"/>
          <w:spacing w:val="-4"/>
          <w:sz w:val="21"/>
          <w:szCs w:val="21"/>
        </w:rPr>
        <w:t>公司第一大股东方正延中传媒有限公司于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2007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 </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23  </w:t>
      </w:r>
      <w:r>
        <w:rPr>
          <w:rFonts w:ascii="宋体" w:hAnsi="宋体" w:cs="宋体" w:eastAsia="宋体" w:hint="default"/>
          <w:sz w:val="21"/>
          <w:szCs w:val="21"/>
        </w:rPr>
        <w:t>日与青岛亚星实业有限公司</w:t>
      </w:r>
      <w:r>
        <w:rPr>
          <w:rFonts w:ascii="Times New Roman" w:hAnsi="Times New Roman" w:cs="Times New Roman" w:eastAsia="Times New Roman" w:hint="default"/>
          <w:sz w:val="21"/>
          <w:szCs w:val="21"/>
        </w:rPr>
        <w:t>(</w:t>
      </w:r>
      <w:r>
        <w:rPr>
          <w:rFonts w:ascii="宋体" w:hAnsi="宋体" w:cs="宋体" w:eastAsia="宋体" w:hint="default"/>
          <w:sz w:val="21"/>
          <w:szCs w:val="21"/>
        </w:rPr>
        <w:t>以</w:t>
      </w:r>
    </w:p>
    <w:p>
      <w:pPr>
        <w:spacing w:before="189"/>
        <w:ind w:left="138" w:right="0" w:firstLine="0"/>
        <w:jc w:val="both"/>
        <w:rPr>
          <w:rFonts w:ascii="宋体" w:hAnsi="宋体" w:cs="宋体" w:eastAsia="宋体" w:hint="default"/>
          <w:sz w:val="21"/>
          <w:szCs w:val="21"/>
        </w:rPr>
      </w:pPr>
      <w:r>
        <w:rPr>
          <w:rFonts w:ascii="宋体" w:hAnsi="宋体" w:cs="宋体" w:eastAsia="宋体" w:hint="default"/>
          <w:spacing w:val="2"/>
          <w:sz w:val="21"/>
          <w:szCs w:val="21"/>
        </w:rPr>
        <w:t>下称</w:t>
      </w:r>
      <w:r>
        <w:rPr>
          <w:rFonts w:ascii="宋体" w:hAnsi="宋体" w:cs="宋体" w:eastAsia="宋体" w:hint="default"/>
          <w:spacing w:val="1"/>
          <w:sz w:val="21"/>
          <w:szCs w:val="21"/>
        </w:rPr>
        <w:t>“</w:t>
      </w:r>
      <w:r>
        <w:rPr>
          <w:rFonts w:ascii="宋体" w:hAnsi="宋体" w:cs="宋体" w:eastAsia="宋体" w:hint="default"/>
          <w:spacing w:val="2"/>
          <w:sz w:val="21"/>
          <w:szCs w:val="21"/>
        </w:rPr>
        <w:t>亚</w:t>
      </w:r>
      <w:r>
        <w:rPr>
          <w:rFonts w:ascii="宋体" w:hAnsi="宋体" w:cs="宋体" w:eastAsia="宋体" w:hint="default"/>
          <w:spacing w:val="1"/>
          <w:sz w:val="21"/>
          <w:szCs w:val="21"/>
        </w:rPr>
        <w:t>星</w:t>
      </w:r>
      <w:r>
        <w:rPr>
          <w:rFonts w:ascii="宋体" w:hAnsi="宋体" w:cs="宋体" w:eastAsia="宋体" w:hint="default"/>
          <w:spacing w:val="2"/>
          <w:sz w:val="21"/>
          <w:szCs w:val="21"/>
        </w:rPr>
        <w:t>实业</w:t>
      </w:r>
      <w:r>
        <w:rPr>
          <w:rFonts w:ascii="宋体" w:hAnsi="宋体" w:cs="宋体" w:eastAsia="宋体" w:hint="default"/>
          <w:spacing w:val="1"/>
          <w:sz w:val="21"/>
          <w:szCs w:val="21"/>
        </w:rPr>
        <w:t>公</w:t>
      </w:r>
      <w:r>
        <w:rPr>
          <w:rFonts w:ascii="宋体" w:hAnsi="宋体" w:cs="宋体" w:eastAsia="宋体" w:hint="default"/>
          <w:spacing w:val="2"/>
          <w:sz w:val="21"/>
          <w:szCs w:val="21"/>
        </w:rPr>
        <w:t>司</w:t>
      </w:r>
      <w:r>
        <w:rPr>
          <w:rFonts w:ascii="宋体" w:hAnsi="宋体" w:cs="宋体" w:eastAsia="宋体" w:hint="default"/>
          <w:spacing w:val="1"/>
          <w:sz w:val="21"/>
          <w:szCs w:val="21"/>
        </w:rPr>
        <w:t>”</w:t>
      </w:r>
      <w:r>
        <w:rPr>
          <w:rFonts w:ascii="Times New Roman" w:hAnsi="Times New Roman" w:cs="Times New Roman" w:eastAsia="Times New Roman" w:hint="default"/>
          <w:sz w:val="21"/>
          <w:szCs w:val="21"/>
        </w:rPr>
        <w:t>)</w:t>
      </w:r>
      <w:r>
        <w:rPr>
          <w:rFonts w:ascii="宋体" w:hAnsi="宋体" w:cs="宋体" w:eastAsia="宋体" w:hint="default"/>
          <w:spacing w:val="2"/>
          <w:sz w:val="21"/>
          <w:szCs w:val="21"/>
        </w:rPr>
        <w:t>签署</w:t>
      </w:r>
      <w:r>
        <w:rPr>
          <w:rFonts w:ascii="宋体" w:hAnsi="宋体" w:cs="宋体" w:eastAsia="宋体" w:hint="default"/>
          <w:spacing w:val="1"/>
          <w:sz w:val="21"/>
          <w:szCs w:val="21"/>
        </w:rPr>
        <w:t>《</w:t>
      </w:r>
      <w:r>
        <w:rPr>
          <w:rFonts w:ascii="宋体" w:hAnsi="宋体" w:cs="宋体" w:eastAsia="宋体" w:hint="default"/>
          <w:spacing w:val="2"/>
          <w:sz w:val="21"/>
          <w:szCs w:val="21"/>
        </w:rPr>
        <w:t>股</w:t>
      </w:r>
      <w:r>
        <w:rPr>
          <w:rFonts w:ascii="宋体" w:hAnsi="宋体" w:cs="宋体" w:eastAsia="宋体" w:hint="default"/>
          <w:spacing w:val="1"/>
          <w:sz w:val="21"/>
          <w:szCs w:val="21"/>
        </w:rPr>
        <w:t>份</w:t>
      </w:r>
      <w:r>
        <w:rPr>
          <w:rFonts w:ascii="宋体" w:hAnsi="宋体" w:cs="宋体" w:eastAsia="宋体" w:hint="default"/>
          <w:spacing w:val="2"/>
          <w:sz w:val="21"/>
          <w:szCs w:val="21"/>
        </w:rPr>
        <w:t>转让</w:t>
      </w:r>
      <w:r>
        <w:rPr>
          <w:rFonts w:ascii="宋体" w:hAnsi="宋体" w:cs="宋体" w:eastAsia="宋体" w:hint="default"/>
          <w:spacing w:val="1"/>
          <w:sz w:val="21"/>
          <w:szCs w:val="21"/>
        </w:rPr>
        <w:t>协</w:t>
      </w:r>
      <w:r>
        <w:rPr>
          <w:rFonts w:ascii="宋体" w:hAnsi="宋体" w:cs="宋体" w:eastAsia="宋体" w:hint="default"/>
          <w:spacing w:val="2"/>
          <w:sz w:val="21"/>
          <w:szCs w:val="21"/>
        </w:rPr>
        <w:t>议</w:t>
      </w:r>
      <w:r>
        <w:rPr>
          <w:rFonts w:ascii="宋体" w:hAnsi="宋体" w:cs="宋体" w:eastAsia="宋体" w:hint="default"/>
          <w:spacing w:val="-104"/>
          <w:sz w:val="21"/>
          <w:szCs w:val="21"/>
        </w:rPr>
        <w:t>》</w:t>
      </w:r>
      <w:r>
        <w:rPr>
          <w:rFonts w:ascii="宋体" w:hAnsi="宋体" w:cs="宋体" w:eastAsia="宋体" w:hint="default"/>
          <w:spacing w:val="1"/>
          <w:sz w:val="21"/>
          <w:szCs w:val="21"/>
        </w:rPr>
        <w:t>，</w:t>
      </w:r>
      <w:r>
        <w:rPr>
          <w:rFonts w:ascii="宋体" w:hAnsi="宋体" w:cs="宋体" w:eastAsia="宋体" w:hint="default"/>
          <w:spacing w:val="2"/>
          <w:sz w:val="21"/>
          <w:szCs w:val="21"/>
        </w:rPr>
        <w:t>转让</w:t>
      </w:r>
      <w:r>
        <w:rPr>
          <w:rFonts w:ascii="宋体" w:hAnsi="宋体" w:cs="宋体" w:eastAsia="宋体" w:hint="default"/>
          <w:spacing w:val="1"/>
          <w:sz w:val="21"/>
          <w:szCs w:val="21"/>
        </w:rPr>
        <w:t>其</w:t>
      </w:r>
      <w:r>
        <w:rPr>
          <w:rFonts w:ascii="宋体" w:hAnsi="宋体" w:cs="宋体" w:eastAsia="宋体" w:hint="default"/>
          <w:spacing w:val="2"/>
          <w:sz w:val="21"/>
          <w:szCs w:val="21"/>
        </w:rPr>
        <w:t>持</w:t>
      </w:r>
      <w:r>
        <w:rPr>
          <w:rFonts w:ascii="宋体" w:hAnsi="宋体" w:cs="宋体" w:eastAsia="宋体" w:hint="default"/>
          <w:spacing w:val="1"/>
          <w:sz w:val="21"/>
          <w:szCs w:val="21"/>
        </w:rPr>
        <w:t>有</w:t>
      </w:r>
      <w:r>
        <w:rPr>
          <w:rFonts w:ascii="宋体" w:hAnsi="宋体" w:cs="宋体" w:eastAsia="宋体" w:hint="default"/>
          <w:spacing w:val="2"/>
          <w:sz w:val="21"/>
          <w:szCs w:val="21"/>
        </w:rPr>
        <w:t>本公司</w:t>
      </w:r>
      <w:r>
        <w:rPr>
          <w:rFonts w:ascii="宋体" w:hAnsi="宋体" w:cs="宋体" w:eastAsia="宋体" w:hint="default"/>
          <w:sz w:val="21"/>
          <w:szCs w:val="21"/>
        </w:rPr>
        <w:t>的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00 </w:t>
      </w:r>
      <w:r>
        <w:rPr>
          <w:rFonts w:ascii="Times New Roman" w:hAnsi="Times New Roman" w:cs="Times New Roman" w:eastAsia="Times New Roman" w:hint="default"/>
          <w:spacing w:val="2"/>
          <w:sz w:val="21"/>
          <w:szCs w:val="21"/>
        </w:rPr>
        <w:t> </w:t>
      </w:r>
      <w:r>
        <w:rPr>
          <w:rFonts w:ascii="宋体" w:hAnsi="宋体" w:cs="宋体" w:eastAsia="宋体" w:hint="default"/>
          <w:spacing w:val="1"/>
          <w:sz w:val="21"/>
          <w:szCs w:val="21"/>
        </w:rPr>
        <w:t>万</w:t>
      </w:r>
      <w:r>
        <w:rPr>
          <w:rFonts w:ascii="宋体" w:hAnsi="宋体" w:cs="宋体" w:eastAsia="宋体" w:hint="default"/>
          <w:spacing w:val="2"/>
          <w:sz w:val="21"/>
          <w:szCs w:val="21"/>
        </w:rPr>
        <w:t>股</w:t>
      </w:r>
      <w:r>
        <w:rPr>
          <w:rFonts w:ascii="宋体" w:hAnsi="宋体" w:cs="宋体" w:eastAsia="宋体" w:hint="default"/>
          <w:spacing w:val="1"/>
          <w:sz w:val="21"/>
          <w:szCs w:val="21"/>
        </w:rPr>
        <w:t>股份</w:t>
      </w:r>
      <w:r>
        <w:rPr>
          <w:rFonts w:ascii="宋体" w:hAnsi="宋体" w:cs="宋体" w:eastAsia="宋体" w:hint="default"/>
          <w:spacing w:val="2"/>
          <w:sz w:val="21"/>
          <w:szCs w:val="21"/>
        </w:rPr>
        <w:t>，占</w:t>
      </w:r>
      <w:r>
        <w:rPr>
          <w:rFonts w:ascii="宋体" w:hAnsi="宋体" w:cs="宋体" w:eastAsia="宋体" w:hint="default"/>
          <w:spacing w:val="1"/>
          <w:sz w:val="21"/>
          <w:szCs w:val="21"/>
        </w:rPr>
        <w:t>总</w:t>
      </w:r>
      <w:r>
        <w:rPr>
          <w:rFonts w:ascii="宋体" w:hAnsi="宋体" w:cs="宋体" w:eastAsia="宋体" w:hint="default"/>
          <w:spacing w:val="2"/>
          <w:sz w:val="21"/>
          <w:szCs w:val="21"/>
        </w:rPr>
        <w:t>股</w:t>
      </w:r>
      <w:r>
        <w:rPr>
          <w:rFonts w:ascii="宋体" w:hAnsi="宋体" w:cs="宋体" w:eastAsia="宋体" w:hint="default"/>
          <w:sz w:val="21"/>
          <w:szCs w:val="21"/>
        </w:rPr>
        <w:t>本的</w:t>
      </w:r>
    </w:p>
    <w:p>
      <w:pPr>
        <w:spacing w:line="396" w:lineRule="auto" w:before="189"/>
        <w:ind w:left="138" w:right="214" w:firstLine="0"/>
        <w:jc w:val="both"/>
        <w:rPr>
          <w:rFonts w:ascii="宋体" w:hAnsi="宋体" w:cs="宋体" w:eastAsia="宋体" w:hint="default"/>
          <w:sz w:val="21"/>
          <w:szCs w:val="21"/>
        </w:rPr>
      </w:pPr>
      <w:r>
        <w:rPr>
          <w:rFonts w:ascii="Times New Roman" w:hAnsi="Times New Roman" w:cs="Times New Roman" w:eastAsia="Times New Roman" w:hint="default"/>
          <w:spacing w:val="-5"/>
          <w:sz w:val="21"/>
          <w:szCs w:val="21"/>
        </w:rPr>
        <w:t>11.05%</w:t>
      </w: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2009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日，方正延中传媒有限公司将其有本公司的</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42"/>
          <w:sz w:val="21"/>
          <w:szCs w:val="21"/>
        </w:rPr>
        <w:t> </w:t>
      </w:r>
      <w:r>
        <w:rPr>
          <w:rFonts w:ascii="宋体" w:hAnsi="宋体" w:cs="宋体" w:eastAsia="宋体" w:hint="default"/>
          <w:sz w:val="21"/>
          <w:szCs w:val="21"/>
        </w:rPr>
        <w:t>万股股份转让给亚星实业 公司，已经办理产权过户登记手续。</w:t>
      </w:r>
    </w:p>
    <w:p>
      <w:pPr>
        <w:spacing w:line="388" w:lineRule="auto" w:before="68"/>
        <w:ind w:left="138" w:right="215" w:firstLine="630"/>
        <w:jc w:val="both"/>
        <w:rPr>
          <w:rFonts w:ascii="宋体" w:hAnsi="宋体" w:cs="宋体" w:eastAsia="宋体" w:hint="default"/>
          <w:sz w:val="24"/>
          <w:szCs w:val="24"/>
        </w:rPr>
      </w:pPr>
      <w:r>
        <w:rPr>
          <w:rFonts w:ascii="Times New Roman" w:hAnsi="Times New Roman" w:cs="Times New Roman" w:eastAsia="Times New Roman" w:hint="default"/>
          <w:spacing w:val="-5"/>
          <w:sz w:val="21"/>
          <w:szCs w:val="21"/>
        </w:rPr>
        <w:t>2</w:t>
      </w:r>
      <w:r>
        <w:rPr>
          <w:rFonts w:ascii="宋体" w:hAnsi="宋体" w:cs="宋体" w:eastAsia="宋体" w:hint="default"/>
          <w:spacing w:val="-5"/>
          <w:sz w:val="21"/>
          <w:szCs w:val="21"/>
        </w:rPr>
        <w:t>、本公司控股子公司青岛广顺房地产有限公司（以下简称“青岛广顺”），</w:t>
      </w:r>
      <w:r>
        <w:rPr>
          <w:rFonts w:ascii="Times New Roman" w:hAnsi="Times New Roman" w:cs="Times New Roman" w:eastAsia="Times New Roman" w:hint="default"/>
          <w:spacing w:val="-5"/>
          <w:sz w:val="21"/>
          <w:szCs w:val="21"/>
        </w:rPr>
        <w:t>2009</w:t>
      </w:r>
      <w:r>
        <w:rPr>
          <w:rFonts w:ascii="宋体" w:hAnsi="宋体" w:cs="宋体" w:eastAsia="宋体" w:hint="default"/>
          <w:spacing w:val="-5"/>
          <w:sz w:val="21"/>
          <w:szCs w:val="21"/>
        </w:rPr>
        <w:t>年</w:t>
      </w:r>
      <w:r>
        <w:rPr>
          <w:rFonts w:ascii="Times New Roman" w:hAnsi="Times New Roman" w:cs="Times New Roman" w:eastAsia="Times New Roman" w:hint="default"/>
          <w:spacing w:val="-5"/>
          <w:sz w:val="21"/>
          <w:szCs w:val="21"/>
        </w:rPr>
        <w:t>3</w:t>
      </w:r>
      <w:r>
        <w:rPr>
          <w:rFonts w:ascii="宋体" w:hAnsi="宋体" w:cs="宋体" w:eastAsia="宋体" w:hint="default"/>
          <w:spacing w:val="-5"/>
          <w:sz w:val="21"/>
          <w:szCs w:val="21"/>
        </w:rPr>
        <w:t>月</w:t>
      </w:r>
      <w:r>
        <w:rPr>
          <w:rFonts w:ascii="Times New Roman" w:hAnsi="Times New Roman" w:cs="Times New Roman" w:eastAsia="Times New Roman" w:hint="default"/>
          <w:spacing w:val="-5"/>
          <w:sz w:val="21"/>
          <w:szCs w:val="21"/>
        </w:rPr>
        <w:t>25</w:t>
      </w:r>
      <w:r>
        <w:rPr>
          <w:rFonts w:ascii="宋体" w:hAnsi="宋体" w:cs="宋体" w:eastAsia="宋体" w:hint="default"/>
          <w:spacing w:val="-5"/>
          <w:sz w:val="21"/>
          <w:szCs w:val="21"/>
        </w:rPr>
        <w:t>日中</w:t>
      </w:r>
      <w:r>
        <w:rPr>
          <w:rFonts w:ascii="宋体" w:hAnsi="宋体" w:cs="宋体" w:eastAsia="宋体" w:hint="default"/>
          <w:sz w:val="21"/>
          <w:szCs w:val="21"/>
        </w:rPr>
        <w:t> 国工商银行青岛李沧二支行签订了总金额为</w:t>
      </w:r>
      <w:r>
        <w:rPr>
          <w:rFonts w:ascii="Times New Roman" w:hAnsi="Times New Roman" w:cs="Times New Roman" w:eastAsia="Times New Roman" w:hint="default"/>
          <w:sz w:val="21"/>
          <w:szCs w:val="21"/>
        </w:rPr>
        <w:t>6900</w:t>
      </w:r>
      <w:r>
        <w:rPr>
          <w:rFonts w:ascii="宋体" w:hAnsi="宋体" w:cs="宋体" w:eastAsia="宋体" w:hint="default"/>
          <w:sz w:val="21"/>
          <w:szCs w:val="21"/>
        </w:rPr>
        <w:t>万元的借款合同，用于青岛广顺的房地产开发，贷 </w:t>
      </w:r>
      <w:r>
        <w:rPr>
          <w:rFonts w:ascii="宋体" w:hAnsi="宋体" w:cs="宋体" w:eastAsia="宋体" w:hint="default"/>
          <w:spacing w:val="-1"/>
          <w:sz w:val="21"/>
          <w:szCs w:val="21"/>
        </w:rPr>
        <w:t>款期限为</w:t>
      </w:r>
      <w:r>
        <w:rPr>
          <w:rFonts w:ascii="Times New Roman" w:hAnsi="Times New Roman" w:cs="Times New Roman" w:eastAsia="Times New Roman" w:hint="default"/>
          <w:spacing w:val="-1"/>
          <w:sz w:val="21"/>
          <w:szCs w:val="21"/>
        </w:rPr>
        <w:t>3</w:t>
      </w:r>
      <w:r>
        <w:rPr>
          <w:rFonts w:ascii="宋体" w:hAnsi="宋体" w:cs="宋体" w:eastAsia="宋体" w:hint="default"/>
          <w:spacing w:val="-1"/>
          <w:sz w:val="21"/>
          <w:szCs w:val="21"/>
        </w:rPr>
        <w:t>年，利率为基准利率上浮</w:t>
      </w:r>
      <w:r>
        <w:rPr>
          <w:rFonts w:ascii="Times New Roman" w:hAnsi="Times New Roman" w:cs="Times New Roman" w:eastAsia="Times New Roman" w:hint="default"/>
          <w:spacing w:val="-1"/>
          <w:sz w:val="21"/>
          <w:szCs w:val="21"/>
        </w:rPr>
        <w:t>10%</w:t>
      </w:r>
      <w:r>
        <w:rPr>
          <w:rFonts w:ascii="宋体" w:hAnsi="宋体" w:cs="宋体" w:eastAsia="宋体" w:hint="default"/>
          <w:spacing w:val="-1"/>
          <w:sz w:val="21"/>
          <w:szCs w:val="21"/>
        </w:rPr>
        <w:t>。抵押物为青岛广顺的青房地权市字第</w:t>
      </w:r>
      <w:r>
        <w:rPr>
          <w:rFonts w:ascii="Times New Roman" w:hAnsi="Times New Roman" w:cs="Times New Roman" w:eastAsia="Times New Roman" w:hint="default"/>
          <w:spacing w:val="-1"/>
          <w:sz w:val="21"/>
          <w:szCs w:val="21"/>
        </w:rPr>
        <w:t>20083671</w:t>
      </w:r>
      <w:r>
        <w:rPr>
          <w:rFonts w:ascii="宋体" w:hAnsi="宋体" w:cs="宋体" w:eastAsia="宋体" w:hint="default"/>
          <w:spacing w:val="-1"/>
          <w:sz w:val="21"/>
          <w:szCs w:val="21"/>
        </w:rPr>
        <w:t>号土地及在</w:t>
      </w:r>
      <w:r>
        <w:rPr>
          <w:rFonts w:ascii="宋体" w:hAnsi="宋体" w:cs="宋体" w:eastAsia="宋体" w:hint="default"/>
          <w:spacing w:val="-97"/>
          <w:sz w:val="21"/>
          <w:szCs w:val="21"/>
        </w:rPr>
        <w:t> </w:t>
      </w:r>
      <w:r>
        <w:rPr>
          <w:rFonts w:ascii="宋体" w:hAnsi="宋体" w:cs="宋体" w:eastAsia="宋体" w:hint="default"/>
          <w:sz w:val="21"/>
          <w:szCs w:val="21"/>
        </w:rPr>
        <w:t>建工程以及青房地权市字第</w:t>
      </w:r>
      <w:r>
        <w:rPr>
          <w:rFonts w:ascii="Times New Roman" w:hAnsi="Times New Roman" w:cs="Times New Roman" w:eastAsia="Times New Roman" w:hint="default"/>
          <w:sz w:val="21"/>
          <w:szCs w:val="21"/>
        </w:rPr>
        <w:t>20083672</w:t>
      </w:r>
      <w:r>
        <w:rPr>
          <w:rFonts w:ascii="宋体" w:hAnsi="宋体" w:cs="宋体" w:eastAsia="宋体" w:hint="default"/>
          <w:sz w:val="21"/>
          <w:szCs w:val="21"/>
        </w:rPr>
        <w:t>号土地、青房地权市字第</w:t>
      </w:r>
      <w:r>
        <w:rPr>
          <w:rFonts w:ascii="Times New Roman" w:hAnsi="Times New Roman" w:cs="Times New Roman" w:eastAsia="Times New Roman" w:hint="default"/>
          <w:sz w:val="21"/>
          <w:szCs w:val="21"/>
        </w:rPr>
        <w:t>20083673</w:t>
      </w:r>
      <w:r>
        <w:rPr>
          <w:rFonts w:ascii="宋体" w:hAnsi="宋体" w:cs="宋体" w:eastAsia="宋体" w:hint="default"/>
          <w:sz w:val="21"/>
          <w:szCs w:val="21"/>
        </w:rPr>
        <w:t>号土地，上述抵押物已办理 了相关抵押手续。同时，青岛亚星实业有限公司为上述借款提供了保证担保</w:t>
      </w:r>
      <w:r>
        <w:rPr>
          <w:rFonts w:ascii="宋体" w:hAnsi="宋体" w:cs="宋体" w:eastAsia="宋体" w:hint="default"/>
          <w:sz w:val="24"/>
          <w:szCs w:val="24"/>
        </w:rPr>
        <w:t>。</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2"/>
          <w:szCs w:val="22"/>
        </w:rPr>
      </w:pPr>
    </w:p>
    <w:p>
      <w:pPr>
        <w:spacing w:before="0"/>
        <w:ind w:left="558" w:right="111" w:firstLine="0"/>
        <w:jc w:val="left"/>
        <w:rPr>
          <w:rFonts w:ascii="黑体" w:hAnsi="黑体" w:cs="黑体" w:eastAsia="黑体" w:hint="default"/>
          <w:sz w:val="21"/>
          <w:szCs w:val="21"/>
        </w:rPr>
      </w:pPr>
      <w:r>
        <w:rPr>
          <w:rFonts w:ascii="黑体" w:hAnsi="黑体" w:cs="黑体" w:eastAsia="黑体" w:hint="default"/>
          <w:sz w:val="21"/>
          <w:szCs w:val="21"/>
        </w:rPr>
        <w:t>十四、补充资料</w:t>
      </w:r>
    </w:p>
    <w:p>
      <w:pPr>
        <w:spacing w:after="0"/>
        <w:jc w:val="left"/>
        <w:rPr>
          <w:rFonts w:ascii="黑体" w:hAnsi="黑体" w:cs="黑体" w:eastAsia="黑体" w:hint="default"/>
          <w:sz w:val="21"/>
          <w:szCs w:val="21"/>
        </w:rPr>
        <w:sectPr>
          <w:pgSz w:w="11910" w:h="16840"/>
          <w:pgMar w:header="0" w:footer="710" w:top="580" w:bottom="900" w:left="1280" w:right="120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19528"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6"/>
          <w:szCs w:val="16"/>
        </w:rPr>
      </w:pPr>
    </w:p>
    <w:p>
      <w:pPr>
        <w:spacing w:before="35"/>
        <w:ind w:left="558" w:right="0" w:firstLine="0"/>
        <w:jc w:val="left"/>
        <w:rPr>
          <w:rFonts w:ascii="黑体" w:hAnsi="黑体" w:cs="黑体" w:eastAsia="黑体" w:hint="default"/>
          <w:sz w:val="21"/>
          <w:szCs w:val="21"/>
        </w:rPr>
      </w:pPr>
      <w:r>
        <w:rPr>
          <w:rFonts w:ascii="Times New Roman" w:hAnsi="Times New Roman" w:cs="Times New Roman" w:eastAsia="Times New Roman" w:hint="default"/>
          <w:sz w:val="21"/>
          <w:szCs w:val="21"/>
        </w:rPr>
        <w:t>1</w:t>
      </w:r>
      <w:r>
        <w:rPr>
          <w:rFonts w:ascii="黑体" w:hAnsi="黑体" w:cs="黑体" w:eastAsia="黑体" w:hint="default"/>
          <w:sz w:val="21"/>
          <w:szCs w:val="21"/>
        </w:rPr>
        <w:t>、合并现金流量表补充资料</w:t>
      </w:r>
    </w:p>
    <w:p>
      <w:pPr>
        <w:spacing w:line="240" w:lineRule="auto" w:before="10"/>
        <w:rPr>
          <w:rFonts w:ascii="黑体" w:hAnsi="黑体" w:cs="黑体" w:eastAsia="黑体" w:hint="default"/>
          <w:sz w:val="16"/>
          <w:szCs w:val="16"/>
        </w:rPr>
      </w:pPr>
    </w:p>
    <w:tbl>
      <w:tblPr>
        <w:tblW w:w="0" w:type="auto"/>
        <w:jc w:val="left"/>
        <w:tblInd w:w="637" w:type="dxa"/>
        <w:tblLayout w:type="fixed"/>
        <w:tblCellMar>
          <w:top w:w="0" w:type="dxa"/>
          <w:left w:w="0" w:type="dxa"/>
          <w:bottom w:w="0" w:type="dxa"/>
          <w:right w:w="0" w:type="dxa"/>
        </w:tblCellMar>
        <w:tblLook w:val="01E0"/>
      </w:tblPr>
      <w:tblGrid>
        <w:gridCol w:w="5053"/>
        <w:gridCol w:w="1957"/>
        <w:gridCol w:w="1489"/>
      </w:tblGrid>
      <w:tr>
        <w:trPr>
          <w:trHeight w:val="1421" w:hRule="exact"/>
        </w:trPr>
        <w:tc>
          <w:tcPr>
            <w:tcW w:w="5053" w:type="dxa"/>
            <w:tcBorders>
              <w:top w:val="nil" w:sz="6" w:space="0" w:color="auto"/>
              <w:left w:val="nil" w:sz="6" w:space="0" w:color="auto"/>
              <w:bottom w:val="nil" w:sz="6" w:space="0" w:color="auto"/>
              <w:right w:val="nil" w:sz="6" w:space="0" w:color="auto"/>
            </w:tcBorders>
          </w:tcPr>
          <w:p>
            <w:pPr>
              <w:pStyle w:val="TableParagraph"/>
              <w:tabs>
                <w:tab w:pos="989" w:val="left" w:leader="none"/>
              </w:tabs>
              <w:spacing w:line="240" w:lineRule="auto" w:before="44"/>
              <w:ind w:right="93"/>
              <w:jc w:val="center"/>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5"/>
              <w:ind w:right="0"/>
              <w:jc w:val="left"/>
              <w:rPr>
                <w:rFonts w:ascii="黑体" w:hAnsi="黑体" w:cs="黑体" w:eastAsia="黑体" w:hint="default"/>
                <w:sz w:val="19"/>
                <w:szCs w:val="19"/>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将净利润调节为经营活动的现金流量</w:t>
            </w:r>
            <w:r>
              <w:rPr>
                <w:rFonts w:ascii="Times New Roman" w:hAnsi="Times New Roman" w:cs="Times New Roman" w:eastAsia="Times New Roman" w:hint="default"/>
                <w:sz w:val="18"/>
                <w:szCs w:val="18"/>
              </w:rPr>
              <w:t>:</w:t>
            </w:r>
          </w:p>
          <w:p>
            <w:pPr>
              <w:pStyle w:val="TableParagraph"/>
              <w:spacing w:line="240" w:lineRule="auto" w:before="5"/>
              <w:ind w:right="0"/>
              <w:jc w:val="left"/>
              <w:rPr>
                <w:rFonts w:ascii="黑体" w:hAnsi="黑体" w:cs="黑体" w:eastAsia="黑体" w:hint="default"/>
                <w:sz w:val="18"/>
                <w:szCs w:val="18"/>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归属于母公司的净利润</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02"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5"/>
              <w:ind w:right="0"/>
              <w:jc w:val="left"/>
              <w:rPr>
                <w:rFonts w:ascii="黑体" w:hAnsi="黑体" w:cs="黑体" w:eastAsia="黑体" w:hint="default"/>
                <w:sz w:val="22"/>
                <w:szCs w:val="22"/>
              </w:rPr>
            </w:pPr>
          </w:p>
          <w:p>
            <w:pPr>
              <w:pStyle w:val="TableParagraph"/>
              <w:spacing w:line="240" w:lineRule="auto"/>
              <w:ind w:left="327" w:right="0"/>
              <w:jc w:val="left"/>
              <w:rPr>
                <w:rFonts w:ascii="Times New Roman" w:hAnsi="Times New Roman" w:cs="Times New Roman" w:eastAsia="Times New Roman" w:hint="default"/>
                <w:sz w:val="21"/>
                <w:szCs w:val="21"/>
              </w:rPr>
            </w:pPr>
            <w:r>
              <w:rPr>
                <w:rFonts w:ascii="Times New Roman"/>
                <w:sz w:val="21"/>
              </w:rPr>
              <w:t>154,196,264.25</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15"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0"/>
              <w:ind w:right="0"/>
              <w:jc w:val="left"/>
              <w:rPr>
                <w:rFonts w:ascii="黑体" w:hAnsi="黑体" w:cs="黑体" w:eastAsia="黑体" w:hint="default"/>
                <w:sz w:val="24"/>
                <w:szCs w:val="24"/>
              </w:rPr>
            </w:pPr>
          </w:p>
          <w:p>
            <w:pPr>
              <w:pStyle w:val="TableParagraph"/>
              <w:spacing w:line="240" w:lineRule="auto"/>
              <w:ind w:left="418" w:right="0"/>
              <w:jc w:val="left"/>
              <w:rPr>
                <w:rFonts w:ascii="Times New Roman" w:hAnsi="Times New Roman" w:cs="Times New Roman" w:eastAsia="Times New Roman" w:hint="default"/>
                <w:sz w:val="18"/>
                <w:szCs w:val="18"/>
              </w:rPr>
            </w:pPr>
            <w:r>
              <w:rPr>
                <w:rFonts w:ascii="Times New Roman"/>
                <w:sz w:val="18"/>
              </w:rPr>
              <w:t>16,140,031.16</w:t>
            </w:r>
          </w:p>
        </w:tc>
      </w:tr>
      <w:tr>
        <w:trPr>
          <w:trHeight w:val="491"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3"/>
              <w:ind w:left="305" w:right="0"/>
              <w:jc w:val="left"/>
              <w:rPr>
                <w:rFonts w:ascii="宋体" w:hAnsi="宋体" w:cs="宋体" w:eastAsia="宋体" w:hint="default"/>
                <w:sz w:val="18"/>
                <w:szCs w:val="18"/>
              </w:rPr>
            </w:pPr>
            <w:r>
              <w:rPr>
                <w:rFonts w:ascii="宋体" w:hAnsi="宋体" w:cs="宋体" w:eastAsia="宋体" w:hint="default"/>
                <w:sz w:val="18"/>
                <w:szCs w:val="18"/>
              </w:rPr>
              <w:t>加</w:t>
            </w:r>
            <w:r>
              <w:rPr>
                <w:rFonts w:ascii="Times New Roman" w:hAnsi="Times New Roman" w:cs="Times New Roman" w:eastAsia="Times New Roman" w:hint="default"/>
                <w:sz w:val="18"/>
                <w:szCs w:val="18"/>
              </w:rPr>
              <w:t>:</w:t>
            </w:r>
            <w:r>
              <w:rPr>
                <w:rFonts w:ascii="宋体" w:hAnsi="宋体" w:cs="宋体" w:eastAsia="宋体" w:hint="default"/>
                <w:sz w:val="18"/>
                <w:szCs w:val="18"/>
              </w:rPr>
              <w:t>少数股东损益</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14"/>
              <w:jc w:val="right"/>
              <w:rPr>
                <w:rFonts w:ascii="Times New Roman" w:hAnsi="Times New Roman" w:cs="Times New Roman" w:eastAsia="Times New Roman" w:hint="default"/>
                <w:sz w:val="21"/>
                <w:szCs w:val="21"/>
              </w:rPr>
            </w:pPr>
            <w:r>
              <w:rPr>
                <w:rFonts w:ascii="Times New Roman"/>
                <w:spacing w:val="-1"/>
                <w:sz w:val="21"/>
              </w:rPr>
              <w:t>-155,297.63</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3"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05"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3"/>
              <w:jc w:val="right"/>
              <w:rPr>
                <w:rFonts w:ascii="Times New Roman" w:hAnsi="Times New Roman" w:cs="Times New Roman" w:eastAsia="Times New Roman" w:hint="default"/>
                <w:sz w:val="21"/>
                <w:szCs w:val="21"/>
              </w:rPr>
            </w:pPr>
            <w:r>
              <w:rPr>
                <w:rFonts w:ascii="Times New Roman"/>
                <w:spacing w:val="-1"/>
                <w:sz w:val="21"/>
              </w:rPr>
              <w:t>10,000.00</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33"/>
              <w:jc w:val="right"/>
              <w:rPr>
                <w:rFonts w:ascii="Times New Roman" w:hAnsi="Times New Roman" w:cs="Times New Roman" w:eastAsia="Times New Roman" w:hint="default"/>
                <w:sz w:val="18"/>
                <w:szCs w:val="18"/>
              </w:rPr>
            </w:pPr>
            <w:r>
              <w:rPr>
                <w:rFonts w:ascii="Times New Roman"/>
                <w:spacing w:val="-1"/>
                <w:sz w:val="18"/>
              </w:rPr>
              <w:t>3,640,482.07</w:t>
            </w:r>
          </w:p>
        </w:tc>
      </w:tr>
      <w:tr>
        <w:trPr>
          <w:trHeight w:val="493"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05"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6"/>
              <w:jc w:val="right"/>
              <w:rPr>
                <w:rFonts w:ascii="Times New Roman" w:hAnsi="Times New Roman" w:cs="Times New Roman" w:eastAsia="Times New Roman" w:hint="default"/>
                <w:sz w:val="21"/>
                <w:szCs w:val="21"/>
              </w:rPr>
            </w:pPr>
            <w:r>
              <w:rPr>
                <w:rFonts w:ascii="Times New Roman"/>
                <w:spacing w:val="-1"/>
                <w:sz w:val="21"/>
              </w:rPr>
              <w:t>646,483.26</w:t>
            </w:r>
            <w:r>
              <w:rPr>
                <w:rFonts w:ascii="Times New Roman"/>
                <w:sz w:val="21"/>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33"/>
              <w:jc w:val="right"/>
              <w:rPr>
                <w:rFonts w:ascii="Times New Roman" w:hAnsi="Times New Roman" w:cs="Times New Roman" w:eastAsia="Times New Roman" w:hint="default"/>
                <w:sz w:val="18"/>
                <w:szCs w:val="18"/>
              </w:rPr>
            </w:pPr>
            <w:r>
              <w:rPr>
                <w:rFonts w:ascii="Times New Roman"/>
                <w:spacing w:val="-1"/>
                <w:sz w:val="18"/>
              </w:rPr>
              <w:t>1,706,352.89</w:t>
            </w:r>
          </w:p>
        </w:tc>
      </w:tr>
      <w:tr>
        <w:trPr>
          <w:trHeight w:val="493"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05"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4"/>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33"/>
              <w:jc w:val="right"/>
              <w:rPr>
                <w:rFonts w:ascii="Times New Roman" w:hAnsi="Times New Roman" w:cs="Times New Roman" w:eastAsia="Times New Roman" w:hint="default"/>
                <w:sz w:val="18"/>
                <w:szCs w:val="18"/>
              </w:rPr>
            </w:pPr>
            <w:r>
              <w:rPr>
                <w:rFonts w:ascii="Times New Roman"/>
                <w:sz w:val="18"/>
              </w:rPr>
              <w:t>23,400.00</w:t>
            </w:r>
          </w:p>
        </w:tc>
      </w:tr>
      <w:tr>
        <w:trPr>
          <w:trHeight w:val="493"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05"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4"/>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33"/>
              <w:jc w:val="right"/>
              <w:rPr>
                <w:rFonts w:ascii="Times New Roman" w:hAnsi="Times New Roman" w:cs="Times New Roman" w:eastAsia="Times New Roman" w:hint="default"/>
                <w:sz w:val="18"/>
                <w:szCs w:val="18"/>
              </w:rPr>
            </w:pPr>
            <w:r>
              <w:rPr>
                <w:rFonts w:ascii="Times New Roman"/>
                <w:sz w:val="18"/>
              </w:rPr>
              <w:t>20,100.00</w:t>
            </w:r>
          </w:p>
        </w:tc>
      </w:tr>
      <w:tr>
        <w:trPr>
          <w:trHeight w:val="493"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处置固定资产、无形资产和其他长期资产的损失</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4"/>
              <w:jc w:val="right"/>
              <w:rPr>
                <w:rFonts w:ascii="Times New Roman" w:hAnsi="Times New Roman" w:cs="Times New Roman" w:eastAsia="Times New Roman" w:hint="default"/>
                <w:sz w:val="21"/>
                <w:szCs w:val="21"/>
              </w:rPr>
            </w:pPr>
            <w:r>
              <w:rPr>
                <w:rFonts w:ascii="Times New Roman"/>
                <w:spacing w:val="-1"/>
                <w:sz w:val="21"/>
              </w:rPr>
              <w:t>-2,799,506.18</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33"/>
              <w:jc w:val="right"/>
              <w:rPr>
                <w:rFonts w:ascii="Times New Roman" w:hAnsi="Times New Roman" w:cs="Times New Roman" w:eastAsia="Times New Roman" w:hint="default"/>
                <w:sz w:val="18"/>
                <w:szCs w:val="18"/>
              </w:rPr>
            </w:pPr>
            <w:r>
              <w:rPr>
                <w:rFonts w:ascii="Times New Roman"/>
                <w:spacing w:val="-1"/>
                <w:sz w:val="18"/>
              </w:rPr>
              <w:t>-32,444,898.54</w:t>
            </w:r>
          </w:p>
        </w:tc>
      </w:tr>
      <w:tr>
        <w:trPr>
          <w:trHeight w:val="493"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固定资产报废损失</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3"/>
              <w:jc w:val="right"/>
              <w:rPr>
                <w:rFonts w:ascii="Times New Roman" w:hAnsi="Times New Roman" w:cs="Times New Roman" w:eastAsia="Times New Roman" w:hint="default"/>
                <w:sz w:val="21"/>
                <w:szCs w:val="21"/>
              </w:rPr>
            </w:pPr>
            <w:r>
              <w:rPr>
                <w:rFonts w:ascii="Times New Roman"/>
                <w:spacing w:val="-1"/>
                <w:sz w:val="21"/>
              </w:rPr>
              <w:t>3,956,473.00</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33"/>
              <w:jc w:val="right"/>
              <w:rPr>
                <w:rFonts w:ascii="Times New Roman" w:hAnsi="Times New Roman" w:cs="Times New Roman" w:eastAsia="Times New Roman" w:hint="default"/>
                <w:sz w:val="18"/>
                <w:szCs w:val="18"/>
              </w:rPr>
            </w:pPr>
            <w:r>
              <w:rPr>
                <w:rFonts w:ascii="Times New Roman"/>
                <w:sz w:val="18"/>
              </w:rPr>
              <w:t>668,699.75</w:t>
            </w:r>
          </w:p>
        </w:tc>
      </w:tr>
      <w:tr>
        <w:trPr>
          <w:trHeight w:val="493"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公允价值变动损失</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4"/>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3"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05"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3"/>
              <w:jc w:val="right"/>
              <w:rPr>
                <w:rFonts w:ascii="Times New Roman" w:hAnsi="Times New Roman" w:cs="Times New Roman" w:eastAsia="Times New Roman" w:hint="default"/>
                <w:sz w:val="21"/>
                <w:szCs w:val="21"/>
              </w:rPr>
            </w:pPr>
            <w:r>
              <w:rPr>
                <w:rFonts w:ascii="Times New Roman"/>
                <w:spacing w:val="-1"/>
                <w:sz w:val="21"/>
              </w:rPr>
              <w:t>3,400,000.00</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3"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投资损失</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4"/>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3"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递延所得税资产减少</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增加</w:t>
            </w:r>
            <w:r>
              <w:rPr>
                <w:rFonts w:ascii="Times New Roman" w:hAnsi="Times New Roman" w:cs="Times New Roman" w:eastAsia="Times New Roman" w:hint="default"/>
                <w:sz w:val="18"/>
                <w:szCs w:val="18"/>
              </w:rPr>
              <w:t>)</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4"/>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3"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递延所得税负债增加</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减少</w:t>
            </w:r>
            <w:r>
              <w:rPr>
                <w:rFonts w:ascii="Times New Roman" w:hAnsi="Times New Roman" w:cs="Times New Roman" w:eastAsia="Times New Roman" w:hint="default"/>
                <w:sz w:val="18"/>
                <w:szCs w:val="18"/>
              </w:rPr>
              <w:t>)</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4"/>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3"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存货的减少</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增加</w:t>
            </w:r>
            <w:r>
              <w:rPr>
                <w:rFonts w:ascii="Times New Roman" w:hAnsi="Times New Roman" w:cs="Times New Roman" w:eastAsia="Times New Roman" w:hint="default"/>
                <w:sz w:val="18"/>
                <w:szCs w:val="18"/>
              </w:rPr>
              <w:t>)</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4"/>
              <w:jc w:val="right"/>
              <w:rPr>
                <w:rFonts w:ascii="Times New Roman" w:hAnsi="Times New Roman" w:cs="Times New Roman" w:eastAsia="Times New Roman" w:hint="default"/>
                <w:sz w:val="21"/>
                <w:szCs w:val="21"/>
              </w:rPr>
            </w:pPr>
            <w:r>
              <w:rPr>
                <w:rFonts w:ascii="Times New Roman"/>
                <w:spacing w:val="-1"/>
                <w:sz w:val="21"/>
              </w:rPr>
              <w:t>-5,601,673.07</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3"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经营性应收项目的减少</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增加</w:t>
            </w:r>
            <w:r>
              <w:rPr>
                <w:rFonts w:ascii="Times New Roman" w:hAnsi="Times New Roman" w:cs="Times New Roman" w:eastAsia="Times New Roman" w:hint="default"/>
                <w:sz w:val="18"/>
                <w:szCs w:val="18"/>
              </w:rPr>
              <w:t>)</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4"/>
              <w:jc w:val="right"/>
              <w:rPr>
                <w:rFonts w:ascii="Times New Roman" w:hAnsi="Times New Roman" w:cs="Times New Roman" w:eastAsia="Times New Roman" w:hint="default"/>
                <w:sz w:val="21"/>
                <w:szCs w:val="21"/>
              </w:rPr>
            </w:pPr>
            <w:r>
              <w:rPr>
                <w:rFonts w:ascii="Times New Roman"/>
                <w:spacing w:val="-1"/>
                <w:sz w:val="21"/>
              </w:rPr>
              <w:t>-4,360,231.52</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33"/>
              <w:jc w:val="right"/>
              <w:rPr>
                <w:rFonts w:ascii="Times New Roman" w:hAnsi="Times New Roman" w:cs="Times New Roman" w:eastAsia="Times New Roman" w:hint="default"/>
                <w:sz w:val="18"/>
                <w:szCs w:val="18"/>
              </w:rPr>
            </w:pPr>
            <w:r>
              <w:rPr>
                <w:rFonts w:ascii="Times New Roman"/>
                <w:spacing w:val="-1"/>
                <w:sz w:val="18"/>
              </w:rPr>
              <w:t>-5,423,071.68</w:t>
            </w:r>
          </w:p>
        </w:tc>
      </w:tr>
      <w:tr>
        <w:trPr>
          <w:trHeight w:val="493"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经营性应付项目的增加</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减少</w:t>
            </w:r>
            <w:r>
              <w:rPr>
                <w:rFonts w:ascii="Times New Roman" w:hAnsi="Times New Roman" w:cs="Times New Roman" w:eastAsia="Times New Roman" w:hint="default"/>
                <w:sz w:val="18"/>
                <w:szCs w:val="18"/>
              </w:rPr>
              <w:t>)</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4"/>
              <w:jc w:val="right"/>
              <w:rPr>
                <w:rFonts w:ascii="Times New Roman" w:hAnsi="Times New Roman" w:cs="Times New Roman" w:eastAsia="Times New Roman" w:hint="default"/>
                <w:sz w:val="21"/>
                <w:szCs w:val="21"/>
              </w:rPr>
            </w:pPr>
            <w:r>
              <w:rPr>
                <w:rFonts w:ascii="Times New Roman"/>
                <w:spacing w:val="-1"/>
                <w:sz w:val="21"/>
              </w:rPr>
              <w:t>47,891,469.96</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33"/>
              <w:jc w:val="right"/>
              <w:rPr>
                <w:rFonts w:ascii="Times New Roman" w:hAnsi="Times New Roman" w:cs="Times New Roman" w:eastAsia="Times New Roman" w:hint="default"/>
                <w:sz w:val="18"/>
                <w:szCs w:val="18"/>
              </w:rPr>
            </w:pPr>
            <w:r>
              <w:rPr>
                <w:rFonts w:ascii="Times New Roman"/>
                <w:spacing w:val="-1"/>
                <w:sz w:val="18"/>
              </w:rPr>
              <w:t>15,758,220.30</w:t>
            </w:r>
          </w:p>
        </w:tc>
      </w:tr>
      <w:tr>
        <w:trPr>
          <w:trHeight w:val="493"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3"/>
              <w:jc w:val="right"/>
              <w:rPr>
                <w:rFonts w:ascii="Times New Roman" w:hAnsi="Times New Roman" w:cs="Times New Roman" w:eastAsia="Times New Roman" w:hint="default"/>
                <w:sz w:val="21"/>
                <w:szCs w:val="21"/>
              </w:rPr>
            </w:pPr>
            <w:r>
              <w:rPr>
                <w:rFonts w:ascii="Times New Roman"/>
                <w:spacing w:val="-1"/>
                <w:sz w:val="21"/>
              </w:rPr>
              <w:t>-174,812,794.79</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950"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101"/>
              <w:jc w:val="center"/>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2"/>
              <w:ind w:right="0"/>
              <w:jc w:val="left"/>
              <w:rPr>
                <w:rFonts w:ascii="黑体" w:hAnsi="黑体" w:cs="黑体" w:eastAsia="黑体" w:hint="default"/>
                <w:sz w:val="18"/>
                <w:szCs w:val="18"/>
              </w:rPr>
            </w:pPr>
          </w:p>
          <w:p>
            <w:pPr>
              <w:pStyle w:val="TableParagraph"/>
              <w:spacing w:line="240" w:lineRule="auto"/>
              <w:ind w:right="2096"/>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不涉及现金收支的投资和筹资活动</w:t>
            </w:r>
            <w:r>
              <w:rPr>
                <w:rFonts w:ascii="Times New Roman" w:hAnsi="Times New Roman" w:cs="Times New Roman" w:eastAsia="Times New Roman" w:hint="default"/>
                <w:sz w:val="18"/>
                <w:szCs w:val="18"/>
              </w:rPr>
              <w:t>:</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4"/>
              <w:jc w:val="right"/>
              <w:rPr>
                <w:rFonts w:ascii="Times New Roman" w:hAnsi="Times New Roman" w:cs="Times New Roman" w:eastAsia="Times New Roman" w:hint="default"/>
                <w:sz w:val="21"/>
                <w:szCs w:val="21"/>
              </w:rPr>
            </w:pPr>
            <w:r>
              <w:rPr>
                <w:rFonts w:ascii="Times New Roman"/>
                <w:spacing w:val="-1"/>
                <w:sz w:val="21"/>
              </w:rPr>
              <w:t>22,371,187.28</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33"/>
              <w:jc w:val="right"/>
              <w:rPr>
                <w:rFonts w:ascii="Times New Roman" w:hAnsi="Times New Roman" w:cs="Times New Roman" w:eastAsia="Times New Roman" w:hint="default"/>
                <w:sz w:val="18"/>
                <w:szCs w:val="18"/>
              </w:rPr>
            </w:pPr>
            <w:r>
              <w:rPr>
                <w:rFonts w:ascii="Times New Roman"/>
                <w:sz w:val="18"/>
              </w:rPr>
              <w:t>89,315.95</w:t>
            </w:r>
          </w:p>
        </w:tc>
      </w:tr>
      <w:tr>
        <w:trPr>
          <w:trHeight w:val="1379"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477" w:lineRule="auto" w:before="84"/>
              <w:ind w:left="215" w:right="2496"/>
              <w:jc w:val="left"/>
              <w:rPr>
                <w:rFonts w:ascii="宋体" w:hAnsi="宋体" w:cs="宋体" w:eastAsia="宋体" w:hint="default"/>
                <w:sz w:val="18"/>
                <w:szCs w:val="18"/>
              </w:rPr>
            </w:pPr>
            <w:r>
              <w:rPr>
                <w:rFonts w:ascii="宋体" w:hAnsi="宋体" w:cs="宋体" w:eastAsia="宋体" w:hint="default"/>
                <w:sz w:val="18"/>
                <w:szCs w:val="18"/>
              </w:rPr>
              <w:t>债务转为资本 一年内到期的可转换公司债券</w:t>
            </w:r>
          </w:p>
          <w:p>
            <w:pPr>
              <w:pStyle w:val="TableParagraph"/>
              <w:spacing w:line="240" w:lineRule="auto" w:before="56"/>
              <w:ind w:left="215"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957"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pStyle w:val="TableParagraph"/>
              <w:spacing w:line="240" w:lineRule="auto" w:before="0"/>
              <w:ind w:right="0"/>
              <w:jc w:val="left"/>
              <w:rPr>
                <w:rFonts w:ascii="黑体" w:hAnsi="黑体" w:cs="黑体" w:eastAsia="黑体" w:hint="default"/>
                <w:sz w:val="20"/>
                <w:szCs w:val="20"/>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pStyle w:val="TableParagraph"/>
              <w:spacing w:line="240" w:lineRule="auto" w:before="2"/>
              <w:ind w:right="0"/>
              <w:jc w:val="left"/>
              <w:rPr>
                <w:rFonts w:ascii="黑体" w:hAnsi="黑体" w:cs="黑体" w:eastAsia="黑体" w:hint="default"/>
                <w:sz w:val="20"/>
                <w:szCs w:val="20"/>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6"/>
        <w:rPr>
          <w:rFonts w:ascii="黑体" w:hAnsi="黑体" w:cs="黑体" w:eastAsia="黑体" w:hint="default"/>
          <w:sz w:val="5"/>
          <w:szCs w:val="5"/>
        </w:rPr>
      </w:pPr>
    </w:p>
    <w:p>
      <w:pPr>
        <w:spacing w:before="44"/>
        <w:ind w:left="672" w:right="0" w:firstLine="0"/>
        <w:jc w:val="left"/>
        <w:rPr>
          <w:rFonts w:ascii="宋体" w:hAnsi="宋体" w:cs="宋体" w:eastAsia="宋体" w:hint="default"/>
          <w:sz w:val="18"/>
          <w:szCs w:val="18"/>
        </w:rPr>
      </w:pPr>
      <w:r>
        <w:rPr/>
        <w:pict>
          <v:group style="position:absolute;margin-left:90.75pt;margin-top:-595.507874pt;width:434.7pt;height:612.4pt;mso-position-horizontal-relative:page;mso-position-vertical-relative:paragraph;z-index:-437224" coordorigin="1815,-11910" coordsize="8694,12248">
            <v:group style="position:absolute;left:1844;top:-11895;width:8639;height:2" coordorigin="1844,-11895" coordsize="8639,2">
              <v:shape style="position:absolute;left:1844;top:-11895;width:8639;height:2" coordorigin="1844,-11895" coordsize="8639,0" path="m1844,-11895l10483,-11895e" filled="false" stroked="true" strokeweight="1.5pt" strokecolor="#000000">
                <v:path arrowok="t"/>
              </v:shape>
              <v:shape style="position:absolute;left:6924;top:-11899;width:1818;height:518" type="#_x0000_t75" stroked="false">
                <v:imagedata r:id="rId187" o:title=""/>
              </v:shape>
            </v:group>
            <v:group style="position:absolute;left:1830;top:322;width:5114;height:2" coordorigin="1830,322" coordsize="5114,2">
              <v:shape style="position:absolute;left:1830;top:322;width:5114;height:2" coordorigin="1830,322" coordsize="5114,0" path="m1830,322l6943,322e" filled="false" stroked="true" strokeweight="1.5pt" strokecolor="#000000">
                <v:path arrowok="t"/>
              </v:shape>
            </v:group>
            <v:group style="position:absolute;left:6943;top:322;width:1770;height:2" coordorigin="6943,322" coordsize="1770,2">
              <v:shape style="position:absolute;left:6943;top:322;width:1770;height:2" coordorigin="6943,322" coordsize="1770,0" path="m6943,322l8713,322e" filled="false" stroked="true" strokeweight="1.5pt" strokecolor="#000000">
                <v:path arrowok="t"/>
              </v:shape>
              <v:shape style="position:absolute;left:1825;top:-11419;width:8683;height:11726" type="#_x0000_t75" stroked="false">
                <v:imagedata r:id="rId188" o:title=""/>
              </v:shape>
            </v:group>
            <v:group style="position:absolute;left:8713;top:322;width:1778;height:2" coordorigin="8713,322" coordsize="1778,2">
              <v:shape style="position:absolute;left:8713;top:322;width:1778;height:2" coordorigin="8713,322" coordsize="1778,0" path="m8713,322l10490,322e" filled="false" stroked="true" strokeweight="1.5pt" strokecolor="#000000">
                <v:path arrowok="t"/>
              </v:shape>
            </v:group>
            <w10:wrap type="none"/>
          </v:group>
        </w:pict>
      </w: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现金及现金等价物净增加情况</w:t>
      </w:r>
    </w:p>
    <w:p>
      <w:pPr>
        <w:spacing w:after="0"/>
        <w:jc w:val="left"/>
        <w:rPr>
          <w:rFonts w:ascii="宋体" w:hAnsi="宋体" w:cs="宋体" w:eastAsia="宋体" w:hint="default"/>
          <w:sz w:val="18"/>
          <w:szCs w:val="18"/>
        </w:rPr>
        <w:sectPr>
          <w:pgSz w:w="11910" w:h="16840"/>
          <w:pgMar w:header="0" w:footer="710" w:top="580" w:bottom="900" w:left="1280" w:right="126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21352"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972" w:lineRule="exact"/>
        <w:ind w:left="10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8"/>
          <w:sz w:val="20"/>
          <w:szCs w:val="20"/>
        </w:rPr>
        <w:pict>
          <v:group style="width:457.2pt;height:148.65pt;mso-position-horizontal-relative:char;mso-position-vertical-relative:line" coordorigin="0,0" coordsize="9144,2973">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style="position:absolute;left:463;top:29;width:8639;height:2" coordorigin="463,29" coordsize="8639,2">
              <v:shape style="position:absolute;left:463;top:29;width:8639;height:2" coordorigin="463,29" coordsize="8639,0" path="m463,29l9102,29e" filled="false" stroked="true" strokeweight="1.5pt" strokecolor="#000000">
                <v:path arrowok="t"/>
              </v:shape>
              <v:shape style="position:absolute;left:5543;top:25;width:1818;height:518" type="#_x0000_t75" stroked="false">
                <v:imagedata r:id="rId190" o:title=""/>
              </v:shape>
            </v:group>
            <v:group style="position:absolute;left:449;top:2957;width:5114;height:2" coordorigin="449,2957" coordsize="5114,2">
              <v:shape style="position:absolute;left:449;top:2957;width:5114;height:2" coordorigin="449,2957" coordsize="5114,0" path="m449,2957l5562,2957e" filled="false" stroked="true" strokeweight="1.5pt" strokecolor="#000000">
                <v:path arrowok="t"/>
              </v:shape>
              <v:shape style="position:absolute;left:444;top:505;width:8683;height:2456" type="#_x0000_t75" stroked="false">
                <v:imagedata r:id="rId191" o:title=""/>
              </v:shape>
            </v:group>
            <v:group style="position:absolute;left:5562;top:2957;width:1770;height:2" coordorigin="5562,2957" coordsize="1770,2">
              <v:shape style="position:absolute;left:5562;top:2957;width:1770;height:2" coordorigin="5562,2957" coordsize="1770,0" path="m5562,2957l7332,2957e" filled="false" stroked="true" strokeweight="1.5pt" strokecolor="#000000">
                <v:path arrowok="t"/>
              </v:shape>
              <v:shape style="position:absolute;left:7313;top:2441;width:48;height:521" type="#_x0000_t75" stroked="false">
                <v:imagedata r:id="rId192" o:title=""/>
              </v:shape>
            </v:group>
            <v:group style="position:absolute;left:7332;top:2957;width:1778;height:2" coordorigin="7332,2957" coordsize="1778,2">
              <v:shape style="position:absolute;left:7332;top:2957;width:1778;height:2" coordorigin="7332,2957" coordsize="1778,0" path="m7332,2957l9109,2957e" filled="false" stroked="true" strokeweight="1.5pt" strokecolor="#000000">
                <v:path arrowok="t"/>
              </v:shape>
              <v:shape style="position:absolute;left:2430;top:31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3420;top:31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6092;top:31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7862;top:31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841;top:786;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现金的期末余额</w:t>
                      </w:r>
                    </w:p>
                  </w:txbxContent>
                </v:textbox>
                <w10:wrap type="none"/>
              </v:shape>
              <v:shape style="position:absolute;left:6023;top:801;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32,530,614.74</w:t>
                      </w:r>
                    </w:p>
                  </w:txbxContent>
                </v:textbox>
                <w10:wrap type="none"/>
              </v:shape>
              <v:shape style="position:absolute;left:8190;top:82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202,246.44</w:t>
                      </w:r>
                    </w:p>
                  </w:txbxContent>
                </v:textbox>
                <w10:wrap type="none"/>
              </v:shape>
              <v:shape style="position:absolute;left:841;top:1279;width:1491;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现金的期初余额</w:t>
                      </w:r>
                    </w:p>
                  </w:txbxContent>
                </v:textbox>
                <w10:wrap type="none"/>
              </v:shape>
              <v:shape style="position:absolute;left:6284;top:1294;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202,246.44</w:t>
                      </w:r>
                      <w:r>
                        <w:rPr>
                          <w:rFonts w:ascii="Times New Roman"/>
                          <w:sz w:val="21"/>
                        </w:rPr>
                      </w:r>
                    </w:p>
                  </w:txbxContent>
                </v:textbox>
                <w10:wrap type="none"/>
              </v:shape>
              <v:shape style="position:absolute;left:8190;top:132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125,166.76</w:t>
                      </w:r>
                    </w:p>
                  </w:txbxContent>
                </v:textbox>
                <w10:wrap type="none"/>
              </v:shape>
              <v:shape style="position:absolute;left:841;top:1771;width:2031;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w:t>
                      </w:r>
                      <w:r>
                        <w:rPr>
                          <w:rFonts w:ascii="Times New Roman" w:hAnsi="Times New Roman" w:cs="Times New Roman" w:eastAsia="Times New Roman" w:hint="default"/>
                          <w:sz w:val="18"/>
                          <w:szCs w:val="18"/>
                        </w:rPr>
                        <w:t>:</w:t>
                      </w:r>
                      <w:r>
                        <w:rPr>
                          <w:rFonts w:ascii="宋体" w:hAnsi="宋体" w:cs="宋体" w:eastAsia="宋体" w:hint="default"/>
                          <w:sz w:val="18"/>
                          <w:szCs w:val="18"/>
                        </w:rPr>
                        <w:t>现金等价物的期末余额</w:t>
                      </w:r>
                    </w:p>
                  </w:txbxContent>
                </v:textbox>
                <w10:wrap type="none"/>
              </v:shape>
              <v:shape style="position:absolute;left:8941;top:1791;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841;top:2242;width:2031;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现金等价物的期初余额</w:t>
                      </w:r>
                    </w:p>
                  </w:txbxContent>
                </v:textbox>
                <w10:wrap type="none"/>
              </v:shape>
              <v:shape style="position:absolute;left:8941;top:2261;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841;top:2712;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现金及现金等价物的净增加额</w:t>
                      </w:r>
                    </w:p>
                  </w:txbxContent>
                </v:textbox>
                <w10:wrap type="none"/>
              </v:shape>
              <v:shape style="position:absolute;left:6023;top:2727;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32,328,368.30</w:t>
                      </w:r>
                    </w:p>
                  </w:txbxContent>
                </v:textbox>
                <w10:wrap type="none"/>
              </v:shape>
              <v:shape style="position:absolute;left:8280;top:2754;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77,079.68</w:t>
                      </w:r>
                    </w:p>
                  </w:txbxContent>
                </v:textbox>
                <w10:wrap type="none"/>
              </v:shape>
            </v:group>
          </v:group>
        </w:pict>
      </w:r>
      <w:r>
        <w:rPr>
          <w:rFonts w:ascii="Times New Roman" w:hAnsi="Times New Roman" w:cs="Times New Roman" w:eastAsia="Times New Roman" w:hint="default"/>
          <w:position w:val="-58"/>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194"/>
        <w:ind w:left="558" w:right="0" w:firstLine="0"/>
        <w:jc w:val="left"/>
        <w:rPr>
          <w:rFonts w:ascii="黑体" w:hAnsi="黑体" w:cs="黑体" w:eastAsia="黑体" w:hint="default"/>
          <w:sz w:val="21"/>
          <w:szCs w:val="21"/>
        </w:rPr>
      </w:pPr>
      <w:r>
        <w:rPr>
          <w:rFonts w:ascii="Times New Roman" w:hAnsi="Times New Roman" w:cs="Times New Roman" w:eastAsia="Times New Roman" w:hint="default"/>
          <w:sz w:val="21"/>
          <w:szCs w:val="21"/>
        </w:rPr>
        <w:t>2</w:t>
      </w:r>
      <w:r>
        <w:rPr>
          <w:rFonts w:ascii="黑体" w:hAnsi="黑体" w:cs="黑体" w:eastAsia="黑体" w:hint="default"/>
          <w:sz w:val="21"/>
          <w:szCs w:val="21"/>
        </w:rPr>
        <w:t>、母公司现金流量表补充资料</w:t>
      </w:r>
    </w:p>
    <w:p>
      <w:pPr>
        <w:spacing w:line="9396" w:lineRule="exact"/>
        <w:ind w:left="535" w:right="0" w:firstLine="0"/>
        <w:rPr>
          <w:rFonts w:ascii="黑体" w:hAnsi="黑体" w:cs="黑体" w:eastAsia="黑体" w:hint="default"/>
          <w:sz w:val="20"/>
          <w:szCs w:val="20"/>
        </w:rPr>
      </w:pPr>
      <w:r>
        <w:rPr>
          <w:rFonts w:ascii="黑体" w:hAnsi="黑体" w:cs="黑体" w:eastAsia="黑体" w:hint="default"/>
          <w:position w:val="-187"/>
          <w:sz w:val="20"/>
          <w:szCs w:val="20"/>
        </w:rPr>
        <w:pict>
          <v:group style="width:434.7pt;height:469.8pt;mso-position-horizontal-relative:char;mso-position-vertical-relative:line" coordorigin="0,0" coordsize="8694,9396">
            <v:group style="position:absolute;left:29;top:15;width:8639;height:2" coordorigin="29,15" coordsize="8639,2">
              <v:shape style="position:absolute;left:29;top:15;width:8639;height:2" coordorigin="29,15" coordsize="8639,0" path="m29,15l8668,15e" filled="false" stroked="true" strokeweight="1.5pt" strokecolor="#000000">
                <v:path arrowok="t"/>
              </v:shape>
              <v:shape style="position:absolute;left:5109;top:11;width:1818;height:518" type="#_x0000_t75" stroked="false">
                <v:imagedata r:id="rId187" o:title=""/>
              </v:shape>
            </v:group>
            <v:group style="position:absolute;left:15;top:9381;width:5114;height:2" coordorigin="15,9381" coordsize="5114,2">
              <v:shape style="position:absolute;left:15;top:9381;width:5114;height:2" coordorigin="15,9381" coordsize="5114,0" path="m15,9381l5128,9381e" filled="false" stroked="true" strokeweight="1.5pt" strokecolor="#000000">
                <v:path arrowok="t"/>
              </v:shape>
              <v:shape style="position:absolute;left:10;top:491;width:8683;height:8894" type="#_x0000_t75" stroked="false">
                <v:imagedata r:id="rId193" o:title=""/>
              </v:shape>
            </v:group>
            <v:group style="position:absolute;left:5128;top:9381;width:1770;height:2" coordorigin="5128,9381" coordsize="1770,2">
              <v:shape style="position:absolute;left:5128;top:9381;width:1770;height:2" coordorigin="5128,9381" coordsize="1770,0" path="m5128,9381l6898,9381e" filled="false" stroked="true" strokeweight="1.5pt" strokecolor="#000000">
                <v:path arrowok="t"/>
              </v:shape>
              <v:shape style="position:absolute;left:6879;top:8863;width:48;height:522" type="#_x0000_t75" stroked="false">
                <v:imagedata r:id="rId194" o:title=""/>
              </v:shape>
            </v:group>
            <v:group style="position:absolute;left:6898;top:9381;width:1778;height:2" coordorigin="6898,9381" coordsize="1778,2">
              <v:shape style="position:absolute;left:6898;top:9381;width:1778;height:2" coordorigin="6898,9381" coordsize="1778,0" path="m6898,9381l8675,9381e" filled="false" stroked="true" strokeweight="1.5pt" strokecolor="#000000">
                <v:path arrowok="t"/>
              </v:shape>
              <v:shape style="position:absolute;left:1996;top:30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2986;top:30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5659;top:30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7429;top:30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137;top:792;width:3065;height:671" type="#_x0000_t202" filled="false" stroked="false">
                <v:textbox inset="0,0,0,0">
                  <w:txbxContent>
                    <w:p>
                      <w:pPr>
                        <w:spacing w:line="194"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将净利润调节为经营活动的现金流量</w:t>
                      </w:r>
                      <w:r>
                        <w:rPr>
                          <w:rFonts w:ascii="Times New Roman" w:hAnsi="Times New Roman" w:cs="Times New Roman" w:eastAsia="Times New Roman" w:hint="default"/>
                          <w:spacing w:val="-1"/>
                          <w:sz w:val="18"/>
                          <w:szCs w:val="18"/>
                        </w:rPr>
                        <w:t>:</w:t>
                      </w:r>
                    </w:p>
                    <w:p>
                      <w:pPr>
                        <w:spacing w:line="240" w:lineRule="auto" w:before="6"/>
                        <w:rPr>
                          <w:rFonts w:ascii="黑体" w:hAnsi="黑体" w:cs="黑体" w:eastAsia="黑体" w:hint="default"/>
                          <w:sz w:val="18"/>
                          <w:szCs w:val="18"/>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净利润</w:t>
                      </w:r>
                    </w:p>
                  </w:txbxContent>
                </v:textbox>
                <w10:wrap type="none"/>
              </v:shape>
              <v:shape style="position:absolute;left:5483;top:1277;width:131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155,465,900.80</w:t>
                      </w:r>
                    </w:p>
                  </w:txbxContent>
                </v:textbox>
                <w10:wrap type="none"/>
              </v:shape>
              <v:shape style="position:absolute;left:7360;top:1277;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16,140,031.16</w:t>
                      </w:r>
                    </w:p>
                  </w:txbxContent>
                </v:textbox>
                <w10:wrap type="none"/>
              </v:shape>
              <v:shape style="position:absolute;left:137;top:1776;width:1401;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w:t>
                      </w:r>
                      <w:r>
                        <w:rPr>
                          <w:rFonts w:ascii="Times New Roman" w:hAnsi="Times New Roman" w:cs="Times New Roman" w:eastAsia="Times New Roman" w:hint="default"/>
                          <w:sz w:val="18"/>
                          <w:szCs w:val="18"/>
                        </w:rPr>
                        <w:t>:  </w:t>
                      </w:r>
                      <w:r>
                        <w:rPr>
                          <w:rFonts w:ascii="宋体" w:hAnsi="宋体" w:cs="宋体" w:eastAsia="宋体" w:hint="default"/>
                          <w:sz w:val="18"/>
                          <w:szCs w:val="18"/>
                        </w:rPr>
                        <w:t>资产减值准备</w:t>
                      </w:r>
                    </w:p>
                  </w:txbxContent>
                </v:textbox>
                <w10:wrap type="none"/>
              </v:shape>
              <v:shape style="position:absolute;left:5956;top:1770;width:84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10,000.00</w:t>
                      </w:r>
                    </w:p>
                  </w:txbxContent>
                </v:textbox>
                <w10:wrap type="none"/>
              </v:shape>
              <v:shape style="position:absolute;left:7465;top:1770;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3,640,482.07</w:t>
                      </w:r>
                    </w:p>
                  </w:txbxContent>
                </v:textbox>
                <w10:wrap type="none"/>
              </v:shape>
              <v:shape style="position:absolute;left:407;top:226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固定资产折旧</w:t>
                      </w:r>
                    </w:p>
                  </w:txbxContent>
                </v:textbox>
                <w10:wrap type="none"/>
              </v:shape>
              <v:shape style="position:absolute;left:5851;top:2263;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636,064.56</w:t>
                      </w:r>
                      <w:r>
                        <w:rPr>
                          <w:rFonts w:ascii="Times New Roman"/>
                          <w:sz w:val="21"/>
                        </w:rPr>
                      </w:r>
                    </w:p>
                  </w:txbxContent>
                </v:textbox>
                <w10:wrap type="none"/>
              </v:shape>
              <v:shape style="position:absolute;left:7465;top:2263;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1,706,352.89</w:t>
                      </w:r>
                    </w:p>
                  </w:txbxContent>
                </v:textbox>
                <w10:wrap type="none"/>
              </v:shape>
              <v:shape style="position:absolute;left:407;top:276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无形资产摊销</w:t>
                      </w:r>
                    </w:p>
                  </w:txbxContent>
                </v:textbox>
                <w10:wrap type="none"/>
              </v:shape>
              <v:shape style="position:absolute;left:6727;top:2757;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7727;top:2755;width:84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23,400.00</w:t>
                      </w:r>
                    </w:p>
                  </w:txbxContent>
                </v:textbox>
                <w10:wrap type="none"/>
              </v:shape>
              <v:shape style="position:absolute;left:407;top:3255;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长期待摊费用摊销</w:t>
                      </w:r>
                    </w:p>
                  </w:txbxContent>
                </v:textbox>
                <w10:wrap type="none"/>
              </v:shape>
              <v:shape style="position:absolute;left:6727;top:3250;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7727;top:3249;width:84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20,100.00</w:t>
                      </w:r>
                    </w:p>
                  </w:txbxContent>
                </v:textbox>
                <w10:wrap type="none"/>
              </v:shape>
              <v:shape style="position:absolute;left:407;top:3748;width:4491;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处置固定资产、无形资产和其他长期资产的损失</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xbxContent>
                </v:textbox>
                <w10:wrap type="none"/>
              </v:shape>
              <v:shape style="position:absolute;left:5624;top:3742;width:117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-2,799,506.18</w:t>
                      </w:r>
                    </w:p>
                  </w:txbxContent>
                </v:textbox>
                <w10:wrap type="none"/>
              </v:shape>
              <v:shape style="position:absolute;left:7289;top:3742;width:1277;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-32,444,898.54</w:t>
                      </w:r>
                      <w:r>
                        <w:rPr>
                          <w:rFonts w:ascii="Times New Roman"/>
                          <w:sz w:val="21"/>
                        </w:rPr>
                      </w:r>
                    </w:p>
                  </w:txbxContent>
                </v:textbox>
                <w10:wrap type="none"/>
              </v:shape>
              <v:shape style="position:absolute;left:407;top:4241;width:2151;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固定资产报废损失</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xbxContent>
                </v:textbox>
                <w10:wrap type="none"/>
              </v:shape>
              <v:shape style="position:absolute;left:5693;top:4235;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3,956,473.00</w:t>
                      </w:r>
                    </w:p>
                  </w:txbxContent>
                </v:textbox>
                <w10:wrap type="none"/>
              </v:shape>
              <v:shape style="position:absolute;left:7622;top:4235;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668,699.75</w:t>
                      </w:r>
                      <w:r>
                        <w:rPr>
                          <w:rFonts w:ascii="Times New Roman"/>
                          <w:sz w:val="21"/>
                        </w:rPr>
                      </w:r>
                    </w:p>
                  </w:txbxContent>
                </v:textbox>
                <w10:wrap type="none"/>
              </v:shape>
              <v:shape style="position:absolute;left:407;top:4733;width:2151;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公允价值变动损失</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xbxContent>
                </v:textbox>
                <w10:wrap type="none"/>
              </v:shape>
              <v:shape style="position:absolute;left:6727;top:4725;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8498;top:4725;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407;top:522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财务费用</w:t>
                      </w:r>
                    </w:p>
                  </w:txbxContent>
                </v:textbox>
                <w10:wrap type="none"/>
              </v:shape>
              <v:shape style="position:absolute;left:5693;top:5218;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3,400,000.00</w:t>
                      </w:r>
                    </w:p>
                  </w:txbxContent>
                </v:textbox>
                <w10:wrap type="none"/>
              </v:shape>
              <v:shape style="position:absolute;left:8498;top:5218;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407;top:5717;width:1431;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投资损失</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xbxContent>
                </v:textbox>
                <w10:wrap type="none"/>
              </v:shape>
              <v:shape style="position:absolute;left:6727;top:5709;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8498;top:5709;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407;top:6207;width:2331;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递延所得税资产减少</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增加</w:t>
                      </w:r>
                      <w:r>
                        <w:rPr>
                          <w:rFonts w:ascii="Times New Roman" w:hAnsi="Times New Roman" w:cs="Times New Roman" w:eastAsia="Times New Roman" w:hint="default"/>
                          <w:sz w:val="18"/>
                          <w:szCs w:val="18"/>
                        </w:rPr>
                        <w:t>)</w:t>
                      </w:r>
                    </w:p>
                  </w:txbxContent>
                </v:textbox>
                <w10:wrap type="none"/>
              </v:shape>
              <v:shape style="position:absolute;left:6727;top:6198;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8498;top:6198;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407;top:6696;width:2331;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递延所得税负债增加</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减少</w:t>
                      </w:r>
                      <w:r>
                        <w:rPr>
                          <w:rFonts w:ascii="Times New Roman" w:hAnsi="Times New Roman" w:cs="Times New Roman" w:eastAsia="Times New Roman" w:hint="default"/>
                          <w:sz w:val="18"/>
                          <w:szCs w:val="18"/>
                        </w:rPr>
                        <w:t>)</w:t>
                      </w:r>
                    </w:p>
                  </w:txbxContent>
                </v:textbox>
                <w10:wrap type="none"/>
              </v:shape>
              <v:shape style="position:absolute;left:6727;top:6688;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8498;top:6688;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407;top:7187;width:1611;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存货的减少</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增加</w:t>
                      </w:r>
                      <w:r>
                        <w:rPr>
                          <w:rFonts w:ascii="Times New Roman" w:hAnsi="Times New Roman" w:cs="Times New Roman" w:eastAsia="Times New Roman" w:hint="default"/>
                          <w:sz w:val="18"/>
                          <w:szCs w:val="18"/>
                        </w:rPr>
                        <w:t>)</w:t>
                      </w:r>
                    </w:p>
                  </w:txbxContent>
                </v:textbox>
                <w10:wrap type="none"/>
              </v:shape>
              <v:shape style="position:absolute;left:6727;top:7179;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8498;top:7179;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407;top:7677;width:2511;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经营性应收项目的减少</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增加</w:t>
                      </w:r>
                      <w:r>
                        <w:rPr>
                          <w:rFonts w:ascii="Times New Roman" w:hAnsi="Times New Roman" w:cs="Times New Roman" w:eastAsia="Times New Roman" w:hint="default"/>
                          <w:sz w:val="18"/>
                          <w:szCs w:val="18"/>
                        </w:rPr>
                        <w:t>)</w:t>
                      </w:r>
                    </w:p>
                  </w:txbxContent>
                </v:textbox>
                <w10:wrap type="none"/>
              </v:shape>
              <v:shape style="position:absolute;left:5851;top:7671;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988,894.90</w:t>
                      </w:r>
                      <w:r>
                        <w:rPr>
                          <w:rFonts w:ascii="Times New Roman"/>
                          <w:sz w:val="21"/>
                        </w:rPr>
                      </w:r>
                    </w:p>
                  </w:txbxContent>
                </v:textbox>
                <w10:wrap type="none"/>
              </v:shape>
              <v:shape style="position:absolute;left:7395;top:7671;width:117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-5,423,071.68</w:t>
                      </w:r>
                    </w:p>
                  </w:txbxContent>
                </v:textbox>
                <w10:wrap type="none"/>
              </v:shape>
              <v:shape style="position:absolute;left:407;top:8170;width:2511;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经营性应付项目的增加</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减少</w:t>
                      </w:r>
                      <w:r>
                        <w:rPr>
                          <w:rFonts w:ascii="Times New Roman" w:hAnsi="Times New Roman" w:cs="Times New Roman" w:eastAsia="Times New Roman" w:hint="default"/>
                          <w:sz w:val="18"/>
                          <w:szCs w:val="18"/>
                        </w:rPr>
                        <w:t>)</w:t>
                      </w:r>
                    </w:p>
                  </w:txbxContent>
                </v:textbox>
                <w10:wrap type="none"/>
              </v:shape>
              <v:shape style="position:absolute;left:5589;top:8164;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12,925,599.83</w:t>
                      </w:r>
                    </w:p>
                  </w:txbxContent>
                </v:textbox>
                <w10:wrap type="none"/>
              </v:shape>
              <v:shape style="position:absolute;left:7360;top:8164;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15,758,220.30</w:t>
                      </w:r>
                    </w:p>
                  </w:txbxContent>
                </v:textbox>
                <w10:wrap type="none"/>
              </v:shape>
              <v:shape style="position:absolute;left:407;top:866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5414;top:8657;width:138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-174,729,459.79</w:t>
                      </w:r>
                    </w:p>
                  </w:txbxContent>
                </v:textbox>
                <w10:wrap type="none"/>
              </v:shape>
              <v:shape style="position:absolute;left:8497;top:8657;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407;top:9155;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xbxContent>
                </v:textbox>
                <w10:wrap type="none"/>
              </v:shape>
              <v:shape style="position:absolute;left:5781;top:9149;width:1017;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-146,032.88</w:t>
                      </w:r>
                    </w:p>
                  </w:txbxContent>
                </v:textbox>
                <w10:wrap type="none"/>
              </v:shape>
              <v:shape style="position:absolute;left:7727;top:9149;width:84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89,315.95</w:t>
                      </w:r>
                    </w:p>
                  </w:txbxContent>
                </v:textbox>
                <w10:wrap type="none"/>
              </v:shape>
            </v:group>
          </v:group>
        </w:pict>
      </w:r>
      <w:r>
        <w:rPr>
          <w:rFonts w:ascii="黑体" w:hAnsi="黑体" w:cs="黑体" w:eastAsia="黑体" w:hint="default"/>
          <w:position w:val="-187"/>
          <w:sz w:val="20"/>
          <w:szCs w:val="20"/>
        </w:rPr>
      </w:r>
    </w:p>
    <w:p>
      <w:pPr>
        <w:spacing w:after="0" w:line="9396" w:lineRule="exact"/>
        <w:rPr>
          <w:rFonts w:ascii="黑体" w:hAnsi="黑体" w:cs="黑体" w:eastAsia="黑体" w:hint="default"/>
          <w:sz w:val="20"/>
          <w:szCs w:val="20"/>
        </w:rPr>
        <w:sectPr>
          <w:footerReference w:type="default" r:id="rId189"/>
          <w:pgSz w:w="11910" w:h="16840"/>
          <w:pgMar w:footer="710" w:header="0" w:top="580" w:bottom="900" w:left="1280" w:right="126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22216"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5323" w:lineRule="exact"/>
        <w:ind w:left="10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5"/>
          <w:sz w:val="20"/>
          <w:szCs w:val="20"/>
        </w:rPr>
        <w:pict>
          <v:group style="width:457.2pt;height:266.2pt;mso-position-horizontal-relative:char;mso-position-vertical-relative:line" coordorigin="0,0" coordsize="9144,5324">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style="position:absolute;left:463;top:29;width:8639;height:2" coordorigin="463,29" coordsize="8639,2">
              <v:shape style="position:absolute;left:463;top:29;width:8639;height:2" coordorigin="463,29" coordsize="8639,0" path="m463,29l9102,29e" filled="false" stroked="true" strokeweight="1.5pt" strokecolor="#000000">
                <v:path arrowok="t"/>
              </v:shape>
              <v:shape style="position:absolute;left:5543;top:25;width:1818;height:518" type="#_x0000_t75" stroked="false">
                <v:imagedata r:id="rId190" o:title=""/>
              </v:shape>
            </v:group>
            <v:group style="position:absolute;left:449;top:5308;width:5114;height:2" coordorigin="449,5308" coordsize="5114,2">
              <v:shape style="position:absolute;left:449;top:5308;width:5114;height:2" coordorigin="449,5308" coordsize="5114,0" path="m449,5308l5562,5308e" filled="false" stroked="true" strokeweight="1.5pt" strokecolor="#000000">
                <v:path arrowok="t"/>
              </v:shape>
              <v:shape style="position:absolute;left:444;top:506;width:8683;height:4806" type="#_x0000_t75" stroked="false">
                <v:imagedata r:id="rId196" o:title=""/>
              </v:shape>
            </v:group>
            <v:group style="position:absolute;left:5562;top:5308;width:1770;height:2" coordorigin="5562,5308" coordsize="1770,2">
              <v:shape style="position:absolute;left:5562;top:5308;width:1770;height:2" coordorigin="5562,5308" coordsize="1770,0" path="m5562,5308l7332,5308e" filled="false" stroked="true" strokeweight="1.5pt" strokecolor="#000000">
                <v:path arrowok="t"/>
              </v:shape>
              <v:shape style="position:absolute;left:7313;top:4790;width:48;height:522" type="#_x0000_t75" stroked="false">
                <v:imagedata r:id="rId197" o:title=""/>
              </v:shape>
            </v:group>
            <v:group style="position:absolute;left:7332;top:5308;width:1778;height:2" coordorigin="7332,5308" coordsize="1778,2">
              <v:shape style="position:absolute;left:7332;top:5308;width:1778;height:2" coordorigin="7332,5308" coordsize="1778,0" path="m7332,5308l9109,5308e" filled="false" stroked="true" strokeweight="1.5pt" strokecolor="#000000">
                <v:path arrowok="t"/>
              </v:shape>
              <v:shape style="position:absolute;left:2430;top:31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3420;top:31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6092;top:31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7862;top:31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571;top:786;width:2885;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不涉及现金收支的投资和筹资活动</w:t>
                      </w:r>
                      <w:r>
                        <w:rPr>
                          <w:rFonts w:ascii="Times New Roman" w:hAnsi="Times New Roman" w:cs="Times New Roman" w:eastAsia="Times New Roman" w:hint="default"/>
                          <w:spacing w:val="-1"/>
                          <w:sz w:val="18"/>
                          <w:szCs w:val="18"/>
                        </w:rPr>
                        <w:t>:</w:t>
                      </w:r>
                    </w:p>
                  </w:txbxContent>
                </v:textbox>
                <w10:wrap type="none"/>
              </v:shape>
              <v:shape style="position:absolute;left:7157;top:768;width:74;height:220" type="#_x0000_t202" filled="false" stroked="false">
                <v:textbox inset="0,0,0,0">
                  <w:txbxContent>
                    <w:p>
                      <w:pPr>
                        <w:spacing w:line="220" w:lineRule="exact" w:before="0"/>
                        <w:ind w:left="0" w:right="0" w:firstLine="0"/>
                        <w:jc w:val="lef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xbxContent>
                </v:textbox>
                <w10:wrap type="none"/>
              </v:shape>
              <v:shape style="position:absolute;left:8932;top:778;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751;top:125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债务转为资本</w:t>
                      </w:r>
                    </w:p>
                  </w:txbxContent>
                </v:textbox>
                <w10:wrap type="none"/>
              </v:shape>
              <v:shape style="position:absolute;left:7157;top:1237;width:74;height:220" type="#_x0000_t202" filled="false" stroked="false">
                <v:textbox inset="0,0,0,0">
                  <w:txbxContent>
                    <w:p>
                      <w:pPr>
                        <w:spacing w:line="220" w:lineRule="exact" w:before="0"/>
                        <w:ind w:left="0" w:right="0" w:firstLine="0"/>
                        <w:jc w:val="lef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xbxContent>
                </v:textbox>
                <w10:wrap type="none"/>
              </v:shape>
              <v:shape style="position:absolute;left:8932;top:1247;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751;top:1726;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xbxContent>
                </v:textbox>
                <w10:wrap type="none"/>
              </v:shape>
              <v:shape style="position:absolute;left:7157;top:1707;width:74;height:220" type="#_x0000_t202" filled="false" stroked="false">
                <v:textbox inset="0,0,0,0">
                  <w:txbxContent>
                    <w:p>
                      <w:pPr>
                        <w:spacing w:line="220" w:lineRule="exact" w:before="0"/>
                        <w:ind w:left="0" w:right="0" w:firstLine="0"/>
                        <w:jc w:val="lef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xbxContent>
                </v:textbox>
                <w10:wrap type="none"/>
              </v:shape>
              <v:shape style="position:absolute;left:8932;top:1717;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751;top:2196;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融资租入固定资产</w:t>
                      </w:r>
                    </w:p>
                  </w:txbxContent>
                </v:textbox>
                <w10:wrap type="none"/>
              </v:shape>
              <v:shape style="position:absolute;left:7157;top:2178;width:74;height:220" type="#_x0000_t202" filled="false" stroked="false">
                <v:textbox inset="0,0,0,0">
                  <w:txbxContent>
                    <w:p>
                      <w:pPr>
                        <w:spacing w:line="220" w:lineRule="exact" w:before="0"/>
                        <w:ind w:left="0" w:right="0" w:firstLine="0"/>
                        <w:jc w:val="lef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xbxContent>
                </v:textbox>
                <w10:wrap type="none"/>
              </v:shape>
              <v:shape style="position:absolute;left:8932;top:2188;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571;top:2665;width:24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现金及现金等价物净增加情况</w:t>
                      </w:r>
                    </w:p>
                  </w:txbxContent>
                </v:textbox>
                <w10:wrap type="none"/>
              </v:shape>
              <v:shape style="position:absolute;left:7157;top:2647;width:74;height:220" type="#_x0000_t202" filled="false" stroked="false">
                <v:textbox inset="0,0,0,0">
                  <w:txbxContent>
                    <w:p>
                      <w:pPr>
                        <w:spacing w:line="220" w:lineRule="exact" w:before="0"/>
                        <w:ind w:left="0" w:right="0" w:firstLine="0"/>
                        <w:jc w:val="lef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xbxContent>
                </v:textbox>
                <w10:wrap type="none"/>
              </v:shape>
              <v:shape style="position:absolute;left:8932;top:2657;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841;top:3136;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现金的期末余额</w:t>
                      </w:r>
                    </w:p>
                  </w:txbxContent>
                </v:textbox>
                <w10:wrap type="none"/>
              </v:shape>
              <v:shape style="position:absolute;left:6390;top:3150;width:84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56,213.56</w:t>
                      </w:r>
                    </w:p>
                  </w:txbxContent>
                </v:textbox>
                <w10:wrap type="none"/>
              </v:shape>
              <v:shape style="position:absolute;left:8056;top:3150;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202,246.44</w:t>
                      </w:r>
                      <w:r>
                        <w:rPr>
                          <w:rFonts w:ascii="Times New Roman"/>
                          <w:sz w:val="21"/>
                        </w:rPr>
                      </w:r>
                    </w:p>
                  </w:txbxContent>
                </v:textbox>
                <w10:wrap type="none"/>
              </v:shape>
              <v:shape style="position:absolute;left:841;top:3629;width:1491;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现金的期初余额</w:t>
                      </w:r>
                    </w:p>
                  </w:txbxContent>
                </v:textbox>
                <w10:wrap type="none"/>
              </v:shape>
              <v:shape style="position:absolute;left:6284;top:3643;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202,246.44</w:t>
                      </w:r>
                      <w:r>
                        <w:rPr>
                          <w:rFonts w:ascii="Times New Roman"/>
                          <w:sz w:val="21"/>
                        </w:rPr>
                      </w:r>
                    </w:p>
                  </w:txbxContent>
                </v:textbox>
                <w10:wrap type="none"/>
              </v:shape>
              <v:shape style="position:absolute;left:8056;top:3643;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125,166.76</w:t>
                      </w:r>
                      <w:r>
                        <w:rPr>
                          <w:rFonts w:ascii="Times New Roman"/>
                          <w:sz w:val="21"/>
                        </w:rPr>
                      </w:r>
                    </w:p>
                  </w:txbxContent>
                </v:textbox>
                <w10:wrap type="none"/>
              </v:shape>
              <v:shape style="position:absolute;left:841;top:4122;width:2031;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w:t>
                      </w:r>
                      <w:r>
                        <w:rPr>
                          <w:rFonts w:ascii="Times New Roman" w:hAnsi="Times New Roman" w:cs="Times New Roman" w:eastAsia="Times New Roman" w:hint="default"/>
                          <w:sz w:val="18"/>
                          <w:szCs w:val="18"/>
                        </w:rPr>
                        <w:t>:</w:t>
                      </w:r>
                      <w:r>
                        <w:rPr>
                          <w:rFonts w:ascii="宋体" w:hAnsi="宋体" w:cs="宋体" w:eastAsia="宋体" w:hint="default"/>
                          <w:sz w:val="18"/>
                          <w:szCs w:val="18"/>
                        </w:rPr>
                        <w:t>现金等价物的期末余额</w:t>
                      </w:r>
                    </w:p>
                  </w:txbxContent>
                </v:textbox>
                <w10:wrap type="none"/>
              </v:shape>
              <v:shape style="position:absolute;left:7157;top:4104;width:74;height:220" type="#_x0000_t202" filled="false" stroked="false">
                <v:textbox inset="0,0,0,0">
                  <w:txbxContent>
                    <w:p>
                      <w:pPr>
                        <w:spacing w:line="220" w:lineRule="exact" w:before="0"/>
                        <w:ind w:left="0" w:right="0" w:firstLine="0"/>
                        <w:jc w:val="lef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xbxContent>
                </v:textbox>
                <w10:wrap type="none"/>
              </v:shape>
              <v:shape style="position:absolute;left:8932;top:4114;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841;top:4591;width:2031;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现金等价物的期初余额</w:t>
                      </w:r>
                    </w:p>
                  </w:txbxContent>
                </v:textbox>
                <w10:wrap type="none"/>
              </v:shape>
              <v:shape style="position:absolute;left:7157;top:4573;width:74;height:220" type="#_x0000_t202" filled="false" stroked="false">
                <v:textbox inset="0,0,0,0">
                  <w:txbxContent>
                    <w:p>
                      <w:pPr>
                        <w:spacing w:line="220" w:lineRule="exact" w:before="0"/>
                        <w:ind w:left="0" w:right="0" w:firstLine="0"/>
                        <w:jc w:val="lef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xbxContent>
                </v:textbox>
                <w10:wrap type="none"/>
              </v:shape>
              <v:shape style="position:absolute;left:8932;top:458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841;top:5062;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现金及现金等价物的净增加额</w:t>
                      </w:r>
                    </w:p>
                  </w:txbxContent>
                </v:textbox>
                <w10:wrap type="none"/>
              </v:shape>
              <v:shape style="position:absolute;left:6215;top:5076;width:1017;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-146,032.88</w:t>
                      </w:r>
                    </w:p>
                  </w:txbxContent>
                </v:textbox>
                <w10:wrap type="none"/>
              </v:shape>
              <v:shape style="position:absolute;left:8161;top:5076;width:84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77,079.68</w:t>
                      </w:r>
                    </w:p>
                  </w:txbxContent>
                </v:textbox>
                <w10:wrap type="none"/>
              </v:shape>
            </v:group>
          </v:group>
        </w:pict>
      </w:r>
      <w:r>
        <w:rPr>
          <w:rFonts w:ascii="Times New Roman" w:hAnsi="Times New Roman" w:cs="Times New Roman" w:eastAsia="Times New Roman" w:hint="default"/>
          <w:position w:val="-105"/>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153"/>
        <w:ind w:left="558" w:right="0" w:firstLine="0"/>
        <w:jc w:val="left"/>
        <w:rPr>
          <w:rFonts w:ascii="黑体" w:hAnsi="黑体" w:cs="黑体" w:eastAsia="黑体" w:hint="default"/>
          <w:sz w:val="21"/>
          <w:szCs w:val="21"/>
        </w:rPr>
      </w:pPr>
      <w:r>
        <w:rPr/>
        <w:pict>
          <v:group style="position:absolute;margin-left:90.75pt;margin-top:22.973978pt;width:431.45pt;height:357.8pt;mso-position-horizontal-relative:page;mso-position-vertical-relative:paragraph;z-index:-434536" coordorigin="1815,459" coordsize="8629,7156">
            <v:group style="position:absolute;left:1844;top:474;width:8572;height:2" coordorigin="1844,474" coordsize="8572,2">
              <v:shape style="position:absolute;left:1844;top:474;width:8572;height:2" coordorigin="1844,474" coordsize="8572,0" path="m1844,474l10416,474e" filled="false" stroked="true" strokeweight="1.5pt" strokecolor="#000000">
                <v:path arrowok="t"/>
              </v:shape>
              <v:shape style="position:absolute;left:7206;top:470;width:1644;height:504" type="#_x0000_t75" stroked="false">
                <v:imagedata r:id="rId198" o:title=""/>
              </v:shape>
            </v:group>
            <v:group style="position:absolute;left:1830;top:7600;width:5396;height:2" coordorigin="1830,7600" coordsize="5396,2">
              <v:shape style="position:absolute;left:1830;top:7600;width:5396;height:2" coordorigin="1830,7600" coordsize="5396,0" path="m1830,7600l7225,7600e" filled="false" stroked="true" strokeweight="1.5pt" strokecolor="#000000">
                <v:path arrowok="t"/>
              </v:shape>
              <v:shape style="position:absolute;left:1825;top:936;width:8618;height:6668" type="#_x0000_t75" stroked="false">
                <v:imagedata r:id="rId199" o:title=""/>
              </v:shape>
            </v:group>
            <v:group style="position:absolute;left:7225;top:7600;width:1596;height:2" coordorigin="7225,7600" coordsize="1596,2">
              <v:shape style="position:absolute;left:7225;top:7600;width:1596;height:2" coordorigin="7225,7600" coordsize="1596,0" path="m7225,7600l8821,7600e" filled="false" stroked="true" strokeweight="1.5pt" strokecolor="#000000">
                <v:path arrowok="t"/>
              </v:shape>
              <v:shape style="position:absolute;left:8802;top:7100;width:48;height:504" type="#_x0000_t75" stroked="false">
                <v:imagedata r:id="rId200" o:title=""/>
              </v:shape>
            </v:group>
            <v:group style="position:absolute;left:8821;top:7600;width:1602;height:2" coordorigin="8821,7600" coordsize="1602,2">
              <v:shape style="position:absolute;left:8821;top:7600;width:1602;height:2" coordorigin="8821,7600" coordsize="1602,0" path="m8821,7600l10423,7600e" filled="false" stroked="true" strokeweight="1.5pt" strokecolor="#000000">
                <v:path arrowok="t"/>
              </v:shape>
            </v:group>
            <w10:wrap type="none"/>
          </v:group>
        </w:pict>
      </w:r>
      <w:r>
        <w:rPr>
          <w:rFonts w:ascii="Times New Roman" w:hAnsi="Times New Roman" w:cs="Times New Roman" w:eastAsia="Times New Roman" w:hint="default"/>
          <w:sz w:val="21"/>
          <w:szCs w:val="21"/>
        </w:rPr>
        <w:t>3</w:t>
      </w:r>
      <w:r>
        <w:rPr>
          <w:rFonts w:ascii="黑体" w:hAnsi="黑体" w:cs="黑体" w:eastAsia="黑体" w:hint="default"/>
          <w:sz w:val="21"/>
          <w:szCs w:val="21"/>
        </w:rPr>
        <w:t>、非经常性损益项目明细表</w:t>
      </w:r>
    </w:p>
    <w:p>
      <w:pPr>
        <w:spacing w:line="240" w:lineRule="auto" w:before="9"/>
        <w:rPr>
          <w:rFonts w:ascii="黑体" w:hAnsi="黑体" w:cs="黑体" w:eastAsia="黑体" w:hint="default"/>
          <w:sz w:val="18"/>
          <w:szCs w:val="18"/>
        </w:rPr>
      </w:pPr>
    </w:p>
    <w:p>
      <w:pPr>
        <w:tabs>
          <w:tab w:pos="3661" w:val="left" w:leader="none"/>
          <w:tab w:pos="6387" w:val="left" w:leader="none"/>
          <w:tab w:pos="7983" w:val="left" w:leader="none"/>
        </w:tabs>
        <w:spacing w:before="0"/>
        <w:ind w:left="2671" w:right="0" w:firstLine="0"/>
        <w:jc w:val="left"/>
        <w:rPr>
          <w:rFonts w:ascii="宋体" w:hAnsi="宋体" w:cs="宋体" w:eastAsia="宋体" w:hint="default"/>
          <w:sz w:val="18"/>
          <w:szCs w:val="18"/>
        </w:rPr>
      </w:pPr>
      <w:r>
        <w:rPr>
          <w:rFonts w:ascii="宋体" w:hAnsi="宋体" w:cs="宋体" w:eastAsia="宋体" w:hint="default"/>
          <w:sz w:val="18"/>
          <w:szCs w:val="18"/>
        </w:rPr>
        <w:t>项</w:t>
        <w:tab/>
        <w:t>目</w:t>
        <w:tab/>
        <w:t>本期金额</w:t>
        <w:tab/>
        <w:t>上期金额</w:t>
      </w:r>
    </w:p>
    <w:p>
      <w:pPr>
        <w:spacing w:line="240" w:lineRule="auto" w:before="7"/>
        <w:rPr>
          <w:rFonts w:ascii="宋体" w:hAnsi="宋体" w:cs="宋体" w:eastAsia="宋体" w:hint="default"/>
          <w:sz w:val="14"/>
          <w:szCs w:val="14"/>
        </w:rPr>
      </w:pPr>
    </w:p>
    <w:p>
      <w:pPr>
        <w:tabs>
          <w:tab w:pos="6432" w:val="left" w:leader="none"/>
          <w:tab w:pos="7999" w:val="left" w:leader="none"/>
        </w:tabs>
        <w:spacing w:before="49"/>
        <w:ind w:left="672"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非流动性资产处置损益</w:t>
        <w:tab/>
      </w:r>
      <w:r>
        <w:rPr>
          <w:rFonts w:ascii="Times New Roman" w:hAnsi="Times New Roman" w:cs="Times New Roman" w:eastAsia="Times New Roman" w:hint="default"/>
          <w:spacing w:val="-1"/>
          <w:position w:val="1"/>
          <w:sz w:val="18"/>
          <w:szCs w:val="18"/>
        </w:rPr>
        <w:t>-1,156,966.82</w:t>
        <w:tab/>
        <w:t>32,444,898.54</w:t>
      </w:r>
      <w:r>
        <w:rPr>
          <w:rFonts w:ascii="Times New Roman" w:hAnsi="Times New Roman" w:cs="Times New Roman" w:eastAsia="Times New Roman" w:hint="default"/>
          <w:spacing w:val="-1"/>
          <w:sz w:val="18"/>
          <w:szCs w:val="18"/>
        </w:rPr>
      </w:r>
    </w:p>
    <w:p>
      <w:pPr>
        <w:tabs>
          <w:tab w:pos="7377" w:val="left" w:leader="none"/>
          <w:tab w:pos="8975" w:val="left" w:leader="none"/>
        </w:tabs>
        <w:spacing w:before="148"/>
        <w:ind w:left="672"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越权审批，或无正式批准文件，或偶发性的税收返还、减免</w:t>
        <w:tab/>
      </w:r>
      <w:r>
        <w:rPr>
          <w:rFonts w:ascii="Times New Roman" w:hAnsi="Times New Roman" w:cs="Times New Roman" w:eastAsia="Times New Roman" w:hint="default"/>
          <w:position w:val="12"/>
          <w:sz w:val="18"/>
          <w:szCs w:val="18"/>
        </w:rPr>
        <w:t>-</w:t>
        <w:tab/>
        <w:t>-</w:t>
      </w:r>
      <w:r>
        <w:rPr>
          <w:rFonts w:ascii="Times New Roman" w:hAnsi="Times New Roman" w:cs="Times New Roman" w:eastAsia="Times New Roman" w:hint="default"/>
          <w:sz w:val="18"/>
          <w:szCs w:val="18"/>
        </w:rPr>
      </w:r>
    </w:p>
    <w:p>
      <w:pPr>
        <w:tabs>
          <w:tab w:pos="7377" w:val="left" w:leader="none"/>
          <w:tab w:pos="8975" w:val="left" w:leader="none"/>
        </w:tabs>
        <w:spacing w:before="148"/>
        <w:ind w:left="672"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计入当期损益的政府补助</w:t>
        <w:tab/>
      </w:r>
      <w:r>
        <w:rPr>
          <w:rFonts w:ascii="Times New Roman" w:hAnsi="Times New Roman" w:cs="Times New Roman" w:eastAsia="Times New Roman" w:hint="default"/>
          <w:position w:val="12"/>
          <w:sz w:val="18"/>
          <w:szCs w:val="18"/>
        </w:rPr>
        <w:t>-</w:t>
        <w:tab/>
        <w:t>-</w:t>
      </w:r>
      <w:r>
        <w:rPr>
          <w:rFonts w:ascii="Times New Roman" w:hAnsi="Times New Roman" w:cs="Times New Roman" w:eastAsia="Times New Roman" w:hint="default"/>
          <w:sz w:val="18"/>
          <w:szCs w:val="18"/>
        </w:rPr>
      </w:r>
    </w:p>
    <w:p>
      <w:pPr>
        <w:tabs>
          <w:tab w:pos="7377" w:val="left" w:leader="none"/>
          <w:tab w:pos="8975" w:val="left" w:leader="none"/>
        </w:tabs>
        <w:spacing w:before="147"/>
        <w:ind w:left="672"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计入当期损益的对非金融企业收取的资金占用费</w:t>
        <w:tab/>
      </w:r>
      <w:r>
        <w:rPr>
          <w:rFonts w:ascii="Times New Roman" w:hAnsi="Times New Roman" w:cs="Times New Roman" w:eastAsia="Times New Roman" w:hint="default"/>
          <w:position w:val="12"/>
          <w:sz w:val="18"/>
          <w:szCs w:val="18"/>
        </w:rPr>
        <w:t>-</w:t>
        <w:tab/>
        <w:t>-</w:t>
      </w:r>
      <w:r>
        <w:rPr>
          <w:rFonts w:ascii="Times New Roman" w:hAnsi="Times New Roman" w:cs="Times New Roman" w:eastAsia="Times New Roman" w:hint="default"/>
          <w:sz w:val="18"/>
          <w:szCs w:val="18"/>
        </w:rPr>
      </w:r>
    </w:p>
    <w:p>
      <w:pPr>
        <w:spacing w:line="240" w:lineRule="auto" w:before="7"/>
        <w:rPr>
          <w:rFonts w:ascii="Times New Roman" w:hAnsi="Times New Roman" w:cs="Times New Roman" w:eastAsia="Times New Roman" w:hint="default"/>
          <w:sz w:val="15"/>
          <w:szCs w:val="15"/>
        </w:rPr>
      </w:pPr>
    </w:p>
    <w:p>
      <w:pPr>
        <w:tabs>
          <w:tab w:pos="7377" w:val="left" w:leader="none"/>
          <w:tab w:pos="8975" w:val="left" w:leader="none"/>
        </w:tabs>
        <w:spacing w:before="44"/>
        <w:ind w:left="672"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 </w:t>
      </w:r>
      <w:r>
        <w:rPr>
          <w:rFonts w:ascii="Times New Roman" w:hAnsi="Times New Roman" w:cs="Times New Roman" w:eastAsia="Times New Roman" w:hint="default"/>
          <w:spacing w:val="17"/>
          <w:sz w:val="18"/>
          <w:szCs w:val="18"/>
        </w:rPr>
        <w:t> </w:t>
      </w:r>
      <w:r>
        <w:rPr>
          <w:rFonts w:ascii="宋体" w:hAnsi="宋体" w:cs="宋体" w:eastAsia="宋体" w:hint="default"/>
          <w:spacing w:val="2"/>
          <w:sz w:val="18"/>
          <w:szCs w:val="18"/>
        </w:rPr>
        <w:t>取得子公司、联营企业及合营企业的投资成本小于取得投资时</w:t>
        <w:tab/>
      </w:r>
      <w:r>
        <w:rPr>
          <w:rFonts w:ascii="Times New Roman" w:hAnsi="Times New Roman" w:cs="Times New Roman" w:eastAsia="Times New Roman" w:hint="default"/>
          <w:position w:val="-10"/>
          <w:sz w:val="18"/>
          <w:szCs w:val="18"/>
        </w:rPr>
        <w:t>-</w:t>
        <w:tab/>
        <w:t>-</w:t>
      </w:r>
      <w:r>
        <w:rPr>
          <w:rFonts w:ascii="Times New Roman" w:hAnsi="Times New Roman" w:cs="Times New Roman" w:eastAsia="Times New Roman" w:hint="default"/>
          <w:sz w:val="18"/>
          <w:szCs w:val="18"/>
        </w:rPr>
      </w:r>
    </w:p>
    <w:p>
      <w:pPr>
        <w:spacing w:before="101"/>
        <w:ind w:left="672" w:right="0" w:firstLine="0"/>
        <w:jc w:val="left"/>
        <w:rPr>
          <w:rFonts w:ascii="宋体" w:hAnsi="宋体" w:cs="宋体" w:eastAsia="宋体" w:hint="default"/>
          <w:sz w:val="18"/>
          <w:szCs w:val="18"/>
        </w:rPr>
      </w:pPr>
      <w:r>
        <w:rPr>
          <w:rFonts w:ascii="宋体" w:hAnsi="宋体" w:cs="宋体" w:eastAsia="宋体" w:hint="default"/>
          <w:sz w:val="18"/>
          <w:szCs w:val="18"/>
        </w:rPr>
        <w:t>应享有被投资单位可辨认净资产公允价值产生的收益</w:t>
      </w:r>
    </w:p>
    <w:p>
      <w:pPr>
        <w:tabs>
          <w:tab w:pos="7377" w:val="left" w:leader="none"/>
          <w:tab w:pos="8975" w:val="left" w:leader="none"/>
        </w:tabs>
        <w:spacing w:before="158"/>
        <w:ind w:left="672"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6.</w:t>
      </w:r>
      <w:r>
        <w:rPr>
          <w:rFonts w:ascii="宋体" w:hAnsi="宋体" w:cs="宋体" w:eastAsia="宋体" w:hint="default"/>
          <w:spacing w:val="-1"/>
          <w:sz w:val="18"/>
          <w:szCs w:val="18"/>
        </w:rPr>
        <w:t>非货币性资产交换损益</w:t>
        <w:tab/>
      </w:r>
      <w:r>
        <w:rPr>
          <w:rFonts w:ascii="Times New Roman" w:hAnsi="Times New Roman" w:cs="Times New Roman" w:eastAsia="Times New Roman" w:hint="default"/>
          <w:position w:val="12"/>
          <w:sz w:val="18"/>
          <w:szCs w:val="18"/>
        </w:rPr>
        <w:t>-</w:t>
        <w:tab/>
        <w:t>-</w:t>
      </w:r>
      <w:r>
        <w:rPr>
          <w:rFonts w:ascii="Times New Roman" w:hAnsi="Times New Roman" w:cs="Times New Roman" w:eastAsia="Times New Roman" w:hint="default"/>
          <w:sz w:val="18"/>
          <w:szCs w:val="18"/>
        </w:rPr>
      </w:r>
    </w:p>
    <w:p>
      <w:pPr>
        <w:tabs>
          <w:tab w:pos="8975" w:val="left" w:leader="none"/>
        </w:tabs>
        <w:spacing w:before="148"/>
        <w:ind w:left="672"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委托他人投资或管理资产的损益</w:t>
        <w:tab/>
      </w:r>
      <w:r>
        <w:rPr>
          <w:rFonts w:ascii="Times New Roman" w:hAnsi="Times New Roman" w:cs="Times New Roman" w:eastAsia="Times New Roman" w:hint="default"/>
          <w:position w:val="12"/>
          <w:sz w:val="18"/>
          <w:szCs w:val="18"/>
        </w:rPr>
        <w:t>-</w:t>
      </w:r>
      <w:r>
        <w:rPr>
          <w:rFonts w:ascii="Times New Roman" w:hAnsi="Times New Roman" w:cs="Times New Roman" w:eastAsia="Times New Roman" w:hint="default"/>
          <w:sz w:val="18"/>
          <w:szCs w:val="18"/>
        </w:rPr>
      </w:r>
    </w:p>
    <w:p>
      <w:pPr>
        <w:tabs>
          <w:tab w:pos="7377" w:val="left" w:leader="none"/>
          <w:tab w:pos="8975" w:val="left" w:leader="none"/>
        </w:tabs>
        <w:spacing w:before="148"/>
        <w:ind w:left="672"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因不可抗力因素，如遭受自然灾害而计提的各项资产减值准备</w:t>
        <w:tab/>
      </w:r>
      <w:r>
        <w:rPr>
          <w:rFonts w:ascii="Times New Roman" w:hAnsi="Times New Roman" w:cs="Times New Roman" w:eastAsia="Times New Roman" w:hint="default"/>
          <w:position w:val="12"/>
          <w:sz w:val="18"/>
          <w:szCs w:val="18"/>
        </w:rPr>
        <w:t>-</w:t>
        <w:tab/>
        <w:t>-</w:t>
      </w:r>
      <w:r>
        <w:rPr>
          <w:rFonts w:ascii="Times New Roman" w:hAnsi="Times New Roman" w:cs="Times New Roman" w:eastAsia="Times New Roman" w:hint="default"/>
          <w:sz w:val="18"/>
          <w:szCs w:val="18"/>
        </w:rPr>
      </w:r>
    </w:p>
    <w:p>
      <w:pPr>
        <w:tabs>
          <w:tab w:pos="7377" w:val="left" w:leader="none"/>
          <w:tab w:pos="8975" w:val="left" w:leader="none"/>
        </w:tabs>
        <w:spacing w:before="148"/>
        <w:ind w:left="672"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债务重组损益</w:t>
        <w:tab/>
      </w:r>
      <w:r>
        <w:rPr>
          <w:rFonts w:ascii="Times New Roman" w:hAnsi="Times New Roman" w:cs="Times New Roman" w:eastAsia="Times New Roman" w:hint="default"/>
          <w:position w:val="12"/>
          <w:sz w:val="18"/>
          <w:szCs w:val="18"/>
        </w:rPr>
        <w:t>-</w:t>
        <w:tab/>
        <w:t>-</w:t>
      </w:r>
      <w:r>
        <w:rPr>
          <w:rFonts w:ascii="Times New Roman" w:hAnsi="Times New Roman" w:cs="Times New Roman" w:eastAsia="Times New Roman" w:hint="default"/>
          <w:sz w:val="18"/>
          <w:szCs w:val="18"/>
        </w:rPr>
      </w:r>
    </w:p>
    <w:p>
      <w:pPr>
        <w:tabs>
          <w:tab w:pos="7377" w:val="left" w:leader="none"/>
          <w:tab w:pos="8975" w:val="left" w:leader="none"/>
        </w:tabs>
        <w:spacing w:before="148"/>
        <w:ind w:left="672"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10.</w:t>
      </w:r>
      <w:r>
        <w:rPr>
          <w:rFonts w:ascii="宋体" w:hAnsi="宋体" w:cs="宋体" w:eastAsia="宋体" w:hint="default"/>
          <w:spacing w:val="-1"/>
          <w:sz w:val="18"/>
          <w:szCs w:val="18"/>
        </w:rPr>
        <w:t>企业重组费用</w:t>
        <w:tab/>
      </w:r>
      <w:r>
        <w:rPr>
          <w:rFonts w:ascii="Times New Roman" w:hAnsi="Times New Roman" w:cs="Times New Roman" w:eastAsia="Times New Roman" w:hint="default"/>
          <w:position w:val="12"/>
          <w:sz w:val="18"/>
          <w:szCs w:val="18"/>
        </w:rPr>
        <w:t>-</w:t>
        <w:tab/>
        <w:t>-</w:t>
      </w:r>
      <w:r>
        <w:rPr>
          <w:rFonts w:ascii="Times New Roman" w:hAnsi="Times New Roman" w:cs="Times New Roman" w:eastAsia="Times New Roman" w:hint="default"/>
          <w:sz w:val="18"/>
          <w:szCs w:val="18"/>
        </w:rPr>
      </w:r>
    </w:p>
    <w:p>
      <w:pPr>
        <w:tabs>
          <w:tab w:pos="7377" w:val="left" w:leader="none"/>
          <w:tab w:pos="8975" w:val="left" w:leader="none"/>
        </w:tabs>
        <w:spacing w:before="147"/>
        <w:ind w:left="672"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交易价格显失公允的交易产生的超过公允价值部分的损益</w:t>
        <w:tab/>
      </w:r>
      <w:r>
        <w:rPr>
          <w:rFonts w:ascii="Times New Roman" w:hAnsi="Times New Roman" w:cs="Times New Roman" w:eastAsia="Times New Roman" w:hint="default"/>
          <w:position w:val="12"/>
          <w:sz w:val="18"/>
          <w:szCs w:val="18"/>
        </w:rPr>
        <w:t>-</w:t>
        <w:tab/>
        <w:t>-</w:t>
      </w:r>
      <w:r>
        <w:rPr>
          <w:rFonts w:ascii="Times New Roman" w:hAnsi="Times New Roman" w:cs="Times New Roman" w:eastAsia="Times New Roman" w:hint="default"/>
          <w:sz w:val="18"/>
          <w:szCs w:val="18"/>
        </w:rPr>
      </w:r>
    </w:p>
    <w:p>
      <w:pPr>
        <w:tabs>
          <w:tab w:pos="7377" w:val="left" w:leader="none"/>
          <w:tab w:pos="8975" w:val="left" w:leader="none"/>
        </w:tabs>
        <w:spacing w:before="148"/>
        <w:ind w:left="672"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12.</w:t>
      </w:r>
      <w:r>
        <w:rPr>
          <w:rFonts w:ascii="宋体" w:hAnsi="宋体" w:cs="宋体" w:eastAsia="宋体" w:hint="default"/>
          <w:spacing w:val="-1"/>
          <w:sz w:val="18"/>
          <w:szCs w:val="18"/>
        </w:rPr>
        <w:t>同一控制下企业合并产生的子公司期初至合并日的当期净损益</w:t>
        <w:tab/>
      </w:r>
      <w:r>
        <w:rPr>
          <w:rFonts w:ascii="Times New Roman" w:hAnsi="Times New Roman" w:cs="Times New Roman" w:eastAsia="Times New Roman" w:hint="default"/>
          <w:position w:val="12"/>
          <w:sz w:val="18"/>
          <w:szCs w:val="18"/>
        </w:rPr>
        <w:t>-</w:t>
        <w:tab/>
        <w:t>-</w:t>
      </w:r>
      <w:r>
        <w:rPr>
          <w:rFonts w:ascii="Times New Roman" w:hAnsi="Times New Roman" w:cs="Times New Roman" w:eastAsia="Times New Roman" w:hint="default"/>
          <w:sz w:val="18"/>
          <w:szCs w:val="18"/>
        </w:rPr>
      </w:r>
    </w:p>
    <w:p>
      <w:pPr>
        <w:tabs>
          <w:tab w:pos="7377" w:val="left" w:leader="none"/>
          <w:tab w:pos="8975" w:val="left" w:leader="none"/>
        </w:tabs>
        <w:spacing w:before="148"/>
        <w:ind w:left="672"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与公司正常经营业务无关的或有事项产生的损益</w:t>
        <w:tab/>
      </w:r>
      <w:r>
        <w:rPr>
          <w:rFonts w:ascii="Times New Roman" w:hAnsi="Times New Roman" w:cs="Times New Roman" w:eastAsia="Times New Roman" w:hint="default"/>
          <w:position w:val="12"/>
          <w:sz w:val="18"/>
          <w:szCs w:val="18"/>
        </w:rPr>
        <w:t>-</w:t>
        <w:tab/>
        <w:t>-</w:t>
      </w:r>
      <w:r>
        <w:rPr>
          <w:rFonts w:ascii="Times New Roman" w:hAnsi="Times New Roman" w:cs="Times New Roman" w:eastAsia="Times New Roman" w:hint="default"/>
          <w:sz w:val="18"/>
          <w:szCs w:val="18"/>
        </w:rPr>
      </w:r>
    </w:p>
    <w:p>
      <w:pPr>
        <w:spacing w:after="0"/>
        <w:jc w:val="left"/>
        <w:rPr>
          <w:rFonts w:ascii="Times New Roman" w:hAnsi="Times New Roman" w:cs="Times New Roman" w:eastAsia="Times New Roman" w:hint="default"/>
          <w:sz w:val="18"/>
          <w:szCs w:val="18"/>
        </w:rPr>
        <w:sectPr>
          <w:footerReference w:type="default" r:id="rId195"/>
          <w:pgSz w:w="11910" w:h="16840"/>
          <w:pgMar w:footer="710" w:header="0" w:top="580" w:bottom="900" w:left="1280" w:right="1260"/>
          <w:pgNumType w:start="101"/>
        </w:sectPr>
      </w:pPr>
    </w:p>
    <w:p>
      <w:pPr>
        <w:pStyle w:val="Heading2"/>
        <w:spacing w:line="310" w:lineRule="exact"/>
        <w:ind w:right="2996"/>
        <w:jc w:val="center"/>
        <w:rPr>
          <w:b w:val="0"/>
          <w:bCs w:val="0"/>
        </w:rPr>
      </w:pPr>
      <w:r>
        <w:rPr/>
        <w:pict>
          <v:shape style="position:absolute;margin-left:88.919998pt;margin-top:3.990308pt;width:57.0pt;height:31.5pt;mso-position-horizontal-relative:page;mso-position-vertical-relative:paragraph;z-index:23560"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645" w:right="725"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7"/>
          <w:szCs w:val="27"/>
        </w:rPr>
      </w:pPr>
    </w:p>
    <w:tbl>
      <w:tblPr>
        <w:tblW w:w="0" w:type="auto"/>
        <w:jc w:val="left"/>
        <w:tblInd w:w="550" w:type="dxa"/>
        <w:tblLayout w:type="fixed"/>
        <w:tblCellMar>
          <w:top w:w="0" w:type="dxa"/>
          <w:left w:w="0" w:type="dxa"/>
          <w:bottom w:w="0" w:type="dxa"/>
          <w:right w:w="0" w:type="dxa"/>
        </w:tblCellMar>
        <w:tblLook w:val="01E0"/>
      </w:tblPr>
      <w:tblGrid>
        <w:gridCol w:w="4922"/>
        <w:gridCol w:w="2217"/>
        <w:gridCol w:w="1454"/>
      </w:tblGrid>
      <w:tr>
        <w:trPr>
          <w:trHeight w:val="817"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194" w:lineRule="exact"/>
              <w:ind w:left="122" w:right="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少数股东享有部分</w:t>
            </w:r>
          </w:p>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b/>
                <w:bCs/>
                <w:sz w:val="18"/>
                <w:szCs w:val="18"/>
              </w:rPr>
              <w:t>非经常性损益影响的净利润</w:t>
            </w:r>
            <w:r>
              <w:rPr>
                <w:rFonts w:ascii="宋体" w:hAnsi="宋体" w:cs="宋体" w:eastAsia="宋体" w:hint="default"/>
                <w:sz w:val="18"/>
                <w:szCs w:val="18"/>
              </w:rPr>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240" w:lineRule="auto"/>
              <w:ind w:right="249"/>
              <w:jc w:val="right"/>
              <w:rPr>
                <w:rFonts w:ascii="Times New Roman" w:hAnsi="Times New Roman" w:cs="Times New Roman" w:eastAsia="Times New Roman" w:hint="default"/>
                <w:sz w:val="18"/>
                <w:szCs w:val="18"/>
              </w:rPr>
            </w:pPr>
            <w:r>
              <w:rPr>
                <w:rFonts w:ascii="Times New Roman"/>
                <w:spacing w:val="-1"/>
                <w:sz w:val="18"/>
              </w:rPr>
              <w:t>162,437,724.35</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29,953,399.49</w:t>
            </w:r>
          </w:p>
        </w:tc>
      </w:tr>
      <w:tr>
        <w:trPr>
          <w:trHeight w:val="491"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22" w:right="0"/>
              <w:jc w:val="left"/>
              <w:rPr>
                <w:rFonts w:ascii="宋体" w:hAnsi="宋体" w:cs="宋体" w:eastAsia="宋体" w:hint="default"/>
                <w:sz w:val="18"/>
                <w:szCs w:val="18"/>
              </w:rPr>
            </w:pPr>
            <w:r>
              <w:rPr>
                <w:rFonts w:ascii="宋体" w:hAnsi="宋体" w:cs="宋体" w:eastAsia="宋体" w:hint="default"/>
                <w:sz w:val="18"/>
                <w:szCs w:val="18"/>
              </w:rPr>
              <w:t>报表净利润</w:t>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49"/>
              <w:jc w:val="right"/>
              <w:rPr>
                <w:rFonts w:ascii="Times New Roman" w:hAnsi="Times New Roman" w:cs="Times New Roman" w:eastAsia="Times New Roman" w:hint="default"/>
                <w:sz w:val="18"/>
                <w:szCs w:val="18"/>
              </w:rPr>
            </w:pPr>
            <w:r>
              <w:rPr>
                <w:rFonts w:ascii="Times New Roman"/>
                <w:spacing w:val="-1"/>
                <w:sz w:val="18"/>
              </w:rPr>
              <w:t>154,040,966.62</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06"/>
              <w:jc w:val="right"/>
              <w:rPr>
                <w:rFonts w:ascii="Times New Roman" w:hAnsi="Times New Roman" w:cs="Times New Roman" w:eastAsia="Times New Roman" w:hint="default"/>
                <w:sz w:val="18"/>
                <w:szCs w:val="18"/>
              </w:rPr>
            </w:pPr>
            <w:r>
              <w:rPr>
                <w:rFonts w:ascii="Times New Roman"/>
                <w:spacing w:val="-1"/>
                <w:sz w:val="18"/>
              </w:rPr>
              <w:t>16,140,031.16</w:t>
            </w:r>
          </w:p>
        </w:tc>
      </w:tr>
      <w:tr>
        <w:trPr>
          <w:trHeight w:val="502"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122" w:right="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少数股东损益</w:t>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49"/>
              <w:jc w:val="right"/>
              <w:rPr>
                <w:rFonts w:ascii="Times New Roman" w:hAnsi="Times New Roman" w:cs="Times New Roman" w:eastAsia="Times New Roman" w:hint="default"/>
                <w:sz w:val="18"/>
                <w:szCs w:val="18"/>
              </w:rPr>
            </w:pPr>
            <w:r>
              <w:rPr>
                <w:rFonts w:ascii="Times New Roman"/>
                <w:w w:val="95"/>
                <w:sz w:val="18"/>
              </w:rPr>
              <w:t>-155,297.63</w:t>
            </w:r>
            <w:r>
              <w:rPr>
                <w:rFonts w:ascii="Times New Roman"/>
                <w:sz w:val="18"/>
              </w:rPr>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7"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22" w:right="0"/>
              <w:jc w:val="left"/>
              <w:rPr>
                <w:rFonts w:ascii="宋体" w:hAnsi="宋体" w:cs="宋体" w:eastAsia="宋体" w:hint="default"/>
                <w:sz w:val="18"/>
                <w:szCs w:val="18"/>
              </w:rPr>
            </w:pPr>
            <w:r>
              <w:rPr>
                <w:rFonts w:ascii="宋体" w:hAnsi="宋体" w:cs="宋体" w:eastAsia="宋体" w:hint="default"/>
                <w:b/>
                <w:bCs/>
                <w:sz w:val="18"/>
                <w:szCs w:val="18"/>
              </w:rPr>
              <w:t>归属于母公司股东的净利润</w:t>
            </w:r>
            <w:r>
              <w:rPr>
                <w:rFonts w:ascii="宋体" w:hAnsi="宋体" w:cs="宋体" w:eastAsia="宋体" w:hint="default"/>
                <w:sz w:val="18"/>
                <w:szCs w:val="18"/>
              </w:rPr>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48"/>
              <w:jc w:val="right"/>
              <w:rPr>
                <w:rFonts w:ascii="Times New Roman" w:hAnsi="Times New Roman" w:cs="Times New Roman" w:eastAsia="Times New Roman" w:hint="default"/>
                <w:sz w:val="18"/>
                <w:szCs w:val="18"/>
              </w:rPr>
            </w:pPr>
            <w:r>
              <w:rPr>
                <w:rFonts w:ascii="Times New Roman"/>
                <w:spacing w:val="-1"/>
                <w:sz w:val="18"/>
              </w:rPr>
              <w:t>154,196,264.25</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06"/>
              <w:jc w:val="right"/>
              <w:rPr>
                <w:rFonts w:ascii="Times New Roman" w:hAnsi="Times New Roman" w:cs="Times New Roman" w:eastAsia="Times New Roman" w:hint="default"/>
                <w:sz w:val="18"/>
                <w:szCs w:val="18"/>
              </w:rPr>
            </w:pPr>
            <w:r>
              <w:rPr>
                <w:rFonts w:ascii="Times New Roman"/>
                <w:spacing w:val="-1"/>
                <w:sz w:val="18"/>
              </w:rPr>
              <w:t>16,140,031.16</w:t>
            </w:r>
          </w:p>
        </w:tc>
      </w:tr>
      <w:tr>
        <w:trPr>
          <w:trHeight w:val="481"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98"/>
              <w:ind w:left="122" w:right="0"/>
              <w:jc w:val="left"/>
              <w:rPr>
                <w:rFonts w:ascii="宋体" w:hAnsi="宋体" w:cs="宋体" w:eastAsia="宋体" w:hint="default"/>
                <w:sz w:val="18"/>
                <w:szCs w:val="18"/>
              </w:rPr>
            </w:pPr>
            <w:r>
              <w:rPr>
                <w:rFonts w:ascii="宋体" w:hAnsi="宋体" w:cs="宋体" w:eastAsia="宋体" w:hint="default"/>
                <w:sz w:val="18"/>
                <w:szCs w:val="18"/>
              </w:rPr>
              <w:t>非经常性损益占同期归属于母公司股东净利润比例</w:t>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249"/>
              <w:jc w:val="right"/>
              <w:rPr>
                <w:rFonts w:ascii="Times New Roman" w:hAnsi="Times New Roman" w:cs="Times New Roman" w:eastAsia="Times New Roman" w:hint="default"/>
                <w:sz w:val="18"/>
                <w:szCs w:val="18"/>
              </w:rPr>
            </w:pPr>
            <w:r>
              <w:rPr>
                <w:rFonts w:ascii="Times New Roman"/>
                <w:sz w:val="18"/>
              </w:rPr>
              <w:t>1.05</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84" w:hRule="exact"/>
        </w:trPr>
        <w:tc>
          <w:tcPr>
            <w:tcW w:w="4922" w:type="dxa"/>
            <w:tcBorders>
              <w:top w:val="nil" w:sz="6" w:space="0" w:color="auto"/>
              <w:left w:val="nil" w:sz="6" w:space="0" w:color="auto"/>
              <w:bottom w:val="single" w:sz="12" w:space="0" w:color="000000"/>
              <w:right w:val="nil" w:sz="6" w:space="0" w:color="auto"/>
            </w:tcBorders>
          </w:tcPr>
          <w:p>
            <w:pPr>
              <w:pStyle w:val="TableParagraph"/>
              <w:spacing w:line="240" w:lineRule="auto" w:before="106"/>
              <w:ind w:left="122" w:right="0"/>
              <w:jc w:val="left"/>
              <w:rPr>
                <w:rFonts w:ascii="宋体" w:hAnsi="宋体" w:cs="宋体" w:eastAsia="宋体" w:hint="default"/>
                <w:sz w:val="18"/>
                <w:szCs w:val="18"/>
              </w:rPr>
            </w:pPr>
            <w:r>
              <w:rPr>
                <w:rFonts w:ascii="宋体" w:hAnsi="宋体" w:cs="宋体" w:eastAsia="宋体" w:hint="default"/>
                <w:b/>
                <w:bCs/>
                <w:sz w:val="18"/>
                <w:szCs w:val="18"/>
              </w:rPr>
              <w:t>扣除非经常性损益后归属于母公司股东的净利润</w:t>
            </w:r>
            <w:r>
              <w:rPr>
                <w:rFonts w:ascii="宋体" w:hAnsi="宋体" w:cs="宋体" w:eastAsia="宋体" w:hint="default"/>
                <w:sz w:val="18"/>
                <w:szCs w:val="18"/>
              </w:rPr>
            </w:r>
          </w:p>
        </w:tc>
        <w:tc>
          <w:tcPr>
            <w:tcW w:w="2217" w:type="dxa"/>
            <w:tcBorders>
              <w:top w:val="nil" w:sz="6" w:space="0" w:color="auto"/>
              <w:left w:val="nil" w:sz="6" w:space="0" w:color="auto"/>
              <w:bottom w:val="single" w:sz="12" w:space="0" w:color="000000"/>
              <w:right w:val="nil" w:sz="6" w:space="0" w:color="auto"/>
            </w:tcBorders>
          </w:tcPr>
          <w:p>
            <w:pPr/>
          </w:p>
        </w:tc>
        <w:tc>
          <w:tcPr>
            <w:tcW w:w="1454" w:type="dxa"/>
            <w:tcBorders>
              <w:top w:val="nil" w:sz="6" w:space="0" w:color="auto"/>
              <w:left w:val="nil" w:sz="6" w:space="0" w:color="auto"/>
              <w:bottom w:val="single" w:sz="12" w:space="0" w:color="000000"/>
              <w:right w:val="nil" w:sz="6" w:space="0" w:color="auto"/>
            </w:tcBorders>
          </w:tcPr>
          <w:p>
            <w:pPr>
              <w:pStyle w:val="TableParagraph"/>
              <w:spacing w:line="240" w:lineRule="auto" w:before="124"/>
              <w:ind w:right="106"/>
              <w:jc w:val="right"/>
              <w:rPr>
                <w:rFonts w:ascii="Times New Roman" w:hAnsi="Times New Roman" w:cs="Times New Roman" w:eastAsia="Times New Roman" w:hint="default"/>
                <w:sz w:val="18"/>
                <w:szCs w:val="18"/>
              </w:rPr>
            </w:pPr>
            <w:r>
              <w:rPr>
                <w:rFonts w:ascii="Times New Roman"/>
                <w:spacing w:val="-1"/>
                <w:sz w:val="18"/>
              </w:rPr>
              <w:t>-13,813,368.33</w:t>
            </w:r>
          </w:p>
        </w:tc>
      </w:tr>
    </w:tbl>
    <w:p>
      <w:pPr>
        <w:spacing w:line="240" w:lineRule="auto" w:before="8"/>
        <w:rPr>
          <w:rFonts w:ascii="Times New Roman" w:hAnsi="Times New Roman" w:cs="Times New Roman" w:eastAsia="Times New Roman" w:hint="default"/>
          <w:sz w:val="10"/>
          <w:szCs w:val="10"/>
        </w:rPr>
      </w:pPr>
    </w:p>
    <w:p>
      <w:pPr>
        <w:spacing w:line="396" w:lineRule="auto" w:before="35"/>
        <w:ind w:left="138" w:right="111" w:firstLine="420"/>
        <w:jc w:val="left"/>
        <w:rPr>
          <w:rFonts w:ascii="宋体" w:hAnsi="宋体" w:cs="宋体" w:eastAsia="宋体" w:hint="default"/>
          <w:sz w:val="21"/>
          <w:szCs w:val="21"/>
        </w:rPr>
      </w:pPr>
      <w:r>
        <w:rPr/>
        <w:pict>
          <v:group style="position:absolute;margin-left:69.060013pt;margin-top:-491.726013pt;width:457.2pt;height:484.3pt;mso-position-horizontal-relative:page;mso-position-vertical-relative:paragraph;z-index:-433240" coordorigin="1381,-9835" coordsize="9144,9686">
            <v:group style="position:absolute;left:1388;top:-9827;width:9130;height:2" coordorigin="1388,-9827" coordsize="9130,2">
              <v:shape style="position:absolute;left:1388;top:-9827;width:9130;height:2" coordorigin="1388,-9827" coordsize="9130,0" path="m1388,-9827l10518,-9827e" filled="false" stroked="true" strokeweight=".71997pt" strokecolor="#000000">
                <v:path arrowok="t"/>
              </v:shape>
            </v:group>
            <v:group style="position:absolute;left:1844;top:-9805;width:8572;height:2" coordorigin="1844,-9805" coordsize="8572,2">
              <v:shape style="position:absolute;left:1844;top:-9805;width:8572;height:2" coordorigin="1844,-9805" coordsize="8572,0" path="m1844,-9805l10416,-9805e" filled="false" stroked="true" strokeweight="1.5pt" strokecolor="#000000">
                <v:path arrowok="t"/>
              </v:shape>
              <v:shape style="position:absolute;left:7206;top:-9809;width:1644;height:503" type="#_x0000_t75" stroked="false">
                <v:imagedata r:id="rId201" o:title=""/>
              </v:shape>
              <v:shape style="position:absolute;left:1825;top:-9344;width:8618;height:9194" type="#_x0000_t75" stroked="false">
                <v:imagedata r:id="rId202" o:title=""/>
              </v:shape>
              <v:shape style="position:absolute;left:8802;top:-668;width:48;height:518" type="#_x0000_t75" stroked="false">
                <v:imagedata r:id="rId203" o:title=""/>
              </v:shape>
              <v:shape style="position:absolute;left:3952;top:-953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4942;top:-953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7668;top:-953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9264;top:-953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1952;top:-9171;width:5170;height:881" type="#_x0000_t202" filled="false" stroked="false">
                <v:textbox inset="0,0,0,0">
                  <w:txbxContent>
                    <w:p>
                      <w:pPr>
                        <w:spacing w:line="186" w:lineRule="exact" w:before="0"/>
                        <w:ind w:left="0"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38"/>
                          <w:sz w:val="18"/>
                          <w:szCs w:val="18"/>
                        </w:rPr>
                        <w:t> </w:t>
                      </w:r>
                      <w:r>
                        <w:rPr>
                          <w:rFonts w:ascii="宋体" w:hAnsi="宋体" w:cs="宋体" w:eastAsia="宋体" w:hint="default"/>
                          <w:sz w:val="18"/>
                          <w:szCs w:val="18"/>
                        </w:rPr>
                        <w:t>除同公司正常经营业务相关的有效套期保值业务外，持有交易</w:t>
                      </w:r>
                    </w:p>
                    <w:p>
                      <w:pPr>
                        <w:spacing w:line="237" w:lineRule="auto" w:before="0"/>
                        <w:ind w:left="0" w:right="0" w:firstLine="0"/>
                        <w:jc w:val="both"/>
                        <w:rPr>
                          <w:rFonts w:ascii="宋体" w:hAnsi="宋体" w:cs="宋体" w:eastAsia="宋体" w:hint="default"/>
                          <w:sz w:val="18"/>
                          <w:szCs w:val="18"/>
                        </w:rPr>
                      </w:pPr>
                      <w:r>
                        <w:rPr>
                          <w:rFonts w:ascii="宋体" w:hAnsi="宋体" w:cs="宋体" w:eastAsia="宋体" w:hint="default"/>
                          <w:spacing w:val="-2"/>
                          <w:sz w:val="18"/>
                          <w:szCs w:val="18"/>
                        </w:rPr>
                        <w:t>性金融资产、交易性金融负债产生的公允价值变动损益，以及处置</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交易性金融资产、交易性金融负债和可供出售金融资产取得的投资</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收益</w:t>
                      </w:r>
                    </w:p>
                  </w:txbxContent>
                </v:textbox>
                <w10:wrap type="none"/>
              </v:shape>
              <v:shape style="position:absolute;left:8658;top:-8874;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0255;top:-8874;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952;top:-7960;width:373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单独进行减值测试的应收款项减值准备转回</w:t>
                      </w:r>
                    </w:p>
                  </w:txbxContent>
                </v:textbox>
                <w10:wrap type="none"/>
              </v:shape>
              <v:shape style="position:absolute;left:8658;top:-8087;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0255;top:-8087;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952;top:-7450;width:5172;height:1374"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对外委托贷款取得的损益</w:t>
                      </w:r>
                    </w:p>
                    <w:p>
                      <w:pPr>
                        <w:spacing w:line="232" w:lineRule="exact" w:before="139"/>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6"/>
                          <w:sz w:val="18"/>
                          <w:szCs w:val="18"/>
                        </w:rPr>
                        <w:t> </w:t>
                      </w:r>
                      <w:r>
                        <w:rPr>
                          <w:rFonts w:ascii="宋体" w:hAnsi="宋体" w:cs="宋体" w:eastAsia="宋体" w:hint="default"/>
                          <w:spacing w:val="6"/>
                          <w:sz w:val="18"/>
                          <w:szCs w:val="18"/>
                        </w:rPr>
                        <w:t>采用公允价值模式进行后续计量的投资性房地产公允价值变</w:t>
                      </w:r>
                      <w:r>
                        <w:rPr>
                          <w:rFonts w:ascii="宋体" w:hAnsi="宋体" w:cs="宋体" w:eastAsia="宋体" w:hint="default"/>
                          <w:sz w:val="18"/>
                          <w:szCs w:val="18"/>
                        </w:rPr>
                        <w:t> 动产生的损益</w:t>
                      </w:r>
                    </w:p>
                    <w:p>
                      <w:pPr>
                        <w:spacing w:line="234" w:lineRule="exact" w:before="13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38"/>
                          <w:sz w:val="18"/>
                          <w:szCs w:val="18"/>
                        </w:rPr>
                        <w:t> </w:t>
                      </w:r>
                      <w:r>
                        <w:rPr>
                          <w:rFonts w:ascii="宋体" w:hAnsi="宋体" w:cs="宋体" w:eastAsia="宋体" w:hint="default"/>
                          <w:sz w:val="18"/>
                          <w:szCs w:val="18"/>
                        </w:rPr>
                        <w:t>根据税收、会计等法律、法规的要求对当期损益进行一次性调 整对当期损益的影响</w:t>
                      </w:r>
                    </w:p>
                  </w:txbxContent>
                </v:textbox>
                <w10:wrap type="none"/>
              </v:shape>
              <v:shape style="position:absolute;left:8658;top:-7577;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0255;top:-7577;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8658;top:-7024;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0255;top:-7024;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8658;top:-6427;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0255;top:-6427;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952;top:-5766;width:24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受托经营取得的托管费收入</w:t>
                      </w:r>
                    </w:p>
                  </w:txbxContent>
                </v:textbox>
                <w10:wrap type="none"/>
              </v:shape>
              <v:shape style="position:absolute;left:8658;top:-5884;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0255;top:-5884;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952;top:-5276;width:328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20.</w:t>
                      </w:r>
                      <w:r>
                        <w:rPr>
                          <w:rFonts w:ascii="宋体" w:hAnsi="宋体" w:cs="宋体" w:eastAsia="宋体" w:hint="default"/>
                          <w:spacing w:val="-1"/>
                          <w:sz w:val="18"/>
                          <w:szCs w:val="18"/>
                        </w:rPr>
                        <w:t>除上述各项之外的其他营业外收支净额</w:t>
                      </w:r>
                    </w:p>
                  </w:txbxContent>
                </v:textbox>
                <w10:wrap type="none"/>
              </v:shape>
              <v:shape style="position:absolute;left:7592;top:-529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197,427,468.38</w:t>
                      </w:r>
                    </w:p>
                  </w:txbxContent>
                </v:textbox>
                <w10:wrap type="none"/>
              </v:shape>
              <v:shape style="position:absolute;left:9316;top:-5291;width:100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-1,611,973.93</w:t>
                      </w:r>
                    </w:p>
                  </w:txbxContent>
                </v:textbox>
                <w10:wrap type="none"/>
              </v:shape>
              <v:shape style="position:absolute;left:1952;top:-4786;width:328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21.</w:t>
                      </w:r>
                      <w:r>
                        <w:rPr>
                          <w:rFonts w:ascii="宋体" w:hAnsi="宋体" w:cs="宋体" w:eastAsia="宋体" w:hint="default"/>
                          <w:spacing w:val="-1"/>
                          <w:sz w:val="18"/>
                          <w:szCs w:val="18"/>
                        </w:rPr>
                        <w:t>其他符合非经常性损益定义的损益项目</w:t>
                      </w:r>
                    </w:p>
                  </w:txbxContent>
                </v:textbox>
                <w10:wrap type="none"/>
              </v:shape>
              <v:shape style="position:absolute;left:8658;top:-4903;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0255;top:-4903;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4312;top:-4296;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7592;top:-431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196,270,501.56</w:t>
                      </w:r>
                    </w:p>
                  </w:txbxContent>
                </v:textbox>
                <w10:wrap type="none"/>
              </v:shape>
              <v:shape style="position:absolute;left:9220;top:-4311;width:10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-30,832,924.61</w:t>
                      </w:r>
                    </w:p>
                  </w:txbxContent>
                </v:textbox>
                <w10:wrap type="none"/>
              </v:shape>
              <v:shape style="position:absolute;left:1952;top:-3806;width:2391;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非经常性损益相应的所得税</w:t>
                      </w:r>
                    </w:p>
                  </w:txbxContent>
                </v:textbox>
                <w10:wrap type="none"/>
              </v:shape>
              <v:shape style="position:absolute;left:7622;top:-3821;width:10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-33,832,777.21</w:t>
                      </w:r>
                    </w:p>
                  </w:txbxContent>
                </v:textbox>
                <w10:wrap type="none"/>
              </v:shape>
              <v:shape style="position:absolute;left:9504;top:-382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879,525.12</w:t>
                      </w:r>
                    </w:p>
                  </w:txbxContent>
                </v:textbox>
                <w10:wrap type="none"/>
              </v:shape>
              <v:shape style="position:absolute;left:8658;top:-3433;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0255;top:-3433;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group>
            <w10:wrap type="none"/>
          </v:group>
        </w:pict>
      </w:r>
      <w:r>
        <w:rPr>
          <w:rFonts w:ascii="宋体" w:hAnsi="宋体" w:cs="宋体" w:eastAsia="宋体" w:hint="default"/>
          <w:sz w:val="21"/>
          <w:szCs w:val="21"/>
        </w:rPr>
        <w:t>上述扣除项目系按照中国证券监督管理委员会公告〔</w:t>
      </w:r>
      <w:r>
        <w:rPr>
          <w:rFonts w:ascii="Times New Roman" w:hAnsi="Times New Roman" w:cs="Times New Roman" w:eastAsia="Times New Roman" w:hint="default"/>
          <w:sz w:val="21"/>
          <w:szCs w:val="21"/>
        </w:rPr>
        <w:t>2008</w:t>
      </w:r>
      <w:r>
        <w:rPr>
          <w:rFonts w:ascii="宋体" w:hAnsi="宋体" w:cs="宋体" w:eastAsia="宋体" w:hint="default"/>
          <w:sz w:val="21"/>
          <w:szCs w:val="21"/>
        </w:rPr>
        <w:t>〕</w:t>
      </w:r>
      <w:r>
        <w:rPr>
          <w:rFonts w:ascii="Times New Roman" w:hAnsi="Times New Roman" w:cs="Times New Roman" w:eastAsia="Times New Roman" w:hint="default"/>
          <w:sz w:val="21"/>
          <w:szCs w:val="21"/>
        </w:rPr>
        <w:t>43</w:t>
      </w:r>
      <w:r>
        <w:rPr>
          <w:rFonts w:ascii="Times New Roman" w:hAnsi="Times New Roman" w:cs="Times New Roman" w:eastAsia="Times New Roman" w:hint="default"/>
          <w:spacing w:val="33"/>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r>
        <w:rPr>
          <w:rFonts w:ascii="宋体" w:hAnsi="宋体" w:cs="宋体" w:eastAsia="宋体" w:hint="default"/>
          <w:sz w:val="21"/>
          <w:szCs w:val="21"/>
        </w:rPr>
        <w:t>公开发行证券的公司信息披 露解释性公告第</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r>
        <w:rPr>
          <w:rFonts w:ascii="宋体" w:hAnsi="宋体" w:cs="宋体" w:eastAsia="宋体" w:hint="default"/>
          <w:sz w:val="21"/>
          <w:szCs w:val="21"/>
        </w:rPr>
        <w:t>非经常性损益（</w:t>
      </w:r>
      <w:r>
        <w:rPr>
          <w:rFonts w:ascii="Times New Roman" w:hAnsi="Times New Roman" w:cs="Times New Roman" w:eastAsia="Times New Roman" w:hint="default"/>
          <w:sz w:val="21"/>
          <w:szCs w:val="21"/>
        </w:rPr>
        <w:t>2008</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编制。</w:t>
      </w: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17"/>
          <w:szCs w:val="17"/>
        </w:rPr>
      </w:pPr>
    </w:p>
    <w:p>
      <w:pPr>
        <w:spacing w:before="0"/>
        <w:ind w:left="558" w:right="111" w:firstLine="0"/>
        <w:jc w:val="left"/>
        <w:rPr>
          <w:rFonts w:ascii="黑体" w:hAnsi="黑体" w:cs="黑体" w:eastAsia="黑体" w:hint="default"/>
          <w:sz w:val="21"/>
          <w:szCs w:val="21"/>
        </w:rPr>
      </w:pPr>
      <w:r>
        <w:rPr>
          <w:rFonts w:ascii="Times New Roman" w:hAnsi="Times New Roman" w:cs="Times New Roman" w:eastAsia="Times New Roman" w:hint="default"/>
          <w:sz w:val="21"/>
          <w:szCs w:val="21"/>
        </w:rPr>
        <w:t>3</w:t>
      </w:r>
      <w:r>
        <w:rPr>
          <w:rFonts w:ascii="黑体" w:hAnsi="黑体" w:cs="黑体" w:eastAsia="黑体" w:hint="default"/>
          <w:sz w:val="21"/>
          <w:szCs w:val="21"/>
        </w:rPr>
        <w:t>、净资产收益率和每股收益</w:t>
      </w:r>
    </w:p>
    <w:p>
      <w:pPr>
        <w:spacing w:line="2040" w:lineRule="exact"/>
        <w:ind w:left="552" w:right="0" w:firstLine="0"/>
        <w:rPr>
          <w:rFonts w:ascii="黑体" w:hAnsi="黑体" w:cs="黑体" w:eastAsia="黑体" w:hint="default"/>
          <w:sz w:val="20"/>
          <w:szCs w:val="20"/>
        </w:rPr>
      </w:pPr>
      <w:r>
        <w:rPr>
          <w:rFonts w:ascii="黑体" w:hAnsi="黑体" w:cs="黑体" w:eastAsia="黑体" w:hint="default"/>
          <w:position w:val="-40"/>
          <w:sz w:val="20"/>
          <w:szCs w:val="20"/>
        </w:rPr>
        <w:pict>
          <v:group style="width:438.2pt;height:102pt;mso-position-horizontal-relative:char;mso-position-vertical-relative:line" coordorigin="0,0" coordsize="8764,2040">
            <v:group style="position:absolute;left:19;top:15;width:8726;height:2" coordorigin="19,15" coordsize="8726,2">
              <v:shape style="position:absolute;left:19;top:15;width:8726;height:2" coordorigin="19,15" coordsize="8726,0" path="m19,15l8744,15e" filled="false" stroked="true" strokeweight="1.5pt" strokecolor="#000000">
                <v:path arrowok="t"/>
              </v:shape>
              <v:shape style="position:absolute;left:967;top:11;width:5268;height:518" type="#_x0000_t75" stroked="false">
                <v:imagedata r:id="rId204" o:title=""/>
              </v:shape>
              <v:shape style="position:absolute;left:967;top:491;width:7796;height:529" type="#_x0000_t75" stroked="false">
                <v:imagedata r:id="rId205" o:title=""/>
              </v:shape>
            </v:group>
            <v:group style="position:absolute;left:19;top:2025;width:968;height:2" coordorigin="19,2025" coordsize="968,2">
              <v:shape style="position:absolute;left:19;top:2025;width:968;height:2" coordorigin="19,2025" coordsize="968,0" path="m19,2025l986,2025e" filled="false" stroked="true" strokeweight="1.5pt" strokecolor="#000000">
                <v:path arrowok="t"/>
              </v:shape>
            </v:group>
            <v:group style="position:absolute;left:986;top:2025;width:3021;height:2" coordorigin="986,2025" coordsize="3021,2">
              <v:shape style="position:absolute;left:986;top:2025;width:3021;height:2" coordorigin="986,2025" coordsize="3021,0" path="m986,2025l4007,2025e" filled="false" stroked="true" strokeweight="1.5pt" strokecolor="#000000">
                <v:path arrowok="t"/>
              </v:shape>
            </v:group>
            <v:group style="position:absolute;left:4007;top:2025;width:1120;height:2" coordorigin="4007,2025" coordsize="1120,2">
              <v:shape style="position:absolute;left:4007;top:2025;width:1120;height:2" coordorigin="4007,2025" coordsize="1120,0" path="m4007,2025l5126,2025e" filled="false" stroked="true" strokeweight="1.5pt" strokecolor="#000000">
                <v:path arrowok="t"/>
              </v:shape>
            </v:group>
            <v:group style="position:absolute;left:5126;top:2025;width:1080;height:2" coordorigin="5126,2025" coordsize="1080,2">
              <v:shape style="position:absolute;left:5126;top:2025;width:1080;height:2" coordorigin="5126,2025" coordsize="1080,0" path="m5126,2025l6206,2025e" filled="false" stroked="true" strokeweight="1.5pt" strokecolor="#000000">
                <v:path arrowok="t"/>
              </v:shape>
            </v:group>
            <v:group style="position:absolute;left:6206;top:2025;width:30;height:2" coordorigin="6206,2025" coordsize="30,2">
              <v:shape style="position:absolute;left:6206;top:2025;width:30;height:2" coordorigin="6206,2025" coordsize="30,0" path="m6206,2025l6236,2025e" filled="false" stroked="true" strokeweight="1.5pt" strokecolor="#000000">
                <v:path arrowok="t"/>
              </v:shape>
            </v:group>
            <v:group style="position:absolute;left:6236;top:2025;width:1270;height:2" coordorigin="6236,2025" coordsize="1270,2">
              <v:shape style="position:absolute;left:6236;top:2025;width:1270;height:2" coordorigin="6236,2025" coordsize="1270,0" path="m6236,2025l7506,2025e" filled="false" stroked="true" strokeweight="1.5pt" strokecolor="#000000">
                <v:path arrowok="t"/>
              </v:shape>
              <v:shape style="position:absolute;left:0;top:982;width:8764;height:1041" type="#_x0000_t75" stroked="false">
                <v:imagedata r:id="rId206" o:title=""/>
              </v:shape>
            </v:group>
            <v:group style="position:absolute;left:7506;top:2025;width:1239;height:2" coordorigin="7506,2025" coordsize="1239,2">
              <v:shape style="position:absolute;left:7506;top:2025;width:1239;height:2" coordorigin="7506,2025" coordsize="1239,0" path="m7506,2025l8744,2025e" filled="false" stroked="true" strokeweight="1.5pt" strokecolor="#000000">
                <v:path arrowok="t"/>
              </v:shape>
              <v:shape style="position:absolute;left:4661;top:337;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净资产收益率</w:t>
                      </w:r>
                    </w:p>
                  </w:txbxContent>
                </v:textbox>
                <w10:wrap type="none"/>
              </v:shape>
              <v:shape style="position:absolute;left:6734;top:337;width:1493;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每股收益</w:t>
                      </w:r>
                      <w:r>
                        <w:rPr>
                          <w:rFonts w:ascii="Times New Roman" w:hAnsi="Times New Roman" w:cs="Times New Roman" w:eastAsia="Times New Roman" w:hint="default"/>
                          <w:sz w:val="15"/>
                          <w:szCs w:val="15"/>
                        </w:rPr>
                        <w:t>(</w:t>
                      </w:r>
                      <w:r>
                        <w:rPr>
                          <w:rFonts w:ascii="宋体" w:hAnsi="宋体" w:cs="宋体" w:eastAsia="宋体" w:hint="default"/>
                          <w:sz w:val="15"/>
                          <w:szCs w:val="15"/>
                        </w:rPr>
                        <w:t>人民币元</w:t>
                      </w:r>
                      <w:r>
                        <w:rPr>
                          <w:rFonts w:ascii="Times New Roman" w:hAnsi="Times New Roman" w:cs="Times New Roman" w:eastAsia="Times New Roman" w:hint="default"/>
                          <w:sz w:val="15"/>
                          <w:szCs w:val="15"/>
                        </w:rPr>
                        <w:t>/</w:t>
                      </w:r>
                      <w:r>
                        <w:rPr>
                          <w:rFonts w:ascii="宋体" w:hAnsi="宋体" w:cs="宋体" w:eastAsia="宋体" w:hint="default"/>
                          <w:sz w:val="15"/>
                          <w:szCs w:val="15"/>
                        </w:rPr>
                        <w:t>股</w:t>
                      </w:r>
                      <w:r>
                        <w:rPr>
                          <w:rFonts w:ascii="Times New Roman" w:hAnsi="Times New Roman" w:cs="Times New Roman" w:eastAsia="Times New Roman" w:hint="default"/>
                          <w:sz w:val="15"/>
                          <w:szCs w:val="15"/>
                        </w:rPr>
                        <w:t>)</w:t>
                      </w:r>
                    </w:p>
                  </w:txbxContent>
                </v:textbox>
                <w10:wrap type="none"/>
              </v:shape>
              <v:shape style="position:absolute;left:352;top:56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期间</w:t>
                      </w:r>
                    </w:p>
                  </w:txbxContent>
                </v:textbox>
                <w10:wrap type="none"/>
              </v:shape>
              <v:shape style="position:absolute;left:2201;top:56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财务指标</w:t>
                      </w:r>
                    </w:p>
                  </w:txbxContent>
                </v:textbox>
                <w10:wrap type="none"/>
              </v:shape>
              <v:shape style="position:absolute;left:4271;top:82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全面摊薄</w:t>
                      </w:r>
                    </w:p>
                  </w:txbxContent>
                </v:textbox>
                <w10:wrap type="none"/>
              </v:shape>
              <v:shape style="position:absolute;left:5371;top:82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加权平均</w:t>
                      </w:r>
                    </w:p>
                  </w:txbxContent>
                </v:textbox>
                <w10:wrap type="none"/>
              </v:shape>
              <v:shape style="position:absolute;left:6503;top:826;width:2140;height:150" type="#_x0000_t202" filled="false" stroked="false">
                <v:textbox inset="0,0,0,0">
                  <w:txbxContent>
                    <w:p>
                      <w:pPr>
                        <w:tabs>
                          <w:tab w:pos="123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基本每股收益</w:t>
                        <w:tab/>
                        <w:t>稀释每股收益</w:t>
                      </w:r>
                    </w:p>
                  </w:txbxContent>
                </v:textbox>
                <w10:wrap type="none"/>
              </v:shape>
              <v:shape style="position:absolute;left:1099;top:1317;width:21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归属于公司普通股股东的净利润</w:t>
                      </w:r>
                    </w:p>
                  </w:txbxContent>
                </v:textbox>
                <w10:wrap type="none"/>
              </v:shape>
              <v:shape style="position:absolute;left:4439;top:1334;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2.21</w:t>
                      </w:r>
                    </w:p>
                  </w:txbxContent>
                </v:textbox>
                <w10:wrap type="none"/>
              </v:shape>
              <v:shape style="position:absolute;left:5646;top:1334;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7139;top:1334;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1.70</w:t>
                      </w:r>
                    </w:p>
                  </w:txbxContent>
                </v:textbox>
                <w10:wrap type="none"/>
              </v:shape>
              <v:shape style="position:absolute;left:8378;top:1334;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1.70</w:t>
                      </w:r>
                    </w:p>
                  </w:txbxContent>
                </v:textbox>
                <w10:wrap type="none"/>
              </v:shape>
              <v:shape style="position:absolute;left:182;top:1571;width:639;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2008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年度</w:t>
                      </w:r>
                    </w:p>
                  </w:txbxContent>
                </v:textbox>
                <w10:wrap type="none"/>
              </v:shape>
              <v:shape style="position:absolute;left:1099;top:1641;width:2811;height:345" type="#_x0000_t202" filled="false" stroked="false">
                <v:textbox inset="0,0,0,0">
                  <w:txbxContent>
                    <w:p>
                      <w:pPr>
                        <w:spacing w:line="149" w:lineRule="exact" w:before="0"/>
                        <w:ind w:left="0" w:right="0" w:firstLine="0"/>
                        <w:jc w:val="left"/>
                        <w:rPr>
                          <w:rFonts w:ascii="宋体" w:hAnsi="宋体" w:cs="宋体" w:eastAsia="宋体" w:hint="default"/>
                          <w:sz w:val="15"/>
                          <w:szCs w:val="15"/>
                        </w:rPr>
                      </w:pPr>
                      <w:r>
                        <w:rPr>
                          <w:rFonts w:ascii="宋体" w:hAnsi="宋体" w:cs="宋体" w:eastAsia="宋体" w:hint="default"/>
                          <w:spacing w:val="6"/>
                          <w:sz w:val="15"/>
                          <w:szCs w:val="15"/>
                        </w:rPr>
                        <w:t>扣除非经常性损益后归属于公司普通股股</w:t>
                      </w:r>
                      <w:r>
                        <w:rPr>
                          <w:rFonts w:ascii="宋体" w:hAnsi="宋体" w:cs="宋体" w:eastAsia="宋体" w:hint="default"/>
                          <w:sz w:val="15"/>
                          <w:szCs w:val="15"/>
                        </w:rPr>
                      </w:r>
                    </w:p>
                    <w:p>
                      <w:pPr>
                        <w:spacing w:line="195"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东的净利润</w:t>
                      </w:r>
                    </w:p>
                  </w:txbxContent>
                </v:textbox>
                <w10:wrap type="none"/>
              </v:shape>
              <v:shape style="position:absolute;left:4415;top:1852;width:313;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-0.12</w:t>
                      </w:r>
                    </w:p>
                  </w:txbxContent>
                </v:textbox>
                <w10:wrap type="none"/>
              </v:shape>
              <v:shape style="position:absolute;left:5646;top:1852;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7090;top:1852;width:313;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-0.09</w:t>
                      </w:r>
                    </w:p>
                  </w:txbxContent>
                </v:textbox>
                <w10:wrap type="none"/>
              </v:shape>
              <v:shape style="position:absolute;left:8329;top:1852;width:313;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-0.09</w:t>
                      </w:r>
                    </w:p>
                  </w:txbxContent>
                </v:textbox>
                <w10:wrap type="none"/>
              </v:shape>
            </v:group>
          </v:group>
        </w:pict>
      </w:r>
      <w:r>
        <w:rPr>
          <w:rFonts w:ascii="黑体" w:hAnsi="黑体" w:cs="黑体" w:eastAsia="黑体" w:hint="default"/>
          <w:position w:val="-40"/>
          <w:sz w:val="20"/>
          <w:szCs w:val="20"/>
        </w:rPr>
      </w:r>
    </w:p>
    <w:p>
      <w:pPr>
        <w:spacing w:after="0" w:line="2040" w:lineRule="exact"/>
        <w:rPr>
          <w:rFonts w:ascii="黑体" w:hAnsi="黑体" w:cs="黑体" w:eastAsia="黑体" w:hint="default"/>
          <w:sz w:val="20"/>
          <w:szCs w:val="20"/>
        </w:rPr>
        <w:sectPr>
          <w:pgSz w:w="11910" w:h="16840"/>
          <w:pgMar w:header="0" w:footer="710" w:top="580" w:bottom="900" w:left="1280" w:right="1200"/>
        </w:sectPr>
      </w:pPr>
    </w:p>
    <w:p>
      <w:pPr>
        <w:pStyle w:val="Heading2"/>
        <w:spacing w:line="310" w:lineRule="exact"/>
        <w:ind w:right="3056"/>
        <w:jc w:val="center"/>
        <w:rPr>
          <w:b w:val="0"/>
          <w:bCs w:val="0"/>
        </w:rPr>
      </w:pPr>
      <w:r>
        <w:rPr/>
        <w:pict>
          <v:shape style="position:absolute;margin-left:88.919998pt;margin-top:3.990308pt;width:57.0pt;height:31.5pt;mso-position-horizontal-relative:page;mso-position-vertical-relative:paragraph;z-index:24040"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2111" w:right="2251"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73" w:lineRule="exact"/>
        <w:ind w:left="10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0"/>
          <w:sz w:val="20"/>
          <w:szCs w:val="20"/>
        </w:rPr>
        <w:pict>
          <v:group style="width:460.75pt;height:103.7pt;mso-position-horizontal-relative:char;mso-position-vertical-relative:line" coordorigin="0,0" coordsize="9215,2074">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style="position:absolute;left:470;top:29;width:8726;height:2" coordorigin="470,29" coordsize="8726,2">
              <v:shape style="position:absolute;left:470;top:29;width:8726;height:2" coordorigin="470,29" coordsize="8726,0" path="m470,29l9196,29e" filled="false" stroked="true" strokeweight="1.5pt" strokecolor="#000000">
                <v:path arrowok="t"/>
              </v:shape>
              <v:shape style="position:absolute;left:1418;top:25;width:5268;height:518" type="#_x0000_t75" stroked="false">
                <v:imagedata r:id="rId207" o:title=""/>
              </v:shape>
              <v:shape style="position:absolute;left:1418;top:505;width:7796;height:528" type="#_x0000_t75" stroked="false">
                <v:imagedata r:id="rId208" o:title=""/>
              </v:shape>
            </v:group>
            <v:group style="position:absolute;left:470;top:2059;width:968;height:2" coordorigin="470,2059" coordsize="968,2">
              <v:shape style="position:absolute;left:470;top:2059;width:968;height:2" coordorigin="470,2059" coordsize="968,0" path="m470,2059l1438,2059e" filled="false" stroked="true" strokeweight="1.5pt" strokecolor="#000000">
                <v:path arrowok="t"/>
              </v:shape>
            </v:group>
            <v:group style="position:absolute;left:1438;top:2059;width:3021;height:2" coordorigin="1438,2059" coordsize="3021,2">
              <v:shape style="position:absolute;left:1438;top:2059;width:3021;height:2" coordorigin="1438,2059" coordsize="3021,0" path="m1438,2059l4458,2059e" filled="false" stroked="true" strokeweight="1.5pt" strokecolor="#000000">
                <v:path arrowok="t"/>
              </v:shape>
            </v:group>
            <v:group style="position:absolute;left:4458;top:2059;width:1120;height:2" coordorigin="4458,2059" coordsize="1120,2">
              <v:shape style="position:absolute;left:4458;top:2059;width:1120;height:2" coordorigin="4458,2059" coordsize="1120,0" path="m4458,2059l5578,2059e" filled="false" stroked="true" strokeweight="1.5pt" strokecolor="#000000">
                <v:path arrowok="t"/>
              </v:shape>
            </v:group>
            <v:group style="position:absolute;left:5578;top:2059;width:1080;height:2" coordorigin="5578,2059" coordsize="1080,2">
              <v:shape style="position:absolute;left:5578;top:2059;width:1080;height:2" coordorigin="5578,2059" coordsize="1080,0" path="m5578,2059l6658,2059e" filled="false" stroked="true" strokeweight="1.5pt" strokecolor="#000000">
                <v:path arrowok="t"/>
              </v:shape>
            </v:group>
            <v:group style="position:absolute;left:6658;top:2059;width:30;height:2" coordorigin="6658,2059" coordsize="30,2">
              <v:shape style="position:absolute;left:6658;top:2059;width:30;height:2" coordorigin="6658,2059" coordsize="30,0" path="m6658,2059l6688,2059e" filled="false" stroked="true" strokeweight="1.5pt" strokecolor="#000000">
                <v:path arrowok="t"/>
              </v:shape>
            </v:group>
            <v:group style="position:absolute;left:6688;top:2059;width:1270;height:2" coordorigin="6688,2059" coordsize="1270,2">
              <v:shape style="position:absolute;left:6688;top:2059;width:1270;height:2" coordorigin="6688,2059" coordsize="1270,0" path="m6688,2059l7957,2059e" filled="false" stroked="true" strokeweight="1.5pt" strokecolor="#000000">
                <v:path arrowok="t"/>
              </v:shape>
              <v:shape style="position:absolute;left:451;top:995;width:8764;height:1062" type="#_x0000_t75" stroked="false">
                <v:imagedata r:id="rId209" o:title=""/>
              </v:shape>
            </v:group>
            <v:group style="position:absolute;left:7957;top:2059;width:1239;height:2" coordorigin="7957,2059" coordsize="1239,2">
              <v:shape style="position:absolute;left:7957;top:2059;width:1239;height:2" coordorigin="7957,2059" coordsize="1239,0" path="m7957,2059l9196,2059e" filled="false" stroked="true" strokeweight="1.5pt" strokecolor="#000000">
                <v:path arrowok="t"/>
              </v:shape>
              <v:shape style="position:absolute;left:5112;top:351;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净资产收益率</w:t>
                      </w:r>
                    </w:p>
                  </w:txbxContent>
                </v:textbox>
                <w10:wrap type="none"/>
              </v:shape>
              <v:shape style="position:absolute;left:7186;top:351;width:1493;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每股收益</w:t>
                      </w:r>
                      <w:r>
                        <w:rPr>
                          <w:rFonts w:ascii="Times New Roman" w:hAnsi="Times New Roman" w:cs="Times New Roman" w:eastAsia="Times New Roman" w:hint="default"/>
                          <w:sz w:val="15"/>
                          <w:szCs w:val="15"/>
                        </w:rPr>
                        <w:t>(</w:t>
                      </w:r>
                      <w:r>
                        <w:rPr>
                          <w:rFonts w:ascii="宋体" w:hAnsi="宋体" w:cs="宋体" w:eastAsia="宋体" w:hint="default"/>
                          <w:sz w:val="15"/>
                          <w:szCs w:val="15"/>
                        </w:rPr>
                        <w:t>人民币元</w:t>
                      </w:r>
                      <w:r>
                        <w:rPr>
                          <w:rFonts w:ascii="Times New Roman" w:hAnsi="Times New Roman" w:cs="Times New Roman" w:eastAsia="Times New Roman" w:hint="default"/>
                          <w:sz w:val="15"/>
                          <w:szCs w:val="15"/>
                        </w:rPr>
                        <w:t>/</w:t>
                      </w:r>
                      <w:r>
                        <w:rPr>
                          <w:rFonts w:ascii="宋体" w:hAnsi="宋体" w:cs="宋体" w:eastAsia="宋体" w:hint="default"/>
                          <w:sz w:val="15"/>
                          <w:szCs w:val="15"/>
                        </w:rPr>
                        <w:t>股</w:t>
                      </w:r>
                      <w:r>
                        <w:rPr>
                          <w:rFonts w:ascii="Times New Roman" w:hAnsi="Times New Roman" w:cs="Times New Roman" w:eastAsia="Times New Roman" w:hint="default"/>
                          <w:sz w:val="15"/>
                          <w:szCs w:val="15"/>
                        </w:rPr>
                        <w:t>)</w:t>
                      </w:r>
                    </w:p>
                  </w:txbxContent>
                </v:textbox>
                <w10:wrap type="none"/>
              </v:shape>
              <v:shape style="position:absolute;left:803;top:580;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期间</w:t>
                      </w:r>
                    </w:p>
                  </w:txbxContent>
                </v:textbox>
                <w10:wrap type="none"/>
              </v:shape>
              <v:shape style="position:absolute;left:2652;top:580;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财务指标</w:t>
                      </w:r>
                    </w:p>
                  </w:txbxContent>
                </v:textbox>
                <w10:wrap type="none"/>
              </v:shape>
              <v:shape style="position:absolute;left:4722;top:84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全面摊薄</w:t>
                      </w:r>
                    </w:p>
                  </w:txbxContent>
                </v:textbox>
                <w10:wrap type="none"/>
              </v:shape>
              <v:shape style="position:absolute;left:5822;top:84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加权平均</w:t>
                      </w:r>
                    </w:p>
                  </w:txbxContent>
                </v:textbox>
                <w10:wrap type="none"/>
              </v:shape>
              <v:shape style="position:absolute;left:6954;top:841;width:2140;height:150" type="#_x0000_t202" filled="false" stroked="false">
                <v:textbox inset="0,0,0,0">
                  <w:txbxContent>
                    <w:p>
                      <w:pPr>
                        <w:tabs>
                          <w:tab w:pos="123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基本每股收益</w:t>
                        <w:tab/>
                        <w:t>稀释每股收益</w:t>
                      </w:r>
                    </w:p>
                  </w:txbxContent>
                </v:textbox>
                <w10:wrap type="none"/>
              </v:shape>
              <v:shape style="position:absolute;left:1550;top:1349;width:21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归属于公司普通股股东的净利润</w:t>
                      </w:r>
                    </w:p>
                  </w:txbxContent>
                </v:textbox>
                <w10:wrap type="none"/>
              </v:shape>
              <v:shape style="position:absolute;left:4997;top:1366;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6097;top:1366;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7590;top:1367;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0.18</w:t>
                      </w:r>
                    </w:p>
                  </w:txbxContent>
                </v:textbox>
                <w10:wrap type="none"/>
              </v:shape>
              <v:shape style="position:absolute;left:8830;top:1367;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0.18</w:t>
                      </w:r>
                    </w:p>
                  </w:txbxContent>
                </v:textbox>
                <w10:wrap type="none"/>
              </v:shape>
              <v:shape style="position:absolute;left:614;top:1604;width:676;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2007</w:t>
                      </w:r>
                      <w:r>
                        <w:rPr>
                          <w:rFonts w:ascii="Times New Roman" w:hAnsi="Times New Roman" w:cs="Times New Roman" w:eastAsia="Times New Roman" w:hint="default"/>
                          <w:spacing w:val="36"/>
                          <w:sz w:val="15"/>
                          <w:szCs w:val="15"/>
                        </w:rPr>
                        <w:t> </w:t>
                      </w:r>
                      <w:r>
                        <w:rPr>
                          <w:rFonts w:ascii="宋体" w:hAnsi="宋体" w:cs="宋体" w:eastAsia="宋体" w:hint="default"/>
                          <w:sz w:val="15"/>
                          <w:szCs w:val="15"/>
                        </w:rPr>
                        <w:t>年度</w:t>
                      </w:r>
                    </w:p>
                  </w:txbxContent>
                </v:textbox>
                <w10:wrap type="none"/>
              </v:shape>
              <v:shape style="position:absolute;left:1550;top:1675;width:2811;height:345" type="#_x0000_t202" filled="false" stroked="false">
                <v:textbox inset="0,0,0,0">
                  <w:txbxContent>
                    <w:p>
                      <w:pPr>
                        <w:spacing w:line="149" w:lineRule="exact" w:before="0"/>
                        <w:ind w:left="0" w:right="0" w:firstLine="0"/>
                        <w:jc w:val="left"/>
                        <w:rPr>
                          <w:rFonts w:ascii="宋体" w:hAnsi="宋体" w:cs="宋体" w:eastAsia="宋体" w:hint="default"/>
                          <w:sz w:val="15"/>
                          <w:szCs w:val="15"/>
                        </w:rPr>
                      </w:pPr>
                      <w:r>
                        <w:rPr>
                          <w:rFonts w:ascii="宋体" w:hAnsi="宋体" w:cs="宋体" w:eastAsia="宋体" w:hint="default"/>
                          <w:spacing w:val="6"/>
                          <w:sz w:val="15"/>
                          <w:szCs w:val="15"/>
                        </w:rPr>
                        <w:t>扣除非经常性损益后归属于公司普通股股</w:t>
                      </w:r>
                      <w:r>
                        <w:rPr>
                          <w:rFonts w:ascii="宋体" w:hAnsi="宋体" w:cs="宋体" w:eastAsia="宋体" w:hint="default"/>
                          <w:sz w:val="15"/>
                          <w:szCs w:val="15"/>
                        </w:rPr>
                      </w:r>
                    </w:p>
                    <w:p>
                      <w:pPr>
                        <w:spacing w:line="195"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东的净利润</w:t>
                      </w:r>
                    </w:p>
                  </w:txbxContent>
                </v:textbox>
                <w10:wrap type="none"/>
              </v:shape>
              <v:shape style="position:absolute;left:4997;top:1886;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6097;top:1886;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7541;top:1886;width:313;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-0.15</w:t>
                      </w:r>
                    </w:p>
                  </w:txbxContent>
                </v:textbox>
                <w10:wrap type="none"/>
              </v:shape>
              <v:shape style="position:absolute;left:8780;top:1886;width:313;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-0.15</w:t>
                      </w:r>
                    </w:p>
                  </w:txbxContent>
                </v:textbox>
                <w10:wrap type="none"/>
              </v:shape>
            </v:group>
          </v:group>
        </w:pict>
      </w:r>
      <w:r>
        <w:rPr>
          <w:rFonts w:ascii="Times New Roman" w:hAnsi="Times New Roman" w:cs="Times New Roman" w:eastAsia="Times New Roman" w:hint="default"/>
          <w:position w:val="-40"/>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2"/>
          <w:szCs w:val="12"/>
        </w:rPr>
      </w:pPr>
    </w:p>
    <w:tbl>
      <w:tblPr>
        <w:tblW w:w="0" w:type="auto"/>
        <w:jc w:val="left"/>
        <w:tblInd w:w="550" w:type="dxa"/>
        <w:tblLayout w:type="fixed"/>
        <w:tblCellMar>
          <w:top w:w="0" w:type="dxa"/>
          <w:left w:w="0" w:type="dxa"/>
          <w:bottom w:w="0" w:type="dxa"/>
          <w:right w:w="0" w:type="dxa"/>
        </w:tblCellMar>
        <w:tblLook w:val="01E0"/>
      </w:tblPr>
      <w:tblGrid>
        <w:gridCol w:w="5044"/>
        <w:gridCol w:w="2036"/>
        <w:gridCol w:w="1723"/>
      </w:tblGrid>
      <w:tr>
        <w:trPr>
          <w:trHeight w:val="2225" w:hRule="exact"/>
        </w:trPr>
        <w:tc>
          <w:tcPr>
            <w:tcW w:w="5044" w:type="dxa"/>
            <w:tcBorders>
              <w:top w:val="nil" w:sz="6" w:space="0" w:color="auto"/>
              <w:left w:val="nil" w:sz="6" w:space="0" w:color="auto"/>
              <w:bottom w:val="nil" w:sz="6" w:space="0" w:color="auto"/>
              <w:right w:val="nil" w:sz="6" w:space="0" w:color="auto"/>
            </w:tcBorders>
          </w:tcPr>
          <w:p>
            <w:pPr>
              <w:pStyle w:val="TableParagraph"/>
              <w:tabs>
                <w:tab w:pos="989" w:val="left" w:leader="none"/>
              </w:tabs>
              <w:spacing w:line="240" w:lineRule="auto" w:before="44"/>
              <w:ind w:right="194"/>
              <w:jc w:val="center"/>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基本每股收益和稀释每股收益计算</w:t>
            </w: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458" w:lineRule="auto"/>
              <w:ind w:left="122" w:right="3299"/>
              <w:jc w:val="left"/>
              <w:rPr>
                <w:rFonts w:ascii="宋体" w:hAnsi="宋体" w:cs="宋体" w:eastAsia="宋体" w:hint="default"/>
                <w:sz w:val="18"/>
                <w:szCs w:val="18"/>
              </w:rPr>
            </w:pPr>
            <w:r>
              <w:rPr>
                <w:rFonts w:ascii="宋体" w:hAnsi="宋体" w:cs="宋体" w:eastAsia="宋体" w:hint="default"/>
                <w:sz w:val="18"/>
                <w:szCs w:val="18"/>
              </w:rPr>
              <w:t>（一）分子 税后净利润 调整：少数股东损益</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21"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1"/>
              <w:ind w:left="539" w:right="0"/>
              <w:jc w:val="left"/>
              <w:rPr>
                <w:rFonts w:ascii="Times New Roman" w:hAnsi="Times New Roman" w:cs="Times New Roman" w:eastAsia="Times New Roman" w:hint="default"/>
                <w:sz w:val="18"/>
                <w:szCs w:val="18"/>
              </w:rPr>
            </w:pPr>
            <w:r>
              <w:rPr>
                <w:rFonts w:ascii="Times New Roman"/>
                <w:sz w:val="18"/>
              </w:rPr>
              <w:t>154,040,966.62</w:t>
            </w:r>
          </w:p>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left="794" w:right="0"/>
              <w:jc w:val="left"/>
              <w:rPr>
                <w:rFonts w:ascii="Times New Roman" w:hAnsi="Times New Roman" w:cs="Times New Roman" w:eastAsia="Times New Roman" w:hint="default"/>
                <w:sz w:val="18"/>
                <w:szCs w:val="18"/>
              </w:rPr>
            </w:pPr>
            <w:r>
              <w:rPr>
                <w:rFonts w:ascii="Times New Roman"/>
                <w:sz w:val="18"/>
              </w:rPr>
              <w:t>-155,297.63</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70"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1"/>
              <w:ind w:right="106"/>
              <w:jc w:val="right"/>
              <w:rPr>
                <w:rFonts w:ascii="Times New Roman" w:hAnsi="Times New Roman" w:cs="Times New Roman" w:eastAsia="Times New Roman" w:hint="default"/>
                <w:sz w:val="18"/>
                <w:szCs w:val="18"/>
              </w:rPr>
            </w:pPr>
            <w:r>
              <w:rPr>
                <w:rFonts w:ascii="Times New Roman"/>
                <w:spacing w:val="-1"/>
                <w:sz w:val="18"/>
              </w:rPr>
              <w:t>16,140,031.16</w:t>
            </w:r>
          </w:p>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890" w:hRule="exact"/>
        </w:trPr>
        <w:tc>
          <w:tcPr>
            <w:tcW w:w="504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基本每股收益计算中归属于母公司普通股股东的损益</w:t>
            </w: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调整：</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68"/>
              <w:jc w:val="right"/>
              <w:rPr>
                <w:rFonts w:ascii="Times New Roman" w:hAnsi="Times New Roman" w:cs="Times New Roman" w:eastAsia="Times New Roman" w:hint="default"/>
                <w:sz w:val="18"/>
                <w:szCs w:val="18"/>
              </w:rPr>
            </w:pPr>
            <w:r>
              <w:rPr>
                <w:rFonts w:ascii="Times New Roman"/>
                <w:spacing w:val="-1"/>
                <w:sz w:val="18"/>
              </w:rPr>
              <w:t>154,196,264.25</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16,140,031.16</w:t>
            </w:r>
          </w:p>
        </w:tc>
      </w:tr>
      <w:tr>
        <w:trPr>
          <w:trHeight w:val="460" w:hRule="exact"/>
        </w:trPr>
        <w:tc>
          <w:tcPr>
            <w:tcW w:w="504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2" w:right="0"/>
              <w:jc w:val="left"/>
              <w:rPr>
                <w:rFonts w:ascii="宋体" w:hAnsi="宋体" w:cs="宋体" w:eastAsia="宋体" w:hint="default"/>
                <w:sz w:val="18"/>
                <w:szCs w:val="18"/>
              </w:rPr>
            </w:pPr>
            <w:r>
              <w:rPr>
                <w:rFonts w:ascii="宋体" w:hAnsi="宋体" w:cs="宋体" w:eastAsia="宋体" w:hint="default"/>
                <w:sz w:val="18"/>
                <w:szCs w:val="18"/>
              </w:rPr>
              <w:t>与稀释性潜在普通股相关的股利和利息</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36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50" w:hRule="exact"/>
        </w:trPr>
        <w:tc>
          <w:tcPr>
            <w:tcW w:w="504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与稀释性潜在普通股转换引起的收益或费用上的变化</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6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890" w:hRule="exact"/>
        </w:trPr>
        <w:tc>
          <w:tcPr>
            <w:tcW w:w="504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稀释每股收益核算中归属于母公司普通股股东的损益</w:t>
            </w: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（二）分母</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6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0" w:hRule="exact"/>
        </w:trPr>
        <w:tc>
          <w:tcPr>
            <w:tcW w:w="504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2" w:right="0"/>
              <w:jc w:val="left"/>
              <w:rPr>
                <w:rFonts w:ascii="宋体" w:hAnsi="宋体" w:cs="宋体" w:eastAsia="宋体" w:hint="default"/>
                <w:sz w:val="18"/>
                <w:szCs w:val="18"/>
              </w:rPr>
            </w:pPr>
            <w:r>
              <w:rPr>
                <w:rFonts w:ascii="宋体" w:hAnsi="宋体" w:cs="宋体" w:eastAsia="宋体" w:hint="default"/>
                <w:sz w:val="18"/>
                <w:szCs w:val="18"/>
              </w:rPr>
              <w:t>基本每股收益核算中当期外发普通股的加权平均数</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68"/>
              <w:jc w:val="right"/>
              <w:rPr>
                <w:rFonts w:ascii="Times New Roman" w:hAnsi="Times New Roman" w:cs="Times New Roman" w:eastAsia="Times New Roman" w:hint="default"/>
                <w:sz w:val="18"/>
                <w:szCs w:val="18"/>
              </w:rPr>
            </w:pPr>
            <w:r>
              <w:rPr>
                <w:rFonts w:ascii="Times New Roman"/>
                <w:spacing w:val="-1"/>
                <w:sz w:val="18"/>
              </w:rPr>
              <w:t>90,486,000.00</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06"/>
              <w:jc w:val="right"/>
              <w:rPr>
                <w:rFonts w:ascii="Times New Roman" w:hAnsi="Times New Roman" w:cs="Times New Roman" w:eastAsia="Times New Roman" w:hint="default"/>
                <w:sz w:val="18"/>
                <w:szCs w:val="18"/>
              </w:rPr>
            </w:pPr>
            <w:r>
              <w:rPr>
                <w:rFonts w:ascii="Times New Roman"/>
                <w:spacing w:val="-1"/>
                <w:sz w:val="18"/>
              </w:rPr>
              <w:t>90,486,000.00</w:t>
            </w:r>
          </w:p>
        </w:tc>
      </w:tr>
      <w:tr>
        <w:trPr>
          <w:trHeight w:val="451" w:hRule="exact"/>
        </w:trPr>
        <w:tc>
          <w:tcPr>
            <w:tcW w:w="504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加：所有稀释性潜在普通股转换成普通股时的加权平均数</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6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890" w:hRule="exact"/>
        </w:trPr>
        <w:tc>
          <w:tcPr>
            <w:tcW w:w="504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稀释每股收益核算中当期外发普通股加权平均数</w:t>
            </w: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（三）每股收益</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68"/>
              <w:jc w:val="right"/>
              <w:rPr>
                <w:rFonts w:ascii="Times New Roman" w:hAnsi="Times New Roman" w:cs="Times New Roman" w:eastAsia="Times New Roman" w:hint="default"/>
                <w:sz w:val="18"/>
                <w:szCs w:val="18"/>
              </w:rPr>
            </w:pPr>
            <w:r>
              <w:rPr>
                <w:rFonts w:ascii="Times New Roman"/>
                <w:spacing w:val="-1"/>
                <w:sz w:val="18"/>
              </w:rPr>
              <w:t>90,486,000.00</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90,486,000.00</w:t>
            </w:r>
          </w:p>
        </w:tc>
      </w:tr>
      <w:tr>
        <w:trPr>
          <w:trHeight w:val="460" w:hRule="exact"/>
        </w:trPr>
        <w:tc>
          <w:tcPr>
            <w:tcW w:w="504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2"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68"/>
              <w:jc w:val="right"/>
              <w:rPr>
                <w:rFonts w:ascii="Times New Roman" w:hAnsi="Times New Roman" w:cs="Times New Roman" w:eastAsia="Times New Roman" w:hint="default"/>
                <w:sz w:val="18"/>
                <w:szCs w:val="18"/>
              </w:rPr>
            </w:pPr>
            <w:r>
              <w:rPr>
                <w:rFonts w:ascii="Times New Roman"/>
                <w:sz w:val="18"/>
              </w:rPr>
              <w:t>1.72</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06"/>
              <w:jc w:val="right"/>
              <w:rPr>
                <w:rFonts w:ascii="Times New Roman" w:hAnsi="Times New Roman" w:cs="Times New Roman" w:eastAsia="Times New Roman" w:hint="default"/>
                <w:sz w:val="18"/>
                <w:szCs w:val="18"/>
              </w:rPr>
            </w:pPr>
            <w:r>
              <w:rPr>
                <w:rFonts w:ascii="Times New Roman"/>
                <w:sz w:val="18"/>
              </w:rPr>
              <w:t>0.18</w:t>
            </w:r>
          </w:p>
        </w:tc>
      </w:tr>
      <w:tr>
        <w:trPr>
          <w:trHeight w:val="349" w:hRule="exact"/>
        </w:trPr>
        <w:tc>
          <w:tcPr>
            <w:tcW w:w="5044"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稀释每股收益</w:t>
            </w:r>
          </w:p>
        </w:tc>
        <w:tc>
          <w:tcPr>
            <w:tcW w:w="2036" w:type="dxa"/>
            <w:tcBorders>
              <w:top w:val="nil" w:sz="6" w:space="0" w:color="auto"/>
              <w:left w:val="nil" w:sz="6" w:space="0" w:color="auto"/>
              <w:bottom w:val="single" w:sz="12" w:space="0" w:color="000000"/>
              <w:right w:val="nil" w:sz="6" w:space="0" w:color="auto"/>
            </w:tcBorders>
          </w:tcPr>
          <w:p>
            <w:pPr>
              <w:pStyle w:val="TableParagraph"/>
              <w:spacing w:line="240" w:lineRule="auto" w:before="121"/>
              <w:ind w:right="368"/>
              <w:jc w:val="right"/>
              <w:rPr>
                <w:rFonts w:ascii="Times New Roman" w:hAnsi="Times New Roman" w:cs="Times New Roman" w:eastAsia="Times New Roman" w:hint="default"/>
                <w:sz w:val="18"/>
                <w:szCs w:val="18"/>
              </w:rPr>
            </w:pPr>
            <w:r>
              <w:rPr>
                <w:rFonts w:ascii="Times New Roman"/>
                <w:sz w:val="18"/>
              </w:rPr>
              <w:t>1.72</w:t>
            </w:r>
          </w:p>
        </w:tc>
        <w:tc>
          <w:tcPr>
            <w:tcW w:w="1723" w:type="dxa"/>
            <w:tcBorders>
              <w:top w:val="nil" w:sz="6" w:space="0" w:color="auto"/>
              <w:left w:val="nil" w:sz="6" w:space="0" w:color="auto"/>
              <w:bottom w:val="single" w:sz="12" w:space="0" w:color="000000"/>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z w:val="18"/>
              </w:rPr>
              <w:t>0.18</w:t>
            </w:r>
          </w:p>
        </w:tc>
      </w:tr>
    </w:tbl>
    <w:p>
      <w:pPr>
        <w:spacing w:line="240" w:lineRule="auto" w:before="2"/>
        <w:rPr>
          <w:rFonts w:ascii="Times New Roman" w:hAnsi="Times New Roman" w:cs="Times New Roman" w:eastAsia="Times New Roman" w:hint="default"/>
          <w:sz w:val="7"/>
          <w:szCs w:val="7"/>
        </w:rPr>
      </w:pPr>
    </w:p>
    <w:p>
      <w:pPr>
        <w:spacing w:before="35"/>
        <w:ind w:left="559" w:right="0" w:firstLine="0"/>
        <w:jc w:val="left"/>
        <w:rPr>
          <w:rFonts w:ascii="宋体" w:hAnsi="宋体" w:cs="宋体" w:eastAsia="宋体" w:hint="default"/>
          <w:sz w:val="21"/>
          <w:szCs w:val="21"/>
        </w:rPr>
      </w:pPr>
      <w:r>
        <w:rPr/>
        <w:pict>
          <v:group style="position:absolute;margin-left:91.260002pt;margin-top:-389.906036pt;width:441.15pt;height:383.55pt;mso-position-horizontal-relative:page;mso-position-vertical-relative:paragraph;z-index:-432712" coordorigin="1825,-7798" coordsize="8823,7671">
            <v:group style="position:absolute;left:1844;top:-7783;width:4845;height:2" coordorigin="1844,-7783" coordsize="4845,2">
              <v:shape style="position:absolute;left:1844;top:-7783;width:4845;height:2" coordorigin="1844,-7783" coordsize="4845,0" path="m1844,-7783l6689,-7783e" filled="false" stroked="true" strokeweight="1.5pt" strokecolor="#000000">
                <v:path arrowok="t"/>
              </v:shape>
            </v:group>
            <v:group style="position:absolute;left:6689;top:-7783;width:1954;height:2" coordorigin="6689,-7783" coordsize="1954,2">
              <v:shape style="position:absolute;left:6689;top:-7783;width:1954;height:2" coordorigin="6689,-7783" coordsize="1954,0" path="m6689,-7783l8642,-7783e" filled="false" stroked="true" strokeweight="1.5pt" strokecolor="#000000">
                <v:path arrowok="t"/>
              </v:shape>
            </v:group>
            <v:group style="position:absolute;left:8642;top:-7783;width:1983;height:2" coordorigin="8642,-7783" coordsize="1983,2">
              <v:shape style="position:absolute;left:8642;top:-7783;width:1983;height:2" coordorigin="8642,-7783" coordsize="1983,0" path="m8642,-7783l10625,-7783e" filled="false" stroked="true" strokeweight="1.5pt" strokecolor="#000000">
                <v:path arrowok="t"/>
              </v:shape>
              <v:shape style="position:absolute;left:6641;top:-7786;width:2029;height:476" type="#_x0000_t75" stroked="false">
                <v:imagedata r:id="rId210" o:title=""/>
              </v:shape>
              <v:shape style="position:absolute;left:1825;top:-7346;width:8822;height:7218" type="#_x0000_t75" stroked="false">
                <v:imagedata r:id="rId211" o:title=""/>
              </v:shape>
            </v:group>
            <w10:wrap type="none"/>
          </v:group>
        </w:pict>
      </w:r>
      <w:r>
        <w:rPr>
          <w:rFonts w:ascii="宋体" w:hAnsi="宋体" w:cs="宋体" w:eastAsia="宋体" w:hint="default"/>
          <w:sz w:val="21"/>
          <w:szCs w:val="21"/>
        </w:rPr>
        <w:t>上述</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年度公司及合并财务报表附注是按照国家颁布的企业会计准则第</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号至第</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37</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号编制</w:t>
      </w:r>
    </w:p>
    <w:p>
      <w:pPr>
        <w:spacing w:line="240" w:lineRule="auto" w:before="10"/>
        <w:rPr>
          <w:rFonts w:ascii="宋体" w:hAnsi="宋体" w:cs="宋体" w:eastAsia="宋体" w:hint="default"/>
          <w:sz w:val="8"/>
          <w:szCs w:val="8"/>
        </w:rPr>
      </w:pPr>
    </w:p>
    <w:p>
      <w:pPr>
        <w:spacing w:before="35"/>
        <w:ind w:left="138" w:right="0" w:firstLine="0"/>
        <w:jc w:val="left"/>
        <w:rPr>
          <w:rFonts w:ascii="宋体" w:hAnsi="宋体" w:cs="宋体" w:eastAsia="宋体" w:hint="default"/>
          <w:sz w:val="21"/>
          <w:szCs w:val="21"/>
        </w:rPr>
      </w:pPr>
      <w:r>
        <w:rPr>
          <w:rFonts w:ascii="宋体" w:hAnsi="宋体" w:cs="宋体" w:eastAsia="宋体" w:hint="default"/>
          <w:sz w:val="21"/>
          <w:szCs w:val="21"/>
        </w:rPr>
        <w:t>的。</w:t>
      </w:r>
    </w:p>
    <w:p>
      <w:pPr>
        <w:spacing w:after="0"/>
        <w:jc w:val="left"/>
        <w:rPr>
          <w:rFonts w:ascii="宋体" w:hAnsi="宋体" w:cs="宋体" w:eastAsia="宋体" w:hint="default"/>
          <w:sz w:val="21"/>
          <w:szCs w:val="21"/>
        </w:rPr>
        <w:sectPr>
          <w:pgSz w:w="11910" w:h="16840"/>
          <w:pgMar w:header="0" w:footer="710" w:top="580" w:bottom="900" w:left="1280" w:right="1140"/>
        </w:sectPr>
      </w:pPr>
    </w:p>
    <w:p>
      <w:pPr>
        <w:pStyle w:val="Heading2"/>
        <w:spacing w:line="310" w:lineRule="exact"/>
        <w:ind w:right="2936"/>
        <w:jc w:val="center"/>
        <w:rPr>
          <w:b w:val="0"/>
          <w:bCs w:val="0"/>
        </w:rPr>
      </w:pPr>
      <w:r>
        <w:rPr/>
        <w:pict>
          <v:shape style="position:absolute;margin-left:88.919998pt;margin-top:3.990308pt;width:57.0pt;height:31.5pt;mso-position-horizontal-relative:page;mso-position-vertical-relative:paragraph;z-index:24112" type="#_x0000_t75" stroked="false">
            <v:imagedata r:id="rId5" o:title=""/>
          </v:shape>
        </w:pict>
      </w:r>
      <w:r>
        <w:rPr>
          <w:w w:val="95"/>
        </w:rPr>
        <w:t>深圳大通实业股份有限公司2008年</w:t>
      </w:r>
      <w:r>
        <w:rPr>
          <w:spacing w:val="55"/>
          <w:w w:val="95"/>
        </w:rPr>
        <w:t> </w:t>
      </w:r>
      <w:r>
        <w:rPr/>
        <w:t>年度报告</w:t>
      </w:r>
      <w:r>
        <w:rPr>
          <w:b w:val="0"/>
          <w:bCs w:val="0"/>
        </w:rPr>
      </w:r>
    </w:p>
    <w:p>
      <w:pPr>
        <w:spacing w:before="4"/>
        <w:ind w:left="0" w:right="20" w:firstLine="0"/>
        <w:jc w:val="center"/>
        <w:rPr>
          <w:rFonts w:ascii="Times New Roman" w:hAnsi="Times New Roman" w:cs="Times New Roman" w:eastAsia="Times New Roman" w:hint="default"/>
          <w:sz w:val="16"/>
          <w:szCs w:val="16"/>
        </w:rPr>
      </w:pPr>
      <w:r>
        <w:rPr>
          <w:rFonts w:ascii="Times New Roman"/>
          <w:sz w:val="16"/>
        </w:rPr>
        <w:t>SHENZHEN CAPSTONE INDUSTRIAL CO.,LTD.ANNUAL REPORT</w:t>
      </w:r>
      <w:r>
        <w:rPr>
          <w:rFonts w:ascii="Times New Roman"/>
          <w:spacing w:val="-11"/>
          <w:sz w:val="16"/>
        </w:rPr>
        <w:t> </w:t>
      </w:r>
      <w:r>
        <w:rPr>
          <w:rFonts w:ascii="Times New Roman"/>
          <w:sz w:val="16"/>
        </w:rPr>
        <w:t>2008</w:t>
      </w:r>
    </w:p>
    <w:p>
      <w:pPr>
        <w:spacing w:line="240" w:lineRule="auto" w:before="2"/>
        <w:rPr>
          <w:rFonts w:ascii="Times New Roman" w:hAnsi="Times New Roman" w:cs="Times New Roman" w:eastAsia="Times New Roman" w:hint="default"/>
          <w:sz w:val="20"/>
          <w:szCs w:val="20"/>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2pt;height:.75pt;mso-position-horizontal-relative:char;mso-position-vertical-relative:line" coordorigin="0,0" coordsize="9144,15">
            <v:group style="position:absolute;left:7;top:7;width:9130;height:2" coordorigin="7,7" coordsize="9130,2">
              <v:shape style="position:absolute;left:7;top:7;width:9130;height:2" coordorigin="7,7" coordsize="9130,0" path="m7,7l9137,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6"/>
          <w:szCs w:val="16"/>
        </w:rPr>
      </w:pPr>
    </w:p>
    <w:p>
      <w:pPr>
        <w:tabs>
          <w:tab w:pos="1507" w:val="left" w:leader="none"/>
        </w:tabs>
        <w:spacing w:before="7"/>
        <w:ind w:left="0" w:right="17" w:firstLine="0"/>
        <w:jc w:val="center"/>
        <w:rPr>
          <w:rFonts w:ascii="宋体" w:hAnsi="宋体" w:cs="宋体" w:eastAsia="宋体" w:hint="default"/>
          <w:sz w:val="30"/>
          <w:szCs w:val="30"/>
        </w:rPr>
      </w:pPr>
      <w:bookmarkStart w:name="_TOC_250000" w:id="11"/>
      <w:r>
        <w:rPr>
          <w:rFonts w:ascii="宋体" w:hAnsi="宋体" w:cs="宋体" w:eastAsia="宋体" w:hint="default"/>
          <w:b/>
          <w:bCs/>
          <w:w w:val="95"/>
          <w:sz w:val="30"/>
          <w:szCs w:val="30"/>
        </w:rPr>
        <w:t>第十一章</w:t>
        <w:tab/>
      </w:r>
      <w:r>
        <w:rPr>
          <w:rFonts w:ascii="宋体" w:hAnsi="宋体" w:cs="宋体" w:eastAsia="宋体" w:hint="default"/>
          <w:b/>
          <w:bCs/>
          <w:sz w:val="30"/>
          <w:szCs w:val="30"/>
        </w:rPr>
        <w:t>备查文件目录</w:t>
      </w:r>
      <w:bookmarkEnd w:id="11"/>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spacing w:line="240" w:lineRule="auto" w:before="0"/>
        <w:rPr>
          <w:rFonts w:ascii="宋体" w:hAnsi="宋体" w:cs="宋体" w:eastAsia="宋体" w:hint="default"/>
          <w:b/>
          <w:bCs/>
          <w:sz w:val="30"/>
          <w:szCs w:val="30"/>
        </w:rPr>
      </w:pPr>
    </w:p>
    <w:p>
      <w:pPr>
        <w:spacing w:line="240" w:lineRule="auto" w:before="5"/>
        <w:rPr>
          <w:rFonts w:ascii="宋体" w:hAnsi="宋体" w:cs="宋体" w:eastAsia="宋体" w:hint="default"/>
          <w:b/>
          <w:bCs/>
          <w:sz w:val="23"/>
          <w:szCs w:val="23"/>
        </w:rPr>
      </w:pPr>
    </w:p>
    <w:p>
      <w:pPr>
        <w:pStyle w:val="BodyText"/>
        <w:spacing w:line="427" w:lineRule="auto" w:before="0"/>
        <w:ind w:left="138" w:right="0" w:firstLine="600"/>
        <w:jc w:val="left"/>
      </w:pPr>
      <w:r>
        <w:rPr/>
        <w:t>（一）载有法定代表人、主管会计工作负责人、会计主管人员签名并盖章的财务</w:t>
      </w:r>
      <w:r>
        <w:rPr>
          <w:spacing w:val="2"/>
        </w:rPr>
        <w:t> </w:t>
      </w:r>
      <w:r>
        <w:rPr/>
        <w:t>报表。</w:t>
      </w:r>
    </w:p>
    <w:p>
      <w:pPr>
        <w:pStyle w:val="BodyText"/>
        <w:spacing w:line="240" w:lineRule="auto" w:before="59"/>
        <w:ind w:left="738" w:right="0"/>
        <w:jc w:val="left"/>
      </w:pPr>
      <w:r>
        <w:rPr/>
        <w:t>（二）载有会计师事务所盖章、注册会计师签名并盖章的审计报告原件。</w:t>
      </w:r>
    </w:p>
    <w:p>
      <w:pPr>
        <w:spacing w:line="240" w:lineRule="auto" w:before="10"/>
        <w:rPr>
          <w:rFonts w:ascii="宋体" w:hAnsi="宋体" w:cs="宋体" w:eastAsia="宋体" w:hint="default"/>
          <w:sz w:val="18"/>
          <w:szCs w:val="18"/>
        </w:rPr>
      </w:pPr>
    </w:p>
    <w:p>
      <w:pPr>
        <w:pStyle w:val="BodyText"/>
        <w:spacing w:line="427" w:lineRule="auto" w:before="0"/>
        <w:ind w:left="138" w:right="0" w:firstLine="615"/>
        <w:jc w:val="left"/>
      </w:pPr>
      <w:r>
        <w:rPr/>
        <w:t>（三）报告期内在中国证监会指定报纸上公开披露过的所有公司文件的正本及公</w:t>
      </w:r>
      <w:r>
        <w:rPr>
          <w:spacing w:val="1"/>
        </w:rPr>
        <w:t> </w:t>
      </w:r>
      <w:r>
        <w:rPr/>
        <w:t>告的原稿。</w:t>
      </w:r>
    </w:p>
    <w:sectPr>
      <w:pgSz w:w="11910" w:h="16840"/>
      <w:pgMar w:header="0" w:footer="710" w:top="580" w:bottom="900" w:left="1280" w:right="1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宋体">
    <w:altName w:val="宋体"/>
    <w:charset w:val="86"/>
    <w:family w:val="auto"/>
    <w:pitch w:val="variable"/>
  </w:font>
  <w:font w:name="Microsoft JhengHei">
    <w:altName w:val="Microsoft JhengHei"/>
    <w:charset w:val="0"/>
    <w:family w:val="swiss"/>
    <w:pitch w:val="variable"/>
  </w:font>
  <w:font w:name="等线">
    <w:altName w:val="等线"/>
    <w:charset w:val="86"/>
    <w:family w:val="auto"/>
    <w:pitch w:val="variable"/>
  </w:font>
  <w:font w:name="黑体">
    <w:altName w:val="黑体"/>
    <w:charset w:val="86"/>
    <w:family w:val="modern"/>
    <w:pitch w:val="fixed"/>
  </w:font>
  <w:font w:name="Lucida Sans Unicode">
    <w:altName w:val="Lucida Sans Unicode"/>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291.159698pt;margin-top:800.317932pt;width:13pt;height:11pt;mso-position-horizontal-relative:page;mso-position-vertical-relative:page;z-index:-4557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91.159698pt;margin-top:800.317932pt;width:13pt;height:11pt;mso-position-horizontal-relative:page;mso-position-vertical-relative:page;z-index:-4557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46</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19873pt;margin-top:795.457642pt;width:13pt;height:11pt;mso-position-horizontal-relative:page;mso-position-vertical-relative:page;z-index:-4557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53</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74.21051pt;margin-top:535.297913pt;width:13pt;height:11pt;mso-position-horizontal-relative:page;mso-position-vertical-relative:page;z-index:-4556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59</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95.517944pt;width:13pt;height:11pt;mso-position-horizontal-relative:page;mso-position-vertical-relative:page;z-index:-4556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63</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880005pt;margin-top:795.517944pt;width:15.5pt;height:11pt;mso-position-horizontal-relative:page;mso-position-vertical-relative:page;z-index:-45563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80005pt;margin-top:795.517944pt;width:17.5pt;height:11pt;mso-position-horizontal-relative:page;mso-position-vertical-relative:page;z-index:-4556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35"/>
      <w:ind w:left="118"/>
    </w:pPr>
    <w:rPr>
      <w:rFonts w:ascii="宋体" w:hAnsi="宋体" w:eastAsia="宋体"/>
      <w:sz w:val="24"/>
      <w:szCs w:val="24"/>
    </w:rPr>
  </w:style>
  <w:style w:styleId="BodyText" w:type="paragraph">
    <w:name w:val="Body Text"/>
    <w:basedOn w:val="Normal"/>
    <w:uiPriority w:val="1"/>
    <w:qFormat/>
    <w:pPr>
      <w:spacing w:before="135"/>
      <w:ind w:left="118"/>
    </w:pPr>
    <w:rPr>
      <w:rFonts w:ascii="宋体" w:hAnsi="宋体" w:eastAsia="宋体"/>
      <w:sz w:val="24"/>
      <w:szCs w:val="24"/>
    </w:rPr>
  </w:style>
  <w:style w:styleId="Heading1" w:type="paragraph">
    <w:name w:val="Heading 1"/>
    <w:basedOn w:val="Normal"/>
    <w:uiPriority w:val="1"/>
    <w:qFormat/>
    <w:pPr>
      <w:ind w:left="313"/>
      <w:outlineLvl w:val="1"/>
    </w:pPr>
    <w:rPr>
      <w:rFonts w:ascii="宋体" w:hAnsi="宋体" w:eastAsia="宋体"/>
      <w:b/>
      <w:bCs/>
      <w:sz w:val="28"/>
      <w:szCs w:val="28"/>
    </w:rPr>
  </w:style>
  <w:style w:styleId="Heading2" w:type="paragraph">
    <w:name w:val="Heading 2"/>
    <w:basedOn w:val="Normal"/>
    <w:uiPriority w:val="1"/>
    <w:qFormat/>
    <w:pPr>
      <w:spacing w:before="133"/>
      <w:ind w:left="2918"/>
      <w:outlineLvl w:val="2"/>
    </w:pPr>
    <w:rPr>
      <w:rFonts w:ascii="等线" w:hAnsi="等线" w:eastAsia="等线"/>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hyperlink" Target="mailto:hongfa007@163.com" TargetMode="External"/><Relationship Id="rId9" Type="http://schemas.openxmlformats.org/officeDocument/2006/relationships/hyperlink" Target="http://www.cninfo.com.cn/" TargetMode="External"/><Relationship Id="rId10" Type="http://schemas.openxmlformats.org/officeDocument/2006/relationships/footer" Target="footer2.xml"/><Relationship Id="rId11" Type="http://schemas.openxmlformats.org/officeDocument/2006/relationships/image" Target="media/image3.png"/><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footer" Target="footer7.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pn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image" Target="media/image117.png"/><Relationship Id="rId131" Type="http://schemas.openxmlformats.org/officeDocument/2006/relationships/image" Target="media/image118.png"/><Relationship Id="rId132" Type="http://schemas.openxmlformats.org/officeDocument/2006/relationships/image" Target="media/image119.png"/><Relationship Id="rId133" Type="http://schemas.openxmlformats.org/officeDocument/2006/relationships/image" Target="media/image120.png"/><Relationship Id="rId134" Type="http://schemas.openxmlformats.org/officeDocument/2006/relationships/image" Target="media/image121.png"/><Relationship Id="rId135" Type="http://schemas.openxmlformats.org/officeDocument/2006/relationships/image" Target="media/image122.png"/><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png"/><Relationship Id="rId147" Type="http://schemas.openxmlformats.org/officeDocument/2006/relationships/image" Target="media/image134.png"/><Relationship Id="rId148" Type="http://schemas.openxmlformats.org/officeDocument/2006/relationships/image" Target="media/image135.png"/><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png"/><Relationship Id="rId157" Type="http://schemas.openxmlformats.org/officeDocument/2006/relationships/image" Target="media/image144.png"/><Relationship Id="rId158" Type="http://schemas.openxmlformats.org/officeDocument/2006/relationships/image" Target="media/image145.png"/><Relationship Id="rId159" Type="http://schemas.openxmlformats.org/officeDocument/2006/relationships/image" Target="media/image146.png"/><Relationship Id="rId160" Type="http://schemas.openxmlformats.org/officeDocument/2006/relationships/image" Target="media/image147.png"/><Relationship Id="rId161" Type="http://schemas.openxmlformats.org/officeDocument/2006/relationships/image" Target="media/image148.png"/><Relationship Id="rId162" Type="http://schemas.openxmlformats.org/officeDocument/2006/relationships/image" Target="media/image149.png"/><Relationship Id="rId163" Type="http://schemas.openxmlformats.org/officeDocument/2006/relationships/image" Target="media/image150.png"/><Relationship Id="rId164" Type="http://schemas.openxmlformats.org/officeDocument/2006/relationships/image" Target="media/image151.png"/><Relationship Id="rId165" Type="http://schemas.openxmlformats.org/officeDocument/2006/relationships/image" Target="media/image152.png"/><Relationship Id="rId166" Type="http://schemas.openxmlformats.org/officeDocument/2006/relationships/image" Target="media/image153.png"/><Relationship Id="rId167" Type="http://schemas.openxmlformats.org/officeDocument/2006/relationships/image" Target="media/image154.png"/><Relationship Id="rId168" Type="http://schemas.openxmlformats.org/officeDocument/2006/relationships/image" Target="media/image155.png"/><Relationship Id="rId169" Type="http://schemas.openxmlformats.org/officeDocument/2006/relationships/image" Target="media/image156.png"/><Relationship Id="rId170" Type="http://schemas.openxmlformats.org/officeDocument/2006/relationships/image" Target="media/image157.png"/><Relationship Id="rId171" Type="http://schemas.openxmlformats.org/officeDocument/2006/relationships/image" Target="media/image158.png"/><Relationship Id="rId172" Type="http://schemas.openxmlformats.org/officeDocument/2006/relationships/image" Target="media/image159.png"/><Relationship Id="rId173" Type="http://schemas.openxmlformats.org/officeDocument/2006/relationships/image" Target="media/image160.png"/><Relationship Id="rId174" Type="http://schemas.openxmlformats.org/officeDocument/2006/relationships/image" Target="media/image161.png"/><Relationship Id="rId175" Type="http://schemas.openxmlformats.org/officeDocument/2006/relationships/image" Target="media/image162.png"/><Relationship Id="rId176" Type="http://schemas.openxmlformats.org/officeDocument/2006/relationships/image" Target="media/image163.png"/><Relationship Id="rId177" Type="http://schemas.openxmlformats.org/officeDocument/2006/relationships/image" Target="media/image164.png"/><Relationship Id="rId178" Type="http://schemas.openxmlformats.org/officeDocument/2006/relationships/image" Target="media/image165.png"/><Relationship Id="rId179" Type="http://schemas.openxmlformats.org/officeDocument/2006/relationships/image" Target="media/image166.png"/><Relationship Id="rId180" Type="http://schemas.openxmlformats.org/officeDocument/2006/relationships/image" Target="media/image167.png"/><Relationship Id="rId181" Type="http://schemas.openxmlformats.org/officeDocument/2006/relationships/image" Target="media/image168.png"/><Relationship Id="rId182" Type="http://schemas.openxmlformats.org/officeDocument/2006/relationships/image" Target="media/image169.png"/><Relationship Id="rId183" Type="http://schemas.openxmlformats.org/officeDocument/2006/relationships/image" Target="media/image170.png"/><Relationship Id="rId184" Type="http://schemas.openxmlformats.org/officeDocument/2006/relationships/image" Target="media/image171.png"/><Relationship Id="rId185" Type="http://schemas.openxmlformats.org/officeDocument/2006/relationships/image" Target="media/image172.png"/><Relationship Id="rId186" Type="http://schemas.openxmlformats.org/officeDocument/2006/relationships/image" Target="media/image173.png"/><Relationship Id="rId187" Type="http://schemas.openxmlformats.org/officeDocument/2006/relationships/image" Target="media/image174.png"/><Relationship Id="rId188" Type="http://schemas.openxmlformats.org/officeDocument/2006/relationships/image" Target="media/image175.png"/><Relationship Id="rId189" Type="http://schemas.openxmlformats.org/officeDocument/2006/relationships/footer" Target="footer8.xml"/><Relationship Id="rId190" Type="http://schemas.openxmlformats.org/officeDocument/2006/relationships/image" Target="media/image176.png"/><Relationship Id="rId191" Type="http://schemas.openxmlformats.org/officeDocument/2006/relationships/image" Target="media/image177.png"/><Relationship Id="rId192" Type="http://schemas.openxmlformats.org/officeDocument/2006/relationships/image" Target="media/image178.png"/><Relationship Id="rId193" Type="http://schemas.openxmlformats.org/officeDocument/2006/relationships/image" Target="media/image179.png"/><Relationship Id="rId194" Type="http://schemas.openxmlformats.org/officeDocument/2006/relationships/image" Target="media/image180.png"/><Relationship Id="rId195" Type="http://schemas.openxmlformats.org/officeDocument/2006/relationships/footer" Target="footer9.xml"/><Relationship Id="rId196" Type="http://schemas.openxmlformats.org/officeDocument/2006/relationships/image" Target="media/image181.png"/><Relationship Id="rId197" Type="http://schemas.openxmlformats.org/officeDocument/2006/relationships/image" Target="media/image182.png"/><Relationship Id="rId198" Type="http://schemas.openxmlformats.org/officeDocument/2006/relationships/image" Target="media/image183.png"/><Relationship Id="rId199" Type="http://schemas.openxmlformats.org/officeDocument/2006/relationships/image" Target="media/image184.png"/><Relationship Id="rId200" Type="http://schemas.openxmlformats.org/officeDocument/2006/relationships/image" Target="media/image185.png"/><Relationship Id="rId201" Type="http://schemas.openxmlformats.org/officeDocument/2006/relationships/image" Target="media/image186.png"/><Relationship Id="rId202" Type="http://schemas.openxmlformats.org/officeDocument/2006/relationships/image" Target="media/image187.png"/><Relationship Id="rId203" Type="http://schemas.openxmlformats.org/officeDocument/2006/relationships/image" Target="media/image188.png"/><Relationship Id="rId204" Type="http://schemas.openxmlformats.org/officeDocument/2006/relationships/image" Target="media/image189.png"/><Relationship Id="rId205" Type="http://schemas.openxmlformats.org/officeDocument/2006/relationships/image" Target="media/image190.png"/><Relationship Id="rId206" Type="http://schemas.openxmlformats.org/officeDocument/2006/relationships/image" Target="media/image191.png"/><Relationship Id="rId207" Type="http://schemas.openxmlformats.org/officeDocument/2006/relationships/image" Target="media/image192.png"/><Relationship Id="rId208" Type="http://schemas.openxmlformats.org/officeDocument/2006/relationships/image" Target="media/image193.png"/><Relationship Id="rId209" Type="http://schemas.openxmlformats.org/officeDocument/2006/relationships/image" Target="media/image194.png"/><Relationship Id="rId210" Type="http://schemas.openxmlformats.org/officeDocument/2006/relationships/image" Target="media/image195.png"/><Relationship Id="rId211" Type="http://schemas.openxmlformats.org/officeDocument/2006/relationships/image" Target="media/image1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c:creator>
  <dc:title>Microsoft Word - 2008年年度报告.doc</dc:title>
  <dcterms:created xsi:type="dcterms:W3CDTF">2020-04-01T22:05:43Z</dcterms:created>
  <dcterms:modified xsi:type="dcterms:W3CDTF">2020-04-01T22:05:43Z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2009-04-30T00:00:00Z</vt:filetime>
  </property>
  <property fmtid="{D5CDD505-2E9C-101B-9397-08002B2CF9AE}" pid="3" name="Creator">
    <vt:lpwstr>PScript5.dll Version 5.2</vt:lpwstr>
  </property>
  <property fmtid="{D5CDD505-2E9C-101B-9397-08002B2CF9AE}" pid="4" name="LastSaved">
    <vt:filetime>2020-04-01T00:00:00Z</vt:filetime>
  </property>
</Properties>
</file>