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1051" w:lineRule="exact" w:before="0"/>
        <w:ind w:left="100" w:right="100" w:firstLine="0"/>
        <w:jc w:val="center"/>
        <w:rPr>
          <w:rFonts w:ascii="Microsoft JhengHei" w:hAnsi="Microsoft JhengHei" w:cs="Microsoft JhengHei" w:eastAsia="Microsoft JhengHei" w:hint="default"/>
          <w:sz w:val="72"/>
          <w:szCs w:val="72"/>
        </w:rPr>
      </w:pPr>
      <w:r>
        <w:rPr>
          <w:rFonts w:ascii="Microsoft JhengHei" w:hAnsi="Microsoft JhengHei" w:cs="Microsoft JhengHei" w:eastAsia="Microsoft JhengHei" w:hint="default"/>
          <w:b/>
          <w:bCs/>
          <w:color w:val="0000FF"/>
          <w:spacing w:val="2"/>
          <w:sz w:val="72"/>
          <w:szCs w:val="72"/>
        </w:rPr>
        <w:t>深圳大通实业股份有限公司</w:t>
      </w:r>
      <w:r>
        <w:rPr>
          <w:rFonts w:ascii="Microsoft JhengHei" w:hAnsi="Microsoft JhengHei" w:cs="Microsoft JhengHei" w:eastAsia="Microsoft JhengHei" w:hint="default"/>
          <w:sz w:val="72"/>
          <w:szCs w:val="72"/>
        </w:rPr>
      </w:r>
    </w:p>
    <w:p>
      <w:pPr>
        <w:spacing w:before="267"/>
        <w:ind w:left="100" w:right="98" w:firstLine="0"/>
        <w:jc w:val="center"/>
        <w:rPr>
          <w:rFonts w:ascii="Microsoft JhengHei" w:hAnsi="Microsoft JhengHei" w:cs="Microsoft JhengHei" w:eastAsia="Microsoft JhengHei" w:hint="default"/>
          <w:sz w:val="72"/>
          <w:szCs w:val="72"/>
        </w:rPr>
      </w:pPr>
      <w:r>
        <w:rPr>
          <w:rFonts w:ascii="Arial" w:hAnsi="Arial" w:cs="Arial" w:eastAsia="Arial" w:hint="default"/>
          <w:b/>
          <w:bCs/>
          <w:color w:val="0000FF"/>
          <w:sz w:val="72"/>
          <w:szCs w:val="72"/>
        </w:rPr>
        <w:t>2009</w:t>
      </w:r>
      <w:r>
        <w:rPr>
          <w:rFonts w:ascii="Microsoft JhengHei" w:hAnsi="Microsoft JhengHei" w:cs="Microsoft JhengHei" w:eastAsia="Microsoft JhengHei" w:hint="default"/>
          <w:b/>
          <w:bCs/>
          <w:color w:val="0000FF"/>
          <w:sz w:val="72"/>
          <w:szCs w:val="72"/>
        </w:rPr>
        <w:t>年年度报告</w:t>
      </w:r>
      <w:r>
        <w:rPr>
          <w:rFonts w:ascii="Microsoft JhengHei" w:hAnsi="Microsoft JhengHei" w:cs="Microsoft JhengHei" w:eastAsia="Microsoft JhengHei" w:hint="default"/>
          <w:sz w:val="72"/>
          <w:szCs w:val="72"/>
        </w:rPr>
      </w:r>
    </w:p>
    <w:p>
      <w:pPr>
        <w:spacing w:before="611"/>
        <w:ind w:left="100" w:right="100" w:firstLine="0"/>
        <w:jc w:val="center"/>
        <w:rPr>
          <w:rFonts w:ascii="Arial" w:hAnsi="Arial" w:cs="Arial" w:eastAsia="Arial" w:hint="default"/>
          <w:sz w:val="44"/>
          <w:szCs w:val="44"/>
        </w:rPr>
      </w:pPr>
      <w:r>
        <w:rPr>
          <w:rFonts w:ascii="Arial"/>
          <w:b/>
          <w:color w:val="0000FF"/>
          <w:sz w:val="44"/>
        </w:rPr>
        <w:t>Annual Report</w:t>
      </w:r>
      <w:r>
        <w:rPr>
          <w:rFonts w:ascii="Arial"/>
          <w:b/>
          <w:color w:val="0000FF"/>
          <w:spacing w:val="-13"/>
          <w:sz w:val="44"/>
        </w:rPr>
        <w:t> </w:t>
      </w:r>
      <w:r>
        <w:rPr>
          <w:rFonts w:ascii="Arial"/>
          <w:b/>
          <w:color w:val="0000FF"/>
          <w:sz w:val="44"/>
        </w:rPr>
        <w:t>2009</w:t>
      </w:r>
      <w:r>
        <w:rPr>
          <w:rFonts w:ascii="Arial"/>
          <w:sz w:val="44"/>
        </w:rPr>
      </w: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line="240" w:lineRule="auto" w:before="0"/>
        <w:rPr>
          <w:rFonts w:ascii="Arial" w:hAnsi="Arial" w:cs="Arial" w:eastAsia="Arial" w:hint="default"/>
          <w:b/>
          <w:bCs/>
          <w:sz w:val="44"/>
          <w:szCs w:val="44"/>
        </w:rPr>
      </w:pPr>
    </w:p>
    <w:p>
      <w:pPr>
        <w:spacing w:before="394"/>
        <w:ind w:left="100" w:right="10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二Ｏ一Ｏ年四月二十三日</w:t>
      </w:r>
      <w:r>
        <w:rPr>
          <w:rFonts w:ascii="Microsoft JhengHei" w:hAnsi="Microsoft JhengHei" w:cs="Microsoft JhengHei" w:eastAsia="Microsoft JhengHei" w:hint="default"/>
          <w:sz w:val="44"/>
          <w:szCs w:val="44"/>
        </w:rPr>
      </w:r>
    </w:p>
    <w:p>
      <w:pPr>
        <w:spacing w:after="0"/>
        <w:jc w:val="center"/>
        <w:rPr>
          <w:rFonts w:ascii="Microsoft JhengHei" w:hAnsi="Microsoft JhengHei" w:cs="Microsoft JhengHei" w:eastAsia="Microsoft JhengHei" w:hint="default"/>
          <w:sz w:val="44"/>
          <w:szCs w:val="44"/>
        </w:rPr>
        <w:sectPr>
          <w:type w:val="continuous"/>
          <w:pgSz w:w="11910" w:h="16840"/>
          <w:pgMar w:top="1600" w:bottom="280" w:left="1500" w:right="1500"/>
        </w:sectPr>
      </w:pPr>
    </w:p>
    <w:p>
      <w:pPr>
        <w:spacing w:line="240" w:lineRule="auto" w:before="3"/>
        <w:rPr>
          <w:rFonts w:ascii="Microsoft JhengHei" w:hAnsi="Microsoft JhengHei" w:cs="Microsoft JhengHei" w:eastAsia="Microsoft JhengHei" w:hint="default"/>
          <w:b/>
          <w:bCs/>
          <w:sz w:val="23"/>
          <w:szCs w:val="23"/>
        </w:rPr>
      </w:pPr>
    </w:p>
    <w:p>
      <w:pPr>
        <w:tabs>
          <w:tab w:pos="720" w:val="left" w:leader="none"/>
        </w:tabs>
        <w:spacing w:line="460" w:lineRule="exact" w:before="0"/>
        <w:ind w:left="0" w:right="1"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273" w:val="left" w:leader="none"/>
              <w:tab w:pos="9782" w:val="right" w:leader="dot"/>
            </w:tabs>
            <w:spacing w:line="240" w:lineRule="auto" w:before="482"/>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w w:val="95"/>
              </w:rPr>
              <w:t>第一章</w:t>
              <w:tab/>
            </w:r>
            <w:r>
              <w:rPr/>
              <w:t>重要提示</w:t>
            </w:r>
            <w:r>
              <w:rPr>
                <w:rFonts w:ascii="Times New Roman" w:hAnsi="Times New Roman" w:cs="Times New Roman" w:eastAsia="Times New Roman" w:hint="default"/>
              </w:rPr>
              <w:tab/>
              <w:t>2</w:t>
            </w:r>
          </w:hyperlink>
        </w:p>
        <w:p>
          <w:pPr>
            <w:pStyle w:val="TOC1"/>
            <w:tabs>
              <w:tab w:pos="1273" w:val="left" w:leader="none"/>
              <w:tab w:pos="9782" w:val="right" w:leader="dot"/>
            </w:tabs>
            <w:spacing w:line="240" w:lineRule="auto"/>
            <w:ind w:right="0"/>
            <w:jc w:val="left"/>
            <w:rPr>
              <w:rFonts w:ascii="Times New Roman" w:hAnsi="Times New Roman" w:cs="Times New Roman" w:eastAsia="Times New Roman" w:hint="default"/>
            </w:rPr>
          </w:pPr>
          <w:hyperlink w:history="true" w:anchor="_TOC_250010">
            <w:r>
              <w:rPr>
                <w:w w:val="95"/>
              </w:rPr>
              <w:t>第二章</w:t>
              <w:tab/>
            </w:r>
            <w:r>
              <w:rPr/>
              <w:t>公司基本情况简介</w:t>
            </w:r>
            <w:r>
              <w:rPr>
                <w:rFonts w:ascii="Times New Roman" w:hAnsi="Times New Roman" w:cs="Times New Roman" w:eastAsia="Times New Roman" w:hint="default"/>
              </w:rPr>
              <w:tab/>
              <w:t>3</w:t>
            </w:r>
          </w:hyperlink>
        </w:p>
        <w:p>
          <w:pPr>
            <w:pStyle w:val="TOC1"/>
            <w:tabs>
              <w:tab w:pos="1273" w:val="left" w:leader="none"/>
              <w:tab w:pos="9782" w:val="right" w:leader="dot"/>
            </w:tabs>
            <w:spacing w:line="240" w:lineRule="auto" w:before="156"/>
            <w:ind w:right="0"/>
            <w:jc w:val="left"/>
            <w:rPr>
              <w:rFonts w:ascii="Times New Roman" w:hAnsi="Times New Roman" w:cs="Times New Roman" w:eastAsia="Times New Roman" w:hint="default"/>
            </w:rPr>
          </w:pPr>
          <w:hyperlink w:history="true" w:anchor="_TOC_250009">
            <w:r>
              <w:rPr>
                <w:w w:val="95"/>
              </w:rPr>
              <w:t>第三章</w:t>
              <w:tab/>
            </w:r>
            <w:r>
              <w:rPr/>
              <w:t>会计数据和业务数据摘要</w:t>
            </w:r>
            <w:r>
              <w:rPr>
                <w:rFonts w:ascii="Times New Roman" w:hAnsi="Times New Roman" w:cs="Times New Roman" w:eastAsia="Times New Roman" w:hint="default"/>
              </w:rPr>
              <w:tab/>
              <w:t>4</w:t>
            </w:r>
          </w:hyperlink>
        </w:p>
        <w:p>
          <w:pPr>
            <w:pStyle w:val="TOC1"/>
            <w:tabs>
              <w:tab w:pos="1273" w:val="left" w:leader="none"/>
              <w:tab w:pos="9782" w:val="right" w:leader="dot"/>
            </w:tabs>
            <w:spacing w:line="240" w:lineRule="auto"/>
            <w:ind w:right="0"/>
            <w:jc w:val="left"/>
            <w:rPr>
              <w:rFonts w:ascii="Times New Roman" w:hAnsi="Times New Roman" w:cs="Times New Roman" w:eastAsia="Times New Roman" w:hint="default"/>
            </w:rPr>
          </w:pPr>
          <w:hyperlink w:history="true" w:anchor="_TOC_250008">
            <w:r>
              <w:rPr>
                <w:w w:val="95"/>
              </w:rPr>
              <w:t>第四章</w:t>
              <w:tab/>
            </w:r>
            <w:r>
              <w:rPr/>
              <w:t>股本变动及股东情况</w:t>
            </w:r>
            <w:r>
              <w:rPr>
                <w:rFonts w:ascii="Times New Roman" w:hAnsi="Times New Roman" w:cs="Times New Roman" w:eastAsia="Times New Roman" w:hint="default"/>
              </w:rPr>
              <w:tab/>
              <w:t>6</w:t>
            </w:r>
          </w:hyperlink>
        </w:p>
        <w:p>
          <w:pPr>
            <w:pStyle w:val="TOC1"/>
            <w:tabs>
              <w:tab w:pos="1273" w:val="left" w:leader="none"/>
              <w:tab w:pos="9780" w:val="right" w:leader="dot"/>
            </w:tabs>
            <w:spacing w:line="240" w:lineRule="auto"/>
            <w:ind w:right="0"/>
            <w:jc w:val="left"/>
            <w:rPr>
              <w:rFonts w:ascii="Times New Roman" w:hAnsi="Times New Roman" w:cs="Times New Roman" w:eastAsia="Times New Roman" w:hint="default"/>
            </w:rPr>
          </w:pPr>
          <w:hyperlink w:history="true" w:anchor="_TOC_250007">
            <w:r>
              <w:rPr>
                <w:w w:val="95"/>
              </w:rPr>
              <w:t>第五章</w:t>
              <w:tab/>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hyperlink>
        </w:p>
        <w:p>
          <w:pPr>
            <w:pStyle w:val="TOC1"/>
            <w:tabs>
              <w:tab w:pos="1273" w:val="left" w:leader="none"/>
              <w:tab w:pos="9781" w:val="right" w:leader="dot"/>
            </w:tabs>
            <w:spacing w:line="240" w:lineRule="auto"/>
            <w:ind w:right="0"/>
            <w:jc w:val="left"/>
            <w:rPr>
              <w:rFonts w:ascii="Times New Roman" w:hAnsi="Times New Roman" w:cs="Times New Roman" w:eastAsia="Times New Roman" w:hint="default"/>
            </w:rPr>
          </w:pPr>
          <w:hyperlink w:history="true" w:anchor="_TOC_250006">
            <w:r>
              <w:rPr>
                <w:w w:val="95"/>
              </w:rPr>
              <w:t>第六章</w:t>
              <w:tab/>
            </w:r>
            <w:r>
              <w:rPr/>
              <w:t>公司治理结构</w:t>
            </w:r>
            <w:r>
              <w:rPr>
                <w:rFonts w:ascii="Times New Roman" w:hAnsi="Times New Roman" w:cs="Times New Roman" w:eastAsia="Times New Roman" w:hint="default"/>
              </w:rPr>
              <w:tab/>
              <w:t>14</w:t>
            </w:r>
          </w:hyperlink>
        </w:p>
        <w:p>
          <w:pPr>
            <w:pStyle w:val="TOC1"/>
            <w:tabs>
              <w:tab w:pos="1273" w:val="left" w:leader="none"/>
              <w:tab w:pos="9781" w:val="right" w:leader="dot"/>
            </w:tabs>
            <w:spacing w:line="240" w:lineRule="auto"/>
            <w:ind w:right="0"/>
            <w:jc w:val="left"/>
            <w:rPr>
              <w:rFonts w:ascii="Times New Roman" w:hAnsi="Times New Roman" w:cs="Times New Roman" w:eastAsia="Times New Roman" w:hint="default"/>
            </w:rPr>
          </w:pPr>
          <w:hyperlink w:history="true" w:anchor="_TOC_250005">
            <w:r>
              <w:rPr>
                <w:w w:val="95"/>
              </w:rPr>
              <w:t>第七章</w:t>
              <w:tab/>
            </w:r>
            <w:r>
              <w:rPr/>
              <w:t>股东大会情况简介</w:t>
            </w:r>
            <w:r>
              <w:rPr>
                <w:rFonts w:ascii="Times New Roman" w:hAnsi="Times New Roman" w:cs="Times New Roman" w:eastAsia="Times New Roman" w:hint="default"/>
              </w:rPr>
              <w:tab/>
              <w:t>24</w:t>
            </w:r>
          </w:hyperlink>
        </w:p>
        <w:p>
          <w:pPr>
            <w:pStyle w:val="TOC1"/>
            <w:tabs>
              <w:tab w:pos="1273" w:val="left" w:leader="none"/>
              <w:tab w:pos="9781" w:val="right" w:leader="dot"/>
            </w:tabs>
            <w:spacing w:line="240" w:lineRule="auto"/>
            <w:ind w:right="0"/>
            <w:jc w:val="left"/>
            <w:rPr>
              <w:rFonts w:ascii="Times New Roman" w:hAnsi="Times New Roman" w:cs="Times New Roman" w:eastAsia="Times New Roman" w:hint="default"/>
            </w:rPr>
          </w:pPr>
          <w:hyperlink w:history="true" w:anchor="_TOC_250004">
            <w:r>
              <w:rPr>
                <w:w w:val="95"/>
              </w:rPr>
              <w:t>第八章</w:t>
              <w:tab/>
            </w:r>
            <w:r>
              <w:rPr/>
              <w:t>董事会报告</w:t>
            </w:r>
            <w:r>
              <w:rPr>
                <w:rFonts w:ascii="Times New Roman" w:hAnsi="Times New Roman" w:cs="Times New Roman" w:eastAsia="Times New Roman" w:hint="default"/>
              </w:rPr>
              <w:tab/>
              <w:t>26</w:t>
            </w:r>
          </w:hyperlink>
        </w:p>
        <w:p>
          <w:pPr>
            <w:pStyle w:val="TOC1"/>
            <w:tabs>
              <w:tab w:pos="1273" w:val="left" w:leader="none"/>
              <w:tab w:pos="9781" w:val="right" w:leader="dot"/>
            </w:tabs>
            <w:spacing w:line="240" w:lineRule="auto"/>
            <w:ind w:right="0"/>
            <w:jc w:val="left"/>
            <w:rPr>
              <w:rFonts w:ascii="Times New Roman" w:hAnsi="Times New Roman" w:cs="Times New Roman" w:eastAsia="Times New Roman" w:hint="default"/>
            </w:rPr>
          </w:pPr>
          <w:hyperlink w:history="true" w:anchor="_TOC_250003">
            <w:r>
              <w:rPr>
                <w:w w:val="95"/>
              </w:rPr>
              <w:t>第九章</w:t>
              <w:tab/>
            </w:r>
            <w:r>
              <w:rPr/>
              <w:t>监事会报告</w:t>
            </w:r>
            <w:r>
              <w:rPr>
                <w:rFonts w:ascii="Times New Roman" w:hAnsi="Times New Roman" w:cs="Times New Roman" w:eastAsia="Times New Roman" w:hint="default"/>
              </w:rPr>
              <w:tab/>
              <w:t>38</w:t>
            </w:r>
          </w:hyperlink>
        </w:p>
        <w:p>
          <w:pPr>
            <w:pStyle w:val="TOC1"/>
            <w:tabs>
              <w:tab w:pos="1273" w:val="left" w:leader="none"/>
              <w:tab w:pos="9781" w:val="right" w:leader="dot"/>
            </w:tabs>
            <w:spacing w:line="240" w:lineRule="auto"/>
            <w:ind w:right="0"/>
            <w:jc w:val="left"/>
            <w:rPr>
              <w:rFonts w:ascii="Times New Roman" w:hAnsi="Times New Roman" w:cs="Times New Roman" w:eastAsia="Times New Roman" w:hint="default"/>
            </w:rPr>
          </w:pPr>
          <w:hyperlink w:history="true" w:anchor="_TOC_250002">
            <w:r>
              <w:rPr>
                <w:w w:val="95"/>
              </w:rPr>
              <w:t>第十章</w:t>
              <w:tab/>
            </w:r>
            <w:r>
              <w:rPr/>
              <w:t>重要事项</w:t>
            </w:r>
            <w:r>
              <w:rPr>
                <w:rFonts w:ascii="Times New Roman" w:hAnsi="Times New Roman" w:cs="Times New Roman" w:eastAsia="Times New Roman" w:hint="default"/>
              </w:rPr>
              <w:tab/>
              <w:t>40</w:t>
            </w:r>
          </w:hyperlink>
        </w:p>
        <w:p>
          <w:pPr>
            <w:pStyle w:val="TOC1"/>
            <w:tabs>
              <w:tab w:pos="1553" w:val="left" w:leader="none"/>
              <w:tab w:pos="9781" w:val="right" w:leader="dot"/>
            </w:tabs>
            <w:spacing w:line="240" w:lineRule="auto"/>
            <w:ind w:right="0"/>
            <w:jc w:val="left"/>
            <w:rPr>
              <w:rFonts w:ascii="Times New Roman" w:hAnsi="Times New Roman" w:cs="Times New Roman" w:eastAsia="Times New Roman" w:hint="default"/>
            </w:rPr>
          </w:pPr>
          <w:hyperlink w:history="true" w:anchor="_TOC_250001">
            <w:r>
              <w:rPr>
                <w:w w:val="95"/>
              </w:rPr>
              <w:t>第十一章</w:t>
              <w:tab/>
            </w:r>
            <w:r>
              <w:rPr/>
              <w:t>财务会计报告</w:t>
            </w:r>
            <w:r>
              <w:rPr>
                <w:rFonts w:ascii="Times New Roman" w:hAnsi="Times New Roman" w:cs="Times New Roman" w:eastAsia="Times New Roman" w:hint="default"/>
              </w:rPr>
              <w:tab/>
              <w:t>50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第十二章</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8"/>
              </w:rPr>
              <w:t>111</w:t>
            </w:r>
          </w:hyperlink>
        </w:p>
        <w:p>
          <w:pPr/>
          <w:r>
            <w:fldChar w:fldCharType="end"/>
          </w:r>
        </w:p>
      </w:sdtContent>
    </w:sdt>
    <w:p>
      <w:pPr>
        <w:spacing w:after="0"/>
        <w:sectPr>
          <w:headerReference w:type="default" r:id="rId5"/>
          <w:footerReference w:type="default" r:id="rId6"/>
          <w:pgSz w:w="11910" w:h="16840"/>
          <w:pgMar w:header="747" w:footer="669" w:top="980" w:bottom="860" w:left="980" w:right="980"/>
          <w:pgNumType w:start="1"/>
        </w:sectPr>
      </w:pPr>
    </w:p>
    <w:p>
      <w:pPr>
        <w:spacing w:line="240" w:lineRule="auto" w:before="7"/>
        <w:rPr>
          <w:rFonts w:ascii="Times New Roman" w:hAnsi="Times New Roman" w:cs="Times New Roman" w:eastAsia="Times New Roman" w:hint="default"/>
          <w:sz w:val="34"/>
          <w:szCs w:val="34"/>
        </w:rPr>
      </w:pPr>
    </w:p>
    <w:p>
      <w:pPr>
        <w:pStyle w:val="Heading1"/>
        <w:tabs>
          <w:tab w:pos="1287" w:val="left" w:leader="none"/>
        </w:tabs>
        <w:spacing w:line="240" w:lineRule="auto" w:before="0"/>
        <w:ind w:left="2" w:right="0"/>
        <w:jc w:val="center"/>
        <w:rPr>
          <w:b w:val="0"/>
          <w:bCs w:val="0"/>
        </w:rPr>
      </w:pPr>
      <w:bookmarkStart w:name="_TOC_250011" w:id="1"/>
      <w:r>
        <w:rPr>
          <w:w w:val="95"/>
        </w:rPr>
        <w:t>第一章</w:t>
        <w:tab/>
      </w:r>
      <w:r>
        <w:rPr/>
        <w:t>重要提示</w:t>
      </w:r>
      <w:bookmarkEnd w:id="1"/>
      <w:r>
        <w:rPr>
          <w:b w:val="0"/>
          <w:bCs w:val="0"/>
        </w:rPr>
      </w:r>
    </w:p>
    <w:p>
      <w:pPr>
        <w:spacing w:line="240" w:lineRule="auto" w:before="0"/>
        <w:rPr>
          <w:rFonts w:ascii="宋体" w:hAnsi="宋体" w:cs="宋体" w:eastAsia="宋体" w:hint="default"/>
          <w:b/>
          <w:bCs/>
          <w:sz w:val="35"/>
          <w:szCs w:val="35"/>
        </w:rPr>
      </w:pPr>
    </w:p>
    <w:p>
      <w:pPr>
        <w:pStyle w:val="BodyText"/>
        <w:spacing w:line="357" w:lineRule="auto" w:before="0"/>
        <w:ind w:right="188" w:firstLine="480"/>
        <w:jc w:val="both"/>
      </w:pPr>
      <w:r>
        <w:rPr/>
        <w:t>本公司董事会及其董事保证本报告所载资料不存在任何虚假记载、误导性陈述或者重大 遗漏，并对其内容的真实性、准确性和完整性承担个别及连带责任。</w:t>
      </w:r>
    </w:p>
    <w:p>
      <w:pPr>
        <w:pStyle w:val="BodyText"/>
        <w:spacing w:line="357" w:lineRule="auto"/>
        <w:ind w:right="188" w:firstLine="480"/>
        <w:jc w:val="both"/>
      </w:pPr>
      <w:r>
        <w:rPr/>
        <w:t>公司本年度报告已经公司第七届董事会第三次会议以现场会议审议的方式通过。会议应 到董事7名，实到董事7名，其中独立董事齐二石由于家中有事，授权独立董事舒强兴代为参 加现场会议并表决；独立董事王洪先生由于工作安排的原因，授权独立董事舒强兴先生代为 参加现场会议并表决；董事毛诚先生由于工作安排的原因，授权董事张庆文先生代为参加现 场会议并表决。没有董事、监事、高级管理人员声明对年度报告的真实性、准确性和完整性 无法保证或存在异议。</w:t>
      </w:r>
    </w:p>
    <w:p>
      <w:pPr>
        <w:pStyle w:val="BodyText"/>
        <w:spacing w:line="357" w:lineRule="auto"/>
        <w:ind w:right="188" w:firstLine="480"/>
        <w:jc w:val="both"/>
      </w:pPr>
      <w:r>
        <w:rPr/>
        <w:t>公司本年度报告已经深圳市鹏城会计师事务所审计，并出具了标准无保留意见的审计报 告。</w:t>
      </w:r>
    </w:p>
    <w:p>
      <w:pPr>
        <w:pStyle w:val="BodyText"/>
        <w:spacing w:line="357" w:lineRule="auto"/>
        <w:ind w:left="153" w:right="151" w:firstLine="480"/>
        <w:jc w:val="both"/>
      </w:pPr>
      <w:r>
        <w:rPr>
          <w:spacing w:val="-3"/>
        </w:rPr>
        <w:t>公司负责人董事长许亚楠先生、主管会计工作负责人易平良及会计机构负责人(会计主管</w:t>
      </w:r>
      <w:r>
        <w:rPr/>
        <w:t> 人员)陈璇：保证年度报告中财务会计报告的真实、完整。</w:t>
      </w:r>
    </w:p>
    <w:p>
      <w:pPr>
        <w:spacing w:after="0" w:line="357" w:lineRule="auto"/>
        <w:jc w:val="both"/>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4389" w:val="left" w:leader="none"/>
        </w:tabs>
        <w:spacing w:line="240" w:lineRule="auto"/>
        <w:ind w:left="3104" w:right="0"/>
        <w:jc w:val="left"/>
        <w:rPr>
          <w:b w:val="0"/>
          <w:bCs w:val="0"/>
        </w:rPr>
      </w:pPr>
      <w:bookmarkStart w:name="_TOC_250010" w:id="2"/>
      <w:r>
        <w:rPr>
          <w:w w:val="95"/>
        </w:rPr>
        <w:t>第二章</w:t>
        <w:tab/>
      </w:r>
      <w:r>
        <w:rPr/>
        <w:t>公司基本情况简介</w:t>
      </w:r>
      <w:bookmarkEnd w:id="2"/>
      <w:r>
        <w:rPr>
          <w:b w:val="0"/>
          <w:bCs w:val="0"/>
        </w:rPr>
      </w:r>
    </w:p>
    <w:p>
      <w:pPr>
        <w:spacing w:line="240" w:lineRule="auto" w:before="0"/>
        <w:rPr>
          <w:rFonts w:ascii="宋体" w:hAnsi="宋体" w:cs="宋体" w:eastAsia="宋体" w:hint="default"/>
          <w:b/>
          <w:bCs/>
          <w:sz w:val="35"/>
          <w:szCs w:val="35"/>
        </w:rPr>
      </w:pPr>
    </w:p>
    <w:p>
      <w:pPr>
        <w:pStyle w:val="BodyText"/>
        <w:spacing w:line="448" w:lineRule="auto" w:before="0"/>
        <w:ind w:left="933" w:right="3332" w:hanging="720"/>
        <w:jc w:val="left"/>
        <w:rPr>
          <w:rFonts w:ascii="Times New Roman" w:hAnsi="Times New Roman" w:cs="Times New Roman" w:eastAsia="Times New Roman" w:hint="default"/>
        </w:rPr>
      </w:pPr>
      <w:r>
        <w:rPr/>
        <w:t>（一）公司法定中文名称：深圳大通实业股份有限公司 公司法定英文名称：</w:t>
      </w:r>
      <w:r>
        <w:rPr>
          <w:rFonts w:ascii="Times New Roman" w:hAnsi="Times New Roman" w:cs="Times New Roman" w:eastAsia="Times New Roman" w:hint="default"/>
        </w:rPr>
        <w:t>Shenzhen Capstone Industrial Co.,Ltd.</w:t>
      </w:r>
    </w:p>
    <w:p>
      <w:pPr>
        <w:pStyle w:val="BodyText"/>
        <w:spacing w:line="240" w:lineRule="auto" w:before="23"/>
        <w:ind w:left="213" w:right="0"/>
        <w:jc w:val="left"/>
      </w:pPr>
      <w:r>
        <w:rPr/>
        <w:t>（二）公司法定代表人：许亚楠</w:t>
      </w:r>
    </w:p>
    <w:p>
      <w:pPr>
        <w:spacing w:line="240" w:lineRule="auto" w:before="11"/>
        <w:rPr>
          <w:rFonts w:ascii="宋体" w:hAnsi="宋体" w:cs="宋体" w:eastAsia="宋体" w:hint="default"/>
          <w:sz w:val="20"/>
          <w:szCs w:val="20"/>
        </w:rPr>
      </w:pPr>
    </w:p>
    <w:p>
      <w:pPr>
        <w:pStyle w:val="BodyText"/>
        <w:spacing w:line="240" w:lineRule="auto" w:before="0"/>
        <w:ind w:left="213" w:right="0"/>
        <w:jc w:val="left"/>
      </w:pPr>
      <w:r>
        <w:rPr/>
        <w:t>（三）公司联系人和联系方式</w:t>
      </w:r>
    </w:p>
    <w:p>
      <w:pPr>
        <w:spacing w:line="240" w:lineRule="auto" w:before="9"/>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2340"/>
        <w:gridCol w:w="3744"/>
        <w:gridCol w:w="3744"/>
      </w:tblGrid>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6"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刘仕保</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宋星</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6B</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6B</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0755-26921699</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0755-26921699</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0755-26910599</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0755-26910599</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hyperlink r:id="rId7">
              <w:r>
                <w:rPr>
                  <w:rFonts w:ascii="Times New Roman"/>
                  <w:sz w:val="21"/>
                </w:rPr>
                <w:t>liushibao2002@163.com</w:t>
              </w:r>
            </w:hyperlink>
          </w:p>
        </w:tc>
        <w:tc>
          <w:tcPr>
            <w:tcW w:w="3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hyperlink r:id="rId8">
              <w:r>
                <w:rPr>
                  <w:rFonts w:ascii="Times New Roman"/>
                  <w:sz w:val="21"/>
                </w:rPr>
                <w:t>dtstock@yahoo.cn</w:t>
              </w:r>
            </w:hyperlink>
          </w:p>
        </w:tc>
      </w:tr>
    </w:tbl>
    <w:p>
      <w:pPr>
        <w:pStyle w:val="BodyText"/>
        <w:spacing w:line="240" w:lineRule="auto" w:before="81"/>
        <w:ind w:left="214" w:right="0"/>
        <w:jc w:val="left"/>
      </w:pPr>
      <w:r>
        <w:rPr/>
        <w:t>（四）基本情况简介</w:t>
      </w:r>
    </w:p>
    <w:p>
      <w:pPr>
        <w:spacing w:line="240" w:lineRule="auto" w:before="9"/>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2860"/>
        <w:gridCol w:w="6968"/>
      </w:tblGrid>
      <w:tr>
        <w:trPr>
          <w:trHeight w:val="28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深圳华侨城东部工业区</w:t>
            </w:r>
          </w:p>
        </w:tc>
      </w:tr>
      <w:tr>
        <w:trPr>
          <w:trHeight w:val="28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518000</w:t>
            </w:r>
          </w:p>
        </w:tc>
      </w:tr>
      <w:tr>
        <w:trPr>
          <w:trHeight w:val="28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深圳市福田区都市阳光名苑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6B</w:t>
            </w:r>
          </w:p>
        </w:tc>
      </w:tr>
      <w:tr>
        <w:trPr>
          <w:trHeight w:val="28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Times New Roman"/>
                <w:sz w:val="21"/>
              </w:rPr>
              <w:t>518000</w:t>
            </w:r>
          </w:p>
        </w:tc>
      </w:tr>
      <w:tr>
        <w:trPr>
          <w:trHeight w:val="28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hyperlink r:id="rId8">
              <w:r>
                <w:rPr>
                  <w:rFonts w:ascii="Times New Roman"/>
                  <w:sz w:val="21"/>
                </w:rPr>
                <w:t>dtstock@yahoo.cn</w:t>
              </w:r>
            </w:hyperlink>
          </w:p>
        </w:tc>
      </w:tr>
    </w:tbl>
    <w:p>
      <w:pPr>
        <w:pStyle w:val="BodyText"/>
        <w:spacing w:line="240" w:lineRule="auto" w:before="81"/>
        <w:ind w:left="214" w:right="0"/>
        <w:jc w:val="left"/>
      </w:pPr>
      <w:r>
        <w:rPr/>
        <w:t>（五）信息披露及备置地点</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28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证监会指定登载公司年度报告的网站网址</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hyperlink r:id="rId9">
              <w:r>
                <w:rPr>
                  <w:rFonts w:ascii="Times New Roman"/>
                  <w:sz w:val="21"/>
                </w:rPr>
                <w:t>http://www.cninfo.com.cn</w:t>
              </w:r>
            </w:hyperlink>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pStyle w:val="BodyText"/>
        <w:spacing w:line="240" w:lineRule="auto" w:before="81"/>
        <w:ind w:left="214" w:right="0"/>
        <w:jc w:val="left"/>
      </w:pPr>
      <w:r>
        <w:rPr/>
        <w:t>（六）公司股票简况</w:t>
      </w:r>
    </w:p>
    <w:p>
      <w:pPr>
        <w:spacing w:line="240" w:lineRule="auto" w:before="9"/>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2860"/>
        <w:gridCol w:w="6968"/>
      </w:tblGrid>
      <w:tr>
        <w:trPr>
          <w:trHeight w:val="28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大通</w:t>
            </w:r>
          </w:p>
        </w:tc>
      </w:tr>
      <w:tr>
        <w:trPr>
          <w:trHeight w:val="28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Times New Roman"/>
                <w:sz w:val="21"/>
              </w:rPr>
              <w:t>000038</w:t>
            </w:r>
          </w:p>
        </w:tc>
      </w:tr>
      <w:tr>
        <w:trPr>
          <w:trHeight w:val="28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6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bl>
    <w:p>
      <w:pPr>
        <w:pStyle w:val="BodyText"/>
        <w:spacing w:line="240" w:lineRule="auto" w:before="81"/>
        <w:ind w:left="214" w:right="0"/>
        <w:jc w:val="left"/>
      </w:pPr>
      <w:r>
        <w:rPr/>
        <w:t>（七）其他有关资料</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28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1987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深圳市华侨城东部工业区</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公司法人营业执照注册号</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440301104515702</w:t>
            </w:r>
          </w:p>
        </w:tc>
      </w:tr>
      <w:tr>
        <w:trPr>
          <w:trHeight w:val="283" w:hRule="exact"/>
        </w:trPr>
        <w:tc>
          <w:tcPr>
            <w:tcW w:w="4927" w:type="dxa"/>
            <w:vMerge w:val="restart"/>
            <w:tcBorders>
              <w:top w:val="single" w:sz="4" w:space="0" w:color="000000"/>
              <w:left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公司税务登记证号</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国税深字</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4403011618850293</w:t>
            </w:r>
          </w:p>
        </w:tc>
      </w:tr>
      <w:tr>
        <w:trPr>
          <w:trHeight w:val="282" w:hRule="exact"/>
        </w:trPr>
        <w:tc>
          <w:tcPr>
            <w:tcW w:w="4927" w:type="dxa"/>
            <w:vMerge/>
            <w:tcBorders>
              <w:left w:val="single" w:sz="4" w:space="0" w:color="000000"/>
              <w:bottom w:val="single" w:sz="4" w:space="0" w:color="000000"/>
              <w:right w:val="single" w:sz="4" w:space="0" w:color="000000"/>
            </w:tcBorders>
          </w:tcPr>
          <w:p>
            <w:pP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深地税登字</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440305618850293</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r>
      <w:tr>
        <w:trPr>
          <w:trHeight w:val="28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深圳市东门南路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号宝丰大厦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p>
        </w:tc>
      </w:tr>
    </w:tbl>
    <w:p>
      <w:pPr>
        <w:spacing w:after="0" w:line="255" w:lineRule="exact"/>
        <w:jc w:val="left"/>
        <w:rPr>
          <w:rFonts w:ascii="宋体" w:hAnsi="宋体" w:cs="宋体" w:eastAsia="宋体" w:hint="default"/>
          <w:sz w:val="21"/>
          <w:szCs w:val="21"/>
        </w:rPr>
        <w:sectPr>
          <w:pgSz w:w="11910" w:h="16840"/>
          <w:pgMar w:header="747" w:footer="669" w:top="980" w:bottom="860" w:left="920" w:right="820"/>
        </w:sectPr>
      </w:pPr>
    </w:p>
    <w:p>
      <w:pPr>
        <w:spacing w:line="240" w:lineRule="auto" w:before="0"/>
        <w:rPr>
          <w:rFonts w:ascii="宋体" w:hAnsi="宋体" w:cs="宋体" w:eastAsia="宋体" w:hint="default"/>
          <w:sz w:val="20"/>
          <w:szCs w:val="20"/>
        </w:rPr>
      </w:pPr>
    </w:p>
    <w:p>
      <w:pPr>
        <w:pStyle w:val="Heading1"/>
        <w:tabs>
          <w:tab w:pos="3988" w:val="left" w:leader="none"/>
        </w:tabs>
        <w:spacing w:line="240" w:lineRule="auto"/>
        <w:ind w:left="2703" w:right="0"/>
        <w:jc w:val="left"/>
        <w:rPr>
          <w:b w:val="0"/>
          <w:bCs w:val="0"/>
        </w:rPr>
      </w:pPr>
      <w:bookmarkStart w:name="_TOC_250009" w:id="3"/>
      <w:r>
        <w:rPr>
          <w:w w:val="95"/>
        </w:rPr>
        <w:t>第三章</w:t>
        <w:tab/>
      </w:r>
      <w:r>
        <w:rPr/>
        <w:t>会计数据和业务数据摘要</w:t>
      </w:r>
      <w:bookmarkEnd w:id="3"/>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669" w:top="980" w:bottom="860" w:left="840" w:right="840"/>
        </w:sectPr>
      </w:pPr>
    </w:p>
    <w:p>
      <w:pPr>
        <w:pStyle w:val="BodyText"/>
        <w:spacing w:line="240" w:lineRule="auto" w:before="196"/>
        <w:ind w:left="294" w:right="-20"/>
        <w:jc w:val="left"/>
      </w:pPr>
      <w:r>
        <w:rPr/>
        <w:t>（一）公司</w:t>
      </w:r>
      <w:r>
        <w:rPr>
          <w:spacing w:val="-60"/>
        </w:rPr>
        <w:t> </w:t>
      </w:r>
      <w:r>
        <w:rPr>
          <w:rFonts w:ascii="Times New Roman" w:hAnsi="Times New Roman" w:cs="Times New Roman" w:eastAsia="Times New Roman" w:hint="default"/>
        </w:rPr>
        <w:t>2009 </w:t>
      </w:r>
      <w:r>
        <w:rPr/>
        <w:t>年度主要会计数据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3"/>
        <w:ind w:left="293"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600" w:bottom="280" w:left="840" w:right="840"/>
          <w:cols w:num="2" w:equalWidth="0">
            <w:col w:w="4015" w:space="3734"/>
            <w:col w:w="2481"/>
          </w:cols>
        </w:sectPr>
      </w:pP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5328"/>
        <w:gridCol w:w="4526"/>
      </w:tblGrid>
      <w:tr>
        <w:trPr>
          <w:trHeight w:val="282"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2"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24,773,027.92</w:t>
            </w:r>
          </w:p>
        </w:tc>
      </w:tr>
      <w:tr>
        <w:trPr>
          <w:trHeight w:val="283"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35,339,569.83</w:t>
            </w:r>
          </w:p>
        </w:tc>
      </w:tr>
      <w:tr>
        <w:trPr>
          <w:trHeight w:val="282"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21,564,136.77</w:t>
            </w:r>
          </w:p>
        </w:tc>
      </w:tr>
      <w:tr>
        <w:trPr>
          <w:trHeight w:val="282"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13,110,937.71</w:t>
            </w:r>
          </w:p>
        </w:tc>
      </w:tr>
      <w:tr>
        <w:trPr>
          <w:trHeight w:val="332"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20,332,195.21</w:t>
            </w:r>
          </w:p>
        </w:tc>
      </w:tr>
    </w:tbl>
    <w:p>
      <w:pPr>
        <w:spacing w:before="86"/>
        <w:ind w:left="294" w:right="0" w:firstLine="0"/>
        <w:jc w:val="left"/>
        <w:rPr>
          <w:rFonts w:ascii="宋体" w:hAnsi="宋体" w:cs="宋体" w:eastAsia="宋体" w:hint="default"/>
          <w:sz w:val="21"/>
          <w:szCs w:val="21"/>
        </w:rPr>
      </w:pPr>
      <w:r>
        <w:rPr>
          <w:rFonts w:ascii="宋体" w:hAnsi="宋体" w:cs="宋体" w:eastAsia="宋体" w:hint="default"/>
          <w:sz w:val="21"/>
          <w:szCs w:val="21"/>
        </w:rPr>
        <w:t>注：扣除非经常性损益的项目及金额</w:t>
      </w:r>
    </w:p>
    <w:p>
      <w:pPr>
        <w:spacing w:before="132"/>
        <w:ind w:left="0" w:right="290"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927"/>
        <w:gridCol w:w="4927"/>
      </w:tblGrid>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8"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10,566,266.22</w:t>
            </w:r>
          </w:p>
        </w:tc>
      </w:tr>
      <w:tr>
        <w:trPr>
          <w:trHeight w:val="36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275.69</w:t>
            </w:r>
          </w:p>
        </w:tc>
      </w:tr>
      <w:tr>
        <w:trPr>
          <w:trHeight w:val="36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-2,113,322.17</w:t>
            </w:r>
          </w:p>
        </w:tc>
      </w:tr>
      <w:tr>
        <w:trPr>
          <w:trHeight w:val="36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-20.68</w:t>
            </w:r>
          </w:p>
        </w:tc>
      </w:tr>
      <w:tr>
        <w:trPr>
          <w:trHeight w:val="364"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8,453,199.06</w:t>
            </w:r>
          </w:p>
        </w:tc>
      </w:tr>
    </w:tbl>
    <w:p>
      <w:pPr>
        <w:pStyle w:val="BodyText"/>
        <w:spacing w:line="240" w:lineRule="auto" w:before="81"/>
        <w:ind w:left="294" w:right="0"/>
        <w:jc w:val="left"/>
      </w:pPr>
      <w:r>
        <w:rPr/>
        <w:t>（二）截至报告期末公司前三年的主要会计数据和财务指标</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600" w:bottom="280" w:left="840" w:right="840"/>
        </w:sectPr>
      </w:pPr>
    </w:p>
    <w:p>
      <w:pPr>
        <w:pStyle w:val="BodyText"/>
        <w:spacing w:line="240" w:lineRule="auto" w:before="26"/>
        <w:ind w:left="293" w:right="-19"/>
        <w:jc w:val="left"/>
      </w:pPr>
      <w:r>
        <w:rPr>
          <w:rFonts w:ascii="Times New Roman" w:hAnsi="Times New Roman" w:cs="Times New Roman" w:eastAsia="Times New Roman" w:hint="default"/>
        </w:rPr>
        <w:t>1</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7"/>
          <w:szCs w:val="17"/>
        </w:rPr>
      </w:pPr>
    </w:p>
    <w:p>
      <w:pPr>
        <w:spacing w:before="0"/>
        <w:ind w:left="293"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10" w:h="16840"/>
          <w:pgMar w:top="1600" w:bottom="280" w:left="840" w:right="840"/>
          <w:cols w:num="2" w:equalWidth="0">
            <w:col w:w="2095" w:space="5654"/>
            <w:col w:w="2481"/>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00"/>
        <w:gridCol w:w="1370"/>
        <w:gridCol w:w="1560"/>
        <w:gridCol w:w="1560"/>
        <w:gridCol w:w="974"/>
        <w:gridCol w:w="1375"/>
        <w:gridCol w:w="1355"/>
      </w:tblGrid>
      <w:tr>
        <w:trPr>
          <w:trHeight w:val="827"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 w:right="0"/>
              <w:jc w:val="center"/>
              <w:rPr>
                <w:rFonts w:ascii="Times New Roman" w:hAnsi="Times New Roman" w:cs="Times New Roman" w:eastAsia="Times New Roman" w:hint="default"/>
                <w:sz w:val="21"/>
                <w:szCs w:val="21"/>
              </w:rPr>
            </w:pPr>
            <w:r>
              <w:rPr>
                <w:rFonts w:ascii="Times New Roman"/>
                <w:sz w:val="21"/>
              </w:rPr>
              <w:t>110,043,571.90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1,781,578.70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1,781,578.70</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35,339,569.83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187,873,743.83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187,266,836.35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-81.13%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17,019,556.28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16,279,746.00</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6" w:right="0"/>
              <w:jc w:val="center"/>
              <w:rPr>
                <w:rFonts w:ascii="Times New Roman" w:hAnsi="Times New Roman" w:cs="Times New Roman" w:eastAsia="Times New Roman" w:hint="default"/>
                <w:sz w:val="21"/>
                <w:szCs w:val="21"/>
              </w:rPr>
            </w:pPr>
            <w:r>
              <w:rPr>
                <w:rFonts w:ascii="Times New Roman"/>
                <w:sz w:val="21"/>
              </w:rPr>
              <w:t>21,564,136.77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154,196,264.25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188,595,506.14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-88.57%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16,140,031.16</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15,400,220.88</w:t>
            </w:r>
          </w:p>
        </w:tc>
      </w:tr>
      <w:tr>
        <w:trPr>
          <w:trHeight w:val="8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6"/>
              <w:ind w:left="263" w:right="54" w:hanging="210"/>
              <w:jc w:val="left"/>
              <w:rPr>
                <w:rFonts w:ascii="宋体" w:hAnsi="宋体" w:cs="宋体" w:eastAsia="宋体" w:hint="default"/>
                <w:sz w:val="21"/>
                <w:szCs w:val="21"/>
              </w:rPr>
            </w:pPr>
            <w:r>
              <w:rPr>
                <w:rFonts w:ascii="宋体" w:hAnsi="宋体" w:cs="宋体" w:eastAsia="宋体" w:hint="default"/>
                <w:sz w:val="21"/>
                <w:szCs w:val="21"/>
              </w:rPr>
              <w:t>东的扣除非经常性 损益的净利润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13" w:right="0"/>
              <w:jc w:val="center"/>
              <w:rPr>
                <w:rFonts w:ascii="Times New Roman" w:hAnsi="Times New Roman" w:cs="Times New Roman" w:eastAsia="Times New Roman" w:hint="default"/>
                <w:sz w:val="21"/>
                <w:szCs w:val="21"/>
              </w:rPr>
            </w:pPr>
            <w:r>
              <w:rPr>
                <w:rFonts w:ascii="Times New Roman"/>
                <w:sz w:val="21"/>
              </w:rPr>
              <w:t>13,110,937.71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-8,396,757.73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-8,848,367.58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248.17%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-13,813,368.33</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-14,553,178.61</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6" w:right="0"/>
              <w:jc w:val="center"/>
              <w:rPr>
                <w:rFonts w:ascii="Times New Roman" w:hAnsi="Times New Roman" w:cs="Times New Roman" w:eastAsia="Times New Roman" w:hint="default"/>
                <w:sz w:val="21"/>
                <w:szCs w:val="21"/>
              </w:rPr>
            </w:pPr>
            <w:r>
              <w:rPr>
                <w:rFonts w:ascii="Times New Roman"/>
                <w:sz w:val="21"/>
              </w:rPr>
              <w:t>20,332,195.21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22,371,187.28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22,371,187.28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2"/>
                <w:sz w:val="21"/>
              </w:rPr>
              <w:t>-9.11%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89,315.95</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89,315.95</w:t>
            </w: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2" w:right="0"/>
              <w:jc w:val="left"/>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72" w:lineRule="exact" w:before="26"/>
              <w:ind w:left="62" w:right="60"/>
              <w:jc w:val="left"/>
              <w:rPr>
                <w:rFonts w:ascii="宋体" w:hAnsi="宋体" w:cs="宋体" w:eastAsia="宋体" w:hint="default"/>
                <w:sz w:val="21"/>
                <w:szCs w:val="21"/>
              </w:rPr>
            </w:pPr>
            <w:r>
              <w:rPr>
                <w:rFonts w:ascii="宋体" w:hAnsi="宋体" w:cs="宋体" w:eastAsia="宋体" w:hint="default"/>
                <w:sz w:val="21"/>
                <w:szCs w:val="21"/>
              </w:rPr>
              <w:t>上年末增 减（％）</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476,293,615.67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306,434,164.74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307,607,536.90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54.84%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8,963,755.52</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8,963,755.52</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东的所有者权益</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124,801,485.41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69,688,607.27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103,237,348.64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20.89%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-84,507,656.98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-85,358,157.10</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96,227,998.00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90,486,000.00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90,486,000.00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6.35%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90,486,000.00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90,486,000.00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840" w:right="840"/>
        </w:sectPr>
      </w:pPr>
    </w:p>
    <w:p>
      <w:pPr>
        <w:spacing w:line="240" w:lineRule="auto" w:before="7"/>
        <w:rPr>
          <w:rFonts w:ascii="宋体" w:hAnsi="宋体" w:cs="宋体" w:eastAsia="宋体" w:hint="default"/>
          <w:sz w:val="29"/>
          <w:szCs w:val="29"/>
        </w:rPr>
      </w:pPr>
    </w:p>
    <w:p>
      <w:pPr>
        <w:pStyle w:val="BodyText"/>
        <w:spacing w:line="240" w:lineRule="auto" w:before="26"/>
        <w:ind w:left="294" w:right="353"/>
        <w:jc w:val="left"/>
      </w:pPr>
      <w:r>
        <w:rPr>
          <w:rFonts w:ascii="Times New Roman" w:hAnsi="Times New Roman" w:cs="Times New Roman" w:eastAsia="Times New Roman" w:hint="default"/>
        </w:rPr>
        <w:t>2</w:t>
      </w:r>
      <w:r>
        <w:rPr/>
        <w:t>、主要财务指标</w:t>
      </w:r>
    </w:p>
    <w:p>
      <w:pPr>
        <w:spacing w:line="240" w:lineRule="auto" w:before="4"/>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700"/>
        <w:gridCol w:w="1080"/>
        <w:gridCol w:w="1028"/>
        <w:gridCol w:w="232"/>
        <w:gridCol w:w="1068"/>
        <w:gridCol w:w="1300"/>
        <w:gridCol w:w="1301"/>
        <w:gridCol w:w="1300"/>
      </w:tblGrid>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0"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3"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0.22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-89.42%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0.178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0.170</w:t>
            </w:r>
          </w:p>
        </w:tc>
      </w:tr>
      <w:tr>
        <w:trPr>
          <w:trHeight w:val="28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0.22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-89.42%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0.178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0.170</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w w:val="95"/>
                <w:sz w:val="21"/>
              </w:rPr>
              <w:t>0.22</w:t>
            </w:r>
            <w:r>
              <w:rPr>
                <w:rFonts w:ascii="Times New Roman"/>
                <w:w w:val="95"/>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6"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0.14</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87" w:right="0"/>
              <w:jc w:val="left"/>
              <w:rPr>
                <w:rFonts w:ascii="Times New Roman" w:hAnsi="Times New Roman" w:cs="Times New Roman" w:eastAsia="Times New Roman" w:hint="default"/>
                <w:sz w:val="21"/>
                <w:szCs w:val="21"/>
              </w:rPr>
            </w:pPr>
            <w:r>
              <w:rPr>
                <w:rFonts w:ascii="Times New Roman"/>
                <w:sz w:val="21"/>
              </w:rPr>
              <w:t>-0.09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222.00%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-0.153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-0.161</w:t>
            </w:r>
          </w:p>
        </w:tc>
      </w:tr>
      <w:tr>
        <w:trPr>
          <w:trHeight w:val="28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28"/>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18.91%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2,109.66%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-2,090.75%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2"/>
                <w:sz w:val="21"/>
              </w:rPr>
              <w:t>11.50%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-98.98%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2"/>
                <w:sz w:val="21"/>
              </w:rPr>
              <w:t>110.48%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2"/>
                <w:sz w:val="21"/>
              </w:rPr>
              <w:t>0.211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52" w:right="0"/>
              <w:jc w:val="left"/>
              <w:rPr>
                <w:rFonts w:ascii="Times New Roman" w:hAnsi="Times New Roman" w:cs="Times New Roman" w:eastAsia="Times New Roman" w:hint="default"/>
                <w:sz w:val="21"/>
                <w:szCs w:val="21"/>
              </w:rPr>
            </w:pPr>
            <w:r>
              <w:rPr>
                <w:rFonts w:ascii="Times New Roman"/>
                <w:sz w:val="21"/>
              </w:rPr>
              <w:t>0.247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0.247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0.001</w:t>
            </w:r>
          </w:p>
        </w:tc>
      </w:tr>
      <w:tr>
        <w:trPr>
          <w:trHeight w:val="828"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2"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55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26" w:right="0"/>
              <w:jc w:val="left"/>
              <w:rPr>
                <w:rFonts w:ascii="Times New Roman" w:hAnsi="Times New Roman" w:cs="Times New Roman" w:eastAsia="Times New Roman" w:hint="default"/>
                <w:sz w:val="21"/>
                <w:szCs w:val="21"/>
              </w:rPr>
            </w:pPr>
            <w:r>
              <w:rPr>
                <w:rFonts w:ascii="Times New Roman"/>
                <w:sz w:val="21"/>
              </w:rPr>
              <w:t>0.77</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-0.934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-0.943</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669" w:top="980" w:bottom="860" w:left="840" w:right="820"/>
        </w:sectPr>
      </w:pPr>
    </w:p>
    <w:p>
      <w:pPr>
        <w:spacing w:line="240" w:lineRule="auto" w:before="0"/>
        <w:rPr>
          <w:rFonts w:ascii="宋体" w:hAnsi="宋体" w:cs="宋体" w:eastAsia="宋体" w:hint="default"/>
          <w:sz w:val="20"/>
          <w:szCs w:val="20"/>
        </w:rPr>
      </w:pPr>
    </w:p>
    <w:p>
      <w:pPr>
        <w:pStyle w:val="Heading1"/>
        <w:tabs>
          <w:tab w:pos="4168" w:val="left" w:leader="none"/>
        </w:tabs>
        <w:spacing w:line="240" w:lineRule="auto"/>
        <w:ind w:left="2884" w:right="0"/>
        <w:jc w:val="left"/>
        <w:rPr>
          <w:b w:val="0"/>
          <w:bCs w:val="0"/>
        </w:rPr>
      </w:pPr>
      <w:bookmarkStart w:name="_TOC_250008" w:id="4"/>
      <w:r>
        <w:rPr>
          <w:w w:val="95"/>
        </w:rPr>
        <w:t>第四章</w:t>
        <w:tab/>
      </w:r>
      <w:r>
        <w:rPr/>
        <w:t>股本变动及股东情况</w:t>
      </w:r>
      <w:bookmarkEnd w:id="4"/>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96"/>
        <w:ind w:right="0"/>
        <w:jc w:val="left"/>
      </w:pPr>
      <w:r>
        <w:rPr/>
        <w:t>（一）股份变动情况表</w:t>
      </w:r>
    </w:p>
    <w:p>
      <w:pPr>
        <w:spacing w:line="240" w:lineRule="auto" w:before="5"/>
        <w:rPr>
          <w:rFonts w:ascii="宋体" w:hAnsi="宋体" w:cs="宋体" w:eastAsia="宋体" w:hint="default"/>
          <w:sz w:val="12"/>
          <w:szCs w:val="12"/>
        </w:rPr>
      </w:pPr>
    </w:p>
    <w:p>
      <w:pPr>
        <w:spacing w:before="35"/>
        <w:ind w:left="0" w:right="63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8"/>
        <w:gridCol w:w="1062"/>
        <w:gridCol w:w="900"/>
        <w:gridCol w:w="1080"/>
        <w:gridCol w:w="674"/>
        <w:gridCol w:w="910"/>
        <w:gridCol w:w="832"/>
        <w:gridCol w:w="1064"/>
        <w:gridCol w:w="1096"/>
        <w:gridCol w:w="900"/>
      </w:tblGrid>
      <w:tr>
        <w:trPr>
          <w:trHeight w:val="283" w:hRule="exact"/>
        </w:trPr>
        <w:tc>
          <w:tcPr>
            <w:tcW w:w="1638" w:type="dxa"/>
            <w:vMerge w:val="restart"/>
            <w:tcBorders>
              <w:top w:val="single" w:sz="4" w:space="0" w:color="000000"/>
              <w:left w:val="single" w:sz="4" w:space="0" w:color="000000"/>
              <w:right w:val="single" w:sz="4" w:space="0" w:color="000000"/>
            </w:tcBorders>
          </w:tcPr>
          <w:p>
            <w:pPr/>
          </w:p>
        </w:tc>
        <w:tc>
          <w:tcPr>
            <w:tcW w:w="19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3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38" w:type="dxa"/>
            <w:vMerge/>
            <w:tcBorders>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4"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有限售条件股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8"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78.85%</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4"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74.14%</w:t>
            </w:r>
          </w:p>
        </w:tc>
      </w:tr>
      <w:tr>
        <w:trPr>
          <w:trHeight w:val="28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8"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78.85%</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4"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74.14%</w:t>
            </w: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8"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78.85%</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4" w:right="0"/>
              <w:jc w:val="center"/>
              <w:rPr>
                <w:rFonts w:ascii="Times New Roman" w:hAnsi="Times New Roman" w:cs="Times New Roman" w:eastAsia="Times New Roman" w:hint="default"/>
                <w:sz w:val="21"/>
                <w:szCs w:val="21"/>
              </w:rPr>
            </w:pPr>
            <w:r>
              <w:rPr>
                <w:rFonts w:ascii="Times New Roman"/>
                <w:sz w:val="21"/>
              </w:rPr>
              <w:t>71,346,000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74.14%</w:t>
            </w:r>
          </w:p>
        </w:tc>
      </w:tr>
      <w:tr>
        <w:trPr>
          <w:trHeight w:val="556"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4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4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无限售条件股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8" w:right="0"/>
              <w:jc w:val="center"/>
              <w:rPr>
                <w:rFonts w:ascii="Times New Roman" w:hAnsi="Times New Roman" w:cs="Times New Roman" w:eastAsia="Times New Roman" w:hint="default"/>
                <w:sz w:val="21"/>
                <w:szCs w:val="21"/>
              </w:rPr>
            </w:pPr>
            <w:r>
              <w:rPr>
                <w:rFonts w:ascii="Times New Roman"/>
                <w:sz w:val="21"/>
              </w:rPr>
              <w:t>19,140,000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21.15%</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5,741,998</w:t>
            </w: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5,741,998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4" w:right="0"/>
              <w:jc w:val="center"/>
              <w:rPr>
                <w:rFonts w:ascii="Times New Roman" w:hAnsi="Times New Roman" w:cs="Times New Roman" w:eastAsia="Times New Roman" w:hint="default"/>
                <w:sz w:val="21"/>
                <w:szCs w:val="21"/>
              </w:rPr>
            </w:pPr>
            <w:r>
              <w:rPr>
                <w:rFonts w:ascii="Times New Roman"/>
                <w:sz w:val="21"/>
              </w:rPr>
              <w:t>24,881,998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25.86%</w:t>
            </w:r>
          </w:p>
        </w:tc>
      </w:tr>
      <w:tr>
        <w:trPr>
          <w:trHeight w:val="28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8" w:right="0"/>
              <w:jc w:val="center"/>
              <w:rPr>
                <w:rFonts w:ascii="Times New Roman" w:hAnsi="Times New Roman" w:cs="Times New Roman" w:eastAsia="Times New Roman" w:hint="default"/>
                <w:sz w:val="21"/>
                <w:szCs w:val="21"/>
              </w:rPr>
            </w:pPr>
            <w:r>
              <w:rPr>
                <w:rFonts w:ascii="Times New Roman"/>
                <w:sz w:val="21"/>
              </w:rPr>
              <w:t>19,140,000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21.15%</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5,741,998</w:t>
            </w: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5,741,998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4" w:right="0"/>
              <w:jc w:val="center"/>
              <w:rPr>
                <w:rFonts w:ascii="Times New Roman" w:hAnsi="Times New Roman" w:cs="Times New Roman" w:eastAsia="Times New Roman" w:hint="default"/>
                <w:sz w:val="21"/>
                <w:szCs w:val="21"/>
              </w:rPr>
            </w:pPr>
            <w:r>
              <w:rPr>
                <w:rFonts w:ascii="Times New Roman"/>
                <w:sz w:val="21"/>
              </w:rPr>
              <w:t>24,881,998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25.86%</w:t>
            </w:r>
          </w:p>
        </w:tc>
      </w:tr>
      <w:tr>
        <w:trPr>
          <w:trHeight w:val="554"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7" w:right="0"/>
              <w:jc w:val="center"/>
              <w:rPr>
                <w:rFonts w:ascii="Times New Roman" w:hAnsi="Times New Roman" w:cs="Times New Roman" w:eastAsia="Times New Roman" w:hint="default"/>
                <w:sz w:val="21"/>
                <w:szCs w:val="21"/>
              </w:rPr>
            </w:pPr>
            <w:r>
              <w:rPr>
                <w:rFonts w:ascii="Times New Roman"/>
                <w:sz w:val="21"/>
              </w:rPr>
              <w:t>90,486,000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5,741,998</w:t>
            </w:r>
          </w:p>
        </w:tc>
        <w:tc>
          <w:tcPr>
            <w:tcW w:w="83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5,741,998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4" w:right="0"/>
              <w:jc w:val="center"/>
              <w:rPr>
                <w:rFonts w:ascii="Times New Roman" w:hAnsi="Times New Roman" w:cs="Times New Roman" w:eastAsia="Times New Roman" w:hint="default"/>
                <w:sz w:val="21"/>
                <w:szCs w:val="21"/>
              </w:rPr>
            </w:pPr>
            <w:r>
              <w:rPr>
                <w:rFonts w:ascii="Times New Roman"/>
                <w:sz w:val="21"/>
              </w:rPr>
              <w:t>96,227,998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7"/>
        <w:rPr>
          <w:rFonts w:ascii="宋体" w:hAnsi="宋体" w:cs="宋体" w:eastAsia="宋体" w:hint="default"/>
          <w:sz w:val="25"/>
          <w:szCs w:val="25"/>
        </w:rPr>
      </w:pPr>
    </w:p>
    <w:p>
      <w:pPr>
        <w:pStyle w:val="BodyText"/>
        <w:spacing w:line="240" w:lineRule="auto" w:before="26"/>
        <w:ind w:right="0"/>
        <w:jc w:val="left"/>
      </w:pPr>
      <w:r>
        <w:rPr/>
        <w:t>（二）证券发行与上市情况</w:t>
      </w:r>
    </w:p>
    <w:p>
      <w:pPr>
        <w:spacing w:line="240" w:lineRule="auto" w:before="12"/>
        <w:rPr>
          <w:rFonts w:ascii="宋体" w:hAnsi="宋体" w:cs="宋体" w:eastAsia="宋体" w:hint="default"/>
          <w:sz w:val="20"/>
          <w:szCs w:val="20"/>
        </w:rPr>
      </w:pPr>
    </w:p>
    <w:p>
      <w:pPr>
        <w:pStyle w:val="BodyText"/>
        <w:spacing w:line="240" w:lineRule="auto" w:before="0"/>
        <w:ind w:left="693" w:right="0"/>
        <w:jc w:val="left"/>
      </w:pPr>
      <w:r>
        <w:rPr>
          <w:rFonts w:ascii="Times New Roman" w:hAnsi="Times New Roman" w:cs="Times New Roman" w:eastAsia="Times New Roman" w:hint="default"/>
        </w:rPr>
        <w:t>1</w:t>
      </w:r>
      <w:r>
        <w:rPr/>
        <w:t>、资本公积金转增股本</w:t>
      </w:r>
    </w:p>
    <w:p>
      <w:pPr>
        <w:spacing w:line="240" w:lineRule="auto" w:before="6"/>
        <w:rPr>
          <w:rFonts w:ascii="宋体" w:hAnsi="宋体" w:cs="宋体" w:eastAsia="宋体" w:hint="default"/>
          <w:sz w:val="19"/>
          <w:szCs w:val="19"/>
        </w:rPr>
      </w:pPr>
    </w:p>
    <w:p>
      <w:pPr>
        <w:pStyle w:val="BodyText"/>
        <w:spacing w:line="240" w:lineRule="auto" w:before="0"/>
        <w:ind w:left="693"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4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日，公司由于实施股权分置改革方案，向全体流通股东以</w:t>
      </w:r>
      <w:r>
        <w:rPr>
          <w:spacing w:val="-59"/>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定向转</w:t>
      </w:r>
    </w:p>
    <w:p>
      <w:pPr>
        <w:pStyle w:val="BodyText"/>
        <w:spacing w:line="240" w:lineRule="auto" w:before="134"/>
        <w:ind w:right="0"/>
        <w:jc w:val="left"/>
      </w:pPr>
      <w:r>
        <w:rPr/>
        <w:t>增股份，总股本由</w:t>
      </w:r>
      <w:r>
        <w:rPr>
          <w:spacing w:val="-60"/>
        </w:rPr>
        <w:t> </w:t>
      </w:r>
      <w:r>
        <w:rPr>
          <w:rFonts w:ascii="Times New Roman" w:hAnsi="Times New Roman" w:cs="Times New Roman" w:eastAsia="Times New Roman" w:hint="default"/>
        </w:rPr>
        <w:t>90,486,000 </w:t>
      </w:r>
      <w:r>
        <w:rPr/>
        <w:t>股增加为</w:t>
      </w:r>
      <w:r>
        <w:rPr>
          <w:spacing w:val="-60"/>
        </w:rPr>
        <w:t> </w:t>
      </w:r>
      <w:r>
        <w:rPr>
          <w:rFonts w:ascii="Times New Roman" w:hAnsi="Times New Roman" w:cs="Times New Roman" w:eastAsia="Times New Roman" w:hint="default"/>
        </w:rPr>
        <w:t>96,227,998 </w:t>
      </w:r>
      <w:r>
        <w:rPr/>
        <w:t>股。</w:t>
      </w:r>
    </w:p>
    <w:p>
      <w:pPr>
        <w:spacing w:line="240" w:lineRule="auto" w:before="6"/>
        <w:rPr>
          <w:rFonts w:ascii="宋体" w:hAnsi="宋体" w:cs="宋体" w:eastAsia="宋体" w:hint="default"/>
          <w:sz w:val="19"/>
          <w:szCs w:val="19"/>
        </w:rPr>
      </w:pPr>
    </w:p>
    <w:p>
      <w:pPr>
        <w:pStyle w:val="BodyText"/>
        <w:spacing w:line="240" w:lineRule="auto" w:before="0"/>
        <w:ind w:left="694" w:right="0"/>
        <w:jc w:val="left"/>
      </w:pPr>
      <w:r>
        <w:rPr>
          <w:rFonts w:ascii="Times New Roman" w:hAnsi="Times New Roman" w:cs="Times New Roman" w:eastAsia="Times New Roman" w:hint="default"/>
        </w:rPr>
        <w:t>2</w:t>
      </w:r>
      <w:r>
        <w:rPr/>
        <w:t>、除上述资本公积金转增股本外，公司最近三年内没有新发行股票及衍生证券。</w:t>
      </w:r>
    </w:p>
    <w:p>
      <w:pPr>
        <w:spacing w:line="240" w:lineRule="auto" w:before="6"/>
        <w:rPr>
          <w:rFonts w:ascii="宋体" w:hAnsi="宋体" w:cs="宋体" w:eastAsia="宋体" w:hint="default"/>
          <w:sz w:val="19"/>
          <w:szCs w:val="19"/>
        </w:rPr>
      </w:pPr>
    </w:p>
    <w:p>
      <w:pPr>
        <w:pStyle w:val="BodyText"/>
        <w:spacing w:line="240" w:lineRule="auto" w:before="0"/>
        <w:ind w:left="694" w:right="0"/>
        <w:jc w:val="left"/>
      </w:pPr>
      <w:r>
        <w:rPr>
          <w:rFonts w:ascii="Times New Roman" w:hAnsi="Times New Roman" w:cs="Times New Roman" w:eastAsia="Times New Roman" w:hint="default"/>
        </w:rPr>
        <w:t>3</w:t>
      </w:r>
      <w:r>
        <w:rPr>
          <w:spacing w:val="-15"/>
        </w:rPr>
        <w:t>、</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23 </w:t>
      </w:r>
      <w:r>
        <w:rPr/>
        <w:t>日</w:t>
      </w:r>
      <w:r>
        <w:rPr>
          <w:spacing w:val="-15"/>
        </w:rPr>
        <w:t>，</w:t>
      </w:r>
      <w:r>
        <w:rPr/>
        <w:t>青岛亚星实业有限公</w:t>
      </w:r>
      <w:r>
        <w:rPr>
          <w:spacing w:val="-15"/>
        </w:rPr>
        <w:t>司</w:t>
      </w:r>
      <w:r>
        <w:rPr/>
        <w:t>（以下简</w:t>
      </w:r>
      <w:r>
        <w:rPr>
          <w:spacing w:val="-15"/>
        </w:rPr>
        <w:t>称</w:t>
      </w:r>
      <w:r>
        <w:rPr/>
        <w:t>“亚星实业</w:t>
      </w:r>
      <w:r>
        <w:rPr>
          <w:spacing w:val="-120"/>
        </w:rPr>
        <w:t>”</w:t>
      </w:r>
      <w:r>
        <w:rPr>
          <w:spacing w:val="-15"/>
        </w:rPr>
        <w:t>）</w:t>
      </w:r>
      <w:r>
        <w:rPr/>
        <w:t>与深大通第一</w:t>
      </w:r>
    </w:p>
    <w:p>
      <w:pPr>
        <w:pStyle w:val="BodyText"/>
        <w:spacing w:line="240" w:lineRule="auto" w:before="134"/>
        <w:ind w:right="0"/>
        <w:jc w:val="left"/>
        <w:rPr>
          <w:rFonts w:ascii="Times New Roman" w:hAnsi="Times New Roman" w:cs="Times New Roman" w:eastAsia="Times New Roman" w:hint="default"/>
        </w:rPr>
      </w:pPr>
      <w:r>
        <w:rPr/>
        <w:t>大股东方正延中传媒有限公</w:t>
      </w:r>
      <w:r>
        <w:rPr>
          <w:spacing w:val="-36"/>
        </w:rPr>
        <w:t>司</w:t>
      </w:r>
      <w:r>
        <w:rPr/>
        <w:t>（以下简</w:t>
      </w:r>
      <w:r>
        <w:rPr>
          <w:spacing w:val="-36"/>
        </w:rPr>
        <w:t>称</w:t>
      </w:r>
      <w:r>
        <w:rPr/>
        <w:t>“方正延中</w:t>
      </w:r>
      <w:r>
        <w:rPr>
          <w:spacing w:val="-120"/>
        </w:rPr>
        <w:t>”</w:t>
      </w:r>
      <w:r>
        <w:rPr>
          <w:spacing w:val="-36"/>
        </w:rPr>
        <w:t>）</w:t>
      </w:r>
      <w:r>
        <w:rPr/>
        <w:t>签订股权转让协议</w:t>
      </w:r>
      <w:r>
        <w:rPr>
          <w:spacing w:val="-36"/>
        </w:rPr>
        <w:t>，</w:t>
      </w:r>
      <w:r>
        <w:rPr/>
        <w:t>受让深大通</w:t>
      </w:r>
      <w:r>
        <w:rPr>
          <w:spacing w:val="-60"/>
        </w:rPr>
        <w:t> </w:t>
      </w:r>
      <w:r>
        <w:rPr>
          <w:rFonts w:ascii="Times New Roman" w:hAnsi="Times New Roman" w:cs="Times New Roman" w:eastAsia="Times New Roman" w:hint="default"/>
        </w:rPr>
        <w:t>1000</w:t>
      </w:r>
    </w:p>
    <w:p>
      <w:pPr>
        <w:pStyle w:val="BodyText"/>
        <w:spacing w:line="240" w:lineRule="auto" w:before="135"/>
        <w:ind w:right="0"/>
        <w:jc w:val="left"/>
      </w:pPr>
      <w:r>
        <w:rPr/>
        <w:t>万股股权；</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25"/>
        </w:rPr>
        <w:t> </w:t>
      </w:r>
      <w:r>
        <w:rPr/>
        <w:t>日，该股份已经办理完成过户登记手续，亚星实业成为公司的并</w:t>
      </w:r>
    </w:p>
    <w:p>
      <w:pPr>
        <w:spacing w:after="0" w:line="240" w:lineRule="auto"/>
        <w:jc w:val="left"/>
        <w:sectPr>
          <w:pgSz w:w="11910" w:h="16840"/>
          <w:pgMar w:header="747" w:footer="669" w:top="980" w:bottom="860" w:left="980" w:right="500"/>
        </w:sectPr>
      </w:pPr>
    </w:p>
    <w:p>
      <w:pPr>
        <w:spacing w:line="240" w:lineRule="auto" w:before="7"/>
        <w:rPr>
          <w:rFonts w:ascii="宋体" w:hAnsi="宋体" w:cs="宋体" w:eastAsia="宋体" w:hint="default"/>
          <w:sz w:val="29"/>
          <w:szCs w:val="29"/>
        </w:rPr>
      </w:pPr>
    </w:p>
    <w:p>
      <w:pPr>
        <w:pStyle w:val="BodyText"/>
        <w:spacing w:line="240" w:lineRule="auto" w:before="26"/>
        <w:ind w:right="115"/>
        <w:jc w:val="left"/>
      </w:pPr>
      <w:r>
        <w:rPr/>
        <w:t>列第三大股东。</w:t>
      </w:r>
    </w:p>
    <w:p>
      <w:pPr>
        <w:spacing w:line="240" w:lineRule="auto" w:before="11"/>
        <w:rPr>
          <w:rFonts w:ascii="宋体" w:hAnsi="宋体" w:cs="宋体" w:eastAsia="宋体" w:hint="default"/>
          <w:sz w:val="20"/>
          <w:szCs w:val="20"/>
        </w:rPr>
      </w:pPr>
    </w:p>
    <w:p>
      <w:pPr>
        <w:pStyle w:val="BodyText"/>
        <w:spacing w:line="240" w:lineRule="auto" w:before="0"/>
        <w:ind w:left="693" w:right="11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日，亚星实业与方正延中签署《垫付对价偿还协议</w:t>
      </w:r>
      <w:r>
        <w:rPr>
          <w:spacing w:val="-120"/>
        </w:rPr>
        <w:t>》</w:t>
      </w:r>
      <w:r>
        <w:rPr/>
        <w:t>，约定方正延中</w:t>
      </w:r>
    </w:p>
    <w:p>
      <w:pPr>
        <w:pStyle w:val="BodyText"/>
        <w:spacing w:line="240" w:lineRule="auto" w:before="134"/>
        <w:ind w:right="115"/>
        <w:jc w:val="left"/>
        <w:rPr>
          <w:rFonts w:ascii="Times New Roman" w:hAnsi="Times New Roman" w:cs="Times New Roman" w:eastAsia="Times New Roman" w:hint="default"/>
        </w:rPr>
      </w:pPr>
      <w:r>
        <w:rPr/>
        <w:t>将所持深大通 </w:t>
      </w:r>
      <w:r>
        <w:rPr>
          <w:rFonts w:ascii="Times New Roman" w:hAnsi="Times New Roman" w:cs="Times New Roman" w:eastAsia="Times New Roman" w:hint="default"/>
        </w:rPr>
        <w:t>680 </w:t>
      </w:r>
      <w:r>
        <w:rPr/>
        <w:t>万股股份以股权分置改革垫付对价偿还的方式过户给亚星实业；</w:t>
      </w:r>
      <w:r>
        <w:rPr>
          <w:rFonts w:ascii="Times New Roman" w:hAnsi="Times New Roman" w:cs="Times New Roman" w:eastAsia="Times New Roman" w:hint="default"/>
        </w:rPr>
        <w:t>2010 </w:t>
      </w:r>
      <w:r>
        <w:rPr/>
        <w:t>年</w:t>
      </w:r>
      <w:r>
        <w:rPr>
          <w:spacing w:val="-85"/>
        </w:rPr>
        <w:t> </w:t>
      </w:r>
      <w:r>
        <w:rPr>
          <w:rFonts w:ascii="Times New Roman" w:hAnsi="Times New Roman" w:cs="Times New Roman" w:eastAsia="Times New Roman" w:hint="default"/>
        </w:rPr>
        <w:t>6</w:t>
      </w:r>
    </w:p>
    <w:p>
      <w:pPr>
        <w:pStyle w:val="BodyText"/>
        <w:spacing w:line="240" w:lineRule="auto" w:before="134"/>
        <w:ind w:right="115"/>
        <w:jc w:val="left"/>
      </w:pP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日之前，方正延中将所持的深大通</w:t>
      </w:r>
      <w:r>
        <w:rPr>
          <w:spacing w:val="-51"/>
        </w:rPr>
        <w:t> </w:t>
      </w:r>
      <w:r>
        <w:rPr>
          <w:rFonts w:ascii="Times New Roman" w:hAnsi="Times New Roman" w:cs="Times New Roman" w:eastAsia="Times New Roman" w:hint="default"/>
        </w:rPr>
        <w:t>2,437,850</w:t>
      </w:r>
      <w:r>
        <w:rPr>
          <w:rFonts w:ascii="Times New Roman" w:hAnsi="Times New Roman" w:cs="Times New Roman" w:eastAsia="Times New Roman" w:hint="default"/>
          <w:spacing w:val="9"/>
        </w:rPr>
        <w:t> </w:t>
      </w:r>
      <w:r>
        <w:rPr/>
        <w:t>股股份以股权分置改革垫付对价偿还的方</w:t>
      </w:r>
    </w:p>
    <w:p>
      <w:pPr>
        <w:pStyle w:val="BodyText"/>
        <w:spacing w:line="240" w:lineRule="auto" w:before="134"/>
        <w:ind w:right="115"/>
        <w:jc w:val="left"/>
      </w:pPr>
      <w:r>
        <w:rPr/>
        <w:t>式过户至亚星实业名下；其余</w:t>
      </w:r>
      <w:r>
        <w:rPr>
          <w:spacing w:val="-64"/>
        </w:rPr>
        <w:t> </w:t>
      </w:r>
      <w:r>
        <w:rPr>
          <w:rFonts w:ascii="Times New Roman" w:hAnsi="Times New Roman" w:cs="Times New Roman" w:eastAsia="Times New Roman" w:hint="default"/>
        </w:rPr>
        <w:t>1,812,150</w:t>
      </w:r>
      <w:r>
        <w:rPr>
          <w:rFonts w:ascii="Times New Roman" w:hAnsi="Times New Roman" w:cs="Times New Roman" w:eastAsia="Times New Roman" w:hint="default"/>
          <w:spacing w:val="-4"/>
        </w:rPr>
        <w:t> </w:t>
      </w:r>
      <w:r>
        <w:rPr/>
        <w:t>股，方正延中将按每股</w:t>
      </w:r>
      <w:r>
        <w:rPr>
          <w:spacing w:val="-64"/>
        </w:rPr>
        <w:t> </w:t>
      </w:r>
      <w:r>
        <w:rPr>
          <w:rFonts w:ascii="Times New Roman" w:hAnsi="Times New Roman" w:cs="Times New Roman" w:eastAsia="Times New Roman" w:hint="default"/>
        </w:rPr>
        <w:t>9.92</w:t>
      </w:r>
      <w:r>
        <w:rPr>
          <w:rFonts w:ascii="Times New Roman" w:hAnsi="Times New Roman" w:cs="Times New Roman" w:eastAsia="Times New Roman" w:hint="default"/>
          <w:spacing w:val="-4"/>
        </w:rPr>
        <w:t> </w:t>
      </w:r>
      <w:r>
        <w:rPr/>
        <w:t>元（深大通停牌前</w:t>
      </w:r>
      <w:r>
        <w:rPr>
          <w:spacing w:val="-64"/>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w:t>
      </w:r>
    </w:p>
    <w:p>
      <w:pPr>
        <w:pStyle w:val="BodyText"/>
        <w:spacing w:line="240" w:lineRule="auto" w:before="134"/>
        <w:ind w:right="115"/>
        <w:jc w:val="left"/>
      </w:pPr>
      <w:r>
        <w:rPr/>
        <w:t>的均价</w:t>
      </w:r>
      <w:r>
        <w:rPr>
          <w:spacing w:val="-120"/>
        </w:rPr>
        <w:t>）</w:t>
      </w:r>
      <w:r>
        <w:rPr/>
        <w:t>，将合计</w:t>
      </w:r>
      <w:r>
        <w:rPr>
          <w:spacing w:val="-60"/>
        </w:rPr>
        <w:t> </w:t>
      </w:r>
      <w:r>
        <w:rPr>
          <w:rFonts w:ascii="Times New Roman" w:hAnsi="Times New Roman" w:cs="Times New Roman" w:eastAsia="Times New Roman" w:hint="default"/>
        </w:rPr>
        <w:t>17,976,528 </w:t>
      </w:r>
      <w:r>
        <w:rPr/>
        <w:t>元人民币于</w:t>
      </w:r>
      <w:r>
        <w:rPr>
          <w:spacing w:val="-60"/>
        </w:rPr>
        <w:t> </w:t>
      </w:r>
      <w:r>
        <w:rPr>
          <w:rFonts w:ascii="Times New Roman" w:hAnsi="Times New Roman" w:cs="Times New Roman" w:eastAsia="Times New Roman" w:hint="default"/>
        </w:rPr>
        <w:t>680 </w:t>
      </w:r>
      <w:r>
        <w:rPr/>
        <w:t>万股过户之同时支付给亚星实业。</w:t>
      </w:r>
    </w:p>
    <w:p>
      <w:pPr>
        <w:spacing w:line="240" w:lineRule="auto" w:before="6"/>
        <w:rPr>
          <w:rFonts w:ascii="宋体" w:hAnsi="宋体" w:cs="宋体" w:eastAsia="宋体" w:hint="default"/>
          <w:sz w:val="19"/>
          <w:szCs w:val="19"/>
        </w:rPr>
      </w:pPr>
    </w:p>
    <w:p>
      <w:pPr>
        <w:pStyle w:val="BodyText"/>
        <w:spacing w:line="240" w:lineRule="auto" w:before="0"/>
        <w:ind w:left="694" w:right="115"/>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19 </w:t>
      </w:r>
      <w:r>
        <w:rPr/>
        <w:t>日，前述</w:t>
      </w:r>
      <w:r>
        <w:rPr>
          <w:spacing w:val="-60"/>
        </w:rPr>
        <w:t> </w:t>
      </w:r>
      <w:r>
        <w:rPr>
          <w:rFonts w:ascii="Times New Roman" w:hAnsi="Times New Roman" w:cs="Times New Roman" w:eastAsia="Times New Roman" w:hint="default"/>
        </w:rPr>
        <w:t>680 </w:t>
      </w:r>
      <w:r>
        <w:rPr/>
        <w:t>万股深大通股份办理完成过户登记手续。</w:t>
      </w:r>
    </w:p>
    <w:p>
      <w:pPr>
        <w:spacing w:line="240" w:lineRule="auto" w:before="6"/>
        <w:rPr>
          <w:rFonts w:ascii="宋体" w:hAnsi="宋体" w:cs="宋体" w:eastAsia="宋体" w:hint="default"/>
          <w:sz w:val="19"/>
          <w:szCs w:val="19"/>
        </w:rPr>
      </w:pPr>
    </w:p>
    <w:p>
      <w:pPr>
        <w:pStyle w:val="BodyText"/>
        <w:spacing w:line="240" w:lineRule="auto" w:before="0"/>
        <w:ind w:left="694" w:right="115"/>
        <w:jc w:val="left"/>
      </w:pPr>
      <w:r>
        <w:rPr>
          <w:rFonts w:ascii="Times New Roman" w:hAnsi="Times New Roman" w:cs="Times New Roman" w:eastAsia="Times New Roman" w:hint="default"/>
        </w:rPr>
        <w:t>5</w:t>
      </w:r>
      <w:r>
        <w:rPr/>
        <w:t>、公司现无内部职工股。</w:t>
      </w:r>
    </w:p>
    <w:p>
      <w:pPr>
        <w:spacing w:line="240" w:lineRule="auto" w:before="7"/>
        <w:rPr>
          <w:rFonts w:ascii="宋体" w:hAnsi="宋体" w:cs="宋体" w:eastAsia="宋体" w:hint="default"/>
          <w:sz w:val="19"/>
          <w:szCs w:val="19"/>
        </w:rPr>
      </w:pPr>
    </w:p>
    <w:p>
      <w:pPr>
        <w:pStyle w:val="BodyText"/>
        <w:spacing w:line="240" w:lineRule="auto" w:before="0"/>
        <w:ind w:right="115"/>
        <w:jc w:val="left"/>
      </w:pPr>
      <w:r>
        <w:rPr/>
        <w:t>（三）股东情况介绍</w:t>
      </w:r>
    </w:p>
    <w:p>
      <w:pPr>
        <w:spacing w:line="240" w:lineRule="auto" w:before="11"/>
        <w:rPr>
          <w:rFonts w:ascii="宋体" w:hAnsi="宋体" w:cs="宋体" w:eastAsia="宋体" w:hint="default"/>
          <w:sz w:val="20"/>
          <w:szCs w:val="20"/>
        </w:rPr>
      </w:pPr>
    </w:p>
    <w:p>
      <w:pPr>
        <w:pStyle w:val="BodyText"/>
        <w:spacing w:line="240" w:lineRule="auto" w:before="0"/>
        <w:ind w:left="694" w:right="115"/>
        <w:jc w:val="left"/>
      </w:pPr>
      <w:r>
        <w:rPr>
          <w:rFonts w:ascii="Times New Roman" w:hAnsi="Times New Roman" w:cs="Times New Roman" w:eastAsia="Times New Roman" w:hint="default"/>
        </w:rPr>
        <w:t>1</w:t>
      </w:r>
      <w:r>
        <w:rPr/>
        <w:t>、截止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日，公司共有股东</w:t>
      </w:r>
      <w:r>
        <w:rPr>
          <w:spacing w:val="-60"/>
        </w:rPr>
        <w:t> </w:t>
      </w:r>
      <w:r>
        <w:rPr>
          <w:rFonts w:ascii="Times New Roman" w:hAnsi="Times New Roman" w:cs="Times New Roman" w:eastAsia="Times New Roman" w:hint="default"/>
        </w:rPr>
        <w:t>4293 </w:t>
      </w:r>
      <w:r>
        <w:rPr/>
        <w:t>名。</w:t>
      </w:r>
    </w:p>
    <w:p>
      <w:pPr>
        <w:spacing w:line="240" w:lineRule="auto" w:before="6"/>
        <w:rPr>
          <w:rFonts w:ascii="宋体" w:hAnsi="宋体" w:cs="宋体" w:eastAsia="宋体" w:hint="default"/>
          <w:sz w:val="19"/>
          <w:szCs w:val="19"/>
        </w:rPr>
      </w:pPr>
    </w:p>
    <w:p>
      <w:pPr>
        <w:pStyle w:val="BodyText"/>
        <w:spacing w:line="240" w:lineRule="auto" w:before="0"/>
        <w:ind w:left="694" w:right="115"/>
        <w:jc w:val="left"/>
      </w:pPr>
      <w:r>
        <w:rPr>
          <w:rFonts w:ascii="Times New Roman" w:hAnsi="Times New Roman" w:cs="Times New Roman" w:eastAsia="Times New Roman" w:hint="default"/>
        </w:rPr>
        <w:t>2</w:t>
      </w:r>
      <w:r>
        <w:rPr/>
        <w:t>、截止</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日，公司前</w:t>
      </w:r>
      <w:r>
        <w:rPr>
          <w:spacing w:val="-60"/>
        </w:rPr>
        <w:t> </w:t>
      </w:r>
      <w:r>
        <w:rPr>
          <w:rFonts w:ascii="Times New Roman" w:hAnsi="Times New Roman" w:cs="Times New Roman" w:eastAsia="Times New Roman" w:hint="default"/>
        </w:rPr>
        <w:t>10 </w:t>
      </w:r>
      <w:r>
        <w:rPr/>
        <w:t>名股东持股情况如下：</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40"/>
        <w:gridCol w:w="1300"/>
        <w:gridCol w:w="320"/>
        <w:gridCol w:w="980"/>
        <w:gridCol w:w="1300"/>
        <w:gridCol w:w="520"/>
        <w:gridCol w:w="1301"/>
        <w:gridCol w:w="1768"/>
      </w:tblGrid>
      <w:tr>
        <w:trPr>
          <w:trHeight w:val="282" w:hRule="exact"/>
        </w:trPr>
        <w:tc>
          <w:tcPr>
            <w:tcW w:w="98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5"/>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持有有限售条件股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青岛亚星实业有限公司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60" w:right="0"/>
              <w:jc w:val="left"/>
              <w:rPr>
                <w:rFonts w:ascii="Times New Roman" w:hAnsi="Times New Roman" w:cs="Times New Roman" w:eastAsia="Times New Roman" w:hint="default"/>
                <w:sz w:val="21"/>
                <w:szCs w:val="21"/>
              </w:rPr>
            </w:pPr>
            <w:r>
              <w:rPr>
                <w:rFonts w:ascii="Times New Roman"/>
                <w:sz w:val="21"/>
              </w:rPr>
              <w:t>17.46%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16,800,000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41" w:right="0"/>
              <w:jc w:val="left"/>
              <w:rPr>
                <w:rFonts w:ascii="Times New Roman" w:hAnsi="Times New Roman" w:cs="Times New Roman" w:eastAsia="Times New Roman" w:hint="default"/>
                <w:sz w:val="21"/>
                <w:szCs w:val="21"/>
              </w:rPr>
            </w:pPr>
            <w:r>
              <w:rPr>
                <w:rFonts w:ascii="Times New Roman"/>
                <w:sz w:val="21"/>
              </w:rPr>
              <w:t>16,800,000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上海文慧投资有限公司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18.41%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17,712,690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41" w:right="0"/>
              <w:jc w:val="left"/>
              <w:rPr>
                <w:rFonts w:ascii="Times New Roman" w:hAnsi="Times New Roman" w:cs="Times New Roman" w:eastAsia="Times New Roman" w:hint="default"/>
                <w:sz w:val="21"/>
                <w:szCs w:val="21"/>
              </w:rPr>
            </w:pPr>
            <w:r>
              <w:rPr>
                <w:rFonts w:ascii="Times New Roman"/>
                <w:sz w:val="21"/>
              </w:rPr>
              <w:t>17,712,690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17,712,690</w:t>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方正延中传媒有限公司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10,200,000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41" w:right="0"/>
              <w:jc w:val="left"/>
              <w:rPr>
                <w:rFonts w:ascii="Times New Roman" w:hAnsi="Times New Roman" w:cs="Times New Roman" w:eastAsia="Times New Roman" w:hint="default"/>
                <w:sz w:val="21"/>
                <w:szCs w:val="21"/>
              </w:rPr>
            </w:pPr>
            <w:r>
              <w:rPr>
                <w:rFonts w:ascii="Times New Roman"/>
                <w:sz w:val="21"/>
              </w:rPr>
              <w:t>10,200,000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8,387,850</w:t>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上海港银投资管理有限</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10.39%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41" w:right="0"/>
              <w:jc w:val="left"/>
              <w:rPr>
                <w:rFonts w:ascii="Times New Roman" w:hAnsi="Times New Roman" w:cs="Times New Roman" w:eastAsia="Times New Roman" w:hint="default"/>
                <w:sz w:val="21"/>
                <w:szCs w:val="21"/>
              </w:rPr>
            </w:pPr>
            <w:r>
              <w:rPr>
                <w:rFonts w:ascii="Times New Roman"/>
                <w:sz w:val="21"/>
              </w:rPr>
              <w:t>10,000,000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江西省电子物资公司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45" w:right="0"/>
              <w:jc w:val="left"/>
              <w:rPr>
                <w:rFonts w:ascii="Times New Roman" w:hAnsi="Times New Roman" w:cs="Times New Roman" w:eastAsia="Times New Roman" w:hint="default"/>
                <w:sz w:val="21"/>
                <w:szCs w:val="21"/>
              </w:rPr>
            </w:pPr>
            <w:r>
              <w:rPr>
                <w:rFonts w:ascii="Times New Roman"/>
                <w:sz w:val="21"/>
              </w:rPr>
              <w:t>9,000,000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北京科希盟科技集团有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4,994,220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45" w:right="0"/>
              <w:jc w:val="left"/>
              <w:rPr>
                <w:rFonts w:ascii="Times New Roman" w:hAnsi="Times New Roman" w:cs="Times New Roman" w:eastAsia="Times New Roman" w:hint="default"/>
                <w:sz w:val="21"/>
                <w:szCs w:val="21"/>
              </w:rPr>
            </w:pPr>
            <w:r>
              <w:rPr>
                <w:rFonts w:ascii="Times New Roman"/>
                <w:sz w:val="21"/>
              </w:rPr>
              <w:t>4,994,220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深圳市立信创展投资有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2,140,380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45" w:right="0"/>
              <w:jc w:val="left"/>
              <w:rPr>
                <w:rFonts w:ascii="Times New Roman" w:hAnsi="Times New Roman" w:cs="Times New Roman" w:eastAsia="Times New Roman" w:hint="default"/>
                <w:sz w:val="21"/>
                <w:szCs w:val="21"/>
              </w:rPr>
            </w:pPr>
            <w:r>
              <w:rPr>
                <w:rFonts w:ascii="Times New Roman"/>
                <w:sz w:val="21"/>
              </w:rPr>
              <w:t>2,140,380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林仁平</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1,236,164</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45" w:right="0"/>
              <w:jc w:val="left"/>
              <w:rPr>
                <w:rFonts w:ascii="Times New Roman" w:hAnsi="Times New Roman" w:cs="Times New Roman" w:eastAsia="Times New Roman" w:hint="default"/>
                <w:sz w:val="21"/>
                <w:szCs w:val="21"/>
              </w:rPr>
            </w:pPr>
            <w:r>
              <w:rPr>
                <w:rFonts w:ascii="Times New Roman"/>
                <w:sz w:val="21"/>
              </w:rPr>
              <w:t>1,236,164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林仁忠</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1,008,540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45" w:right="0"/>
              <w:jc w:val="left"/>
              <w:rPr>
                <w:rFonts w:ascii="Times New Roman" w:hAnsi="Times New Roman" w:cs="Times New Roman" w:eastAsia="Times New Roman" w:hint="default"/>
                <w:sz w:val="21"/>
                <w:szCs w:val="21"/>
              </w:rPr>
            </w:pPr>
            <w:r>
              <w:rPr>
                <w:rFonts w:ascii="Times New Roman"/>
                <w:sz w:val="21"/>
              </w:rPr>
              <w:t>1,008,540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杜进军</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0.41%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397,930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03" w:right="0"/>
              <w:jc w:val="left"/>
              <w:rPr>
                <w:rFonts w:ascii="Times New Roman" w:hAnsi="Times New Roman" w:cs="Times New Roman" w:eastAsia="Times New Roman" w:hint="default"/>
                <w:sz w:val="21"/>
                <w:szCs w:val="21"/>
              </w:rPr>
            </w:pPr>
            <w:r>
              <w:rPr>
                <w:rFonts w:ascii="Times New Roman"/>
                <w:sz w:val="21"/>
              </w:rPr>
              <w:t>397,930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98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林仁平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1,236,164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林仁忠</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1,008,540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杜进军</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397,930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朱欣怡</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358,150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张建青</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340,470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章德华</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285,281</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吴黛云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282,100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640"/>
        <w:gridCol w:w="3120"/>
        <w:gridCol w:w="3068"/>
      </w:tblGrid>
      <w:tr>
        <w:trPr>
          <w:trHeight w:val="362"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秦辉</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231,953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金明飞</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231,166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62"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易清明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215,540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before="86"/>
        <w:ind w:left="154" w:right="0" w:firstLine="0"/>
        <w:jc w:val="both"/>
        <w:rPr>
          <w:rFonts w:ascii="宋体" w:hAnsi="宋体" w:cs="宋体" w:eastAsia="宋体" w:hint="default"/>
          <w:sz w:val="21"/>
          <w:szCs w:val="21"/>
        </w:rPr>
      </w:pPr>
      <w:r>
        <w:rPr>
          <w:rFonts w:ascii="宋体" w:hAnsi="宋体" w:cs="宋体" w:eastAsia="宋体" w:hint="default"/>
          <w:sz w:val="21"/>
          <w:szCs w:val="21"/>
        </w:rPr>
        <w:t>注：</w:t>
      </w:r>
    </w:p>
    <w:p>
      <w:pPr>
        <w:spacing w:line="240" w:lineRule="auto" w:before="6"/>
        <w:rPr>
          <w:rFonts w:ascii="宋体" w:hAnsi="宋体" w:cs="宋体" w:eastAsia="宋体" w:hint="default"/>
          <w:sz w:val="19"/>
          <w:szCs w:val="19"/>
        </w:rPr>
      </w:pPr>
    </w:p>
    <w:p>
      <w:pPr>
        <w:spacing w:line="336" w:lineRule="auto" w:before="0"/>
        <w:ind w:left="154" w:right="311" w:firstLine="47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）青岛亚星实业有限公司与其他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名股东无关联关系或一致行动人。林仁平和林仁忠为亲兄弟，本 公司未知其他股东之间的关联关系或一致行动人。</w:t>
      </w:r>
    </w:p>
    <w:p>
      <w:pPr>
        <w:spacing w:before="169"/>
        <w:ind w:left="626" w:right="115" w:firstLine="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）方正延中所持有的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万深大通境内非国有法人股于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日被郑州市金水区人民法院</w:t>
      </w:r>
    </w:p>
    <w:p>
      <w:pPr>
        <w:spacing w:before="118"/>
        <w:ind w:left="154" w:right="0" w:firstLine="0"/>
        <w:jc w:val="both"/>
        <w:rPr>
          <w:rFonts w:ascii="宋体" w:hAnsi="宋体" w:cs="宋体" w:eastAsia="宋体" w:hint="default"/>
          <w:sz w:val="21"/>
          <w:szCs w:val="21"/>
        </w:rPr>
      </w:pPr>
      <w:r>
        <w:rPr>
          <w:rFonts w:ascii="宋体" w:hAnsi="宋体" w:cs="宋体" w:eastAsia="宋体" w:hint="default"/>
          <w:sz w:val="21"/>
          <w:szCs w:val="21"/>
        </w:rPr>
        <w:t>司法冻结，冻结期限至</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18</w:t>
      </w:r>
      <w:r>
        <w:rPr>
          <w:rFonts w:ascii="宋体" w:hAnsi="宋体" w:cs="宋体" w:eastAsia="宋体" w:hint="default"/>
          <w:spacing w:val="-43"/>
          <w:sz w:val="21"/>
          <w:szCs w:val="21"/>
        </w:rPr>
        <w:t> </w:t>
      </w:r>
      <w:r>
        <w:rPr>
          <w:rFonts w:ascii="宋体" w:hAnsi="宋体" w:cs="宋体" w:eastAsia="宋体" w:hint="default"/>
          <w:sz w:val="21"/>
          <w:szCs w:val="21"/>
        </w:rPr>
        <w:t>日；被郑州市金水区人民法院司法冻结的</w:t>
      </w:r>
      <w:r>
        <w:rPr>
          <w:rFonts w:ascii="宋体" w:hAnsi="宋体" w:cs="宋体" w:eastAsia="宋体" w:hint="default"/>
          <w:spacing w:val="-44"/>
          <w:sz w:val="21"/>
          <w:szCs w:val="21"/>
        </w:rPr>
        <w:t> </w:t>
      </w:r>
      <w:r>
        <w:rPr>
          <w:rFonts w:ascii="宋体" w:hAnsi="宋体" w:cs="宋体" w:eastAsia="宋体" w:hint="default"/>
          <w:sz w:val="21"/>
          <w:szCs w:val="21"/>
        </w:rPr>
        <w:t>1020</w:t>
      </w:r>
      <w:r>
        <w:rPr>
          <w:rFonts w:ascii="宋体" w:hAnsi="宋体" w:cs="宋体" w:eastAsia="宋体" w:hint="default"/>
          <w:spacing w:val="-45"/>
          <w:sz w:val="21"/>
          <w:szCs w:val="21"/>
        </w:rPr>
        <w:t> </w:t>
      </w:r>
      <w:r>
        <w:rPr>
          <w:rFonts w:ascii="宋体" w:hAnsi="宋体" w:cs="宋体" w:eastAsia="宋体" w:hint="default"/>
          <w:sz w:val="21"/>
          <w:szCs w:val="21"/>
        </w:rPr>
        <w:t>万本公司股份中的</w:t>
      </w:r>
    </w:p>
    <w:p>
      <w:pPr>
        <w:spacing w:before="133"/>
        <w:ind w:left="154" w:right="0" w:firstLine="0"/>
        <w:jc w:val="both"/>
        <w:rPr>
          <w:rFonts w:ascii="宋体" w:hAnsi="宋体" w:cs="宋体" w:eastAsia="宋体" w:hint="default"/>
          <w:sz w:val="21"/>
          <w:szCs w:val="21"/>
        </w:rPr>
      </w:pPr>
      <w:r>
        <w:rPr>
          <w:rFonts w:ascii="宋体" w:hAnsi="宋体" w:cs="宋体" w:eastAsia="宋体" w:hint="default"/>
          <w:sz w:val="21"/>
          <w:szCs w:val="21"/>
        </w:rPr>
        <w:t>2,437,850</w:t>
      </w:r>
      <w:r>
        <w:rPr>
          <w:rFonts w:ascii="宋体" w:hAnsi="宋体" w:cs="宋体" w:eastAsia="宋体" w:hint="default"/>
          <w:spacing w:val="-57"/>
          <w:sz w:val="21"/>
          <w:szCs w:val="21"/>
        </w:rPr>
        <w:t> </w:t>
      </w:r>
      <w:r>
        <w:rPr>
          <w:rFonts w:ascii="宋体" w:hAnsi="宋体" w:cs="宋体" w:eastAsia="宋体" w:hint="default"/>
          <w:sz w:val="21"/>
          <w:szCs w:val="21"/>
        </w:rPr>
        <w:t>股又于</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19</w:t>
      </w:r>
      <w:r>
        <w:rPr>
          <w:rFonts w:ascii="宋体" w:hAnsi="宋体" w:cs="宋体" w:eastAsia="宋体" w:hint="default"/>
          <w:spacing w:val="-57"/>
          <w:sz w:val="21"/>
          <w:szCs w:val="21"/>
        </w:rPr>
        <w:t> </w:t>
      </w:r>
      <w:r>
        <w:rPr>
          <w:rFonts w:ascii="宋体" w:hAnsi="宋体" w:cs="宋体" w:eastAsia="宋体" w:hint="default"/>
          <w:sz w:val="21"/>
          <w:szCs w:val="21"/>
        </w:rPr>
        <w:t>日被上海市黄浦区人民法院轮侯司法冻结。</w:t>
      </w:r>
    </w:p>
    <w:p>
      <w:pPr>
        <w:spacing w:line="240" w:lineRule="auto" w:before="6"/>
        <w:rPr>
          <w:rFonts w:ascii="宋体" w:hAnsi="宋体" w:cs="宋体" w:eastAsia="宋体" w:hint="default"/>
          <w:sz w:val="19"/>
          <w:szCs w:val="19"/>
        </w:rPr>
      </w:pPr>
    </w:p>
    <w:p>
      <w:pPr>
        <w:spacing w:line="338" w:lineRule="auto" w:before="0"/>
        <w:ind w:left="154" w:right="311" w:firstLine="47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）上海文慧投资有限公司所持公司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17,712,690</w:t>
      </w:r>
      <w:r>
        <w:rPr>
          <w:rFonts w:ascii="Times New Roman" w:hAnsi="Times New Roman" w:cs="Times New Roman" w:eastAsia="Times New Roman" w:hint="default"/>
          <w:spacing w:val="21"/>
          <w:sz w:val="21"/>
          <w:szCs w:val="21"/>
        </w:rPr>
        <w:t> </w:t>
      </w:r>
      <w:r>
        <w:rPr>
          <w:rFonts w:ascii="宋体" w:hAnsi="宋体" w:cs="宋体" w:eastAsia="宋体" w:hint="default"/>
          <w:spacing w:val="-5"/>
          <w:sz w:val="21"/>
          <w:szCs w:val="21"/>
        </w:rPr>
        <w:t>股（占公司总股本</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19.58%</w:t>
      </w:r>
      <w:r>
        <w:rPr>
          <w:rFonts w:ascii="宋体" w:hAnsi="宋体" w:cs="宋体" w:eastAsia="宋体" w:hint="default"/>
          <w:sz w:val="21"/>
          <w:szCs w:val="21"/>
        </w:rPr>
        <w:t>）和公司第三大股东上海港 银投资管理有限公司所持有的深大通 </w:t>
      </w:r>
      <w:r>
        <w:rPr>
          <w:rFonts w:ascii="Times New Roman" w:hAnsi="Times New Roman" w:cs="Times New Roman" w:eastAsia="Times New Roman" w:hint="default"/>
          <w:w w:val="99"/>
          <w:sz w:val="21"/>
          <w:szCs w:val="21"/>
        </w:rPr>
        <w:t>A </w:t>
      </w:r>
      <w:r>
        <w:rPr>
          <w:rFonts w:ascii="宋体" w:hAnsi="宋体" w:cs="宋体" w:eastAsia="宋体" w:hint="default"/>
          <w:sz w:val="21"/>
          <w:szCs w:val="21"/>
        </w:rPr>
        <w:t>发起人境内法人股 </w:t>
      </w:r>
      <w:r>
        <w:rPr>
          <w:rFonts w:ascii="Times New Roman" w:hAnsi="Times New Roman" w:cs="Times New Roman" w:eastAsia="Times New Roman" w:hint="default"/>
          <w:spacing w:val="-1"/>
          <w:sz w:val="21"/>
          <w:szCs w:val="21"/>
        </w:rPr>
        <w:t>10,000,000</w:t>
      </w:r>
      <w:r>
        <w:rPr>
          <w:rFonts w:ascii="Times New Roman" w:hAnsi="Times New Roman" w:cs="Times New Roman" w:eastAsia="Times New Roman" w:hint="default"/>
          <w:sz w:val="21"/>
          <w:szCs w:val="21"/>
        </w:rPr>
        <w:t> </w:t>
      </w:r>
      <w:r>
        <w:rPr>
          <w:rFonts w:ascii="宋体" w:hAnsi="宋体" w:cs="宋体" w:eastAsia="宋体" w:hint="default"/>
          <w:sz w:val="21"/>
          <w:szCs w:val="21"/>
        </w:rPr>
        <w:t>股（占公司总股本</w:t>
      </w:r>
      <w:r>
        <w:rPr>
          <w:rFonts w:ascii="宋体" w:hAnsi="宋体" w:cs="宋体" w:eastAsia="宋体" w:hint="default"/>
          <w:spacing w:val="-73"/>
          <w:sz w:val="21"/>
          <w:szCs w:val="21"/>
        </w:rPr>
        <w:t> </w:t>
      </w:r>
      <w:r>
        <w:rPr>
          <w:rFonts w:ascii="Times New Roman" w:hAnsi="Times New Roman" w:cs="Times New Roman" w:eastAsia="Times New Roman" w:hint="default"/>
          <w:spacing w:val="-12"/>
          <w:sz w:val="21"/>
          <w:szCs w:val="21"/>
        </w:rPr>
        <w:t>11.05%</w:t>
      </w:r>
      <w:r>
        <w:rPr>
          <w:rFonts w:ascii="宋体" w:hAnsi="宋体" w:cs="宋体" w:eastAsia="宋体" w:hint="default"/>
          <w:spacing w:val="-12"/>
          <w:sz w:val="21"/>
          <w:szCs w:val="21"/>
        </w:rPr>
        <w:t>），因债</w:t>
      </w:r>
      <w:r>
        <w:rPr>
          <w:rFonts w:ascii="宋体" w:hAnsi="宋体" w:cs="宋体" w:eastAsia="宋体" w:hint="default"/>
          <w:sz w:val="21"/>
          <w:szCs w:val="21"/>
        </w:rPr>
        <w:t> 务纠纷被深圳市中级人民法院在中国证券登记结算有限责任公司深圳分公司冻结，冻结期限自 </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12</w:t>
      </w:r>
    </w:p>
    <w:p>
      <w:pPr>
        <w:spacing w:before="22"/>
        <w:ind w:left="154"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日，该部分股份又被南京市中级人民法院轮侯司法冻结。</w:t>
      </w:r>
    </w:p>
    <w:p>
      <w:pPr>
        <w:spacing w:line="240" w:lineRule="auto" w:before="10"/>
        <w:rPr>
          <w:rFonts w:ascii="宋体" w:hAnsi="宋体" w:cs="宋体" w:eastAsia="宋体" w:hint="default"/>
          <w:sz w:val="17"/>
          <w:szCs w:val="17"/>
        </w:rPr>
      </w:pPr>
    </w:p>
    <w:p>
      <w:pPr>
        <w:pStyle w:val="BodyText"/>
        <w:spacing w:line="240" w:lineRule="auto" w:before="0"/>
        <w:ind w:left="694" w:right="115"/>
        <w:jc w:val="left"/>
      </w:pPr>
      <w:r>
        <w:rPr>
          <w:rFonts w:ascii="Times New Roman" w:hAnsi="Times New Roman" w:cs="Times New Roman" w:eastAsia="Times New Roman" w:hint="default"/>
        </w:rPr>
        <w:t>3</w:t>
      </w:r>
      <w:r>
        <w:rPr/>
        <w:t>、控股股东及实际控制人情况介绍</w:t>
      </w:r>
    </w:p>
    <w:p>
      <w:pPr>
        <w:spacing w:line="240" w:lineRule="auto" w:before="7"/>
        <w:rPr>
          <w:rFonts w:ascii="宋体" w:hAnsi="宋体" w:cs="宋体" w:eastAsia="宋体" w:hint="default"/>
          <w:sz w:val="19"/>
          <w:szCs w:val="19"/>
        </w:rPr>
      </w:pPr>
    </w:p>
    <w:p>
      <w:pPr>
        <w:pStyle w:val="BodyText"/>
        <w:spacing w:line="424" w:lineRule="auto" w:before="0"/>
        <w:ind w:left="693" w:right="115"/>
        <w:jc w:val="left"/>
      </w:pPr>
      <w:r>
        <w:rPr/>
        <w:t>（</w:t>
      </w:r>
      <w:r>
        <w:rPr>
          <w:rFonts w:ascii="Times New Roman" w:hAnsi="Times New Roman" w:cs="Times New Roman" w:eastAsia="Times New Roman" w:hint="default"/>
        </w:rPr>
        <w:t>1</w:t>
      </w:r>
      <w:r>
        <w:rPr/>
        <w:t>）公司控股股东基本情况 </w:t>
      </w:r>
      <w:r>
        <w:rPr>
          <w:spacing w:val="-10"/>
        </w:rPr>
        <w:t>公司控股股东为青岛亚星实业有限公司（以下简称“亚星实业”）。亚星实业法定代表人：</w:t>
      </w:r>
    </w:p>
    <w:p>
      <w:pPr>
        <w:pStyle w:val="BodyText"/>
        <w:spacing w:line="300" w:lineRule="exact" w:before="0"/>
        <w:ind w:right="0"/>
        <w:jc w:val="both"/>
      </w:pPr>
      <w:r>
        <w:rPr/>
        <w:t>姜剑；成立日期：</w:t>
      </w:r>
      <w:r>
        <w:rPr>
          <w:rFonts w:ascii="Times New Roman" w:hAnsi="Times New Roman" w:cs="Times New Roman" w:eastAsia="Times New Roman" w:hint="default"/>
        </w:rPr>
        <w:t>1994</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日；注册资本：</w:t>
      </w:r>
      <w:r>
        <w:rPr>
          <w:rFonts w:ascii="Times New Roman" w:hAnsi="Times New Roman" w:cs="Times New Roman" w:eastAsia="Times New Roman" w:hint="default"/>
        </w:rPr>
        <w:t>16000</w:t>
      </w:r>
      <w:r>
        <w:rPr>
          <w:rFonts w:ascii="Times New Roman" w:hAnsi="Times New Roman" w:cs="Times New Roman" w:eastAsia="Times New Roman" w:hint="default"/>
          <w:spacing w:val="6"/>
        </w:rPr>
        <w:t> </w:t>
      </w:r>
      <w:r>
        <w:rPr/>
        <w:t>万元；注册地址：青岛市市南区东海</w:t>
      </w:r>
    </w:p>
    <w:p>
      <w:pPr>
        <w:pStyle w:val="BodyText"/>
        <w:spacing w:line="350" w:lineRule="auto" w:before="134"/>
        <w:ind w:right="308"/>
        <w:jc w:val="both"/>
      </w:pPr>
      <w:r>
        <w:rPr/>
        <w:t>西路</w:t>
      </w:r>
      <w:r>
        <w:rPr>
          <w:spacing w:val="-54"/>
        </w:rPr>
        <w:t> </w:t>
      </w:r>
      <w:r>
        <w:rPr>
          <w:rFonts w:ascii="Times New Roman" w:hAnsi="Times New Roman" w:cs="Times New Roman" w:eastAsia="Times New Roman" w:hint="default"/>
        </w:rPr>
        <w:t>43</w:t>
      </w:r>
      <w:r>
        <w:rPr>
          <w:rFonts w:ascii="Times New Roman" w:hAnsi="Times New Roman" w:cs="Times New Roman" w:eastAsia="Times New Roman" w:hint="default"/>
          <w:spacing w:val="6"/>
        </w:rPr>
        <w:t> </w:t>
      </w:r>
      <w:r>
        <w:rPr/>
        <w:t>号凯旋大厦东塔</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spacing w:val="-8"/>
        </w:rPr>
        <w:t>楼；经营范围为批发、零售：金属材料（不含贵重金属），建筑装</w:t>
      </w:r>
      <w:r>
        <w:rPr/>
        <w:t> </w:t>
      </w:r>
      <w:r>
        <w:rPr>
          <w:spacing w:val="-6"/>
        </w:rPr>
        <w:t>饰材料，机电产品，汽车（不含小轿车），摩托车，木材，化工产品（不含危险品），五金交</w:t>
      </w:r>
      <w:r>
        <w:rPr>
          <w:spacing w:val="-97"/>
        </w:rPr>
        <w:t> </w:t>
      </w:r>
      <w:r>
        <w:rPr>
          <w:spacing w:val="-97"/>
        </w:rPr>
      </w:r>
      <w:r>
        <w:rPr/>
        <w:t>电，办公自动化设备，百货；电子产品及机械配套产品、包装容器开发、生产；劳务服务；</w:t>
      </w:r>
      <w:r>
        <w:rPr>
          <w:spacing w:val="-83"/>
        </w:rPr>
        <w:t> </w:t>
      </w:r>
      <w:r>
        <w:rPr>
          <w:spacing w:val="-83"/>
        </w:rPr>
      </w:r>
      <w:r>
        <w:rPr>
          <w:spacing w:val="-4"/>
        </w:rPr>
        <w:t>房地产开发、经营（以上范围需要经营许可证的，须凭许可证经营）。</w:t>
      </w:r>
    </w:p>
    <w:p>
      <w:pPr>
        <w:pStyle w:val="BodyText"/>
        <w:spacing w:line="240" w:lineRule="auto" w:before="162"/>
        <w:ind w:left="694" w:right="115"/>
        <w:jc w:val="left"/>
      </w:pPr>
      <w:r>
        <w:rPr/>
        <w:t>（</w:t>
      </w:r>
      <w:r>
        <w:rPr>
          <w:rFonts w:ascii="Times New Roman" w:hAnsi="Times New Roman" w:cs="Times New Roman" w:eastAsia="Times New Roman" w:hint="default"/>
        </w:rPr>
        <w:t>2</w:t>
      </w:r>
      <w:r>
        <w:rPr/>
        <w:t>）实际控制人的基本情况</w:t>
      </w:r>
    </w:p>
    <w:p>
      <w:pPr>
        <w:spacing w:line="240" w:lineRule="auto" w:before="6"/>
        <w:rPr>
          <w:rFonts w:ascii="宋体" w:hAnsi="宋体" w:cs="宋体" w:eastAsia="宋体" w:hint="default"/>
          <w:sz w:val="19"/>
          <w:szCs w:val="19"/>
        </w:rPr>
      </w:pPr>
    </w:p>
    <w:p>
      <w:pPr>
        <w:pStyle w:val="BodyText"/>
        <w:spacing w:line="348" w:lineRule="auto" w:before="0"/>
        <w:ind w:right="308" w:firstLine="540"/>
        <w:jc w:val="both"/>
      </w:pPr>
      <w:r>
        <w:rPr/>
        <w:t>公司实际控制人为姜剑先生，中国国籍，</w:t>
      </w:r>
      <w:r>
        <w:rPr>
          <w:rFonts w:ascii="Times New Roman" w:hAnsi="Times New Roman" w:cs="Times New Roman" w:eastAsia="Times New Roman" w:hint="default"/>
        </w:rPr>
        <w:t>1967 </w:t>
      </w:r>
      <w:r>
        <w:rPr/>
        <w:t>年出生，硕士学位，经济师。</w:t>
      </w:r>
      <w:r>
        <w:rPr>
          <w:rFonts w:ascii="Times New Roman" w:hAnsi="Times New Roman" w:cs="Times New Roman" w:eastAsia="Times New Roman" w:hint="default"/>
        </w:rPr>
        <w:t>1994</w:t>
      </w:r>
      <w:r>
        <w:rPr>
          <w:rFonts w:ascii="Times New Roman" w:hAnsi="Times New Roman" w:cs="Times New Roman" w:eastAsia="Times New Roman" w:hint="default"/>
          <w:spacing w:val="38"/>
        </w:rPr>
        <w:t> </w:t>
      </w:r>
      <w:r>
        <w:rPr/>
        <w:t>年至 今担任青岛亚星实业有限公司董事长、总裁，青岛市第十三届人大代表。未取得其他国家或</w:t>
      </w:r>
      <w:r>
        <w:rPr>
          <w:spacing w:val="-83"/>
        </w:rPr>
        <w:t> </w:t>
      </w:r>
      <w:r>
        <w:rPr>
          <w:spacing w:val="-83"/>
        </w:rPr>
      </w:r>
      <w:r>
        <w:rPr/>
        <w:t>地区居留权，最近五年内职业：企业投资、经营、管理。</w:t>
      </w:r>
    </w:p>
    <w:p>
      <w:pPr>
        <w:pStyle w:val="BodyText"/>
        <w:spacing w:line="240" w:lineRule="auto" w:before="164"/>
        <w:ind w:left="694" w:right="115"/>
        <w:jc w:val="left"/>
      </w:pPr>
      <w:r>
        <w:rPr>
          <w:rFonts w:ascii="Times New Roman" w:hAnsi="Times New Roman" w:cs="Times New Roman" w:eastAsia="Times New Roman" w:hint="default"/>
        </w:rPr>
        <w:t>4</w:t>
      </w:r>
      <w:r>
        <w:rPr/>
        <w:t>、控股股东及实际控制人变更情况</w:t>
      </w:r>
    </w:p>
    <w:p>
      <w:pPr>
        <w:spacing w:line="240" w:lineRule="auto" w:before="6"/>
        <w:rPr>
          <w:rFonts w:ascii="宋体" w:hAnsi="宋体" w:cs="宋体" w:eastAsia="宋体" w:hint="default"/>
          <w:sz w:val="19"/>
          <w:szCs w:val="19"/>
        </w:rPr>
      </w:pPr>
    </w:p>
    <w:p>
      <w:pPr>
        <w:pStyle w:val="BodyText"/>
        <w:spacing w:line="240" w:lineRule="auto" w:before="0"/>
        <w:ind w:left="694" w:right="115"/>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日，公司</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年第一次临时股东大会进行了董事会和监事会的换届选</w:t>
      </w:r>
    </w:p>
    <w:p>
      <w:pPr>
        <w:pStyle w:val="BodyText"/>
        <w:spacing w:line="240" w:lineRule="auto" w:before="134"/>
        <w:ind w:right="0"/>
        <w:jc w:val="both"/>
      </w:pPr>
      <w:r>
        <w:rPr/>
        <w:t>举</w:t>
      </w:r>
      <w:r>
        <w:rPr>
          <w:spacing w:val="-21"/>
        </w:rPr>
        <w:t>，</w:t>
      </w:r>
      <w:r>
        <w:rPr/>
        <w:t>潜在控股股东青岛亚星实业有限公</w:t>
      </w:r>
      <w:r>
        <w:rPr>
          <w:spacing w:val="-21"/>
        </w:rPr>
        <w:t>司</w:t>
      </w:r>
      <w:r>
        <w:rPr/>
        <w:t>（以下简</w:t>
      </w:r>
      <w:r>
        <w:rPr>
          <w:spacing w:val="-21"/>
        </w:rPr>
        <w:t>称</w:t>
      </w:r>
      <w:r>
        <w:rPr/>
        <w:t>“亚星实业</w:t>
      </w:r>
      <w:r>
        <w:rPr>
          <w:spacing w:val="-120"/>
        </w:rPr>
        <w:t>”</w:t>
      </w:r>
      <w:r>
        <w:rPr>
          <w:spacing w:val="-21"/>
        </w:rPr>
        <w:t>）</w:t>
      </w:r>
      <w:r>
        <w:rPr/>
        <w:t>推荐的</w:t>
      </w:r>
      <w:r>
        <w:rPr>
          <w:spacing w:val="-60"/>
        </w:rPr>
        <w:t> </w:t>
      </w:r>
      <w:r>
        <w:rPr>
          <w:rFonts w:ascii="Times New Roman" w:hAnsi="Times New Roman" w:cs="Times New Roman" w:eastAsia="Times New Roman" w:hint="default"/>
        </w:rPr>
        <w:t>2 </w:t>
      </w:r>
      <w:r>
        <w:rPr/>
        <w:t>名非独立董事许</w:t>
      </w:r>
    </w:p>
    <w:p>
      <w:pPr>
        <w:pStyle w:val="BodyText"/>
        <w:spacing w:line="240" w:lineRule="auto" w:before="134"/>
        <w:ind w:right="0"/>
        <w:jc w:val="both"/>
      </w:pPr>
      <w:r>
        <w:rPr/>
        <w:t>亚楠、张庆文和</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名监事王立军、张国华当选。</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日，亚星实业推举的董事许</w:t>
      </w:r>
    </w:p>
    <w:p>
      <w:pPr>
        <w:spacing w:after="0" w:line="240" w:lineRule="auto"/>
        <w:jc w:val="both"/>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40" w:lineRule="auto" w:before="26"/>
        <w:ind w:left="153" w:right="93"/>
        <w:jc w:val="left"/>
      </w:pPr>
      <w:r>
        <w:rPr>
          <w:spacing w:val="-2"/>
        </w:rPr>
        <w:t>亚楠当选了公司第七届董事会董事长，亚星实业推举的监事王立军当选了公司的监事会主席。</w:t>
      </w:r>
      <w:r>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日，公司召开了</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年第二次临时股东大会，亚星实业推荐的非独立董事孙 登义当选。公司董事会</w:t>
      </w:r>
      <w:r>
        <w:rPr>
          <w:spacing w:val="-60"/>
        </w:rPr>
        <w:t> </w:t>
      </w:r>
      <w:r>
        <w:rPr>
          <w:rFonts w:ascii="Times New Roman" w:hAnsi="Times New Roman" w:cs="Times New Roman" w:eastAsia="Times New Roman" w:hint="default"/>
        </w:rPr>
        <w:t>7 </w:t>
      </w:r>
      <w:r>
        <w:rPr>
          <w:spacing w:val="-4"/>
        </w:rPr>
        <w:t>名董事（</w:t>
      </w:r>
      <w:r>
        <w:rPr>
          <w:rFonts w:ascii="Times New Roman" w:hAnsi="Times New Roman" w:cs="Times New Roman" w:eastAsia="Times New Roman" w:hint="default"/>
          <w:spacing w:val="-4"/>
        </w:rPr>
        <w:t>3</w:t>
      </w:r>
      <w:r>
        <w:rPr>
          <w:rFonts w:ascii="Times New Roman" w:hAnsi="Times New Roman" w:cs="Times New Roman" w:eastAsia="Times New Roman" w:hint="default"/>
        </w:rPr>
        <w:t> </w:t>
      </w:r>
      <w:r>
        <w:rPr>
          <w:spacing w:val="-3"/>
        </w:rPr>
        <w:t>名独立董事、</w:t>
      </w:r>
      <w:r>
        <w:rPr>
          <w:rFonts w:ascii="Times New Roman" w:hAnsi="Times New Roman" w:cs="Times New Roman" w:eastAsia="Times New Roman" w:hint="default"/>
          <w:spacing w:val="-3"/>
        </w:rPr>
        <w:t>4</w:t>
      </w:r>
      <w:r>
        <w:rPr>
          <w:rFonts w:ascii="Times New Roman" w:hAnsi="Times New Roman" w:cs="Times New Roman" w:eastAsia="Times New Roman" w:hint="default"/>
        </w:rPr>
        <w:t> </w:t>
      </w:r>
      <w:r>
        <w:rPr>
          <w:spacing w:val="-3"/>
        </w:rPr>
        <w:t>名非独立董事）中，亚星实业推荐了</w:t>
      </w:r>
      <w:r>
        <w:rPr>
          <w:spacing w:val="-60"/>
        </w:rPr>
        <w:t> </w:t>
      </w:r>
      <w:r>
        <w:rPr>
          <w:rFonts w:ascii="Times New Roman" w:hAnsi="Times New Roman" w:cs="Times New Roman" w:eastAsia="Times New Roman" w:hint="default"/>
        </w:rPr>
        <w:t>3 </w:t>
      </w:r>
      <w:r>
        <w:rPr/>
        <w:t>名 </w:t>
      </w:r>
      <w:r>
        <w:rPr>
          <w:spacing w:val="-6"/>
        </w:rPr>
        <w:t>非独立董事许亚楠、张庆文、孙登义。公司 </w:t>
      </w:r>
      <w:r>
        <w:rPr>
          <w:rFonts w:ascii="Times New Roman" w:hAnsi="Times New Roman" w:cs="Times New Roman" w:eastAsia="Times New Roman" w:hint="default"/>
        </w:rPr>
        <w:t>3 </w:t>
      </w:r>
      <w:r>
        <w:rPr>
          <w:spacing w:val="-7"/>
        </w:rPr>
        <w:t>名监事（</w:t>
      </w:r>
      <w:r>
        <w:rPr>
          <w:rFonts w:ascii="Times New Roman" w:hAnsi="Times New Roman" w:cs="Times New Roman" w:eastAsia="Times New Roman" w:hint="default"/>
          <w:spacing w:val="-7"/>
        </w:rPr>
        <w:t>2 </w:t>
      </w:r>
      <w:r>
        <w:rPr>
          <w:spacing w:val="-4"/>
        </w:rPr>
        <w:t>名股东代表监事、</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7"/>
        </w:rPr>
        <w:t> </w:t>
      </w:r>
      <w:r>
        <w:rPr>
          <w:spacing w:val="-5"/>
        </w:rPr>
        <w:t>名职工监事）中，</w:t>
      </w:r>
      <w:r>
        <w:rPr/>
        <w:t> 亚星实业推荐了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名股东代表监事王立军、张国华。至此，亚星实业实现了对公司的实际控 制。</w:t>
      </w:r>
    </w:p>
    <w:p>
      <w:pPr>
        <w:pStyle w:val="BodyText"/>
        <w:spacing w:line="240" w:lineRule="auto" w:before="172"/>
        <w:ind w:left="693" w:right="93"/>
        <w:jc w:val="left"/>
      </w:pPr>
      <w:r>
        <w:rPr/>
        <w:t>由于亚星实业的实际控制人为姜剑先生，公司的实际控制人由北京新奥特集团有限公司</w:t>
      </w:r>
    </w:p>
    <w:p>
      <w:pPr>
        <w:pStyle w:val="BodyText"/>
        <w:spacing w:line="448" w:lineRule="auto" w:before="152"/>
        <w:ind w:left="693" w:right="3004" w:hanging="540"/>
        <w:jc w:val="left"/>
        <w:rPr>
          <w:rFonts w:ascii="Times New Roman" w:hAnsi="Times New Roman" w:cs="Times New Roman" w:eastAsia="Times New Roman" w:hint="default"/>
        </w:rPr>
      </w:pPr>
      <w:r>
        <w:rPr/>
        <w:t>（方正延中传媒有限公司的实际控制人）变更为姜剑先生。 公司与控股股东、实际控制人之间的产权及控制关系如下图</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tabs>
          <w:tab w:pos="5726" w:val="left" w:leader="none"/>
        </w:tabs>
        <w:spacing w:line="1484" w:lineRule="exact"/>
        <w:ind w:left="1046" w:right="0" w:firstLine="0"/>
        <w:rPr>
          <w:rFonts w:ascii="Times New Roman" w:hAnsi="Times New Roman" w:cs="Times New Roman" w:eastAsia="Times New Roman" w:hint="default"/>
          <w:sz w:val="20"/>
          <w:szCs w:val="20"/>
        </w:rPr>
      </w:pPr>
      <w:r>
        <w:rPr>
          <w:rFonts w:ascii="Times New Roman"/>
          <w:position w:val="-29"/>
          <w:sz w:val="20"/>
        </w:rPr>
        <w:pict>
          <v:group style="width:153.75pt;height:74.25pt;mso-position-horizontal-relative:char;mso-position-vertical-relative:line" coordorigin="0,0" coordsize="3075,1485">
            <v:group style="position:absolute;left:8;top:8;width:1440;height:570" coordorigin="8,8" coordsize="1440,570">
              <v:shape style="position:absolute;left:8;top:8;width:1440;height:570" coordorigin="8,8" coordsize="1440,570" path="m1448,8l8,8,8,578,1448,578,1448,8xe" filled="false" stroked="true" strokeweight=".75pt" strokecolor="#000000">
                <v:path arrowok="t"/>
              </v:shape>
            </v:group>
            <v:group style="position:absolute;left:682;top:593;width:2;height:534" coordorigin="682,593" coordsize="2,534">
              <v:shape style="position:absolute;left:682;top:593;width:2;height:534" coordorigin="682,593" coordsize="0,534" path="m682,593l682,1127e" filled="false" stroked="true" strokeweight=".75pt" strokecolor="#000000">
                <v:path arrowok="t"/>
              </v:shape>
            </v:group>
            <v:group style="position:absolute;left:1628;top:8;width:1440;height:570" coordorigin="1628,8" coordsize="1440,570">
              <v:shape style="position:absolute;left:1628;top:8;width:1440;height:570" coordorigin="1628,8" coordsize="1440,570" path="m3068,8l1628,8,1628,578,3068,578,3068,8xe" filled="false" stroked="true" strokeweight=".75pt" strokecolor="#000000">
                <v:path arrowok="t"/>
              </v:shape>
            </v:group>
            <v:group style="position:absolute;left:2348;top:587;width:2;height:534" coordorigin="2348,587" coordsize="2,534">
              <v:shape style="position:absolute;left:2348;top:587;width:2;height:534" coordorigin="2348,587" coordsize="0,534" path="m2348,587l2348,1121e" filled="false" stroked="true" strokeweight=".75pt" strokecolor="#000000">
                <v:path arrowok="t"/>
              </v:shape>
            </v:group>
            <v:group style="position:absolute;left:682;top:1132;width:1666;height:2" coordorigin="682,1132" coordsize="1666,2">
              <v:shape style="position:absolute;left:682;top:1132;width:1666;height:2" coordorigin="682,1132" coordsize="1666,0" path="m682,1132l2348,1132e" filled="false" stroked="true" strokeweight=".75pt" strokecolor="#000000">
                <v:path arrowok="t"/>
              </v:shape>
              <v:shape style="position:absolute;left:1388;top:1155;width:120;height:330" type="#_x0000_t75" stroked="false">
                <v:imagedata r:id="rId10" o:title=""/>
              </v:shape>
              <v:shape style="position:absolute;left:8;top:8;width:1440;height:570" type="#_x0000_t202" filled="false" stroked="false">
                <v:textbox inset="0,0,0,0">
                  <w:txbxContent>
                    <w:p>
                      <w:pPr>
                        <w:spacing w:before="79"/>
                        <w:ind w:left="0" w:right="0" w:firstLine="0"/>
                        <w:jc w:val="center"/>
                        <w:rPr>
                          <w:rFonts w:ascii="宋体" w:hAnsi="宋体" w:cs="宋体" w:eastAsia="宋体" w:hint="default"/>
                          <w:sz w:val="23"/>
                          <w:szCs w:val="23"/>
                        </w:rPr>
                      </w:pPr>
                      <w:r>
                        <w:rPr>
                          <w:rFonts w:ascii="宋体" w:hAnsi="宋体" w:cs="宋体" w:eastAsia="宋体" w:hint="default"/>
                          <w:sz w:val="23"/>
                          <w:szCs w:val="23"/>
                        </w:rPr>
                        <w:t>姜剑</w:t>
                      </w:r>
                    </w:p>
                  </w:txbxContent>
                </v:textbox>
                <w10:wrap type="none"/>
              </v:shape>
              <v:shape style="position:absolute;left:1628;top:8;width:1440;height:570" type="#_x0000_t202" filled="false" stroked="false">
                <v:textbox inset="0,0,0,0">
                  <w:txbxContent>
                    <w:p>
                      <w:pPr>
                        <w:spacing w:before="79"/>
                        <w:ind w:left="374" w:right="0" w:firstLine="0"/>
                        <w:jc w:val="left"/>
                        <w:rPr>
                          <w:rFonts w:ascii="宋体" w:hAnsi="宋体" w:cs="宋体" w:eastAsia="宋体" w:hint="default"/>
                          <w:sz w:val="23"/>
                          <w:szCs w:val="23"/>
                        </w:rPr>
                      </w:pPr>
                      <w:r>
                        <w:rPr>
                          <w:rFonts w:ascii="宋体" w:hAnsi="宋体" w:cs="宋体" w:eastAsia="宋体" w:hint="default"/>
                          <w:sz w:val="23"/>
                          <w:szCs w:val="23"/>
                        </w:rPr>
                        <w:t>朱兰英</w:t>
                      </w:r>
                    </w:p>
                  </w:txbxContent>
                </v:textbox>
                <w10:wrap type="none"/>
              </v:shape>
              <v:shape style="position:absolute;left:53;top:738;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50.89%</w:t>
                      </w:r>
                    </w:p>
                  </w:txbxContent>
                </v:textbox>
                <w10:wrap type="none"/>
              </v:shape>
              <v:shape style="position:absolute;left:2362;top:738;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49.11%</w:t>
                      </w:r>
                    </w:p>
                  </w:txbxContent>
                </v:textbox>
                <w10:wrap type="none"/>
              </v:shape>
            </v:group>
          </v:group>
        </w:pict>
      </w:r>
      <w:r>
        <w:rPr>
          <w:rFonts w:ascii="Times New Roman"/>
          <w:position w:val="-29"/>
          <w:sz w:val="20"/>
        </w:rPr>
      </w:r>
      <w:r>
        <w:rPr>
          <w:rFonts w:ascii="Times New Roman"/>
          <w:position w:val="-29"/>
          <w:sz w:val="20"/>
        </w:rPr>
        <w:tab/>
      </w:r>
      <w:r>
        <w:rPr>
          <w:rFonts w:ascii="Times New Roman"/>
          <w:position w:val="-27"/>
          <w:sz w:val="20"/>
        </w:rPr>
        <w:pict>
          <v:group style="width:153.75pt;height:73.4pt;mso-position-horizontal-relative:char;mso-position-vertical-relative:line" coordorigin="0,0" coordsize="3075,1468">
            <v:group style="position:absolute;left:8;top:8;width:1440;height:570" coordorigin="8,8" coordsize="1440,570">
              <v:shape style="position:absolute;left:8;top:8;width:1440;height:570" coordorigin="8,8" coordsize="1440,570" path="m1448,8l8,8,8,578,1448,578,1448,8xe" filled="false" stroked="true" strokeweight=".75pt" strokecolor="#000000">
                <v:path arrowok="t"/>
              </v:shape>
            </v:group>
            <v:group style="position:absolute;left:682;top:599;width:2;height:534" coordorigin="682,599" coordsize="2,534">
              <v:shape style="position:absolute;left:682;top:599;width:2;height:534" coordorigin="682,599" coordsize="0,534" path="m682,599l682,1133e" filled="false" stroked="true" strokeweight=".75pt" strokecolor="#000000">
                <v:path arrowok="t"/>
              </v:shape>
            </v:group>
            <v:group style="position:absolute;left:1628;top:8;width:1440;height:570" coordorigin="1628,8" coordsize="1440,570">
              <v:shape style="position:absolute;left:1628;top:8;width:1440;height:570" coordorigin="1628,8" coordsize="1440,570" path="m3068,8l1628,8,1628,578,3068,578,3068,8xe" filled="false" stroked="true" strokeweight=".75pt" strokecolor="#000000">
                <v:path arrowok="t"/>
              </v:shape>
            </v:group>
            <v:group style="position:absolute;left:2348;top:593;width:2;height:534" coordorigin="2348,593" coordsize="2,534">
              <v:shape style="position:absolute;left:2348;top:593;width:2;height:534" coordorigin="2348,593" coordsize="0,534" path="m2348,593l2348,1127e" filled="false" stroked="true" strokeweight=".75pt" strokecolor="#000000">
                <v:path arrowok="t"/>
              </v:shape>
            </v:group>
            <v:group style="position:absolute;left:682;top:1153;width:1666;height:2" coordorigin="682,1153" coordsize="1666,2">
              <v:shape style="position:absolute;left:682;top:1153;width:1666;height:2" coordorigin="682,1153" coordsize="1666,0" path="m682,1153l2348,1153e" filled="false" stroked="true" strokeweight=".75pt" strokecolor="#000000">
                <v:path arrowok="t"/>
              </v:shape>
              <v:shape style="position:absolute;left:1388;top:1138;width:120;height:330" type="#_x0000_t75" stroked="false">
                <v:imagedata r:id="rId10" o:title=""/>
              </v:shape>
              <v:shape style="position:absolute;left:8;top:8;width:1440;height:570" type="#_x0000_t202" filled="false" stroked="false">
                <v:textbox inset="0,0,0,0">
                  <w:txbxContent>
                    <w:p>
                      <w:pPr>
                        <w:spacing w:before="79"/>
                        <w:ind w:left="0" w:right="0" w:firstLine="0"/>
                        <w:jc w:val="center"/>
                        <w:rPr>
                          <w:rFonts w:ascii="宋体" w:hAnsi="宋体" w:cs="宋体" w:eastAsia="宋体" w:hint="default"/>
                          <w:sz w:val="23"/>
                          <w:szCs w:val="23"/>
                        </w:rPr>
                      </w:pPr>
                      <w:r>
                        <w:rPr>
                          <w:rFonts w:ascii="宋体" w:hAnsi="宋体" w:cs="宋体" w:eastAsia="宋体" w:hint="default"/>
                          <w:sz w:val="23"/>
                          <w:szCs w:val="23"/>
                        </w:rPr>
                        <w:t>姜剑</w:t>
                      </w:r>
                    </w:p>
                  </w:txbxContent>
                </v:textbox>
                <w10:wrap type="none"/>
              </v:shape>
              <v:shape style="position:absolute;left:1628;top:8;width:1440;height:570" type="#_x0000_t202" filled="false" stroked="false">
                <v:textbox inset="0,0,0,0">
                  <w:txbxContent>
                    <w:p>
                      <w:pPr>
                        <w:spacing w:before="79"/>
                        <w:ind w:left="374" w:right="0" w:firstLine="0"/>
                        <w:jc w:val="left"/>
                        <w:rPr>
                          <w:rFonts w:ascii="宋体" w:hAnsi="宋体" w:cs="宋体" w:eastAsia="宋体" w:hint="default"/>
                          <w:sz w:val="23"/>
                          <w:szCs w:val="23"/>
                        </w:rPr>
                      </w:pPr>
                      <w:r>
                        <w:rPr>
                          <w:rFonts w:ascii="宋体" w:hAnsi="宋体" w:cs="宋体" w:eastAsia="宋体" w:hint="default"/>
                          <w:sz w:val="23"/>
                          <w:szCs w:val="23"/>
                        </w:rPr>
                        <w:t>朱兰英</w:t>
                      </w:r>
                    </w:p>
                  </w:txbxContent>
                </v:textbox>
                <w10:wrap type="none"/>
              </v:shape>
              <v:shape style="position:absolute;left:305;top:738;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90%</w:t>
                      </w:r>
                    </w:p>
                  </w:txbxContent>
                </v:textbox>
                <w10:wrap type="none"/>
              </v:shape>
              <v:shape style="position:absolute;left:2404;top:738;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10%</w:t>
                      </w:r>
                    </w:p>
                  </w:txbxContent>
                </v:textbox>
                <w10:wrap type="none"/>
              </v:shape>
            </v:group>
          </v:group>
        </w:pict>
      </w:r>
      <w:r>
        <w:rPr>
          <w:rFonts w:ascii="Times New Roman"/>
          <w:position w:val="-27"/>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tabs>
          <w:tab w:pos="7173" w:val="left" w:leader="none"/>
        </w:tabs>
        <w:spacing w:before="73"/>
        <w:ind w:left="2493" w:right="0" w:firstLine="0"/>
        <w:jc w:val="left"/>
        <w:rPr>
          <w:rFonts w:ascii="Times New Roman" w:hAnsi="Times New Roman" w:cs="Times New Roman" w:eastAsia="Times New Roman" w:hint="default"/>
          <w:sz w:val="21"/>
          <w:szCs w:val="21"/>
        </w:rPr>
      </w:pPr>
      <w:r>
        <w:rPr/>
        <w:pict>
          <v:shape style="position:absolute;margin-left:101.324997pt;margin-top:-41.997173pt;width:154.15pt;height:56.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620"/>
                  </w:tblGrid>
                  <w:tr>
                    <w:trPr>
                      <w:trHeight w:val="569" w:hRule="exact"/>
                    </w:trPr>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42" w:right="0"/>
                          <w:jc w:val="left"/>
                          <w:rPr>
                            <w:rFonts w:ascii="宋体" w:hAnsi="宋体" w:cs="宋体" w:eastAsia="宋体" w:hint="default"/>
                            <w:sz w:val="23"/>
                            <w:szCs w:val="23"/>
                          </w:rPr>
                        </w:pPr>
                        <w:r>
                          <w:rPr>
                            <w:rFonts w:ascii="宋体" w:hAnsi="宋体" w:cs="宋体" w:eastAsia="宋体" w:hint="default"/>
                            <w:sz w:val="23"/>
                            <w:szCs w:val="23"/>
                          </w:rPr>
                          <w:t>北京天和智远投资有限公司</w:t>
                        </w:r>
                      </w:p>
                    </w:tc>
                  </w:tr>
                  <w:tr>
                    <w:trPr>
                      <w:trHeight w:val="550" w:hRule="exact"/>
                    </w:trPr>
                    <w:tc>
                      <w:tcPr>
                        <w:tcW w:w="1440" w:type="dxa"/>
                        <w:tcBorders>
                          <w:top w:val="single" w:sz="6" w:space="0" w:color="000000"/>
                          <w:left w:val="nil" w:sz="6" w:space="0" w:color="auto"/>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80" w:right="0"/>
                          <w:jc w:val="left"/>
                          <w:rPr>
                            <w:rFonts w:ascii="宋体" w:hAnsi="宋体" w:cs="宋体" w:eastAsia="宋体" w:hint="default"/>
                            <w:sz w:val="21"/>
                            <w:szCs w:val="21"/>
                          </w:rPr>
                        </w:pPr>
                        <w:r>
                          <w:rPr>
                            <w:rFonts w:ascii="宋体"/>
                            <w:sz w:val="21"/>
                          </w:rPr>
                          <w:t>84.37%</w:t>
                        </w:r>
                      </w:p>
                    </w:tc>
                    <w:tc>
                      <w:tcPr>
                        <w:tcW w:w="1620"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pict>
          <v:shape style="position:absolute;margin-left:335.325012pt;margin-top:-41.217175pt;width:154.15pt;height:55.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620"/>
                  </w:tblGrid>
                  <w:tr>
                    <w:trPr>
                      <w:trHeight w:val="569" w:hRule="exact"/>
                    </w:trPr>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2" w:right="0"/>
                          <w:jc w:val="left"/>
                          <w:rPr>
                            <w:rFonts w:ascii="宋体" w:hAnsi="宋体" w:cs="宋体" w:eastAsia="宋体" w:hint="default"/>
                            <w:sz w:val="23"/>
                            <w:szCs w:val="23"/>
                          </w:rPr>
                        </w:pPr>
                        <w:r>
                          <w:rPr>
                            <w:rFonts w:ascii="宋体" w:hAnsi="宋体" w:cs="宋体" w:eastAsia="宋体" w:hint="default"/>
                            <w:sz w:val="23"/>
                            <w:szCs w:val="23"/>
                          </w:rPr>
                          <w:t>北京信泽至恒投资有限公司</w:t>
                        </w:r>
                      </w:p>
                    </w:tc>
                  </w:tr>
                  <w:tr>
                    <w:trPr>
                      <w:trHeight w:val="534" w:hRule="exact"/>
                    </w:trPr>
                    <w:tc>
                      <w:tcPr>
                        <w:tcW w:w="1440" w:type="dxa"/>
                        <w:tcBorders>
                          <w:top w:val="single" w:sz="6" w:space="0" w:color="000000"/>
                          <w:left w:val="nil" w:sz="6" w:space="0" w:color="auto"/>
                          <w:bottom w:val="nil" w:sz="6" w:space="0" w:color="auto"/>
                          <w:right w:val="single" w:sz="6" w:space="0" w:color="000000"/>
                        </w:tcBorders>
                      </w:tcPr>
                      <w:p>
                        <w:pPr/>
                      </w:p>
                    </w:tc>
                    <w:tc>
                      <w:tcPr>
                        <w:tcW w:w="1620" w:type="dxa"/>
                        <w:tcBorders>
                          <w:top w:val="single" w:sz="6" w:space="0" w:color="000000"/>
                          <w:left w:val="single" w:sz="6"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sz w:val="21"/>
                          </w:rPr>
                          <w:t>15.63%</w:t>
                        </w:r>
                      </w:p>
                    </w:tc>
                  </w:tr>
                </w:tbl>
                <w:p>
                  <w:pPr/>
                </w:p>
              </w:txbxContent>
            </v:textbox>
            <w10:wrap type="none"/>
          </v:shape>
        </w:pict>
      </w:r>
      <w:r>
        <w:rPr>
          <w:rFonts w:ascii="Times New Roman"/>
          <w:sz w:val="21"/>
        </w:rPr>
      </w:r>
      <w:r>
        <w:rPr>
          <w:rFonts w:ascii="Times New Roman"/>
          <w:sz w:val="21"/>
          <w:u w:val="single" w:color="000000"/>
        </w:rPr>
        <w:t> </w:t>
        <w:tab/>
      </w:r>
      <w:r>
        <w:rPr>
          <w:rFonts w:ascii="Times New Roman"/>
          <w:sz w:val="21"/>
        </w:rPr>
      </w:r>
    </w:p>
    <w:p>
      <w:pPr>
        <w:spacing w:line="330" w:lineRule="exact"/>
        <w:ind w:left="49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6200" cy="2095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76200" cy="209550"/>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line="240" w:lineRule="auto" w:before="0"/>
        <w:rPr>
          <w:rFonts w:ascii="Times New Roman" w:hAnsi="Times New Roman" w:cs="Times New Roman" w:eastAsia="Times New Roman" w:hint="default"/>
          <w:sz w:val="3"/>
          <w:szCs w:val="3"/>
        </w:rPr>
      </w:pPr>
    </w:p>
    <w:p>
      <w:pPr>
        <w:spacing w:line="553" w:lineRule="exact"/>
        <w:ind w:left="32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shape style="width:171pt;height:27.7pt;mso-position-horizontal-relative:char;mso-position-vertical-relative:line" type="#_x0000_t202" filled="false" stroked="true" strokeweight=".75pt" strokecolor="#000000">
            <w10:anchorlock/>
            <v:textbox inset="0,0,0,0">
              <w:txbxContent>
                <w:p>
                  <w:pPr>
                    <w:pStyle w:val="BodyText"/>
                    <w:spacing w:line="240" w:lineRule="auto" w:before="68"/>
                    <w:ind w:left="503" w:right="0"/>
                    <w:jc w:val="left"/>
                  </w:pPr>
                  <w:r>
                    <w:rPr/>
                    <w:t>青岛亚星实业有限公司</w:t>
                  </w:r>
                </w:p>
              </w:txbxContent>
            </v:textbox>
          </v:shape>
        </w:pict>
      </w:r>
      <w:r>
        <w:rPr>
          <w:rFonts w:ascii="Times New Roman" w:hAnsi="Times New Roman" w:cs="Times New Roman" w:eastAsia="Times New Roman" w:hint="default"/>
          <w:position w:val="-10"/>
          <w:sz w:val="20"/>
          <w:szCs w:val="20"/>
        </w:rPr>
      </w:r>
    </w:p>
    <w:p>
      <w:pPr>
        <w:spacing w:before="164"/>
        <w:ind w:left="0" w:right="899" w:firstLine="0"/>
        <w:jc w:val="center"/>
        <w:rPr>
          <w:rFonts w:ascii="宋体" w:hAnsi="宋体" w:cs="宋体" w:eastAsia="宋体" w:hint="default"/>
          <w:sz w:val="21"/>
          <w:szCs w:val="21"/>
        </w:rPr>
      </w:pPr>
      <w:r>
        <w:rPr/>
        <w:pict>
          <v:group style="position:absolute;margin-left:296.700012pt;margin-top:-.648984pt;width:6pt;height:31.6pt;mso-position-horizontal-relative:page;mso-position-vertical-relative:paragraph;z-index:-496264" coordorigin="5934,-13" coordsize="120,632">
            <v:shape style="position:absolute;left:5934;top:-13;width:120;height:632" coordorigin="5934,-13" coordsize="120,632" path="m5987,498l5934,498,5994,618,6040,526,5994,526,5989,525,5987,519,5987,498xe" filled="true" fillcolor="#000000" stroked="false">
              <v:path arrowok="t"/>
              <v:fill type="solid"/>
            </v:shape>
            <v:shape style="position:absolute;left:5934;top:-13;width:120;height:632" coordorigin="5934,-13" coordsize="120,632" path="m5994,-13l5989,-11,5987,-6,5987,519,5989,525,5994,526,5999,525,6001,519,6001,-6,5999,-11,5994,-13xe" filled="true" fillcolor="#000000" stroked="false">
              <v:path arrowok="t"/>
              <v:fill type="solid"/>
            </v:shape>
            <v:shape style="position:absolute;left:5934;top:-13;width:120;height:632" coordorigin="5934,-13" coordsize="120,632" path="m6054,498l6001,498,6001,519,5999,525,5994,526,6040,526,6054,498xe" filled="true" fillcolor="#000000" stroked="false">
              <v:path arrowok="t"/>
              <v:fill type="solid"/>
            </v:shape>
            <w10:wrap type="none"/>
          </v:group>
        </w:pict>
      </w:r>
      <w:r>
        <w:rPr>
          <w:rFonts w:ascii="宋体"/>
          <w:sz w:val="21"/>
        </w:rPr>
        <w:t>17.46%</w:t>
      </w:r>
    </w:p>
    <w:p>
      <w:pPr>
        <w:spacing w:line="240" w:lineRule="auto" w:before="7"/>
        <w:rPr>
          <w:rFonts w:ascii="宋体" w:hAnsi="宋体" w:cs="宋体" w:eastAsia="宋体" w:hint="default"/>
          <w:sz w:val="14"/>
          <w:szCs w:val="14"/>
        </w:rPr>
      </w:pPr>
    </w:p>
    <w:p>
      <w:pPr>
        <w:spacing w:line="553" w:lineRule="exact"/>
        <w:ind w:left="3274"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71pt;height:27.7pt;mso-position-horizontal-relative:char;mso-position-vertical-relative:line" type="#_x0000_t202" filled="false" stroked="true" strokeweight=".75pt" strokecolor="#000000">
            <w10:anchorlock/>
            <v:textbox inset="0,0,0,0">
              <w:txbxContent>
                <w:p>
                  <w:pPr>
                    <w:pStyle w:val="BodyText"/>
                    <w:spacing w:line="240" w:lineRule="auto" w:before="68"/>
                    <w:ind w:left="262" w:right="0"/>
                    <w:jc w:val="left"/>
                  </w:pPr>
                  <w:r>
                    <w:rPr/>
                    <w:t>深圳大通实业股份有限公司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0"/>
        <w:ind w:left="694" w:right="93"/>
        <w:jc w:val="left"/>
      </w:pPr>
      <w:r>
        <w:rPr>
          <w:rFonts w:ascii="Times New Roman" w:hAnsi="Times New Roman" w:cs="Times New Roman" w:eastAsia="Times New Roman" w:hint="default"/>
        </w:rPr>
        <w:t>5</w:t>
      </w:r>
      <w:r>
        <w:rPr/>
        <w:t>、其他持有公司</w:t>
      </w:r>
      <w:r>
        <w:rPr>
          <w:spacing w:val="-60"/>
        </w:rPr>
        <w:t> </w:t>
      </w:r>
      <w:r>
        <w:rPr>
          <w:rFonts w:ascii="Times New Roman" w:hAnsi="Times New Roman" w:cs="Times New Roman" w:eastAsia="Times New Roman" w:hint="default"/>
        </w:rPr>
        <w:t>10%</w:t>
      </w:r>
      <w:r>
        <w:rPr/>
        <w:t>以上股东情况</w:t>
      </w:r>
    </w:p>
    <w:p>
      <w:pPr>
        <w:spacing w:line="240" w:lineRule="auto" w:before="6"/>
        <w:rPr>
          <w:rFonts w:ascii="宋体" w:hAnsi="宋体" w:cs="宋体" w:eastAsia="宋体" w:hint="default"/>
          <w:sz w:val="19"/>
          <w:szCs w:val="19"/>
        </w:rPr>
      </w:pPr>
    </w:p>
    <w:p>
      <w:pPr>
        <w:pStyle w:val="BodyText"/>
        <w:spacing w:line="240" w:lineRule="auto" w:before="0"/>
        <w:ind w:left="694" w:right="93"/>
        <w:jc w:val="left"/>
      </w:pPr>
      <w:r>
        <w:rPr>
          <w:rFonts w:ascii="Times New Roman" w:hAnsi="Times New Roman" w:cs="Times New Roman" w:eastAsia="Times New Roman" w:hint="default"/>
        </w:rPr>
        <w:t>1</w:t>
      </w:r>
      <w:r>
        <w:rPr/>
        <w:t>）截止报告期末，上海文慧投资有限公司持有公司股份 </w:t>
      </w:r>
      <w:r>
        <w:rPr>
          <w:rFonts w:ascii="Times New Roman" w:hAnsi="Times New Roman" w:cs="Times New Roman" w:eastAsia="Times New Roman" w:hint="default"/>
        </w:rPr>
        <w:t>17,712,690</w:t>
      </w:r>
      <w:r>
        <w:rPr>
          <w:rFonts w:ascii="Times New Roman" w:hAnsi="Times New Roman" w:cs="Times New Roman" w:eastAsia="Times New Roman" w:hint="default"/>
          <w:spacing w:val="38"/>
        </w:rPr>
        <w:t> </w:t>
      </w:r>
      <w:r>
        <w:rPr/>
        <w:t>股，占公司总股本</w:t>
      </w:r>
    </w:p>
    <w:p>
      <w:pPr>
        <w:pStyle w:val="BodyText"/>
        <w:spacing w:line="352" w:lineRule="auto" w:before="134"/>
        <w:ind w:left="153" w:right="100"/>
        <w:jc w:val="left"/>
      </w:pPr>
      <w:r>
        <w:rPr/>
        <w:t>的</w:t>
      </w:r>
      <w:r>
        <w:rPr>
          <w:spacing w:val="-57"/>
        </w:rPr>
        <w:t> </w:t>
      </w:r>
      <w:r>
        <w:rPr>
          <w:rFonts w:ascii="Times New Roman" w:hAnsi="Times New Roman" w:cs="Times New Roman" w:eastAsia="Times New Roman" w:hint="default"/>
          <w:spacing w:val="-4"/>
        </w:rPr>
        <w:t>18.41%</w:t>
      </w:r>
      <w:r>
        <w:rPr>
          <w:spacing w:val="-4"/>
        </w:rPr>
        <w:t>。该公司成立于</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6"/>
        </w:rPr>
        <w:t>月，法定代表人王庆如，注册资本</w:t>
      </w:r>
      <w:r>
        <w:rPr>
          <w:spacing w:val="-57"/>
        </w:rPr>
        <w:t> </w:t>
      </w:r>
      <w:r>
        <w:rPr>
          <w:rFonts w:ascii="Times New Roman" w:hAnsi="Times New Roman" w:cs="Times New Roman" w:eastAsia="Times New Roman" w:hint="default"/>
        </w:rPr>
        <w:t>8000</w:t>
      </w:r>
      <w:r>
        <w:rPr>
          <w:rFonts w:ascii="Times New Roman" w:hAnsi="Times New Roman" w:cs="Times New Roman" w:eastAsia="Times New Roman" w:hint="default"/>
          <w:spacing w:val="3"/>
        </w:rPr>
        <w:t> </w:t>
      </w:r>
      <w:r>
        <w:rPr>
          <w:spacing w:val="-6"/>
        </w:rPr>
        <w:t>万元；经营范围：</w:t>
      </w:r>
      <w:r>
        <w:rPr/>
        <w:t> </w:t>
      </w:r>
      <w:r>
        <w:rPr>
          <w:spacing w:val="-6"/>
        </w:rPr>
        <w:t>实业投资，资产经营（不含融资），资产管理（质押担保资产托管、抵押担保资产监管、货币</w:t>
      </w:r>
      <w:r>
        <w:rPr>
          <w:spacing w:val="-100"/>
        </w:rPr>
        <w:t> </w:t>
      </w:r>
      <w:r>
        <w:rPr>
          <w:spacing w:val="-100"/>
        </w:rPr>
      </w:r>
      <w:r>
        <w:rPr>
          <w:spacing w:val="-5"/>
        </w:rPr>
        <w:t>及动产、不动产的托管），资产置换，收购兼并，不良资产处置，投资咨询，房地产开发，数</w:t>
      </w:r>
      <w:r>
        <w:rPr>
          <w:spacing w:val="-118"/>
        </w:rPr>
        <w:t> </w:t>
      </w:r>
      <w:r>
        <w:rPr>
          <w:spacing w:val="-118"/>
        </w:rPr>
      </w:r>
      <w:r>
        <w:rPr>
          <w:spacing w:val="-5"/>
        </w:rPr>
        <w:t>字电视及网络系统集成的开发，通信设备及相关产品，化工产品（除危险品），纺织品，机电</w:t>
      </w:r>
      <w:r>
        <w:rPr/>
        <w:t> </w:t>
      </w:r>
      <w:r>
        <w:rPr>
          <w:spacing w:val="-7"/>
        </w:rPr>
        <w:t>设备，金属材料，建筑装潢材料（销售）（凡涉及许可证经营的项目凭许可证经营）。</w:t>
      </w:r>
    </w:p>
    <w:p>
      <w:pPr>
        <w:spacing w:after="0" w:line="352"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48" w:lineRule="auto" w:before="26"/>
        <w:ind w:right="148" w:firstLine="54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）截止报告期末，方正延中持有公司股份</w:t>
      </w:r>
      <w:r>
        <w:rPr>
          <w:spacing w:val="-54"/>
        </w:rPr>
        <w:t> </w:t>
      </w:r>
      <w:r>
        <w:rPr>
          <w:rFonts w:ascii="Times New Roman" w:hAnsi="Times New Roman" w:cs="Times New Roman" w:eastAsia="Times New Roman" w:hint="default"/>
        </w:rPr>
        <w:t>17,000,000</w:t>
      </w:r>
      <w:r>
        <w:rPr>
          <w:rFonts w:ascii="Times New Roman" w:hAnsi="Times New Roman" w:cs="Times New Roman" w:eastAsia="Times New Roman" w:hint="default"/>
          <w:spacing w:val="6"/>
        </w:rPr>
        <w:t> </w:t>
      </w:r>
      <w:r>
        <w:rPr/>
        <w:t>股，占公司总股本的</w:t>
      </w:r>
      <w:r>
        <w:rPr>
          <w:spacing w:val="-54"/>
        </w:rPr>
        <w:t> </w:t>
      </w:r>
      <w:r>
        <w:rPr>
          <w:rFonts w:ascii="Times New Roman" w:hAnsi="Times New Roman" w:cs="Times New Roman" w:eastAsia="Times New Roman" w:hint="default"/>
        </w:rPr>
        <w:t>17.67%</w:t>
      </w:r>
      <w:r>
        <w:rPr/>
        <w:t>。该 公司成立于</w:t>
      </w:r>
      <w:r>
        <w:rPr>
          <w:spacing w:val="-58"/>
        </w:rPr>
        <w:t> </w:t>
      </w:r>
      <w:r>
        <w:rPr>
          <w:rFonts w:ascii="Times New Roman" w:hAnsi="Times New Roman" w:cs="Times New Roman" w:eastAsia="Times New Roman" w:hint="default"/>
        </w:rPr>
        <w:t>1995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月，法定代表人卢旸，注册资本</w:t>
      </w:r>
      <w:r>
        <w:rPr>
          <w:spacing w:val="-58"/>
        </w:rPr>
        <w:t> </w:t>
      </w:r>
      <w:r>
        <w:rPr>
          <w:rFonts w:ascii="Times New Roman" w:hAnsi="Times New Roman" w:cs="Times New Roman" w:eastAsia="Times New Roman" w:hint="default"/>
        </w:rPr>
        <w:t>45000</w:t>
      </w:r>
      <w:r>
        <w:rPr>
          <w:rFonts w:ascii="Times New Roman" w:hAnsi="Times New Roman" w:cs="Times New Roman" w:eastAsia="Times New Roman" w:hint="default"/>
          <w:spacing w:val="2"/>
        </w:rPr>
        <w:t> </w:t>
      </w:r>
      <w:r>
        <w:rPr>
          <w:spacing w:val="-4"/>
        </w:rPr>
        <w:t>万元；经营范围：资产管理、实</w:t>
      </w:r>
      <w:r>
        <w:rPr/>
        <w:t> </w:t>
      </w:r>
      <w:r>
        <w:rPr>
          <w:spacing w:val="-5"/>
        </w:rPr>
        <w:t>业投资、房地产开发与经营；计算机软硬件开发；国内贸易（除专项审批）；自营或代理各类</w:t>
      </w:r>
      <w:r>
        <w:rPr/>
        <w:t> 商品和技术的进出口，但国家限定公司经营或禁止进出口的商品和技术除外；承接各类广告</w:t>
      </w:r>
      <w:r>
        <w:rPr>
          <w:spacing w:val="-83"/>
        </w:rPr>
        <w:t> </w:t>
      </w:r>
      <w:r>
        <w:rPr>
          <w:spacing w:val="-83"/>
        </w:rPr>
      </w:r>
      <w:r>
        <w:rPr/>
        <w:t>设计、制作；承办本公司所属场地发布国内广告；商务、文化活动和策划、咨询服务；展示</w:t>
      </w:r>
      <w:r>
        <w:rPr>
          <w:spacing w:val="-83"/>
        </w:rPr>
        <w:t> </w:t>
      </w:r>
      <w:r>
        <w:rPr>
          <w:spacing w:val="-83"/>
        </w:rPr>
      </w:r>
      <w:r>
        <w:rPr>
          <w:spacing w:val="-4"/>
        </w:rPr>
        <w:t>展览；礼仪和会务服务（以上经营范围涉及行政许可的，凭许可证件经营）。</w:t>
      </w:r>
      <w:r>
        <w:rPr>
          <w:rFonts w:ascii="Times New Roman" w:hAnsi="Times New Roman" w:cs="Times New Roman" w:eastAsia="Times New Roman" w:hint="default"/>
          <w:spacing w:val="-4"/>
        </w:rPr>
        <w:t>2010</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19</w:t>
      </w:r>
    </w:p>
    <w:p>
      <w:pPr>
        <w:pStyle w:val="BodyText"/>
        <w:spacing w:line="240" w:lineRule="auto" w:before="15"/>
        <w:ind w:right="0"/>
        <w:jc w:val="left"/>
      </w:pPr>
      <w:r>
        <w:rPr/>
        <w:t>日，方正延中将所持深大通 </w:t>
      </w:r>
      <w:r>
        <w:rPr>
          <w:rFonts w:ascii="Times New Roman" w:hAnsi="Times New Roman" w:cs="Times New Roman" w:eastAsia="Times New Roman" w:hint="default"/>
        </w:rPr>
        <w:t>680</w:t>
      </w:r>
      <w:r>
        <w:rPr>
          <w:rFonts w:ascii="Times New Roman" w:hAnsi="Times New Roman" w:cs="Times New Roman" w:eastAsia="Times New Roman" w:hint="default"/>
          <w:spacing w:val="-22"/>
        </w:rPr>
        <w:t> </w:t>
      </w:r>
      <w:r>
        <w:rPr/>
        <w:t>万股股份过户到亚星实业名下后，方正延中现持有公司股份</w:t>
      </w:r>
    </w:p>
    <w:p>
      <w:pPr>
        <w:pStyle w:val="BodyText"/>
        <w:spacing w:line="240" w:lineRule="auto" w:before="134"/>
        <w:ind w:right="0"/>
        <w:jc w:val="left"/>
      </w:pPr>
      <w:r>
        <w:rPr>
          <w:rFonts w:ascii="Times New Roman" w:hAnsi="Times New Roman" w:cs="Times New Roman" w:eastAsia="Times New Roman" w:hint="default"/>
        </w:rPr>
        <w:t>1020 </w:t>
      </w:r>
      <w:r>
        <w:rPr/>
        <w:t>万股，占公司总股本的</w:t>
      </w:r>
      <w:r>
        <w:rPr>
          <w:spacing w:val="-60"/>
        </w:rPr>
        <w:t> </w:t>
      </w:r>
      <w:r>
        <w:rPr>
          <w:rFonts w:ascii="Times New Roman" w:hAnsi="Times New Roman" w:cs="Times New Roman" w:eastAsia="Times New Roman" w:hint="default"/>
        </w:rPr>
        <w:t>10.60%</w:t>
      </w:r>
      <w:r>
        <w:rPr/>
        <w:t>。</w:t>
      </w:r>
    </w:p>
    <w:p>
      <w:pPr>
        <w:spacing w:line="240" w:lineRule="auto" w:before="7"/>
        <w:rPr>
          <w:rFonts w:ascii="宋体" w:hAnsi="宋体" w:cs="宋体" w:eastAsia="宋体" w:hint="default"/>
          <w:sz w:val="19"/>
          <w:szCs w:val="19"/>
        </w:rPr>
      </w:pPr>
    </w:p>
    <w:p>
      <w:pPr>
        <w:pStyle w:val="BodyText"/>
        <w:spacing w:line="240" w:lineRule="auto" w:before="0"/>
        <w:ind w:left="694" w:right="0"/>
        <w:jc w:val="left"/>
      </w:pPr>
      <w:r>
        <w:rPr>
          <w:rFonts w:ascii="Times New Roman" w:hAnsi="Times New Roman" w:cs="Times New Roman" w:eastAsia="Times New Roman" w:hint="default"/>
        </w:rPr>
        <w:t>3</w:t>
      </w:r>
      <w:r>
        <w:rPr/>
        <w:t>）截止报告期末，上海港银投资管理有限公司持有公司股份 </w:t>
      </w:r>
      <w:r>
        <w:rPr>
          <w:rFonts w:ascii="Times New Roman" w:hAnsi="Times New Roman" w:cs="Times New Roman" w:eastAsia="Times New Roman" w:hint="default"/>
        </w:rPr>
        <w:t>10,000,000</w:t>
      </w:r>
      <w:r>
        <w:rPr>
          <w:rFonts w:ascii="Times New Roman" w:hAnsi="Times New Roman" w:cs="Times New Roman" w:eastAsia="Times New Roman" w:hint="default"/>
          <w:spacing w:val="38"/>
        </w:rPr>
        <w:t> </w:t>
      </w:r>
      <w:r>
        <w:rPr/>
        <w:t>股，占公司总</w:t>
      </w:r>
    </w:p>
    <w:p>
      <w:pPr>
        <w:pStyle w:val="BodyText"/>
        <w:spacing w:line="338" w:lineRule="auto" w:before="134"/>
        <w:ind w:right="139"/>
        <w:jc w:val="left"/>
      </w:pPr>
      <w:r>
        <w:rPr/>
        <w:t>股本的</w:t>
      </w:r>
      <w:r>
        <w:rPr>
          <w:spacing w:val="-67"/>
        </w:rPr>
        <w:t> </w:t>
      </w:r>
      <w:r>
        <w:rPr>
          <w:rFonts w:ascii="Times New Roman" w:hAnsi="Times New Roman" w:cs="Times New Roman" w:eastAsia="Times New Roman" w:hint="default"/>
        </w:rPr>
        <w:t>10.39%</w:t>
      </w:r>
      <w:r>
        <w:rPr/>
        <w:t>。该公司成立于</w:t>
      </w:r>
      <w:r>
        <w:rPr>
          <w:spacing w:val="-6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月，法定代表人施辰，注册资本</w:t>
      </w:r>
      <w:r>
        <w:rPr>
          <w:spacing w:val="-6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万元；经营范 </w:t>
      </w:r>
      <w:r>
        <w:rPr>
          <w:spacing w:val="-3"/>
        </w:rPr>
        <w:t>围：企业投资管理、企业投资咨询、企业资产委托管理（涉及许可经营的凭许可证经营）。</w:t>
      </w:r>
    </w:p>
    <w:p>
      <w:pPr>
        <w:spacing w:after="0" w:line="338"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2884" w:val="left" w:leader="none"/>
        </w:tabs>
        <w:spacing w:line="240" w:lineRule="auto"/>
        <w:ind w:left="1600" w:right="353"/>
        <w:jc w:val="left"/>
        <w:rPr>
          <w:b w:val="0"/>
          <w:bCs w:val="0"/>
        </w:rPr>
      </w:pPr>
      <w:bookmarkStart w:name="_TOC_250007" w:id="5"/>
      <w:r>
        <w:rPr>
          <w:w w:val="95"/>
        </w:rPr>
        <w:t>第五章</w:t>
        <w:tab/>
      </w:r>
      <w:r>
        <w:rPr/>
        <w:t>董事、监事、高级管理人员和员工情况</w:t>
      </w:r>
      <w:bookmarkEnd w:id="5"/>
      <w:r>
        <w:rPr>
          <w:b w:val="0"/>
          <w:bCs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35"/>
          <w:szCs w:val="35"/>
        </w:rPr>
      </w:pPr>
    </w:p>
    <w:p>
      <w:pPr>
        <w:pStyle w:val="BodyText"/>
        <w:spacing w:line="240" w:lineRule="auto" w:before="0"/>
        <w:ind w:right="353"/>
        <w:jc w:val="left"/>
      </w:pPr>
      <w:r>
        <w:rPr/>
        <w:t>（一）董事、监事及高级管理人员的情况</w:t>
      </w:r>
    </w:p>
    <w:p>
      <w:pPr>
        <w:spacing w:line="240" w:lineRule="auto" w:before="11"/>
        <w:rPr>
          <w:rFonts w:ascii="宋体" w:hAnsi="宋体" w:cs="宋体" w:eastAsia="宋体" w:hint="default"/>
          <w:sz w:val="20"/>
          <w:szCs w:val="20"/>
        </w:rPr>
      </w:pPr>
    </w:p>
    <w:p>
      <w:pPr>
        <w:pStyle w:val="BodyText"/>
        <w:spacing w:line="240" w:lineRule="auto" w:before="0"/>
        <w:ind w:left="693" w:right="353"/>
        <w:jc w:val="left"/>
      </w:pPr>
      <w:r>
        <w:rPr>
          <w:rFonts w:ascii="Times New Roman" w:hAnsi="Times New Roman" w:cs="Times New Roman" w:eastAsia="Times New Roman" w:hint="default"/>
        </w:rPr>
        <w:t>1</w:t>
      </w:r>
      <w:r>
        <w:rPr/>
        <w:t>、董事、监事和高级管理人员持股变动及报酬情况</w:t>
      </w: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780"/>
        <w:gridCol w:w="1200"/>
        <w:gridCol w:w="360"/>
        <w:gridCol w:w="360"/>
        <w:gridCol w:w="1800"/>
        <w:gridCol w:w="1800"/>
        <w:gridCol w:w="720"/>
        <w:gridCol w:w="720"/>
        <w:gridCol w:w="550"/>
        <w:gridCol w:w="884"/>
        <w:gridCol w:w="806"/>
      </w:tblGrid>
      <w:tr>
        <w:trPr>
          <w:trHeight w:val="199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4"/>
              <w:jc w:val="right"/>
              <w:rPr>
                <w:rFonts w:ascii="宋体" w:hAnsi="宋体" w:cs="宋体" w:eastAsia="宋体" w:hint="default"/>
                <w:sz w:val="21"/>
                <w:szCs w:val="21"/>
              </w:rPr>
            </w:pPr>
            <w:r>
              <w:rPr>
                <w:rFonts w:ascii="宋体" w:hAnsi="宋体" w:cs="宋体" w:eastAsia="宋体" w:hint="default"/>
                <w:sz w:val="21"/>
                <w:szCs w:val="21"/>
              </w:rPr>
              <w:t>姓名</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69" w:right="68"/>
              <w:jc w:val="left"/>
              <w:rPr>
                <w:rFonts w:ascii="宋体" w:hAnsi="宋体" w:cs="宋体" w:eastAsia="宋体" w:hint="default"/>
                <w:sz w:val="21"/>
                <w:szCs w:val="21"/>
              </w:rPr>
            </w:pPr>
            <w:r>
              <w:rPr>
                <w:rFonts w:ascii="宋体" w:hAnsi="宋体" w:cs="宋体" w:eastAsia="宋体" w:hint="default"/>
                <w:sz w:val="21"/>
                <w:szCs w:val="21"/>
              </w:rPr>
              <w:t>性 别</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69" w:right="68"/>
              <w:jc w:val="left"/>
              <w:rPr>
                <w:rFonts w:ascii="宋体" w:hAnsi="宋体" w:cs="宋体" w:eastAsia="宋体" w:hint="default"/>
                <w:sz w:val="21"/>
                <w:szCs w:val="21"/>
              </w:rPr>
            </w:pPr>
            <w:r>
              <w:rPr>
                <w:rFonts w:ascii="宋体" w:hAnsi="宋体" w:cs="宋体" w:eastAsia="宋体" w:hint="default"/>
                <w:sz w:val="21"/>
                <w:szCs w:val="21"/>
              </w:rPr>
              <w:t>年 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43" w:right="38" w:hanging="105"/>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43" w:right="38" w:hanging="105"/>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59" w:right="58"/>
              <w:jc w:val="left"/>
              <w:rPr>
                <w:rFonts w:ascii="宋体" w:hAnsi="宋体" w:cs="宋体" w:eastAsia="宋体" w:hint="default"/>
                <w:sz w:val="21"/>
                <w:szCs w:val="21"/>
              </w:rPr>
            </w:pPr>
            <w:r>
              <w:rPr>
                <w:rFonts w:ascii="宋体" w:hAnsi="宋体" w:cs="宋体" w:eastAsia="宋体" w:hint="default"/>
                <w:sz w:val="21"/>
                <w:szCs w:val="21"/>
              </w:rPr>
              <w:t>变动 原因</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3" w:right="20" w:hanging="2"/>
              <w:jc w:val="center"/>
              <w:rPr>
                <w:rFonts w:ascii="宋体" w:hAnsi="宋体" w:cs="宋体" w:eastAsia="宋体" w:hint="default"/>
                <w:sz w:val="21"/>
                <w:szCs w:val="21"/>
              </w:rPr>
            </w:pPr>
            <w:r>
              <w:rPr>
                <w:rFonts w:ascii="宋体" w:hAnsi="宋体" w:cs="宋体" w:eastAsia="宋体" w:hint="default"/>
                <w:sz w:val="21"/>
                <w:szCs w:val="21"/>
              </w:rPr>
              <w:t>报告期 内从公 司领取 的报酬 </w:t>
            </w:r>
            <w:r>
              <w:rPr>
                <w:rFonts w:ascii="宋体" w:hAnsi="宋体" w:cs="宋体" w:eastAsia="宋体" w:hint="default"/>
                <w:spacing w:val="-3"/>
                <w:sz w:val="21"/>
                <w:szCs w:val="21"/>
              </w:rPr>
              <w:t>总额（万</w:t>
            </w:r>
            <w:r>
              <w:rPr>
                <w:rFonts w:ascii="宋体" w:hAnsi="宋体" w:cs="宋体" w:eastAsia="宋体" w:hint="default"/>
                <w:sz w:val="21"/>
                <w:szCs w:val="21"/>
              </w:rPr>
              <w:t> </w:t>
            </w:r>
            <w:r>
              <w:rPr>
                <w:rFonts w:ascii="宋体" w:hAnsi="宋体" w:cs="宋体" w:eastAsia="宋体" w:hint="default"/>
                <w:spacing w:val="-27"/>
                <w:sz w:val="21"/>
                <w:szCs w:val="21"/>
              </w:rPr>
              <w:t>元）（税</w:t>
            </w:r>
            <w:r>
              <w:rPr>
                <w:rFonts w:ascii="宋体" w:hAnsi="宋体" w:cs="宋体" w:eastAsia="宋体" w:hint="default"/>
                <w:sz w:val="21"/>
                <w:szCs w:val="21"/>
              </w:rPr>
              <w:t> 前）</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82" w:right="82"/>
              <w:jc w:val="both"/>
              <w:rPr>
                <w:rFonts w:ascii="宋体" w:hAnsi="宋体" w:cs="宋体" w:eastAsia="宋体" w:hint="default"/>
                <w:sz w:val="21"/>
                <w:szCs w:val="21"/>
              </w:rPr>
            </w:pPr>
            <w:r>
              <w:rPr>
                <w:rFonts w:ascii="宋体" w:hAnsi="宋体" w:cs="宋体" w:eastAsia="宋体" w:hint="default"/>
                <w:sz w:val="21"/>
                <w:szCs w:val="21"/>
              </w:rPr>
              <w:t>是否在 股东单 位或其 他关联 单位领 取薪酬</w:t>
            </w:r>
          </w:p>
        </w:tc>
      </w:tr>
      <w:tr>
        <w:trPr>
          <w:trHeight w:val="362"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许亚楠</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550"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3" w:right="0"/>
              <w:jc w:val="left"/>
              <w:rPr>
                <w:rFonts w:ascii="Times New Roman" w:hAnsi="Times New Roman" w:cs="Times New Roman" w:eastAsia="Times New Roman" w:hint="default"/>
                <w:sz w:val="21"/>
                <w:szCs w:val="21"/>
              </w:rPr>
            </w:pPr>
            <w:r>
              <w:rPr>
                <w:rFonts w:ascii="Times New Roman"/>
                <w:sz w:val="21"/>
              </w:rPr>
              <w:t>3.64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780"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6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张庆文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毛诚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舒强兴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齐二石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王洪</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孙登义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王立军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张国华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杨敬业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易平良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刘仕保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
              <w:jc w:val="right"/>
              <w:rPr>
                <w:rFonts w:ascii="Times New Roman" w:hAnsi="Times New Roman" w:cs="Times New Roman" w:eastAsia="Times New Roman" w:hint="default"/>
                <w:sz w:val="21"/>
                <w:szCs w:val="21"/>
              </w:rPr>
            </w:pPr>
            <w:r>
              <w:rPr>
                <w:rFonts w:ascii="Times New Roman"/>
                <w:sz w:val="21"/>
              </w:rPr>
              <w:t>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胡滨</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z w:val="21"/>
              </w:rPr>
              <w:t>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已于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日辞去董事职务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4"/>
              <w:jc w:val="right"/>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w w:val="95"/>
                <w:sz w:val="21"/>
              </w:rPr>
              <w:t>3.64</w:t>
            </w:r>
            <w:r>
              <w:rPr>
                <w:rFonts w:ascii="Times New Roman"/>
                <w:w w:val="95"/>
                <w:sz w:val="21"/>
              </w:rPr>
            </w:r>
          </w:p>
        </w:tc>
        <w:tc>
          <w:tcPr>
            <w:tcW w:w="806" w:type="dxa"/>
            <w:tcBorders>
              <w:top w:val="single" w:sz="4" w:space="0" w:color="000000"/>
              <w:left w:val="single" w:sz="4" w:space="0" w:color="000000"/>
              <w:bottom w:val="single" w:sz="4" w:space="0" w:color="000000"/>
              <w:right w:val="single" w:sz="4" w:space="0" w:color="000000"/>
            </w:tcBorders>
          </w:tcPr>
          <w:p>
            <w:pPr/>
          </w:p>
        </w:tc>
      </w:tr>
    </w:tbl>
    <w:p>
      <w:pPr>
        <w:spacing w:before="86"/>
        <w:ind w:left="694" w:right="353" w:hanging="68"/>
        <w:jc w:val="left"/>
        <w:rPr>
          <w:rFonts w:ascii="宋体" w:hAnsi="宋体" w:cs="宋体" w:eastAsia="宋体" w:hint="default"/>
          <w:sz w:val="21"/>
          <w:szCs w:val="21"/>
        </w:rPr>
      </w:pPr>
      <w:r>
        <w:rPr>
          <w:rFonts w:ascii="宋体" w:hAnsi="宋体" w:cs="宋体" w:eastAsia="宋体" w:hint="default"/>
          <w:sz w:val="21"/>
          <w:szCs w:val="21"/>
        </w:rPr>
        <w:t>注：在本报告期内，本公司各董事、监事及其配偶及未满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岁之子女概无持有本公司的任何股份。</w:t>
      </w:r>
    </w:p>
    <w:p>
      <w:pPr>
        <w:spacing w:line="240" w:lineRule="auto" w:before="10"/>
        <w:rPr>
          <w:rFonts w:ascii="宋体" w:hAnsi="宋体" w:cs="宋体" w:eastAsia="宋体" w:hint="default"/>
          <w:sz w:val="17"/>
          <w:szCs w:val="17"/>
        </w:rPr>
      </w:pPr>
    </w:p>
    <w:p>
      <w:pPr>
        <w:pStyle w:val="BodyText"/>
        <w:spacing w:line="338" w:lineRule="auto" w:before="0"/>
        <w:ind w:right="353" w:firstLine="540"/>
        <w:jc w:val="left"/>
      </w:pPr>
      <w:r>
        <w:rPr>
          <w:rFonts w:ascii="Times New Roman" w:hAnsi="Times New Roman" w:cs="Times New Roman" w:eastAsia="Times New Roman" w:hint="default"/>
          <w:spacing w:val="2"/>
        </w:rPr>
        <w:t>2</w:t>
      </w:r>
      <w:r>
        <w:rPr>
          <w:spacing w:val="2"/>
        </w:rPr>
        <w:t>、公司董事、监事及高管人员的主要工作经历及在股东单位和除股东单位外的其他单 </w:t>
      </w:r>
      <w:r>
        <w:rPr/>
        <w:t>位任职或兼职情况：</w:t>
      </w:r>
    </w:p>
    <w:p>
      <w:pPr>
        <w:pStyle w:val="BodyText"/>
        <w:spacing w:line="348" w:lineRule="auto" w:before="174"/>
        <w:ind w:right="353" w:firstLine="540"/>
        <w:jc w:val="left"/>
      </w:pPr>
      <w:r>
        <w:rPr>
          <w:rFonts w:ascii="Times New Roman" w:hAnsi="Times New Roman" w:cs="Times New Roman" w:eastAsia="Times New Roman" w:hint="default"/>
          <w:spacing w:val="2"/>
        </w:rPr>
        <w:t>1</w:t>
      </w:r>
      <w:r>
        <w:rPr>
          <w:spacing w:val="2"/>
        </w:rPr>
        <w:t>）许亚楠先生，公司董事长、总经理：曾服役于中国人民解放军东海舰队，曾任青岛 </w:t>
      </w:r>
      <w:r>
        <w:rPr>
          <w:spacing w:val="-3"/>
        </w:rPr>
        <w:t>市机电设备总公司总经理助理、副总经理，青岛亚星置业有限公司（以下简称“亚星置业”）</w:t>
      </w:r>
      <w:r>
        <w:rPr>
          <w:spacing w:val="-117"/>
        </w:rPr>
        <w:t> </w:t>
      </w:r>
      <w:r>
        <w:rPr>
          <w:spacing w:val="-117"/>
        </w:rPr>
      </w:r>
      <w:r>
        <w:rPr/>
        <w:t>副总经理，现任本公司董事长兼总经理、亚星实业董事。</w:t>
      </w:r>
    </w:p>
    <w:p>
      <w:pPr>
        <w:pStyle w:val="BodyText"/>
        <w:spacing w:line="240" w:lineRule="auto" w:before="164"/>
        <w:ind w:left="694" w:right="353"/>
        <w:jc w:val="left"/>
      </w:pPr>
      <w:r>
        <w:rPr>
          <w:rFonts w:ascii="Times New Roman" w:hAnsi="Times New Roman" w:cs="Times New Roman" w:eastAsia="Times New Roman" w:hint="default"/>
          <w:spacing w:val="2"/>
        </w:rPr>
        <w:t>2</w:t>
      </w:r>
      <w:r>
        <w:rPr>
          <w:spacing w:val="2"/>
        </w:rPr>
        <w:t>）张庆文先生，公司董事：曾任青岛天悦国际物流有限公司财务总监、青岛嘉合置业</w:t>
      </w:r>
      <w:r>
        <w:rPr/>
      </w:r>
    </w:p>
    <w:p>
      <w:pPr>
        <w:spacing w:after="0" w:line="240" w:lineRule="auto"/>
        <w:jc w:val="left"/>
        <w:sectPr>
          <w:pgSz w:w="11910" w:h="16840"/>
          <w:pgMar w:header="747" w:footer="669" w:top="980" w:bottom="860" w:left="980" w:right="680"/>
        </w:sectPr>
      </w:pPr>
    </w:p>
    <w:p>
      <w:pPr>
        <w:spacing w:line="240" w:lineRule="auto" w:before="7"/>
        <w:rPr>
          <w:rFonts w:ascii="宋体" w:hAnsi="宋体" w:cs="宋体" w:eastAsia="宋体" w:hint="default"/>
          <w:sz w:val="29"/>
          <w:szCs w:val="29"/>
        </w:rPr>
      </w:pPr>
    </w:p>
    <w:p>
      <w:pPr>
        <w:pStyle w:val="BodyText"/>
        <w:spacing w:line="357" w:lineRule="auto" w:before="26"/>
        <w:ind w:left="153" w:right="0"/>
        <w:jc w:val="left"/>
      </w:pPr>
      <w:r>
        <w:rPr/>
        <w:t>有限公司财务总监、中国福泰实业总公司财务部经理，现任本公司董事、亚星实业董事、亚</w:t>
      </w:r>
      <w:r>
        <w:rPr>
          <w:spacing w:val="-83"/>
        </w:rPr>
        <w:t> </w:t>
      </w:r>
      <w:r>
        <w:rPr>
          <w:spacing w:val="-83"/>
        </w:rPr>
      </w:r>
      <w:r>
        <w:rPr/>
        <w:t>星置业财务总监。</w:t>
      </w:r>
    </w:p>
    <w:p>
      <w:pPr>
        <w:pStyle w:val="BodyText"/>
        <w:spacing w:line="348" w:lineRule="auto" w:before="155"/>
        <w:ind w:right="148" w:firstLine="540"/>
        <w:jc w:val="both"/>
      </w:pPr>
      <w:r>
        <w:rPr>
          <w:rFonts w:ascii="Times New Roman" w:hAnsi="Times New Roman" w:cs="Times New Roman" w:eastAsia="Times New Roman" w:hint="default"/>
          <w:spacing w:val="2"/>
        </w:rPr>
        <w:t>3</w:t>
      </w:r>
      <w:r>
        <w:rPr>
          <w:spacing w:val="2"/>
        </w:rPr>
        <w:t>）毛诚先生，公司董事：曾任北京华隆新技术开发公司总经理，广东中视电视信息传 </w:t>
      </w:r>
      <w:r>
        <w:rPr/>
        <w:t>播有限公司总经理，北京运时投资管理有限公司执行总裁，中国银泰投资有限公司投资部总</w:t>
      </w:r>
      <w:r>
        <w:rPr>
          <w:spacing w:val="-83"/>
        </w:rPr>
        <w:t> </w:t>
      </w:r>
      <w:r>
        <w:rPr>
          <w:spacing w:val="-83"/>
        </w:rPr>
      </w:r>
      <w:r>
        <w:rPr/>
        <w:t>经理，现任本公司董事、上海文慧投资有限公司副总经理。</w:t>
      </w:r>
    </w:p>
    <w:p>
      <w:pPr>
        <w:pStyle w:val="BodyText"/>
        <w:spacing w:line="348" w:lineRule="auto" w:before="164"/>
        <w:ind w:left="153" w:right="146" w:firstLine="540"/>
        <w:jc w:val="both"/>
      </w:pPr>
      <w:r>
        <w:rPr>
          <w:rFonts w:ascii="Times New Roman" w:hAnsi="Times New Roman" w:cs="Times New Roman" w:eastAsia="Times New Roman" w:hint="default"/>
          <w:spacing w:val="2"/>
        </w:rPr>
        <w:t>4</w:t>
      </w:r>
      <w:r>
        <w:rPr>
          <w:spacing w:val="2"/>
        </w:rPr>
        <w:t>）舒强兴先生，公司独立董事：曾任湖南财经学院任教研室主任，湖南机械进出口股 </w:t>
      </w:r>
      <w:r>
        <w:rPr/>
        <w:t>份有限公司执行董事、部门经理；现任湖南大学工商管理学院投资理财系负责人、国家税务</w:t>
      </w:r>
      <w:r>
        <w:rPr>
          <w:spacing w:val="-83"/>
        </w:rPr>
        <w:t> </w:t>
      </w:r>
      <w:r>
        <w:rPr>
          <w:spacing w:val="-83"/>
        </w:rPr>
      </w:r>
      <w:r>
        <w:rPr/>
        <w:t>总局长沙培训中心兼职教授</w:t>
      </w:r>
      <w:r>
        <w:rPr>
          <w:rFonts w:ascii="Times New Roman" w:hAnsi="Times New Roman" w:cs="Times New Roman" w:eastAsia="Times New Roman" w:hint="default"/>
        </w:rPr>
        <w:t>; </w:t>
      </w:r>
      <w:r>
        <w:rPr/>
        <w:t>湖南京阳物流股份有限公司财务顾问，湖南省国资委专家委员</w:t>
      </w:r>
      <w:r>
        <w:rPr>
          <w:spacing w:val="-101"/>
        </w:rPr>
        <w:t> </w:t>
      </w:r>
      <w:r>
        <w:rPr/>
        <w:t>会委员，现任本公司独立董事、湖南大学工商管理学院投资理财系副教授，兼任新五丰、熊</w:t>
      </w:r>
      <w:r>
        <w:rPr>
          <w:spacing w:val="-83"/>
        </w:rPr>
        <w:t> </w:t>
      </w:r>
      <w:r>
        <w:rPr>
          <w:spacing w:val="-83"/>
        </w:rPr>
      </w:r>
      <w:r>
        <w:rPr/>
        <w:t>猫烟花独立董事。</w:t>
      </w:r>
    </w:p>
    <w:p>
      <w:pPr>
        <w:pStyle w:val="BodyText"/>
        <w:spacing w:line="338" w:lineRule="auto" w:before="164"/>
        <w:ind w:right="148" w:firstLine="540"/>
        <w:jc w:val="both"/>
      </w:pPr>
      <w:r>
        <w:rPr>
          <w:rFonts w:ascii="Times New Roman" w:hAnsi="Times New Roman" w:cs="Times New Roman" w:eastAsia="Times New Roman" w:hint="default"/>
          <w:spacing w:val="2"/>
        </w:rPr>
        <w:t>5</w:t>
      </w:r>
      <w:r>
        <w:rPr>
          <w:spacing w:val="2"/>
        </w:rPr>
        <w:t>）齐二石先生，公司独立董事：现任本公司独立董事、天津大学管理学院院长，兼任 </w:t>
      </w:r>
      <w:r>
        <w:rPr/>
        <w:t>歌华有线、安彩高科独立董事。</w:t>
      </w:r>
    </w:p>
    <w:p>
      <w:pPr>
        <w:pStyle w:val="BodyText"/>
        <w:spacing w:line="348" w:lineRule="auto" w:before="174"/>
        <w:ind w:right="148" w:firstLine="540"/>
        <w:jc w:val="both"/>
      </w:pPr>
      <w:r>
        <w:rPr>
          <w:rFonts w:ascii="Times New Roman" w:hAnsi="Times New Roman" w:cs="Times New Roman" w:eastAsia="Times New Roman" w:hint="default"/>
          <w:spacing w:val="2"/>
        </w:rPr>
        <w:t>6</w:t>
      </w:r>
      <w:r>
        <w:rPr>
          <w:spacing w:val="2"/>
        </w:rPr>
        <w:t>）王洪先生，公司独立董事：曾先后在新加坡国立大学设计与环境学院房地产系任讲 </w:t>
      </w:r>
      <w:r>
        <w:rPr/>
        <w:t>师，清华大学土木水利学院房地产研究所和经济管理学院金融系任副教授，现任本公司独立</w:t>
      </w:r>
      <w:r>
        <w:rPr>
          <w:spacing w:val="-83"/>
        </w:rPr>
        <w:t> </w:t>
      </w:r>
      <w:r>
        <w:rPr>
          <w:spacing w:val="-83"/>
        </w:rPr>
      </w:r>
      <w:r>
        <w:rPr/>
        <w:t>董事、清华大学经济管理学院金融系副教授，兼任阳光股份独立董事。</w:t>
      </w:r>
    </w:p>
    <w:p>
      <w:pPr>
        <w:pStyle w:val="BodyText"/>
        <w:spacing w:line="348" w:lineRule="auto" w:before="164"/>
        <w:ind w:right="148" w:firstLine="540"/>
        <w:jc w:val="both"/>
      </w:pPr>
      <w:r>
        <w:rPr>
          <w:rFonts w:ascii="Times New Roman" w:hAnsi="Times New Roman" w:cs="Times New Roman" w:eastAsia="Times New Roman" w:hint="default"/>
          <w:spacing w:val="2"/>
        </w:rPr>
        <w:t>7</w:t>
      </w:r>
      <w:r>
        <w:rPr>
          <w:spacing w:val="2"/>
        </w:rPr>
        <w:t>）孙登义先生，公司董事：曾先后就职于青岛粉末冶金厂、青岛车辆厂、青岛运输车 </w:t>
      </w:r>
      <w:r>
        <w:rPr/>
        <w:t>辆制造厂、颐中青岛运输车辆制造有限公司等，现任本公司董事、亚星置业董事、总经理助</w:t>
      </w:r>
      <w:r>
        <w:rPr>
          <w:spacing w:val="-83"/>
        </w:rPr>
        <w:t> </w:t>
      </w:r>
      <w:r>
        <w:rPr>
          <w:spacing w:val="-83"/>
        </w:rPr>
      </w:r>
      <w:r>
        <w:rPr/>
        <w:t>理。</w:t>
      </w:r>
    </w:p>
    <w:p>
      <w:pPr>
        <w:pStyle w:val="BodyText"/>
        <w:spacing w:line="338" w:lineRule="auto" w:before="164"/>
        <w:ind w:right="151" w:firstLine="540"/>
        <w:jc w:val="both"/>
      </w:pPr>
      <w:r>
        <w:rPr>
          <w:rFonts w:ascii="Times New Roman" w:hAnsi="Times New Roman" w:cs="Times New Roman" w:eastAsia="Times New Roman" w:hint="default"/>
        </w:rPr>
        <w:t>8</w:t>
      </w:r>
      <w:r>
        <w:rPr/>
        <w:t>）王立军先生，公司监事会主席：曾先后担任青岛亚星集团有限公司总裁助理、</w:t>
      </w:r>
      <w:r>
        <w:rPr>
          <w:spacing w:val="-22"/>
        </w:rPr>
        <w:t> </w:t>
      </w:r>
      <w:r>
        <w:rPr/>
        <w:t>青岛</w:t>
      </w:r>
      <w:r>
        <w:rPr>
          <w:spacing w:val="1"/>
        </w:rPr>
        <w:t> </w:t>
      </w:r>
      <w:r>
        <w:rPr/>
        <w:t>海越市政工程有限公司总经理等，现任本公司监事会主席、亚星置业副总经理。</w:t>
      </w:r>
    </w:p>
    <w:p>
      <w:pPr>
        <w:pStyle w:val="BodyText"/>
        <w:spacing w:line="348" w:lineRule="auto" w:before="174"/>
        <w:ind w:right="148" w:firstLine="540"/>
        <w:jc w:val="both"/>
      </w:pPr>
      <w:r>
        <w:rPr>
          <w:rFonts w:ascii="Times New Roman" w:hAnsi="Times New Roman" w:cs="Times New Roman" w:eastAsia="Times New Roman" w:hint="default"/>
          <w:spacing w:val="2"/>
        </w:rPr>
        <w:t>9</w:t>
      </w:r>
      <w:r>
        <w:rPr>
          <w:spacing w:val="2"/>
        </w:rPr>
        <w:t>）张国华先生，公司监事：曾任济南广欣建筑设计事务所所长、济南历城区建筑装饰 </w:t>
      </w:r>
      <w:r>
        <w:rPr/>
        <w:t>公司经理、济南金泰房地产总公司工程副总经理、济南三庆置业集团副总经理，山东莱钢建</w:t>
      </w:r>
      <w:r>
        <w:rPr>
          <w:spacing w:val="-83"/>
        </w:rPr>
        <w:t> </w:t>
      </w:r>
      <w:r>
        <w:rPr>
          <w:spacing w:val="-83"/>
        </w:rPr>
      </w:r>
      <w:r>
        <w:rPr/>
        <w:t>设置业有限公司常务副总经理，现任本公司监事、亚星置业经营总监。</w:t>
      </w:r>
    </w:p>
    <w:p>
      <w:pPr>
        <w:pStyle w:val="BodyText"/>
        <w:spacing w:line="338" w:lineRule="auto" w:before="164"/>
        <w:ind w:right="151" w:firstLine="540"/>
        <w:jc w:val="both"/>
      </w:pPr>
      <w:r>
        <w:rPr>
          <w:rFonts w:ascii="Times New Roman" w:hAnsi="Times New Roman" w:cs="Times New Roman" w:eastAsia="Times New Roman" w:hint="default"/>
          <w:spacing w:val="-1"/>
        </w:rPr>
        <w:t>10</w:t>
      </w:r>
      <w:r>
        <w:rPr>
          <w:spacing w:val="-1"/>
        </w:rPr>
        <w:t>）杨敬业先生，公司监事：曾任青岛海尔房地产开发公司工程部经理、青岛康大房地</w:t>
      </w:r>
      <w:r>
        <w:rPr/>
        <w:t> 产开发公司副总经理、亚星置业工程总监，现任本公司监事、工程总监。</w:t>
      </w:r>
    </w:p>
    <w:p>
      <w:pPr>
        <w:pStyle w:val="BodyText"/>
        <w:spacing w:line="240" w:lineRule="auto" w:before="174"/>
        <w:ind w:left="694" w:right="0"/>
        <w:jc w:val="left"/>
      </w:pPr>
      <w:r>
        <w:rPr>
          <w:rFonts w:ascii="Times New Roman" w:hAnsi="Times New Roman" w:cs="Times New Roman" w:eastAsia="Times New Roman" w:hint="default"/>
        </w:rPr>
        <w:t>3</w:t>
      </w:r>
      <w:r>
        <w:rPr/>
        <w:t>、董事、监事和高级管理人员年度报酬情况</w:t>
      </w:r>
    </w:p>
    <w:p>
      <w:pPr>
        <w:spacing w:line="240" w:lineRule="auto" w:before="6"/>
        <w:rPr>
          <w:rFonts w:ascii="宋体" w:hAnsi="宋体" w:cs="宋体" w:eastAsia="宋体" w:hint="default"/>
          <w:sz w:val="19"/>
          <w:szCs w:val="19"/>
        </w:rPr>
      </w:pPr>
    </w:p>
    <w:p>
      <w:pPr>
        <w:pStyle w:val="BodyText"/>
        <w:spacing w:line="240" w:lineRule="auto" w:before="0"/>
        <w:ind w:left="694" w:right="0"/>
        <w:jc w:val="left"/>
      </w:pPr>
      <w:r>
        <w:rPr>
          <w:rFonts w:ascii="Times New Roman" w:hAnsi="Times New Roman" w:cs="Times New Roman" w:eastAsia="Times New Roman" w:hint="default"/>
          <w:spacing w:val="2"/>
        </w:rPr>
        <w:t>1</w:t>
      </w:r>
      <w:r>
        <w:rPr>
          <w:spacing w:val="2"/>
        </w:rPr>
        <w:t>）公司按照本地区平均津贴水平为参加董事会会议、监事会会议的董事、监事发放津</w:t>
      </w:r>
      <w:r>
        <w:rPr/>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45" w:lineRule="auto" w:before="26"/>
        <w:ind w:left="213" w:right="91"/>
        <w:jc w:val="left"/>
      </w:pPr>
      <w:r>
        <w:rPr>
          <w:spacing w:val="-10"/>
        </w:rPr>
        <w:t>贴。《董事会津贴》已经公司</w:t>
      </w:r>
      <w:r>
        <w:rPr>
          <w:spacing w:val="-3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1"/>
        </w:rPr>
        <w:t> </w:t>
      </w:r>
      <w:r>
        <w:rPr/>
        <w:t>年年度股东大会审议通过。据此，本公司董事会人事提名</w:t>
      </w:r>
      <w:r>
        <w:rPr>
          <w:spacing w:val="-116"/>
        </w:rPr>
        <w:t> </w:t>
      </w:r>
      <w:r>
        <w:rPr/>
        <w:t>及薪酬委员会根据董事、监事、高级管理人员岗位的主要范围、职责、重要性以及其他相关</w:t>
      </w:r>
      <w:r>
        <w:rPr>
          <w:spacing w:val="-83"/>
        </w:rPr>
        <w:t> </w:t>
      </w:r>
      <w:r>
        <w:rPr>
          <w:spacing w:val="-83"/>
        </w:rPr>
      </w:r>
      <w:r>
        <w:rPr/>
        <w:t>企业相关岗位确定薪酬，为更好地实施对高级管理人员的监督与激励机制，公司对公司高级</w:t>
      </w:r>
      <w:r>
        <w:rPr>
          <w:spacing w:val="-83"/>
        </w:rPr>
        <w:t> </w:t>
      </w:r>
      <w:r>
        <w:rPr>
          <w:spacing w:val="-83"/>
        </w:rPr>
      </w:r>
      <w:r>
        <w:rPr/>
        <w:t>管理人员实行年度考评制度。董事津贴按每参加一次董事会，公司向到会董事支付 </w:t>
      </w:r>
      <w:r>
        <w:rPr>
          <w:rFonts w:ascii="Times New Roman" w:hAnsi="Times New Roman" w:cs="Times New Roman" w:eastAsia="Times New Roman" w:hint="default"/>
        </w:rPr>
        <w:t>5,000</w:t>
      </w:r>
      <w:r>
        <w:rPr>
          <w:rFonts w:ascii="Times New Roman" w:hAnsi="Times New Roman" w:cs="Times New Roman" w:eastAsia="Times New Roman" w:hint="default"/>
          <w:spacing w:val="38"/>
        </w:rPr>
        <w:t> </w:t>
      </w:r>
      <w:r>
        <w:rPr/>
        <w:t>元 人民币</w:t>
      </w:r>
      <w:r>
        <w:rPr>
          <w:rFonts w:ascii="Times New Roman" w:hAnsi="Times New Roman" w:cs="Times New Roman" w:eastAsia="Times New Roman" w:hint="default"/>
        </w:rPr>
        <w:t>(</w:t>
      </w:r>
      <w:r>
        <w:rPr/>
        <w:t>税后</w:t>
      </w:r>
      <w:r>
        <w:rPr>
          <w:rFonts w:ascii="Times New Roman" w:hAnsi="Times New Roman" w:cs="Times New Roman" w:eastAsia="Times New Roman" w:hint="default"/>
        </w:rPr>
        <w:t>)</w:t>
      </w:r>
      <w:r>
        <w:rPr/>
        <w:t>，出席公司董事会和股东大会的差旅费以及按公司章程行使职权所发生的费用， 可在公司据实报销。</w:t>
      </w:r>
    </w:p>
    <w:p>
      <w:pPr>
        <w:pStyle w:val="BodyText"/>
        <w:spacing w:line="240" w:lineRule="auto" w:before="167"/>
        <w:ind w:left="754" w:right="91"/>
        <w:jc w:val="left"/>
      </w:pPr>
      <w:r>
        <w:rPr>
          <w:rFonts w:ascii="Times New Roman" w:hAnsi="Times New Roman" w:cs="Times New Roman" w:eastAsia="Times New Roman" w:hint="default"/>
        </w:rPr>
        <w:t>2</w:t>
      </w:r>
      <w:r>
        <w:rPr/>
        <w:t>）因公司正处于重组期间，董监事会</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月进行了换届选举，高级管理人员除总经理外</w:t>
      </w:r>
    </w:p>
    <w:p>
      <w:pPr>
        <w:pStyle w:val="BodyText"/>
        <w:spacing w:line="338" w:lineRule="auto" w:before="134"/>
        <w:ind w:left="214" w:right="219"/>
        <w:jc w:val="left"/>
      </w:pPr>
      <w:r>
        <w:rPr/>
        <w:t>也在</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3"/>
        </w:rPr>
        <w:t>月底进行了重新任命，因此，报告期内，除许亚楠先生外，其他现任董事、监事、高</w:t>
      </w:r>
      <w:r>
        <w:rPr>
          <w:spacing w:val="-118"/>
        </w:rPr>
        <w:t> </w:t>
      </w:r>
      <w:r>
        <w:rPr>
          <w:spacing w:val="-118"/>
        </w:rPr>
      </w:r>
      <w:r>
        <w:rPr/>
        <w:t>级管理人员尚未在公司领薪。</w:t>
      </w:r>
    </w:p>
    <w:p>
      <w:pPr>
        <w:pStyle w:val="BodyText"/>
        <w:spacing w:line="240" w:lineRule="auto" w:before="174"/>
        <w:ind w:left="754" w:right="91"/>
        <w:jc w:val="left"/>
      </w:pPr>
      <w:r>
        <w:rPr>
          <w:rFonts w:ascii="Times New Roman" w:hAnsi="Times New Roman" w:cs="Times New Roman" w:eastAsia="Times New Roman" w:hint="default"/>
        </w:rPr>
        <w:t>4</w:t>
      </w:r>
      <w:r>
        <w:rPr/>
        <w:t>、报告期离任董事、监事及高级管理人员情况</w:t>
      </w:r>
    </w:p>
    <w:p>
      <w:pPr>
        <w:spacing w:line="240" w:lineRule="auto" w:before="4"/>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646"/>
        <w:gridCol w:w="2422"/>
        <w:gridCol w:w="3060"/>
        <w:gridCol w:w="2416"/>
      </w:tblGrid>
      <w:tr>
        <w:trPr>
          <w:trHeight w:val="28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离任日期</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1646" w:type="dxa"/>
            <w:vMerge w:val="restart"/>
            <w:tcBorders>
              <w:top w:val="single" w:sz="4" w:space="0" w:color="000000"/>
              <w:left w:val="single" w:sz="4" w:space="0" w:color="000000"/>
              <w:right w:val="single" w:sz="4" w:space="0" w:color="000000"/>
            </w:tcBorders>
          </w:tcPr>
          <w:p>
            <w:pPr>
              <w:pStyle w:val="TableParagraph"/>
              <w:spacing w:line="240" w:lineRule="auto" w:before="100"/>
              <w:ind w:left="502" w:right="0"/>
              <w:jc w:val="left"/>
              <w:rPr>
                <w:rFonts w:ascii="宋体" w:hAnsi="宋体" w:cs="宋体" w:eastAsia="宋体" w:hint="default"/>
                <w:sz w:val="21"/>
                <w:szCs w:val="21"/>
              </w:rPr>
            </w:pPr>
            <w:r>
              <w:rPr>
                <w:rFonts w:ascii="宋体" w:hAnsi="宋体" w:cs="宋体" w:eastAsia="宋体" w:hint="default"/>
                <w:sz w:val="21"/>
                <w:szCs w:val="21"/>
              </w:rPr>
              <w:t>高海波</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2" w:hRule="exact"/>
        </w:trPr>
        <w:tc>
          <w:tcPr>
            <w:tcW w:w="1646" w:type="dxa"/>
            <w:vMerge/>
            <w:tcBorders>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吴灿军</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胡滨</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辞职</w:t>
            </w:r>
          </w:p>
        </w:tc>
      </w:tr>
      <w:tr>
        <w:trPr>
          <w:trHeight w:val="28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栾伟洁</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张永国</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邓朝晖</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高皓</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张岩</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陈璇</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2"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王晨光</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辞职</w:t>
            </w:r>
          </w:p>
        </w:tc>
      </w:tr>
    </w:tbl>
    <w:p>
      <w:pPr>
        <w:pStyle w:val="BodyText"/>
        <w:spacing w:line="240" w:lineRule="auto" w:before="81"/>
        <w:ind w:left="754" w:right="91"/>
        <w:jc w:val="left"/>
      </w:pPr>
      <w:r>
        <w:rPr/>
        <w:t>（二）公司员工情况</w:t>
      </w:r>
    </w:p>
    <w:p>
      <w:pPr>
        <w:spacing w:line="240" w:lineRule="auto" w:before="11"/>
        <w:rPr>
          <w:rFonts w:ascii="宋体" w:hAnsi="宋体" w:cs="宋体" w:eastAsia="宋体" w:hint="default"/>
          <w:sz w:val="20"/>
          <w:szCs w:val="20"/>
        </w:rPr>
      </w:pPr>
    </w:p>
    <w:p>
      <w:pPr>
        <w:pStyle w:val="BodyText"/>
        <w:spacing w:line="338" w:lineRule="auto" w:before="0"/>
        <w:ind w:left="213" w:right="213" w:firstLine="540"/>
        <w:jc w:val="left"/>
      </w:pPr>
      <w:r>
        <w:rPr/>
        <w:t>截止报告期末，公司员工共计 </w:t>
      </w:r>
      <w:r>
        <w:rPr>
          <w:rFonts w:ascii="Times New Roman" w:hAnsi="Times New Roman" w:cs="Times New Roman" w:eastAsia="Times New Roman" w:hint="default"/>
        </w:rPr>
        <w:t>42</w:t>
      </w:r>
      <w:r>
        <w:rPr>
          <w:rFonts w:ascii="Times New Roman" w:hAnsi="Times New Roman" w:cs="Times New Roman" w:eastAsia="Times New Roman" w:hint="default"/>
          <w:spacing w:val="38"/>
        </w:rPr>
        <w:t> </w:t>
      </w:r>
      <w:r>
        <w:rPr/>
        <w:t>人。公司执行深圳市、青岛市和兖州市的社会保险制 度，无需承担离退休员工的费用。</w:t>
      </w:r>
    </w:p>
    <w:p>
      <w:pPr>
        <w:spacing w:line="240" w:lineRule="auto" w:before="2"/>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282" w:hRule="exact"/>
        </w:trPr>
        <w:tc>
          <w:tcPr>
            <w:tcW w:w="9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按专业构成分</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26"/>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12</w:t>
            </w:r>
          </w:p>
        </w:tc>
      </w:tr>
      <w:tr>
        <w:trPr>
          <w:trHeight w:val="28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工程人员</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15</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8</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营销人员</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其他人员</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6</w:t>
            </w:r>
          </w:p>
        </w:tc>
      </w:tr>
      <w:tr>
        <w:trPr>
          <w:trHeight w:val="282" w:hRule="exact"/>
        </w:trPr>
        <w:tc>
          <w:tcPr>
            <w:tcW w:w="9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按教育程度分</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26"/>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大本及以上</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19</w:t>
            </w:r>
          </w:p>
        </w:tc>
      </w:tr>
      <w:tr>
        <w:trPr>
          <w:trHeight w:val="28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8</w:t>
            </w:r>
          </w:p>
        </w:tc>
      </w:tr>
    </w:tbl>
    <w:p>
      <w:pPr>
        <w:spacing w:after="0" w:line="240" w:lineRule="exact"/>
        <w:jc w:val="center"/>
        <w:rPr>
          <w:rFonts w:ascii="Times New Roman" w:hAnsi="Times New Roman" w:cs="Times New Roman" w:eastAsia="Times New Roman" w:hint="default"/>
          <w:sz w:val="21"/>
          <w:szCs w:val="21"/>
        </w:rPr>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pStyle w:val="Heading1"/>
        <w:tabs>
          <w:tab w:pos="1287" w:val="left" w:leader="none"/>
        </w:tabs>
        <w:spacing w:line="240" w:lineRule="auto"/>
        <w:ind w:left="2" w:right="0"/>
        <w:jc w:val="center"/>
        <w:rPr>
          <w:b w:val="0"/>
          <w:bCs w:val="0"/>
        </w:rPr>
      </w:pPr>
      <w:bookmarkStart w:name="_TOC_250006" w:id="6"/>
      <w:r>
        <w:rPr>
          <w:w w:val="95"/>
        </w:rPr>
        <w:t>第六章</w:t>
        <w:tab/>
      </w:r>
      <w:r>
        <w:rPr/>
        <w:t>公司治理结构</w:t>
      </w:r>
      <w:bookmarkEnd w:id="6"/>
      <w:r>
        <w:rPr>
          <w:b w:val="0"/>
          <w:bCs w:val="0"/>
        </w:rPr>
      </w:r>
    </w:p>
    <w:p>
      <w:pPr>
        <w:spacing w:line="240" w:lineRule="auto" w:before="0"/>
        <w:rPr>
          <w:rFonts w:ascii="宋体" w:hAnsi="宋体" w:cs="宋体" w:eastAsia="宋体" w:hint="default"/>
          <w:b/>
          <w:bCs/>
          <w:sz w:val="20"/>
          <w:szCs w:val="20"/>
        </w:rPr>
      </w:pPr>
    </w:p>
    <w:p>
      <w:pPr>
        <w:pStyle w:val="BodyText"/>
        <w:spacing w:line="448" w:lineRule="auto" w:before="196"/>
        <w:ind w:left="693" w:right="0"/>
        <w:jc w:val="left"/>
      </w:pPr>
      <w:r>
        <w:rPr/>
        <w:t>（一）公司内部治理情况 </w:t>
      </w:r>
      <w:r>
        <w:rPr>
          <w:spacing w:val="-13"/>
        </w:rPr>
        <w:t>自重组以来，公司一直把法人治理工作做为一项长期首要任务来抓，按照《公司法》、《证</w:t>
      </w:r>
      <w:r>
        <w:rPr/>
      </w:r>
    </w:p>
    <w:p>
      <w:pPr>
        <w:pStyle w:val="BodyText"/>
        <w:spacing w:line="258" w:lineRule="exact" w:before="0"/>
        <w:ind w:right="0"/>
        <w:jc w:val="both"/>
      </w:pPr>
      <w:r>
        <w:rPr>
          <w:spacing w:val="1"/>
        </w:rPr>
        <w:t>券法</w:t>
      </w:r>
      <w:r>
        <w:rPr>
          <w:spacing w:val="-119"/>
        </w:rPr>
        <w:t>》、</w:t>
      </w:r>
      <w:r>
        <w:rPr>
          <w:spacing w:val="1"/>
        </w:rPr>
        <w:t>《上市公司治理准则》等国家有关法</w:t>
      </w:r>
      <w:r>
        <w:rPr>
          <w:spacing w:val="-1"/>
        </w:rPr>
        <w:t>律</w:t>
      </w:r>
      <w:r>
        <w:rPr>
          <w:spacing w:val="1"/>
        </w:rPr>
        <w:t>、行政法规要求，不断完善公司的法人治理结</w:t>
      </w:r>
      <w:r>
        <w:rPr/>
      </w:r>
    </w:p>
    <w:p>
      <w:pPr>
        <w:pStyle w:val="BodyText"/>
        <w:spacing w:line="448" w:lineRule="auto" w:before="152"/>
        <w:ind w:left="694" w:right="148" w:hanging="540"/>
        <w:jc w:val="left"/>
      </w:pPr>
      <w:r>
        <w:rPr/>
        <w:t>构，建立健全现代企业制度，规范公司运作，提升公司治理水平。 </w:t>
      </w:r>
      <w:r>
        <w:rPr>
          <w:spacing w:val="-1"/>
        </w:rPr>
        <w:t>报告期内，公司股东大会、董事会、监事会和经理层能够严格按照《公司法》、《证券</w:t>
      </w:r>
    </w:p>
    <w:p>
      <w:pPr>
        <w:pStyle w:val="BodyText"/>
        <w:spacing w:line="258" w:lineRule="exact" w:before="0"/>
        <w:ind w:right="0"/>
        <w:jc w:val="both"/>
      </w:pPr>
      <w:r>
        <w:rPr/>
        <w:t>法》、《上市公司治理准则》及深圳证券交易所《股票上市规则》和《公司章程》、《股东</w:t>
      </w:r>
    </w:p>
    <w:p>
      <w:pPr>
        <w:pStyle w:val="BodyText"/>
        <w:spacing w:line="357" w:lineRule="auto" w:before="152"/>
        <w:ind w:right="148"/>
        <w:jc w:val="both"/>
      </w:pPr>
      <w:r>
        <w:rPr/>
        <w:t>大会议事规则》、《董事会议事规则》、《监事会议事规则》等相关法律法规和管理制度规</w:t>
      </w:r>
      <w:r>
        <w:rPr>
          <w:spacing w:val="-83"/>
        </w:rPr>
        <w:t> </w:t>
      </w:r>
      <w:r>
        <w:rPr>
          <w:spacing w:val="-83"/>
        </w:rPr>
      </w:r>
      <w:r>
        <w:rPr/>
        <w:t>范运作，与中国证监会颁布的《上市公司治理准则》及相关规范性文件相对照，目前公司治</w:t>
      </w:r>
      <w:r>
        <w:rPr>
          <w:spacing w:val="-83"/>
        </w:rPr>
        <w:t> </w:t>
      </w:r>
      <w:r>
        <w:rPr>
          <w:spacing w:val="-83"/>
        </w:rPr>
      </w:r>
      <w:r>
        <w:rPr/>
        <w:t>理的实际情况如下：</w:t>
      </w:r>
    </w:p>
    <w:p>
      <w:pPr>
        <w:pStyle w:val="BodyText"/>
        <w:spacing w:line="357" w:lineRule="auto" w:before="155"/>
        <w:ind w:right="148" w:firstLine="540"/>
        <w:jc w:val="both"/>
      </w:pPr>
      <w:r>
        <w:rPr>
          <w:spacing w:val="2"/>
        </w:rPr>
        <w:t>1、股东和股东大会：本公司严格按照《公司章程》、《股东大会议事规则》的规定履 </w:t>
      </w:r>
      <w:r>
        <w:rPr/>
        <w:t>行股东大会职能，确保股东大会以公正、公开的方式作出决议，最大限度地保护股东权益。</w:t>
      </w:r>
      <w:r>
        <w:rPr>
          <w:spacing w:val="-83"/>
        </w:rPr>
        <w:t> </w:t>
      </w:r>
      <w:r>
        <w:rPr>
          <w:spacing w:val="-83"/>
        </w:rPr>
      </w:r>
      <w:r>
        <w:rPr/>
        <w:t>在合法、有效的前提下，通过各种方式和途径，包括充分运用现代信息技术手段，扩大股东</w:t>
      </w:r>
      <w:r>
        <w:rPr>
          <w:spacing w:val="-83"/>
        </w:rPr>
        <w:t> </w:t>
      </w:r>
      <w:r>
        <w:rPr>
          <w:spacing w:val="-83"/>
        </w:rPr>
      </w:r>
      <w:r>
        <w:rPr/>
        <w:t>参与股东大会的比例，确保股东对法律、行政法规所规定的公司重大事项享有知情权和参与</w:t>
      </w:r>
      <w:r>
        <w:rPr>
          <w:spacing w:val="-83"/>
        </w:rPr>
        <w:t> </w:t>
      </w:r>
      <w:r>
        <w:rPr>
          <w:spacing w:val="-83"/>
        </w:rPr>
      </w:r>
      <w:r>
        <w:rPr/>
        <w:t>决定权。</w:t>
      </w:r>
    </w:p>
    <w:p>
      <w:pPr>
        <w:pStyle w:val="BodyText"/>
        <w:spacing w:line="357" w:lineRule="auto" w:before="155"/>
        <w:ind w:right="148" w:firstLine="540"/>
        <w:jc w:val="both"/>
      </w:pPr>
      <w:r>
        <w:rPr>
          <w:spacing w:val="2"/>
        </w:rPr>
        <w:t>2、控股股东和上市公司：公司与第一大股东及其关联方之间能够做到规范运作，第一 </w:t>
      </w:r>
      <w:r>
        <w:rPr/>
        <w:t>大股东通过股东大会依法行使出资人的权力，没有超越公司股东大会直接或间接干预公司的</w:t>
      </w:r>
      <w:r>
        <w:rPr>
          <w:spacing w:val="-83"/>
        </w:rPr>
        <w:t> </w:t>
      </w:r>
      <w:r>
        <w:rPr>
          <w:spacing w:val="-83"/>
        </w:rPr>
      </w:r>
      <w:r>
        <w:rPr/>
        <w:t>决策和经营活动的行为。公司与第一大股东之间在业务、人员、资产、机构、财务方面能够</w:t>
      </w:r>
      <w:r>
        <w:rPr>
          <w:spacing w:val="-83"/>
        </w:rPr>
        <w:t> </w:t>
      </w:r>
      <w:r>
        <w:rPr>
          <w:spacing w:val="-83"/>
        </w:rPr>
      </w:r>
      <w:r>
        <w:rPr/>
        <w:t>做到“五分开”。</w:t>
      </w:r>
    </w:p>
    <w:p>
      <w:pPr>
        <w:pStyle w:val="BodyText"/>
        <w:spacing w:line="357" w:lineRule="auto" w:before="155"/>
        <w:ind w:right="148" w:firstLine="540"/>
        <w:jc w:val="both"/>
      </w:pPr>
      <w:r>
        <w:rPr>
          <w:spacing w:val="2"/>
        </w:rPr>
        <w:t>3、董事和董事会：公司董事会按照《公司章程》和《董事会议事规则》开展工作，公 </w:t>
      </w:r>
      <w:r>
        <w:rPr/>
        <w:t>司董事以认真负责和诚信勤勉的态度切实履行《公司章程》赋予的权力和职责，积极出席董</w:t>
      </w:r>
      <w:r>
        <w:rPr>
          <w:spacing w:val="-83"/>
        </w:rPr>
        <w:t> </w:t>
      </w:r>
      <w:r>
        <w:rPr>
          <w:spacing w:val="-83"/>
        </w:rPr>
      </w:r>
      <w:r>
        <w:rPr/>
        <w:t>事会会议，并积极参加相关培训，依法行使权利。公司独立董事能够按照《独立董事工作制</w:t>
      </w:r>
      <w:r>
        <w:rPr>
          <w:spacing w:val="-83"/>
        </w:rPr>
        <w:t> </w:t>
      </w:r>
      <w:r>
        <w:rPr>
          <w:spacing w:val="-83"/>
        </w:rPr>
      </w:r>
      <w:r>
        <w:rPr/>
        <w:t>度》及其他相关制度，认真出席董事会会议，独立履行职责。</w:t>
      </w:r>
    </w:p>
    <w:p>
      <w:pPr>
        <w:pStyle w:val="BodyText"/>
        <w:spacing w:line="357" w:lineRule="auto" w:before="155"/>
        <w:ind w:right="148" w:firstLine="540"/>
        <w:jc w:val="both"/>
      </w:pPr>
      <w:r>
        <w:rPr>
          <w:spacing w:val="2"/>
        </w:rPr>
        <w:t>4、监事和监事会：公司严格按照《公司法》、《公司章程》等的有关规定产生监事， </w:t>
      </w:r>
      <w:r>
        <w:rPr/>
        <w:t>监事会的人数及构成符合法律、法规的要求。公司监事能认真履行职责，能够本着对股东负</w:t>
      </w:r>
      <w:r>
        <w:rPr>
          <w:spacing w:val="-83"/>
        </w:rPr>
        <w:t> </w:t>
      </w:r>
      <w:r>
        <w:rPr>
          <w:spacing w:val="-83"/>
        </w:rPr>
      </w:r>
      <w:r>
        <w:rPr/>
        <w:t>责的精神，独立有效地行使监督和检查职能，对公司经营决策、关联交易、重大事项、公司</w:t>
      </w:r>
      <w:r>
        <w:rPr>
          <w:spacing w:val="-83"/>
        </w:rPr>
        <w:t> </w:t>
      </w:r>
      <w:r>
        <w:rPr>
          <w:spacing w:val="-83"/>
        </w:rPr>
      </w:r>
      <w:r>
        <w:rPr/>
        <w:t>财务及依法运作情况和董事、高管人员履行职责的合法性、合规性进行有效监督。</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3" w:right="93" w:firstLine="540"/>
        <w:jc w:val="left"/>
      </w:pPr>
      <w:r>
        <w:rPr>
          <w:spacing w:val="2"/>
        </w:rPr>
        <w:t>5、绩效评价与激励约束机制：鉴于报告期内公司正进行重大资产重组，因此尚未建立 </w:t>
      </w:r>
      <w:r>
        <w:rPr/>
        <w:t>董事、监事及高级管理人员绩效评价标准与激励约束机制。</w:t>
      </w:r>
    </w:p>
    <w:p>
      <w:pPr>
        <w:pStyle w:val="BodyText"/>
        <w:spacing w:line="357" w:lineRule="auto" w:before="155"/>
        <w:ind w:left="153" w:right="93" w:firstLine="540"/>
        <w:jc w:val="left"/>
      </w:pPr>
      <w:r>
        <w:rPr>
          <w:spacing w:val="2"/>
        </w:rPr>
        <w:t>6、相关利益者：公司充分尊重和维护相关利益者的合法权益，实现社会、债权人、股 </w:t>
      </w:r>
      <w:r>
        <w:rPr/>
        <w:t>东、公司、员工等各方利益的协调平衡，共同推动公司持续、稳健发展。</w:t>
      </w:r>
    </w:p>
    <w:p>
      <w:pPr>
        <w:pStyle w:val="BodyText"/>
        <w:spacing w:line="240" w:lineRule="auto" w:before="155"/>
        <w:ind w:left="693" w:right="0"/>
        <w:jc w:val="left"/>
      </w:pPr>
      <w:r>
        <w:rPr>
          <w:spacing w:val="-7"/>
        </w:rPr>
        <w:t>7、关于信息披露与透明度：公司按照《上海证券交易所股票上市规则》、《公司章程》、</w:t>
      </w:r>
    </w:p>
    <w:p>
      <w:pPr>
        <w:pStyle w:val="BodyText"/>
        <w:spacing w:line="357" w:lineRule="auto" w:before="152"/>
        <w:ind w:left="153" w:right="228"/>
        <w:jc w:val="both"/>
      </w:pPr>
      <w:r>
        <w:rPr/>
        <w:t>《公司信息披露管理制度》等规定，设立专门机构并配备了相应人员，依法履行信息披露义</w:t>
      </w:r>
      <w:r>
        <w:rPr>
          <w:spacing w:val="-83"/>
        </w:rPr>
        <w:t> </w:t>
      </w:r>
      <w:r>
        <w:rPr>
          <w:spacing w:val="-83"/>
        </w:rPr>
      </w:r>
      <w:r>
        <w:rPr/>
        <w:t>务，确保信息披露真实、及时、准确、完整。同时，不断增加公司的透明度，确保所有股东</w:t>
      </w:r>
      <w:r>
        <w:rPr>
          <w:spacing w:val="-83"/>
        </w:rPr>
        <w:t> </w:t>
      </w:r>
      <w:r>
        <w:rPr>
          <w:spacing w:val="-83"/>
        </w:rPr>
      </w:r>
      <w:r>
        <w:rPr/>
        <w:t>有平等的机会获得公司应披露的信息。</w:t>
      </w:r>
    </w:p>
    <w:p>
      <w:pPr>
        <w:pStyle w:val="BodyText"/>
        <w:spacing w:line="240" w:lineRule="auto" w:before="156"/>
        <w:ind w:left="693" w:right="93"/>
        <w:jc w:val="left"/>
      </w:pPr>
      <w:r>
        <w:rPr/>
        <w:t>（二）公司治理专项活动的开展情况</w:t>
      </w:r>
    </w:p>
    <w:p>
      <w:pPr>
        <w:spacing w:line="240" w:lineRule="auto" w:before="11"/>
        <w:rPr>
          <w:rFonts w:ascii="宋体" w:hAnsi="宋体" w:cs="宋体" w:eastAsia="宋体" w:hint="default"/>
          <w:sz w:val="20"/>
          <w:szCs w:val="20"/>
        </w:rPr>
      </w:pPr>
    </w:p>
    <w:p>
      <w:pPr>
        <w:pStyle w:val="BodyText"/>
        <w:spacing w:line="357" w:lineRule="auto" w:before="0"/>
        <w:ind w:left="153" w:right="105" w:firstLine="540"/>
        <w:jc w:val="left"/>
      </w:pPr>
      <w:r>
        <w:rPr/>
        <w:t>2009 年 8 月 18</w:t>
      </w:r>
      <w:r>
        <w:rPr>
          <w:spacing w:val="69"/>
        </w:rPr>
        <w:t> </w:t>
      </w:r>
      <w:r>
        <w:rPr>
          <w:spacing w:val="14"/>
        </w:rPr>
        <w:t>日，中国证券监督管理委员会深圳监管局向公司下发了深证局发</w:t>
      </w:r>
      <w:r>
        <w:rPr>
          <w:spacing w:val="14"/>
        </w:rPr>
        <w:t> </w:t>
      </w:r>
      <w:r>
        <w:rPr/>
        <w:t>[2009]310</w:t>
      </w:r>
      <w:r>
        <w:rPr>
          <w:spacing w:val="-34"/>
        </w:rPr>
        <w:t> </w:t>
      </w:r>
      <w:r>
        <w:rPr>
          <w:spacing w:val="-20"/>
        </w:rPr>
        <w:t>号《关于责令深圳大通实业股份有限公司整改的通知》（以下简称“《整改通知》”）。</w:t>
      </w:r>
      <w:r>
        <w:rPr>
          <w:spacing w:val="-114"/>
        </w:rPr>
        <w:t> </w:t>
      </w:r>
      <w:r>
        <w:rPr>
          <w:spacing w:val="-114"/>
        </w:rPr>
      </w:r>
      <w:r>
        <w:rPr/>
        <w:t>收到《整改通知》后，公司对《整改通知》中所列事项进行了认真的核查，并迅速启动整改</w:t>
      </w:r>
      <w:r>
        <w:rPr>
          <w:spacing w:val="-83"/>
        </w:rPr>
        <w:t> </w:t>
      </w:r>
      <w:r>
        <w:rPr>
          <w:spacing w:val="-83"/>
        </w:rPr>
      </w:r>
      <w:r>
        <w:rPr/>
        <w:t>实施工作，按照《整改通知》的要求，本着实事求是的原则，进行了认真整改，取得了很大</w:t>
      </w:r>
      <w:r>
        <w:rPr>
          <w:spacing w:val="-83"/>
        </w:rPr>
        <w:t> </w:t>
      </w:r>
      <w:r>
        <w:rPr>
          <w:spacing w:val="-83"/>
        </w:rPr>
      </w:r>
      <w:r>
        <w:rPr/>
        <w:t>成效。具体情况如下：</w:t>
      </w:r>
    </w:p>
    <w:p>
      <w:pPr>
        <w:pStyle w:val="BodyText"/>
        <w:spacing w:line="240" w:lineRule="auto" w:before="155"/>
        <w:ind w:left="693" w:right="93"/>
        <w:jc w:val="left"/>
      </w:pPr>
      <w:r>
        <w:rPr/>
        <w:t>1、董事会不能正常运作，治理结构存在严重缺陷</w:t>
      </w:r>
    </w:p>
    <w:p>
      <w:pPr>
        <w:spacing w:line="240" w:lineRule="auto" w:before="11"/>
        <w:rPr>
          <w:rFonts w:ascii="宋体" w:hAnsi="宋体" w:cs="宋体" w:eastAsia="宋体" w:hint="default"/>
          <w:sz w:val="20"/>
          <w:szCs w:val="20"/>
        </w:rPr>
      </w:pPr>
    </w:p>
    <w:p>
      <w:pPr>
        <w:pStyle w:val="BodyText"/>
        <w:spacing w:line="240" w:lineRule="auto" w:before="0"/>
        <w:ind w:left="693" w:right="93"/>
        <w:jc w:val="left"/>
      </w:pPr>
      <w:r>
        <w:rPr/>
        <w:t>1）《整改通知》中指出：你公司董事会由 7</w:t>
      </w:r>
      <w:r>
        <w:rPr>
          <w:spacing w:val="-22"/>
        </w:rPr>
        <w:t> </w:t>
      </w:r>
      <w:r>
        <w:rPr/>
        <w:t>名董事组成，但目前多名董事均不能正常</w:t>
      </w:r>
    </w:p>
    <w:p>
      <w:pPr>
        <w:pStyle w:val="BodyText"/>
        <w:spacing w:line="240" w:lineRule="auto" w:before="152"/>
        <w:ind w:left="153" w:right="0"/>
        <w:jc w:val="both"/>
      </w:pPr>
      <w:r>
        <w:rPr>
          <w:spacing w:val="-3"/>
        </w:rPr>
        <w:t>履职，董事会不能正常运作。你公司法定代表人、董事长高海波自</w:t>
      </w:r>
      <w:r>
        <w:rPr>
          <w:spacing w:val="-60"/>
        </w:rPr>
        <w:t> </w:t>
      </w:r>
      <w:r>
        <w:rPr/>
        <w:t>2009</w:t>
      </w:r>
      <w:r>
        <w:rPr>
          <w:spacing w:val="-60"/>
        </w:rPr>
        <w:t> </w:t>
      </w:r>
      <w:r>
        <w:rPr/>
        <w:t>年</w:t>
      </w:r>
      <w:r>
        <w:rPr>
          <w:spacing w:val="-60"/>
        </w:rPr>
        <w:t> </w:t>
      </w:r>
      <w:r>
        <w:rPr/>
        <w:t>2</w:t>
      </w:r>
      <w:r>
        <w:rPr>
          <w:spacing w:val="-60"/>
        </w:rPr>
        <w:t> </w:t>
      </w:r>
      <w:r>
        <w:rPr/>
        <w:t>月起多次向董事</w:t>
      </w:r>
    </w:p>
    <w:p>
      <w:pPr>
        <w:pStyle w:val="BodyText"/>
        <w:spacing w:line="240" w:lineRule="auto" w:before="152"/>
        <w:ind w:left="153" w:right="0"/>
        <w:jc w:val="both"/>
      </w:pPr>
      <w:r>
        <w:rPr/>
        <w:t>会提出口头辞职请求，现已无法取得联系。独立董事栾伟洁先后于</w:t>
      </w:r>
      <w:r>
        <w:rPr>
          <w:spacing w:val="-54"/>
        </w:rPr>
        <w:t> </w:t>
      </w:r>
      <w:r>
        <w:rPr/>
        <w:t>2007</w:t>
      </w:r>
      <w:r>
        <w:rPr>
          <w:spacing w:val="-54"/>
        </w:rPr>
        <w:t> </w:t>
      </w:r>
      <w:r>
        <w:rPr/>
        <w:t>年</w:t>
      </w:r>
      <w:r>
        <w:rPr>
          <w:spacing w:val="-54"/>
        </w:rPr>
        <w:t> </w:t>
      </w:r>
      <w:r>
        <w:rPr/>
        <w:t>12</w:t>
      </w:r>
      <w:r>
        <w:rPr>
          <w:spacing w:val="-53"/>
        </w:rPr>
        <w:t> </w:t>
      </w:r>
      <w:r>
        <w:rPr/>
        <w:t>月、2008</w:t>
      </w:r>
      <w:r>
        <w:rPr>
          <w:spacing w:val="-54"/>
        </w:rPr>
        <w:t> </w:t>
      </w:r>
      <w:r>
        <w:rPr/>
        <w:t>年</w:t>
      </w:r>
      <w:r>
        <w:rPr>
          <w:spacing w:val="-54"/>
        </w:rPr>
        <w:t> </w:t>
      </w:r>
      <w:r>
        <w:rPr/>
        <w:t>9</w:t>
      </w:r>
    </w:p>
    <w:p>
      <w:pPr>
        <w:pStyle w:val="BodyText"/>
        <w:spacing w:line="357" w:lineRule="auto" w:before="152"/>
        <w:ind w:left="153" w:right="231"/>
        <w:jc w:val="both"/>
      </w:pPr>
      <w:r>
        <w:rPr/>
        <w:t>月多次向董事会提出书面辞职报告，独立董事邓朝晖于</w:t>
      </w:r>
      <w:r>
        <w:rPr>
          <w:spacing w:val="-51"/>
        </w:rPr>
        <w:t> </w:t>
      </w:r>
      <w:r>
        <w:rPr/>
        <w:t>2008</w:t>
      </w:r>
      <w:r>
        <w:rPr>
          <w:spacing w:val="-51"/>
        </w:rPr>
        <w:t> </w:t>
      </w:r>
      <w:r>
        <w:rPr/>
        <w:t>年</w:t>
      </w:r>
      <w:r>
        <w:rPr>
          <w:spacing w:val="-51"/>
        </w:rPr>
        <w:t> </w:t>
      </w:r>
      <w:r>
        <w:rPr/>
        <w:t>11</w:t>
      </w:r>
      <w:r>
        <w:rPr>
          <w:spacing w:val="-51"/>
        </w:rPr>
        <w:t> </w:t>
      </w:r>
      <w:r>
        <w:rPr/>
        <w:t>月向董事会提出书面辞职</w:t>
      </w:r>
      <w:r>
        <w:rPr/>
        <w:t> 报告。上述董事多次缺席 2008 年、2009</w:t>
      </w:r>
      <w:r>
        <w:rPr>
          <w:spacing w:val="-84"/>
        </w:rPr>
        <w:t> </w:t>
      </w:r>
      <w:r>
        <w:rPr/>
        <w:t>年召开的董事会。此外，你公司董事会各专门委员</w:t>
      </w:r>
      <w:r>
        <w:rPr/>
        <w:t> 会运作均处于瘫痪状态。</w:t>
      </w:r>
    </w:p>
    <w:p>
      <w:pPr>
        <w:pStyle w:val="BodyText"/>
        <w:spacing w:line="357" w:lineRule="auto" w:before="155"/>
        <w:ind w:left="153" w:right="95" w:firstLine="540"/>
        <w:jc w:val="left"/>
      </w:pPr>
      <w:r>
        <w:rPr/>
        <w:t>整改措施及结果：公司董事会已于</w:t>
      </w:r>
      <w:r>
        <w:rPr>
          <w:spacing w:val="-64"/>
        </w:rPr>
        <w:t> </w:t>
      </w:r>
      <w:r>
        <w:rPr/>
        <w:t>2009</w:t>
      </w:r>
      <w:r>
        <w:rPr>
          <w:spacing w:val="-64"/>
        </w:rPr>
        <w:t> </w:t>
      </w:r>
      <w:r>
        <w:rPr/>
        <w:t>年</w:t>
      </w:r>
      <w:r>
        <w:rPr>
          <w:spacing w:val="-64"/>
        </w:rPr>
        <w:t> </w:t>
      </w:r>
      <w:r>
        <w:rPr/>
        <w:t>12</w:t>
      </w:r>
      <w:r>
        <w:rPr>
          <w:spacing w:val="-64"/>
        </w:rPr>
        <w:t> </w:t>
      </w:r>
      <w:r>
        <w:rPr/>
        <w:t>月</w:t>
      </w:r>
      <w:r>
        <w:rPr>
          <w:spacing w:val="-64"/>
        </w:rPr>
        <w:t> </w:t>
      </w:r>
      <w:r>
        <w:rPr/>
        <w:t>25</w:t>
      </w:r>
      <w:r>
        <w:rPr>
          <w:spacing w:val="-64"/>
        </w:rPr>
        <w:t> </w:t>
      </w:r>
      <w:r>
        <w:rPr/>
        <w:t>日换届，选举出了新一届的董事会，</w:t>
      </w:r>
      <w:r>
        <w:rPr/>
        <w:t> 组成了新的各专门委员会，并由许亚楠先生担任公司的法定代表人。公司新任法定代表人及</w:t>
      </w:r>
      <w:r>
        <w:rPr>
          <w:spacing w:val="-83"/>
        </w:rPr>
        <w:t> </w:t>
      </w:r>
      <w:r>
        <w:rPr>
          <w:spacing w:val="-83"/>
        </w:rPr>
      </w:r>
      <w:r>
        <w:rPr/>
        <w:t>新任董事均能够正常履职，董事会和各专门委员会运作正常。</w:t>
      </w:r>
    </w:p>
    <w:p>
      <w:pPr>
        <w:pStyle w:val="BodyText"/>
        <w:spacing w:line="357" w:lineRule="auto" w:before="156"/>
        <w:ind w:left="153" w:right="228" w:firstLine="540"/>
        <w:jc w:val="both"/>
      </w:pPr>
      <w:r>
        <w:rPr>
          <w:spacing w:val="2"/>
        </w:rPr>
        <w:t>2）《整改通知》中指出：对于审核公司定期报告、变更经营范围、修改公司章程、审 </w:t>
      </w:r>
      <w:r>
        <w:rPr/>
        <w:t>核非公开发行股份购买资产等重大事项，你公司董事会均以通讯方式召开，无法保证董事充</w:t>
      </w:r>
      <w:r>
        <w:rPr>
          <w:spacing w:val="-83"/>
        </w:rPr>
        <w:t> </w:t>
      </w:r>
      <w:r>
        <w:rPr>
          <w:spacing w:val="-83"/>
        </w:rPr>
      </w:r>
      <w:r>
        <w:rPr/>
        <w:t>分行使职权，并保障监事的知情权和监督权。如</w:t>
      </w:r>
      <w:r>
        <w:rPr>
          <w:spacing w:val="-54"/>
        </w:rPr>
        <w:t> </w:t>
      </w:r>
      <w:r>
        <w:rPr/>
        <w:t>2009</w:t>
      </w:r>
      <w:r>
        <w:rPr>
          <w:spacing w:val="-54"/>
        </w:rPr>
        <w:t> </w:t>
      </w:r>
      <w:r>
        <w:rPr/>
        <w:t>年</w:t>
      </w:r>
      <w:r>
        <w:rPr>
          <w:spacing w:val="-53"/>
        </w:rPr>
        <w:t> </w:t>
      </w:r>
      <w:r>
        <w:rPr/>
        <w:t>7</w:t>
      </w:r>
      <w:r>
        <w:rPr>
          <w:spacing w:val="-54"/>
        </w:rPr>
        <w:t> </w:t>
      </w:r>
      <w:r>
        <w:rPr/>
        <w:t>月</w:t>
      </w:r>
      <w:r>
        <w:rPr>
          <w:spacing w:val="-54"/>
        </w:rPr>
        <w:t> </w:t>
      </w:r>
      <w:r>
        <w:rPr/>
        <w:t>27</w:t>
      </w:r>
      <w:r>
        <w:rPr>
          <w:spacing w:val="-54"/>
        </w:rPr>
        <w:t> </w:t>
      </w:r>
      <w:r>
        <w:rPr/>
        <w:t>日，你公司董事会、监事会</w:t>
      </w:r>
    </w:p>
    <w:p>
      <w:pPr>
        <w:pStyle w:val="BodyText"/>
        <w:spacing w:line="240" w:lineRule="auto"/>
        <w:ind w:left="153" w:right="0"/>
        <w:jc w:val="both"/>
      </w:pPr>
      <w:r>
        <w:rPr/>
        <w:t>审议公司 2009</w:t>
      </w:r>
      <w:r>
        <w:rPr>
          <w:spacing w:val="19"/>
        </w:rPr>
        <w:t> </w:t>
      </w:r>
      <w:r>
        <w:rPr/>
        <w:t>年半年度报告及半年度报告摘要和非公开发行股票等重大事项时均以通讯方</w:t>
      </w:r>
    </w:p>
    <w:p>
      <w:pPr>
        <w:spacing w:after="0" w:line="240"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17"/>
        <w:jc w:val="left"/>
      </w:pPr>
      <w:r>
        <w:rPr/>
        <w:t>式召开，公司董事会</w:t>
      </w:r>
      <w:r>
        <w:rPr>
          <w:spacing w:val="-63"/>
        </w:rPr>
        <w:t> </w:t>
      </w:r>
      <w:r>
        <w:rPr/>
        <w:t>7</w:t>
      </w:r>
      <w:r>
        <w:rPr>
          <w:spacing w:val="-63"/>
        </w:rPr>
        <w:t> </w:t>
      </w:r>
      <w:r>
        <w:rPr/>
        <w:t>名董事中只有</w:t>
      </w:r>
      <w:r>
        <w:rPr>
          <w:spacing w:val="-63"/>
        </w:rPr>
        <w:t> </w:t>
      </w:r>
      <w:r>
        <w:rPr/>
        <w:t>4</w:t>
      </w:r>
      <w:r>
        <w:rPr>
          <w:spacing w:val="-63"/>
        </w:rPr>
        <w:t> </w:t>
      </w:r>
      <w:r>
        <w:rPr/>
        <w:t>名参加，监事会</w:t>
      </w:r>
      <w:r>
        <w:rPr>
          <w:spacing w:val="-63"/>
        </w:rPr>
        <w:t> </w:t>
      </w:r>
      <w:r>
        <w:rPr/>
        <w:t>3</w:t>
      </w:r>
      <w:r>
        <w:rPr>
          <w:spacing w:val="-63"/>
        </w:rPr>
        <w:t> </w:t>
      </w:r>
      <w:r>
        <w:rPr/>
        <w:t>名监事中只有</w:t>
      </w:r>
      <w:r>
        <w:rPr>
          <w:spacing w:val="-63"/>
        </w:rPr>
        <w:t> </w:t>
      </w:r>
      <w:r>
        <w:rPr/>
        <w:t>2</w:t>
      </w:r>
      <w:r>
        <w:rPr>
          <w:spacing w:val="-63"/>
        </w:rPr>
        <w:t> </w:t>
      </w:r>
      <w:r>
        <w:rPr/>
        <w:t>名参加。公司</w:t>
      </w:r>
      <w:r>
        <w:rPr>
          <w:spacing w:val="-63"/>
        </w:rPr>
        <w:t> </w:t>
      </w:r>
      <w:r>
        <w:rPr/>
        <w:t>2009</w:t>
      </w:r>
      <w:r>
        <w:rPr/>
        <w:t> 年半年度会计报表无法定代表人签名。</w:t>
      </w:r>
    </w:p>
    <w:p>
      <w:pPr>
        <w:pStyle w:val="BodyText"/>
        <w:spacing w:line="357" w:lineRule="auto" w:before="155"/>
        <w:ind w:left="153" w:right="228" w:firstLine="540"/>
        <w:jc w:val="both"/>
      </w:pPr>
      <w:r>
        <w:rPr/>
        <w:t>整改措施及结果：公司董事会、监事会已于</w:t>
      </w:r>
      <w:r>
        <w:rPr>
          <w:spacing w:val="-49"/>
        </w:rPr>
        <w:t> </w:t>
      </w:r>
      <w:r>
        <w:rPr/>
        <w:t>2009</w:t>
      </w:r>
      <w:r>
        <w:rPr>
          <w:spacing w:val="-49"/>
        </w:rPr>
        <w:t> </w:t>
      </w:r>
      <w:r>
        <w:rPr/>
        <w:t>年</w:t>
      </w:r>
      <w:r>
        <w:rPr>
          <w:spacing w:val="-49"/>
        </w:rPr>
        <w:t> </w:t>
      </w:r>
      <w:r>
        <w:rPr/>
        <w:t>12</w:t>
      </w:r>
      <w:r>
        <w:rPr>
          <w:spacing w:val="-50"/>
        </w:rPr>
        <w:t> </w:t>
      </w:r>
      <w:r>
        <w:rPr/>
        <w:t>月</w:t>
      </w:r>
      <w:r>
        <w:rPr>
          <w:spacing w:val="-49"/>
        </w:rPr>
        <w:t> </w:t>
      </w:r>
      <w:r>
        <w:rPr/>
        <w:t>25</w:t>
      </w:r>
      <w:r>
        <w:rPr>
          <w:spacing w:val="-49"/>
        </w:rPr>
        <w:t> </w:t>
      </w:r>
      <w:r>
        <w:rPr/>
        <w:t>日换届，选举出了新一届</w:t>
      </w:r>
      <w:r>
        <w:rPr>
          <w:spacing w:val="-1"/>
        </w:rPr>
        <w:t> </w:t>
      </w:r>
      <w:r>
        <w:rPr/>
        <w:t>的董事会和监事会。换届选举后，公司新任董事能够正常履职，且重大事项均以现场方式召</w:t>
      </w:r>
      <w:r>
        <w:rPr>
          <w:spacing w:val="-83"/>
        </w:rPr>
        <w:t> </w:t>
      </w:r>
      <w:r>
        <w:rPr>
          <w:spacing w:val="-83"/>
        </w:rPr>
      </w:r>
      <w:r>
        <w:rPr/>
        <w:t>开，有效的保证了董事行使职权，并保障监事的知情权和监督权。</w:t>
      </w:r>
    </w:p>
    <w:p>
      <w:pPr>
        <w:pStyle w:val="BodyText"/>
        <w:spacing w:line="357" w:lineRule="auto" w:before="155"/>
        <w:ind w:left="153" w:right="231" w:firstLine="540"/>
        <w:jc w:val="both"/>
      </w:pPr>
      <w:r>
        <w:rPr/>
        <w:t>3）你公司董事会秘书自</w:t>
      </w:r>
      <w:r>
        <w:rPr>
          <w:spacing w:val="-36"/>
        </w:rPr>
        <w:t> </w:t>
      </w:r>
      <w:r>
        <w:rPr/>
        <w:t>2006</w:t>
      </w:r>
      <w:r>
        <w:rPr>
          <w:spacing w:val="-36"/>
        </w:rPr>
        <w:t> </w:t>
      </w:r>
      <w:r>
        <w:rPr/>
        <w:t>年</w:t>
      </w:r>
      <w:r>
        <w:rPr>
          <w:spacing w:val="-35"/>
        </w:rPr>
        <w:t> </w:t>
      </w:r>
      <w:r>
        <w:rPr/>
        <w:t>12</w:t>
      </w:r>
      <w:r>
        <w:rPr>
          <w:spacing w:val="-36"/>
        </w:rPr>
        <w:t> </w:t>
      </w:r>
      <w:r>
        <w:rPr/>
        <w:t>月以来长期缺位，证券事务代表频繁更换，公司信</w:t>
      </w:r>
      <w:r>
        <w:rPr/>
        <w:t> 息披露工作屡次出现错漏。</w:t>
      </w:r>
    </w:p>
    <w:p>
      <w:pPr>
        <w:pStyle w:val="BodyText"/>
        <w:spacing w:line="357" w:lineRule="auto" w:before="155"/>
        <w:ind w:left="153" w:right="95" w:firstLine="540"/>
        <w:jc w:val="left"/>
      </w:pPr>
      <w:r>
        <w:rPr/>
        <w:t>整改措施及结果：公司自重组以来高度重视与监管部门沟通、提升信息披露工作质量和 </w:t>
      </w:r>
      <w:r>
        <w:rPr>
          <w:spacing w:val="-5"/>
        </w:rPr>
        <w:t>构建高效的上市公司运作专业队伍，于</w:t>
      </w:r>
      <w:r>
        <w:rPr>
          <w:spacing w:val="-58"/>
        </w:rPr>
        <w:t> </w:t>
      </w:r>
      <w:r>
        <w:rPr>
          <w:spacing w:val="25"/>
        </w:rPr>
        <w:t>2009年5月</w:t>
      </w:r>
      <w:r>
        <w:rPr>
          <w:spacing w:val="-58"/>
        </w:rPr>
        <w:t> </w:t>
      </w:r>
      <w:r>
        <w:rPr/>
        <w:t>19</w:t>
      </w:r>
      <w:r>
        <w:rPr>
          <w:spacing w:val="-58"/>
        </w:rPr>
        <w:t> </w:t>
      </w:r>
      <w:r>
        <w:rPr/>
        <w:t>日聘任宋星先生为公司证券事务代表、</w:t>
      </w:r>
      <w:r>
        <w:rPr/>
        <w:t> 2009</w:t>
      </w:r>
      <w:r>
        <w:rPr>
          <w:spacing w:val="-62"/>
        </w:rPr>
        <w:t> </w:t>
      </w:r>
      <w:r>
        <w:rPr/>
        <w:t>年</w:t>
      </w:r>
      <w:r>
        <w:rPr>
          <w:spacing w:val="-62"/>
        </w:rPr>
        <w:t> </w:t>
      </w:r>
      <w:r>
        <w:rPr/>
        <w:t>12</w:t>
      </w:r>
      <w:r>
        <w:rPr>
          <w:spacing w:val="-61"/>
        </w:rPr>
        <w:t> </w:t>
      </w:r>
      <w:r>
        <w:rPr/>
        <w:t>月</w:t>
      </w:r>
      <w:r>
        <w:rPr>
          <w:spacing w:val="-62"/>
        </w:rPr>
        <w:t> </w:t>
      </w:r>
      <w:r>
        <w:rPr/>
        <w:t>10</w:t>
      </w:r>
      <w:r>
        <w:rPr>
          <w:spacing w:val="-62"/>
        </w:rPr>
        <w:t> </w:t>
      </w:r>
      <w:r>
        <w:rPr>
          <w:spacing w:val="-4"/>
        </w:rPr>
        <w:t>日正式聘任刘仕保先生为公司董事会秘书，有效的加强了与监管部门的沟通、</w:t>
      </w:r>
      <w:r>
        <w:rPr/>
        <w:t> 提升了信息披露工作的质量。</w:t>
      </w:r>
    </w:p>
    <w:p>
      <w:pPr>
        <w:pStyle w:val="BodyText"/>
        <w:spacing w:line="357" w:lineRule="auto" w:before="155"/>
        <w:ind w:left="153" w:right="228" w:firstLine="540"/>
        <w:jc w:val="both"/>
      </w:pPr>
      <w:r>
        <w:rPr>
          <w:spacing w:val="2"/>
        </w:rPr>
        <w:t>4）你公司财务负责人兼任监事。你公司财务负责人陈璇，实质上承担了高级管理人员 </w:t>
      </w:r>
      <w:r>
        <w:rPr/>
        <w:t>的职责，同时还兼任监事，违反了《公司法》第五十二条的规定。</w:t>
      </w:r>
    </w:p>
    <w:p>
      <w:pPr>
        <w:pStyle w:val="BodyText"/>
        <w:spacing w:line="357" w:lineRule="auto" w:before="155"/>
        <w:ind w:left="153" w:right="231" w:firstLine="540"/>
        <w:jc w:val="both"/>
      </w:pPr>
      <w:r>
        <w:rPr/>
        <w:t>整改措施及结果：公司监事会已于</w:t>
      </w:r>
      <w:r>
        <w:rPr>
          <w:spacing w:val="-45"/>
        </w:rPr>
        <w:t> </w:t>
      </w:r>
      <w:r>
        <w:rPr/>
        <w:t>2009</w:t>
      </w:r>
      <w:r>
        <w:rPr>
          <w:spacing w:val="-45"/>
        </w:rPr>
        <w:t> </w:t>
      </w:r>
      <w:r>
        <w:rPr/>
        <w:t>年</w:t>
      </w:r>
      <w:r>
        <w:rPr>
          <w:spacing w:val="-46"/>
        </w:rPr>
        <w:t> </w:t>
      </w:r>
      <w:r>
        <w:rPr/>
        <w:t>12</w:t>
      </w:r>
      <w:r>
        <w:rPr>
          <w:spacing w:val="-45"/>
        </w:rPr>
        <w:t> </w:t>
      </w:r>
      <w:r>
        <w:rPr/>
        <w:t>月</w:t>
      </w:r>
      <w:r>
        <w:rPr>
          <w:spacing w:val="-45"/>
        </w:rPr>
        <w:t> </w:t>
      </w:r>
      <w:r>
        <w:rPr/>
        <w:t>25</w:t>
      </w:r>
      <w:r>
        <w:rPr>
          <w:spacing w:val="-45"/>
        </w:rPr>
        <w:t> </w:t>
      </w:r>
      <w:r>
        <w:rPr/>
        <w:t>日换届，陈璇女士已不再担任公司</w:t>
      </w:r>
      <w:r>
        <w:rPr/>
        <w:t> 的监事。</w:t>
      </w:r>
    </w:p>
    <w:p>
      <w:pPr>
        <w:pStyle w:val="BodyText"/>
        <w:spacing w:line="357" w:lineRule="auto" w:before="155"/>
        <w:ind w:left="153" w:right="91" w:firstLine="540"/>
        <w:jc w:val="left"/>
      </w:pPr>
      <w:r>
        <w:rPr>
          <w:spacing w:val="2"/>
        </w:rPr>
        <w:t>2、公司经营管理存在较大缺陷：你公司主要经营活动已停滞多年，目前实际在岗工作 </w:t>
      </w:r>
      <w:r>
        <w:rPr>
          <w:spacing w:val="11"/>
        </w:rPr>
        <w:t>人员仅五人。2008年9月</w:t>
      </w:r>
      <w:r>
        <w:rPr>
          <w:spacing w:val="-59"/>
        </w:rPr>
        <w:t> </w:t>
      </w:r>
      <w:r>
        <w:rPr/>
        <w:t>28</w:t>
      </w:r>
      <w:r>
        <w:rPr>
          <w:spacing w:val="-59"/>
        </w:rPr>
        <w:t> </w:t>
      </w:r>
      <w:r>
        <w:rPr>
          <w:spacing w:val="-4"/>
        </w:rPr>
        <w:t>日，你公司潜在控股股东青岛亚星实业有限公司（以下简称“亚</w:t>
      </w:r>
      <w:r>
        <w:rPr>
          <w:spacing w:val="-118"/>
        </w:rPr>
        <w:t> </w:t>
      </w:r>
      <w:r>
        <w:rPr>
          <w:spacing w:val="-118"/>
        </w:rPr>
      </w:r>
      <w:r>
        <w:rPr/>
        <w:t>星实业”）依照股权分置改革方案将其持有的青岛广顺房地产有限公司 83%股权和兖州海情</w:t>
      </w:r>
      <w:r>
        <w:rPr>
          <w:spacing w:val="-102"/>
        </w:rPr>
        <w:t> </w:t>
      </w:r>
      <w:r>
        <w:rPr>
          <w:spacing w:val="-102"/>
        </w:rPr>
      </w:r>
      <w:r>
        <w:rPr/>
        <w:t>置业有限公司</w:t>
      </w:r>
      <w:r>
        <w:rPr>
          <w:spacing w:val="-80"/>
        </w:rPr>
        <w:t> </w:t>
      </w:r>
      <w:r>
        <w:rPr/>
        <w:t>90%股权赠与公司，公司经营业务变更为房地产开发。但上述公司股权过户后，</w:t>
      </w:r>
      <w:r>
        <w:rPr/>
        <w:t> 仍由亚星实业控制，你公司并未取得上述公司的实际经营控制权。你公司新任总经理许亚楠</w:t>
      </w:r>
      <w:r>
        <w:rPr>
          <w:spacing w:val="-83"/>
        </w:rPr>
        <w:t> </w:t>
      </w:r>
      <w:r>
        <w:rPr>
          <w:spacing w:val="-83"/>
        </w:rPr>
      </w:r>
      <w:r>
        <w:rPr/>
        <w:t>长期在青岛工作，不能正常履行上市公司总经理职责。</w:t>
      </w:r>
    </w:p>
    <w:p>
      <w:pPr>
        <w:pStyle w:val="BodyText"/>
        <w:spacing w:line="357" w:lineRule="auto" w:before="155"/>
        <w:ind w:left="153" w:right="228" w:firstLine="540"/>
        <w:jc w:val="both"/>
      </w:pPr>
      <w:r>
        <w:rPr>
          <w:spacing w:val="-1"/>
        </w:rPr>
        <w:t>整改措施及结果：随着公司主营业务变更为房地产开发、经营，为适用上市公司治理要</w:t>
      </w:r>
      <w:r>
        <w:rPr/>
        <w:t> 求，通过逐步建立健全公司组织结构、规章制度和完善人员配置，理顺管制机制，公司已取</w:t>
      </w:r>
      <w:r>
        <w:rPr>
          <w:spacing w:val="-83"/>
        </w:rPr>
        <w:t> </w:t>
      </w:r>
      <w:r>
        <w:rPr>
          <w:spacing w:val="-83"/>
        </w:rPr>
      </w:r>
      <w:r>
        <w:rPr/>
        <w:t>得子公司的实际经营控制权，公司经营管理得到持续完善。</w:t>
      </w:r>
    </w:p>
    <w:p>
      <w:pPr>
        <w:pStyle w:val="BodyText"/>
        <w:spacing w:line="240" w:lineRule="auto" w:before="156"/>
        <w:ind w:left="693" w:right="93"/>
        <w:jc w:val="left"/>
      </w:pPr>
      <w:r>
        <w:rPr/>
        <w:t>3、公司股东违背相关承诺</w:t>
      </w:r>
    </w:p>
    <w:p>
      <w:pPr>
        <w:pStyle w:val="BodyText"/>
        <w:spacing w:line="357" w:lineRule="auto" w:before="152"/>
        <w:ind w:left="153" w:right="228" w:firstLine="480"/>
        <w:jc w:val="both"/>
      </w:pPr>
      <w:r>
        <w:rPr>
          <w:spacing w:val="-3"/>
        </w:rPr>
        <w:t>2008年12月3日，你公司股东方正延中传媒有限公司（以下简称“方正延中”）、上海文</w:t>
      </w:r>
      <w:r>
        <w:rPr/>
        <w:t> 慧投资有限公司（以下简称“上海文慧”）、上海港银投资管理有限公司（以下简称“上海 港银”）与亚星实业签订了《股权分置改革协议书》和《股份赠与协议》，约定各自向亚星</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1"/>
        <w:jc w:val="both"/>
      </w:pPr>
      <w:r>
        <w:rPr/>
        <w:t>实业赠送股份共计29,063,249股，并在《股权分置改革承诺函》中承诺将采取切实可行办法 解除所持深大通股份冻结手续，并按照股改方案向亚星实业送股。亚星实业也在股权分置改 革方案和《收购报告书》中承诺在深大通相关股东会议通过股权分置改革方案且方正延中将 其所持深大通1000万股股份转让给亚星实业的过户手续办理完毕后三个月内，就与深大通可 能产生同业竞争的全部相关资产以市场公允价格注入上市公司事宜召开董事会会议并提交临 </w:t>
      </w:r>
      <w:r>
        <w:rPr>
          <w:spacing w:val="-2"/>
        </w:rPr>
        <w:t>时股东大会审议。此外，方正延中于2009年3月18日向中国证监会出具《承诺函》，承诺在亚</w:t>
      </w:r>
      <w:r>
        <w:rPr>
          <w:spacing w:val="-117"/>
        </w:rPr>
        <w:t> </w:t>
      </w:r>
      <w:r>
        <w:rPr>
          <w:spacing w:val="-117"/>
        </w:rPr>
      </w:r>
      <w:r>
        <w:rPr/>
        <w:t>星实业收购深大通的豁免要约收购义务的申请获得中国证监会批准后，将赠与亚星实业的深 大通股份过户给亚星实业或以亚星实业认可的其他方式履行该等赠与业务。</w:t>
      </w:r>
    </w:p>
    <w:p>
      <w:pPr>
        <w:pStyle w:val="BodyText"/>
        <w:spacing w:line="357" w:lineRule="auto" w:before="36"/>
        <w:ind w:left="153" w:right="151" w:firstLine="480"/>
        <w:jc w:val="both"/>
      </w:pPr>
      <w:r>
        <w:rPr>
          <w:spacing w:val="-2"/>
        </w:rPr>
        <w:t>中国证监会已于2009年4月28日出具《关于核准青岛亚星实业有限公司公告深圳大通实业</w:t>
      </w:r>
      <w:r>
        <w:rPr/>
        <w:t> 股份有限公司收购报告书并豁免其要约收购义务的批复》（证监许可[2009]338号）。4月30 日，你公司公告了股权分置改革实施公告。但至今为止，方正延中、上海文慧、上海港银、 亚星实业均未履行有关承诺，公司股权分置改革方案至今未能实施完毕。</w:t>
      </w:r>
    </w:p>
    <w:p>
      <w:pPr>
        <w:pStyle w:val="BodyText"/>
        <w:spacing w:line="357" w:lineRule="auto" w:before="155"/>
        <w:ind w:left="153" w:right="151" w:firstLine="540"/>
        <w:jc w:val="both"/>
      </w:pPr>
      <w:r>
        <w:rPr>
          <w:spacing w:val="-1"/>
        </w:rPr>
        <w:t>整改措施及结果：公司已就该问题与相关股东进行了深入细致的沟通，督促其履行股改</w:t>
      </w:r>
      <w:r>
        <w:rPr/>
        <w:t> 承诺，并取得了一定的成效。</w:t>
      </w:r>
    </w:p>
    <w:p>
      <w:pPr>
        <w:pStyle w:val="BodyText"/>
        <w:spacing w:line="357" w:lineRule="auto"/>
        <w:ind w:left="633" w:right="135"/>
        <w:jc w:val="left"/>
      </w:pPr>
      <w:r>
        <w:rPr/>
        <w:t>4、公司投资者管理工作存在严重缺陷 </w:t>
      </w:r>
      <w:r>
        <w:rPr>
          <w:spacing w:val="-2"/>
        </w:rPr>
        <w:t>你公司股票自2007年4月30日起已经停牌了两年三个月，社会公众投资者所持公司股票长</w:t>
      </w:r>
    </w:p>
    <w:p>
      <w:pPr>
        <w:pStyle w:val="BodyText"/>
        <w:spacing w:line="357" w:lineRule="auto"/>
        <w:ind w:left="153" w:right="188"/>
        <w:jc w:val="both"/>
      </w:pPr>
      <w:r>
        <w:rPr/>
        <w:t>期不能正常交易，你公司未能认真做好投资者接待和解释工作，导致社会公众投资者对公司 频繁投诉，反映强烈，存在引发群体性上访和突发事件的重大风险隐患。</w:t>
      </w:r>
    </w:p>
    <w:p>
      <w:pPr>
        <w:pStyle w:val="BodyText"/>
        <w:spacing w:line="357" w:lineRule="auto"/>
        <w:ind w:left="153" w:right="188" w:firstLine="480"/>
        <w:jc w:val="both"/>
      </w:pPr>
      <w:r>
        <w:rPr/>
        <w:t>整改措施：随着公司重组工作的进一步推进，人员配置的逐步到位，公司已设置专门的 部门和人员进行投资者接待和解释工作，以避免发生群体性上访和突发事件等重大情况，如 发生该等情况，将严格执行重大风险处置预案。</w:t>
      </w:r>
    </w:p>
    <w:p>
      <w:pPr>
        <w:pStyle w:val="BodyText"/>
        <w:spacing w:line="357" w:lineRule="auto" w:before="155"/>
        <w:ind w:left="633" w:right="171" w:firstLine="60"/>
        <w:jc w:val="left"/>
      </w:pPr>
      <w:r>
        <w:rPr/>
        <w:t>（三）公司独立董事履行职责情况 根据中国证监会《关于在上市公司建立独立董事制度的指导意见》，公司建立了较为规</w:t>
      </w:r>
    </w:p>
    <w:p>
      <w:pPr>
        <w:pStyle w:val="BodyText"/>
        <w:spacing w:line="357" w:lineRule="auto"/>
        <w:ind w:left="633" w:right="171" w:hanging="480"/>
        <w:jc w:val="left"/>
      </w:pPr>
      <w:r>
        <w:rPr/>
        <w:t>范的独立董事制度。 报告期内，公司现任独立董事在任职后严格按照《上市公司治理准则》、《关于在上市</w:t>
      </w:r>
    </w:p>
    <w:p>
      <w:pPr>
        <w:pStyle w:val="BodyText"/>
        <w:spacing w:line="357" w:lineRule="auto"/>
        <w:ind w:left="153" w:right="188"/>
        <w:jc w:val="both"/>
      </w:pPr>
      <w:r>
        <w:rPr/>
        <w:t>公司建立独立董事制度的指导意见》等相关法规、规章和《公司章程》、《公司独立董事工 作制度》的要求，诚实守信，勤勉尽责，认真出席董事会及股东大会会议，独立履行职责， 不受公司控股股东、实际控制人的影响。独立董事在审议公司重大事项时充分利用自身的专 业知识作出审慎的判断，并发表独立意见。对防范公司风险、顺利发展发挥了独立董事应有</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93"/>
        <w:jc w:val="left"/>
      </w:pPr>
      <w:r>
        <w:rPr/>
        <w:t>的监督作用。</w:t>
      </w:r>
    </w:p>
    <w:p>
      <w:pPr>
        <w:pStyle w:val="BodyText"/>
        <w:spacing w:line="240" w:lineRule="auto" w:before="152"/>
        <w:ind w:left="634" w:right="93"/>
        <w:jc w:val="left"/>
      </w:pPr>
      <w:r>
        <w:rPr/>
        <w:t>1、独立董事出席董事会情况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69"/>
        <w:gridCol w:w="1118"/>
        <w:gridCol w:w="1118"/>
        <w:gridCol w:w="1117"/>
        <w:gridCol w:w="1118"/>
        <w:gridCol w:w="1118"/>
        <w:gridCol w:w="1248"/>
      </w:tblGrid>
      <w:tr>
        <w:trPr>
          <w:trHeight w:val="90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8"/>
              <w:ind w:left="30" w:right="26"/>
              <w:jc w:val="left"/>
              <w:rPr>
                <w:rFonts w:ascii="宋体" w:hAnsi="宋体" w:cs="宋体" w:eastAsia="宋体" w:hint="default"/>
                <w:sz w:val="21"/>
                <w:szCs w:val="21"/>
              </w:rPr>
            </w:pPr>
            <w:r>
              <w:rPr>
                <w:rFonts w:ascii="宋体" w:hAnsi="宋体" w:cs="宋体" w:eastAsia="宋体" w:hint="default"/>
                <w:sz w:val="21"/>
                <w:szCs w:val="21"/>
              </w:rPr>
              <w:t>本年应参加 董事会次数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8"/>
              <w:ind w:left="448" w:right="29" w:hanging="420"/>
              <w:jc w:val="left"/>
              <w:rPr>
                <w:rFonts w:ascii="宋体" w:hAnsi="宋体" w:cs="宋体" w:eastAsia="宋体" w:hint="default"/>
                <w:sz w:val="21"/>
                <w:szCs w:val="21"/>
              </w:rPr>
            </w:pPr>
            <w:r>
              <w:rPr>
                <w:rFonts w:ascii="宋体" w:hAnsi="宋体" w:cs="宋体" w:eastAsia="宋体" w:hint="default"/>
                <w:sz w:val="21"/>
                <w:szCs w:val="21"/>
              </w:rPr>
              <w:t>亲自出席次 数</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8" w:right="26"/>
              <w:jc w:val="center"/>
              <w:rPr>
                <w:rFonts w:ascii="宋体" w:hAnsi="宋体" w:cs="宋体" w:eastAsia="宋体" w:hint="default"/>
                <w:sz w:val="21"/>
                <w:szCs w:val="21"/>
              </w:rPr>
            </w:pPr>
            <w:r>
              <w:rPr>
                <w:rFonts w:ascii="宋体" w:hAnsi="宋体" w:cs="宋体" w:eastAsia="宋体" w:hint="default"/>
                <w:sz w:val="21"/>
                <w:szCs w:val="21"/>
              </w:rPr>
              <w:t>以通讯方式 参加会议次 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8"/>
              <w:ind w:left="449" w:right="26" w:hanging="420"/>
              <w:jc w:val="left"/>
              <w:rPr>
                <w:rFonts w:ascii="宋体" w:hAnsi="宋体" w:cs="宋体" w:eastAsia="宋体" w:hint="default"/>
                <w:sz w:val="21"/>
                <w:szCs w:val="21"/>
              </w:rPr>
            </w:pPr>
            <w:r>
              <w:rPr>
                <w:rFonts w:ascii="宋体" w:hAnsi="宋体" w:cs="宋体" w:eastAsia="宋体" w:hint="default"/>
                <w:sz w:val="21"/>
                <w:szCs w:val="21"/>
              </w:rPr>
              <w:t>委托出席次 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93" w:right="92"/>
              <w:jc w:val="center"/>
              <w:rPr>
                <w:rFonts w:ascii="宋体" w:hAnsi="宋体" w:cs="宋体" w:eastAsia="宋体" w:hint="default"/>
                <w:sz w:val="21"/>
                <w:szCs w:val="21"/>
              </w:rPr>
            </w:pPr>
            <w:r>
              <w:rPr>
                <w:rFonts w:ascii="宋体" w:hAnsi="宋体" w:cs="宋体" w:eastAsia="宋体" w:hint="default"/>
                <w:sz w:val="21"/>
                <w:szCs w:val="21"/>
              </w:rPr>
              <w:t>是否连续两 次未亲自出 席会议</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舒强兴</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1" w:right="0"/>
              <w:jc w:val="left"/>
              <w:rPr>
                <w:rFonts w:ascii="Times New Roman" w:hAnsi="Times New Roman" w:cs="Times New Roman" w:eastAsia="Times New Roman" w:hint="default"/>
                <w:sz w:val="21"/>
                <w:szCs w:val="21"/>
              </w:rPr>
            </w:pPr>
            <w:r>
              <w:rPr>
                <w:rFonts w:ascii="Times New Roman"/>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sz w:val="21"/>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12"/>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王洪</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1" w:right="0"/>
              <w:jc w:val="left"/>
              <w:rPr>
                <w:rFonts w:ascii="Times New Roman" w:hAnsi="Times New Roman" w:cs="Times New Roman" w:eastAsia="Times New Roman" w:hint="default"/>
                <w:sz w:val="21"/>
                <w:szCs w:val="21"/>
              </w:rPr>
            </w:pPr>
            <w:r>
              <w:rPr>
                <w:rFonts w:ascii="Times New Roman"/>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1"/>
                <w:szCs w:val="21"/>
              </w:rPr>
            </w:pPr>
            <w:r>
              <w:rPr>
                <w:rFonts w:ascii="Times New Roman"/>
                <w:sz w:val="21"/>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12"/>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齐二石</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1" w:right="0"/>
              <w:jc w:val="left"/>
              <w:rPr>
                <w:rFonts w:ascii="Times New Roman" w:hAnsi="Times New Roman" w:cs="Times New Roman" w:eastAsia="Times New Roman" w:hint="default"/>
                <w:sz w:val="21"/>
                <w:szCs w:val="21"/>
              </w:rPr>
            </w:pPr>
            <w:r>
              <w:rPr>
                <w:rFonts w:ascii="Times New Roman"/>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Times New Roman"/>
                <w:sz w:val="21"/>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0"/>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0"/>
              <w:jc w:val="right"/>
              <w:rPr>
                <w:rFonts w:ascii="Times New Roman" w:hAnsi="Times New Roman" w:cs="Times New Roman" w:eastAsia="Times New Roman" w:hint="default"/>
                <w:sz w:val="21"/>
                <w:szCs w:val="21"/>
              </w:rPr>
            </w:pPr>
            <w:r>
              <w:rPr>
                <w:rFonts w:ascii="Times New Roman"/>
                <w:sz w:val="21"/>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512"/>
              <w:jc w:val="righ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75" w:lineRule="exact" w:before="0"/>
        <w:ind w:left="634" w:right="93"/>
        <w:jc w:val="left"/>
      </w:pPr>
      <w:r>
        <w:rPr/>
        <w:t>2、独立董事对公司有关事项提出异议的情况：</w:t>
      </w:r>
    </w:p>
    <w:p>
      <w:pPr>
        <w:pStyle w:val="BodyText"/>
        <w:spacing w:line="357" w:lineRule="auto" w:before="152"/>
        <w:ind w:right="250" w:firstLine="480"/>
        <w:jc w:val="left"/>
      </w:pPr>
      <w:r>
        <w:rPr/>
        <w:t>报告期内，公司独立董事对本年度公司董事会各项议案及非董事会议案的其他事项未提 出异议。</w:t>
      </w:r>
    </w:p>
    <w:p>
      <w:pPr>
        <w:pStyle w:val="BodyText"/>
        <w:spacing w:line="338" w:lineRule="auto"/>
        <w:ind w:left="633" w:right="251"/>
        <w:jc w:val="left"/>
      </w:pPr>
      <w:r>
        <w:rPr/>
        <w:t>（四）公司与控股股东在业务、人员、资产、机构、财务上的</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情况。 本公司与控股股东在业务、人员资产、机构、财务等方面严格分开，公司具有独立完整</w:t>
      </w:r>
    </w:p>
    <w:p>
      <w:pPr>
        <w:pStyle w:val="BodyText"/>
        <w:spacing w:line="357" w:lineRule="auto" w:before="54"/>
        <w:ind w:left="633" w:right="93" w:hanging="480"/>
        <w:jc w:val="left"/>
      </w:pPr>
      <w:r>
        <w:rPr/>
        <w:t>的业务和自主经营能力。 </w:t>
      </w:r>
      <w:r>
        <w:rPr>
          <w:spacing w:val="-3"/>
        </w:rPr>
        <w:t>1、人员方面：公司在劳动、人事及工资管理方面独立，高级管理人员均不在股东单位担</w:t>
      </w:r>
    </w:p>
    <w:p>
      <w:pPr>
        <w:pStyle w:val="BodyText"/>
        <w:spacing w:line="240" w:lineRule="auto"/>
        <w:ind w:left="153" w:right="93"/>
        <w:jc w:val="left"/>
      </w:pPr>
      <w:r>
        <w:rPr/>
        <w:t>任要职；</w:t>
      </w:r>
    </w:p>
    <w:p>
      <w:pPr>
        <w:pStyle w:val="BodyText"/>
        <w:spacing w:line="357" w:lineRule="auto" w:before="152"/>
        <w:ind w:left="153" w:right="93" w:firstLine="480"/>
        <w:jc w:val="left"/>
      </w:pPr>
      <w:r>
        <w:rPr>
          <w:spacing w:val="-3"/>
        </w:rPr>
        <w:t>2、资产方面：公司与控股股东产权关系明确，资产独立完整，拥有独立的运营系统和相</w:t>
      </w:r>
      <w:r>
        <w:rPr/>
        <w:t> 应的配套设施；</w:t>
      </w:r>
    </w:p>
    <w:p>
      <w:pPr>
        <w:pStyle w:val="BodyText"/>
        <w:spacing w:line="357" w:lineRule="auto"/>
        <w:ind w:left="153" w:right="93" w:firstLine="480"/>
        <w:jc w:val="left"/>
      </w:pPr>
      <w:r>
        <w:rPr>
          <w:spacing w:val="-6"/>
        </w:rPr>
        <w:t>3、财务方面：公司拥有独立的财务机构，并建立了独立的会计核算体系和财务管理制度，</w:t>
      </w:r>
      <w:r>
        <w:rPr/>
        <w:t> 在银行独立开设账户，独立进行纳税申报和缴纳；</w:t>
      </w:r>
    </w:p>
    <w:p>
      <w:pPr>
        <w:pStyle w:val="BodyText"/>
        <w:spacing w:line="357" w:lineRule="auto"/>
        <w:ind w:left="153" w:right="93" w:firstLine="480"/>
        <w:jc w:val="left"/>
      </w:pPr>
      <w:r>
        <w:rPr>
          <w:spacing w:val="-3"/>
        </w:rPr>
        <w:t>4、机构方面：公司设立了完全独立于控股股东的组织机构，不存在与控股股东合署办公</w:t>
      </w:r>
      <w:r>
        <w:rPr/>
        <w:t> 的情况；</w:t>
      </w:r>
    </w:p>
    <w:p>
      <w:pPr>
        <w:pStyle w:val="BodyText"/>
        <w:spacing w:line="357" w:lineRule="auto"/>
        <w:ind w:left="153" w:right="93" w:firstLine="480"/>
        <w:jc w:val="left"/>
      </w:pPr>
      <w:r>
        <w:rPr>
          <w:spacing w:val="-3"/>
        </w:rPr>
        <w:t>5、业务独立方面：公司具有独立完整的业务和决策体系及自主经营能力，完全独立于控</w:t>
      </w:r>
      <w:r>
        <w:rPr/>
        <w:t> 股股东。</w:t>
      </w:r>
    </w:p>
    <w:p>
      <w:pPr>
        <w:pStyle w:val="BodyText"/>
        <w:spacing w:line="357" w:lineRule="auto"/>
        <w:ind w:left="633" w:right="251"/>
        <w:jc w:val="left"/>
      </w:pPr>
      <w:r>
        <w:rPr/>
        <w:t>（五）公司内部控制自我评价 公司内部控制制度比较合理、完善，符合现代企业要求的法人治理结构。对照深圳交易</w:t>
      </w:r>
    </w:p>
    <w:p>
      <w:pPr>
        <w:pStyle w:val="BodyText"/>
        <w:spacing w:line="357" w:lineRule="auto"/>
        <w:ind w:left="153" w:right="251"/>
        <w:jc w:val="left"/>
      </w:pPr>
      <w:r>
        <w:rPr/>
        <w:t>所《上市公司内部控制指引》，公司内部控制总体上符合中国证监会、深圳证券交易所的相 关要求。</w:t>
      </w:r>
    </w:p>
    <w:p>
      <w:pPr>
        <w:pStyle w:val="BodyText"/>
        <w:spacing w:line="240" w:lineRule="auto"/>
        <w:ind w:left="633" w:right="93"/>
        <w:jc w:val="left"/>
      </w:pPr>
      <w:r>
        <w:rPr/>
        <w:t>1、公司内部控制基本情况</w:t>
      </w:r>
    </w:p>
    <w:p>
      <w:pPr>
        <w:pStyle w:val="BodyText"/>
        <w:spacing w:line="240" w:lineRule="auto" w:before="152"/>
        <w:ind w:left="633" w:right="93"/>
        <w:jc w:val="left"/>
      </w:pPr>
      <w:r>
        <w:rPr/>
        <w:t>1）公司内部控制的组织架构</w:t>
      </w:r>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6399" w:lineRule="exact"/>
        <w:ind w:left="106" w:right="0" w:firstLine="0"/>
        <w:rPr>
          <w:rFonts w:ascii="宋体" w:hAnsi="宋体" w:cs="宋体" w:eastAsia="宋体" w:hint="default"/>
          <w:sz w:val="20"/>
          <w:szCs w:val="20"/>
        </w:rPr>
      </w:pPr>
      <w:r>
        <w:rPr>
          <w:rFonts w:ascii="宋体" w:hAnsi="宋体" w:cs="宋体" w:eastAsia="宋体" w:hint="default"/>
          <w:position w:val="-127"/>
          <w:sz w:val="20"/>
          <w:szCs w:val="20"/>
        </w:rPr>
        <w:pict>
          <v:group style="width:495.75pt;height:319.95pt;mso-position-horizontal-relative:char;mso-position-vertical-relative:line" coordorigin="0,0" coordsize="9915,6399">
            <v:group style="position:absolute;left:4996;top:8;width:1341;height:462" coordorigin="4996,8" coordsize="1341,462">
              <v:shape style="position:absolute;left:4996;top:8;width:1341;height:462" coordorigin="4996,8" coordsize="1341,462" path="m6336,8l4996,8,4996,470,6336,470,6336,8xe" filled="false" stroked="true" strokeweight=".75pt" strokecolor="#000000">
                <v:path arrowok="t"/>
              </v:shape>
            </v:group>
            <v:group style="position:absolute;left:5026;top:1110;width:1342;height:462" coordorigin="5026,1110" coordsize="1342,462">
              <v:shape style="position:absolute;left:5026;top:1110;width:1342;height:462" coordorigin="5026,1110" coordsize="1342,462" path="m6367,1110l5026,1110,5026,1572,6367,1572,6367,1110xe" filled="false" stroked="true" strokeweight=".75pt" strokecolor="#000000">
                <v:path arrowok="t"/>
              </v:shape>
            </v:group>
            <v:group style="position:absolute;left:5648;top:470;width:2;height:624" coordorigin="5648,470" coordsize="2,624">
              <v:shape style="position:absolute;left:5648;top:470;width:2;height:624" coordorigin="5648,470" coordsize="0,624" path="m5648,470l5648,1094e" filled="false" stroked="true" strokeweight=".75pt" strokecolor="#000000">
                <v:path arrowok="t"/>
              </v:shape>
            </v:group>
            <v:group style="position:absolute;left:7448;top:542;width:1341;height:462" coordorigin="7448,542" coordsize="1341,462">
              <v:shape style="position:absolute;left:7448;top:542;width:1341;height:462" coordorigin="7448,542" coordsize="1341,462" path="m8788,542l7448,542,7448,1004,8788,1004,8788,542xe" filled="false" stroked="true" strokeweight=".75pt" strokecolor="#000000">
                <v:path arrowok="t"/>
              </v:shape>
            </v:group>
            <v:group style="position:absolute;left:5648;top:783;width:1800;height:2" coordorigin="5648,783" coordsize="1800,2">
              <v:shape style="position:absolute;left:5648;top:783;width:1800;height:2" coordorigin="5648,783" coordsize="1800,0" path="m5648,783l7448,783e" filled="false" stroked="true" strokeweight=".75pt" strokecolor="#000000">
                <v:path arrowok="t"/>
              </v:shape>
            </v:group>
            <v:group style="position:absolute;left:5026;top:2198;width:1342;height:462" coordorigin="5026,2198" coordsize="1342,462">
              <v:shape style="position:absolute;left:5026;top:2198;width:1342;height:462" coordorigin="5026,2198" coordsize="1342,462" path="m6367,2198l5026,2198,5026,2660,6367,2660,6367,2198xe" filled="false" stroked="true" strokeweight=".75pt" strokecolor="#000000">
                <v:path arrowok="t"/>
              </v:shape>
            </v:group>
            <v:group style="position:absolute;left:5648;top:1568;width:2;height:624" coordorigin="5648,1568" coordsize="2,624">
              <v:shape style="position:absolute;left:5648;top:1568;width:2;height:624" coordorigin="5648,1568" coordsize="0,624" path="m5648,1568l5648,2192e" filled="false" stroked="true" strokeweight=".75pt" strokecolor="#000000">
                <v:path arrowok="t"/>
              </v:shape>
            </v:group>
            <v:group style="position:absolute;left:5648;top:1879;width:1800;height:2" coordorigin="5648,1879" coordsize="1800,2">
              <v:shape style="position:absolute;left:5648;top:1879;width:1800;height:2" coordorigin="5648,1879" coordsize="1800,0" path="m5648,1879l7448,1879e" filled="false" stroked="true" strokeweight=".75pt" strokecolor="#000000">
                <v:path arrowok="t"/>
              </v:shape>
            </v:group>
            <v:group style="position:absolute;left:7448;top:1628;width:1620;height:462" coordorigin="7448,1628" coordsize="1620,462">
              <v:shape style="position:absolute;left:7448;top:1628;width:1620;height:462" coordorigin="7448,1628" coordsize="1620,462" path="m9068,1628l7448,1628,7448,2090,9068,2090,9068,1628xe" filled="false" stroked="true" strokeweight=".75pt" strokecolor="#000000">
                <v:path arrowok="t"/>
              </v:shape>
            </v:group>
            <v:group style="position:absolute;left:7448;top:2725;width:1620;height:462" coordorigin="7448,2725" coordsize="1620,462">
              <v:shape style="position:absolute;left:7448;top:2725;width:1620;height:462" coordorigin="7448,2725" coordsize="1620,462" path="m9068,2725l7448,2725,7448,3187,9068,3187,9068,2725xe" filled="false" stroked="true" strokeweight=".75pt" strokecolor="#000000">
                <v:path arrowok="t"/>
              </v:shape>
            </v:group>
            <v:group style="position:absolute;left:8258;top:2086;width:2;height:624" coordorigin="8258,2086" coordsize="2,624">
              <v:shape style="position:absolute;left:8258;top:2086;width:2;height:624" coordorigin="8258,2086" coordsize="0,624" path="m8258,2086l8258,2710e" filled="false" stroked="true" strokeweight=".75pt" strokecolor="#000000">
                <v:path arrowok="t"/>
              </v:shape>
            </v:group>
            <v:group style="position:absolute;left:2122;top:1099;width:1620;height:462" coordorigin="2122,1099" coordsize="1620,462">
              <v:shape style="position:absolute;left:2122;top:1099;width:1620;height:462" coordorigin="2122,1099" coordsize="1620,462" path="m3742,1099l2122,1099,2122,1561,3742,1561,3742,1099xe" filled="false" stroked="true" strokeweight=".75pt" strokecolor="#000000">
                <v:path arrowok="t"/>
              </v:shape>
            </v:group>
            <v:group style="position:absolute;left:3742;top:1307;width:1260;height:3" coordorigin="3742,1307" coordsize="1260,3">
              <v:shape style="position:absolute;left:3742;top:1307;width:1260;height:3" coordorigin="3742,1307" coordsize="1260,3" path="m3742,1307l5002,1310e" filled="false" stroked="true" strokeweight=".75pt" strokecolor="#000000">
                <v:path arrowok="t"/>
              </v:shape>
            </v:group>
            <v:group style="position:absolute;left:1582;top:470;width:2160;height:462" coordorigin="1582,470" coordsize="2160,462">
              <v:shape style="position:absolute;left:1582;top:470;width:2160;height:462" coordorigin="1582,470" coordsize="2160,462" path="m3742,470l1582,470,1582,932,3742,932,3742,470xe" filled="false" stroked="true" strokeweight=".75pt" strokecolor="#000000">
                <v:path arrowok="t"/>
              </v:shape>
            </v:group>
            <v:group style="position:absolute;left:3758;top:625;width:540;height:2" coordorigin="3758,625" coordsize="540,2">
              <v:shape style="position:absolute;left:3758;top:625;width:540;height:2" coordorigin="3758,625" coordsize="540,0" path="m4298,625l3758,625e" filled="false" stroked="true" strokeweight=".75pt" strokecolor="#000000">
                <v:path arrowok="t"/>
              </v:shape>
            </v:group>
            <v:group style="position:absolute;left:2122;top:1724;width:1620;height:462" coordorigin="2122,1724" coordsize="1620,462">
              <v:shape style="position:absolute;left:2122;top:1724;width:1620;height:462" coordorigin="2122,1724" coordsize="1620,462" path="m3742,1724l2122,1724,2122,2186,3742,2186,3742,1724xe" filled="false" stroked="true" strokeweight=".75pt" strokecolor="#000000">
                <v:path arrowok="t"/>
              </v:shape>
            </v:group>
            <v:group style="position:absolute;left:3758;top:1934;width:540;height:2" coordorigin="3758,1934" coordsize="540,2">
              <v:shape style="position:absolute;left:3758;top:1934;width:540;height:2" coordorigin="3758,1934" coordsize="540,0" path="m4298,1934l3758,1934e" filled="false" stroked="true" strokeweight=".75pt" strokecolor="#000000">
                <v:path arrowok="t"/>
              </v:shape>
            </v:group>
            <v:group style="position:absolute;left:2122;top:2416;width:1620;height:462" coordorigin="2122,2416" coordsize="1620,462">
              <v:shape style="position:absolute;left:2122;top:2416;width:1620;height:462" coordorigin="2122,2416" coordsize="1620,462" path="m3742,2416l2122,2416,2122,2878,3742,2878,3742,2416xe" filled="false" stroked="true" strokeweight=".75pt" strokecolor="#000000">
                <v:path arrowok="t"/>
              </v:shape>
            </v:group>
            <v:group style="position:absolute;left:3742;top:2638;width:540;height:2" coordorigin="3742,2638" coordsize="540,2">
              <v:shape style="position:absolute;left:3742;top:2638;width:540;height:2" coordorigin="3742,2638" coordsize="540,0" path="m4282,2638l3742,2638e" filled="false" stroked="true" strokeweight=".75pt" strokecolor="#000000">
                <v:path arrowok="t"/>
              </v:shape>
            </v:group>
            <v:group style="position:absolute;left:4282;top:625;width:2;height:2028" coordorigin="4282,625" coordsize="2,2028">
              <v:shape style="position:absolute;left:4282;top:625;width:2;height:2028" coordorigin="4282,625" coordsize="0,2028" path="m4282,625l4282,2653e" filled="false" stroked="true" strokeweight=".75pt" strokecolor="#000000">
                <v:path arrowok="t"/>
              </v:shape>
            </v:group>
            <v:group style="position:absolute;left:848;top:1948;width:1260;height:3" coordorigin="848,1948" coordsize="1260,3">
              <v:shape style="position:absolute;left:848;top:1948;width:1260;height:3" coordorigin="848,1948" coordsize="1260,3" path="m848,1948l2107,1950e" filled="false" stroked="true" strokeweight=".75pt" strokecolor="#000000">
                <v:path arrowok="t"/>
              </v:shape>
            </v:group>
            <v:group style="position:absolute;left:832;top:1948;width:2;height:1336" coordorigin="832,1948" coordsize="2,1336">
              <v:shape style="position:absolute;left:832;top:1948;width:2;height:1336" coordorigin="832,1948" coordsize="0,1336" path="m832,1948l832,3283e" filled="false" stroked="true" strokeweight=".75pt" strokecolor="#000000">
                <v:path arrowok="t"/>
              </v:shape>
            </v:group>
            <v:group style="position:absolute;left:8;top:3284;width:1620;height:462" coordorigin="8,3284" coordsize="1620,462">
              <v:shape style="position:absolute;left:8;top:3284;width:1620;height:462" coordorigin="8,3284" coordsize="1620,462" path="m1628,3284l8,3284,8,3746,1628,3746,1628,3284xe" filled="false" stroked="true" strokeweight=".75pt" strokecolor="#000000">
                <v:path arrowok="t"/>
              </v:shape>
            </v:group>
            <v:group style="position:absolute;left:5648;top:2654;width:2;height:2184" coordorigin="5648,2654" coordsize="2,2184">
              <v:shape style="position:absolute;left:5648;top:2654;width:2;height:2184" coordorigin="5648,2654" coordsize="0,2184" path="m5648,2654l5648,4838e" filled="false" stroked="true" strokeweight=".75pt" strokecolor="#000000">
                <v:path arrowok="t"/>
              </v:shape>
            </v:group>
            <v:group style="position:absolute;left:1726;top:3901;width:1342;height:462" coordorigin="1726,3901" coordsize="1342,462">
              <v:shape style="position:absolute;left:1726;top:3901;width:1342;height:462" coordorigin="1726,3901" coordsize="1342,462" path="m3067,3901l1726,3901,1726,4363,3067,4363,3067,3901xe" filled="false" stroked="true" strokeweight=".75pt" strokecolor="#000000">
                <v:path arrowok="t"/>
              </v:shape>
            </v:group>
            <v:group style="position:absolute;left:2408;top:3434;width:2;height:468" coordorigin="2408,3434" coordsize="2,468">
              <v:shape style="position:absolute;left:2408;top:3434;width:2;height:468" coordorigin="2408,3434" coordsize="0,468" path="m2408,3434l2408,3902e" filled="false" stroked="true" strokeweight=".75pt" strokecolor="#000000">
                <v:path arrowok="t"/>
              </v:shape>
            </v:group>
            <v:group style="position:absolute;left:2408;top:4370;width:2;height:468" coordorigin="2408,4370" coordsize="2,468">
              <v:shape style="position:absolute;left:2408;top:4370;width:2;height:468" coordorigin="2408,4370" coordsize="0,468" path="m2408,4370l2408,4838e" filled="false" stroked="true" strokeweight=".75pt" strokecolor="#000000">
                <v:path arrowok="t"/>
              </v:shape>
            </v:group>
            <v:group style="position:absolute;left:1732;top:4844;width:1342;height:462" coordorigin="1732,4844" coordsize="1342,462">
              <v:shape style="position:absolute;left:1732;top:4844;width:1342;height:462" coordorigin="1732,4844" coordsize="1342,462" path="m3074,4844l1732,4844,1732,5306,3074,5306,3074,4844xe" filled="false" stroked="true" strokeweight=".75pt" strokecolor="#000000">
                <v:path arrowok="t"/>
              </v:shape>
            </v:group>
            <v:group style="position:absolute;left:6548;top:4844;width:1560;height:462" coordorigin="6548,4844" coordsize="1560,462">
              <v:shape style="position:absolute;left:6548;top:4844;width:1560;height:462" coordorigin="6548,4844" coordsize="1560,462" path="m8108,4844l6548,4844,6548,5306,8108,5306,8108,4844xe" filled="false" stroked="true" strokeweight=".75pt" strokecolor="#000000">
                <v:path arrowok="t"/>
              </v:shape>
            </v:group>
            <v:group style="position:absolute;left:8348;top:4838;width:1560;height:462" coordorigin="8348,4838" coordsize="1560,462">
              <v:shape style="position:absolute;left:8348;top:4838;width:1560;height:462" coordorigin="8348,4838" coordsize="1560,462" path="m9908,4838l8348,4838,8348,5300,9908,5300,9908,4838xe" filled="false" stroked="true" strokeweight=".75pt" strokecolor="#000000">
                <v:path arrowok="t"/>
              </v:shape>
            </v:group>
            <v:group style="position:absolute;left:3308;top:4844;width:1341;height:462" coordorigin="3308,4844" coordsize="1341,462">
              <v:shape style="position:absolute;left:3308;top:4844;width:1341;height:462" coordorigin="3308,4844" coordsize="1341,462" path="m4648,4844l3308,4844,3308,5306,4648,5306,4648,4844xe" filled="false" stroked="true" strokeweight=".75pt" strokecolor="#000000">
                <v:path arrowok="t"/>
              </v:shape>
            </v:group>
            <v:group style="position:absolute;left:4966;top:4844;width:1342;height:462" coordorigin="4966,4844" coordsize="1342,462">
              <v:shape style="position:absolute;left:4966;top:4844;width:1342;height:462" coordorigin="4966,4844" coordsize="1342,462" path="m6307,4844l4966,4844,4966,5306,6307,5306,6307,4844xe" filled="false" stroked="true" strokeweight=".75pt" strokecolor="#000000">
                <v:path arrowok="t"/>
              </v:shape>
            </v:group>
            <v:group style="position:absolute;left:2408;top:3434;width:6660;height:2" coordorigin="2408,3434" coordsize="6660,2">
              <v:shape style="position:absolute;left:2408;top:3434;width:6660;height:2" coordorigin="2408,3434" coordsize="6660,0" path="m2408,3434l9068,3434e" filled="false" stroked="true" strokeweight=".75pt" strokecolor="#000000">
                <v:path arrowok="t"/>
              </v:shape>
            </v:group>
            <v:group style="position:absolute;left:5648;top:5305;width:2;height:624" coordorigin="5648,5305" coordsize="2,624">
              <v:shape style="position:absolute;left:5648;top:5305;width:2;height:624" coordorigin="5648,5305" coordsize="0,624" path="m5648,5305l5648,5929e" filled="false" stroked="true" strokeweight=".75pt" strokecolor="#000000">
                <v:path arrowok="t"/>
              </v:shape>
            </v:group>
            <v:group style="position:absolute;left:4966;top:5930;width:1342;height:462" coordorigin="4966,5930" coordsize="1342,462">
              <v:shape style="position:absolute;left:4966;top:5930;width:1342;height:462" coordorigin="4966,5930" coordsize="1342,462" path="m6307,5930l4966,5930,4966,6392,6307,6392,6307,5930xe" filled="false" stroked="true" strokeweight=".75pt" strokecolor="#000000">
                <v:path arrowok="t"/>
              </v:shape>
            </v:group>
            <v:group style="position:absolute;left:3848;top:3434;width:2;height:1404" coordorigin="3848,3434" coordsize="2,1404">
              <v:shape style="position:absolute;left:3848;top:3434;width:2;height:1404" coordorigin="3848,3434" coordsize="0,1404" path="m3848,3434l3848,4838e" filled="false" stroked="true" strokeweight=".75pt" strokecolor="#000000">
                <v:path arrowok="t"/>
              </v:shape>
            </v:group>
            <v:group style="position:absolute;left:7268;top:3434;width:2;height:1404" coordorigin="7268,3434" coordsize="2,1404">
              <v:shape style="position:absolute;left:7268;top:3434;width:2;height:1404" coordorigin="7268,3434" coordsize="0,1404" path="m7268,3434l7268,4838e" filled="false" stroked="true" strokeweight=".75pt" strokecolor="#000000">
                <v:path arrowok="t"/>
              </v:shape>
            </v:group>
            <v:group style="position:absolute;left:9068;top:3434;width:2;height:1404" coordorigin="9068,3434" coordsize="2,1404">
              <v:shape style="position:absolute;left:9068;top:3434;width:2;height:1404" coordorigin="9068,3434" coordsize="0,1404" path="m9068,3434l9068,4838e" filled="false" stroked="true" strokeweight=".75pt" strokecolor="#000000">
                <v:path arrowok="t"/>
              </v:shape>
              <v:shape style="position:absolute;left:4996;top:8;width:1342;height:480" type="#_x0000_t202" filled="false" stroked="false">
                <v:textbox inset="0,0,0,0">
                  <w:txbxContent>
                    <w:p>
                      <w:pPr>
                        <w:spacing w:before="86"/>
                        <w:ind w:left="249"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1605;top:488;width:2138;height:480" type="#_x0000_t202" filled="false" stroked="false">
                <v:textbox inset="0,0,0,0">
                  <w:txbxContent>
                    <w:p>
                      <w:pPr>
                        <w:spacing w:before="68"/>
                        <w:ind w:left="218" w:right="0" w:firstLine="0"/>
                        <w:jc w:val="left"/>
                        <w:rPr>
                          <w:rFonts w:ascii="宋体" w:hAnsi="宋体" w:cs="宋体" w:eastAsia="宋体" w:hint="default"/>
                          <w:sz w:val="21"/>
                          <w:szCs w:val="21"/>
                        </w:rPr>
                      </w:pPr>
                      <w:r>
                        <w:rPr>
                          <w:rFonts w:ascii="宋体" w:hAnsi="宋体" w:cs="宋体" w:eastAsia="宋体" w:hint="default"/>
                          <w:sz w:val="21"/>
                          <w:szCs w:val="21"/>
                        </w:rPr>
                        <w:t>薪酬与考核委员会</w:t>
                      </w:r>
                    </w:p>
                  </w:txbxContent>
                </v:textbox>
                <w10:wrap type="none"/>
              </v:shape>
              <v:shape style="position:absolute;left:7448;top:488;width:1341;height:480" type="#_x0000_t202" filled="false" stroked="false">
                <v:textbox inset="0,0,0,0">
                  <w:txbxContent>
                    <w:p>
                      <w:pPr>
                        <w:spacing w:before="138"/>
                        <w:ind w:left="356" w:right="0" w:firstLine="0"/>
                        <w:jc w:val="left"/>
                        <w:rPr>
                          <w:rFonts w:ascii="宋体" w:hAnsi="宋体" w:cs="宋体" w:eastAsia="宋体" w:hint="default"/>
                          <w:sz w:val="21"/>
                          <w:szCs w:val="21"/>
                        </w:rPr>
                      </w:pPr>
                      <w:r>
                        <w:rPr>
                          <w:rFonts w:ascii="宋体" w:hAnsi="宋体" w:cs="宋体" w:eastAsia="宋体" w:hint="default"/>
                          <w:sz w:val="21"/>
                          <w:szCs w:val="21"/>
                        </w:rPr>
                        <w:t>监事会</w:t>
                      </w:r>
                    </w:p>
                  </w:txbxContent>
                </v:textbox>
                <w10:wrap type="none"/>
              </v:shape>
              <v:shape style="position:absolute;left:2122;top:1105;width:1620;height:478" type="#_x0000_t202" filled="false" stroked="false">
                <v:textbox inset="0,0,0,0">
                  <w:txbxContent>
                    <w:p>
                      <w:pPr>
                        <w:spacing w:before="80"/>
                        <w:ind w:left="285" w:right="0" w:firstLine="0"/>
                        <w:jc w:val="left"/>
                        <w:rPr>
                          <w:rFonts w:ascii="宋体" w:hAnsi="宋体" w:cs="宋体" w:eastAsia="宋体" w:hint="default"/>
                          <w:sz w:val="21"/>
                          <w:szCs w:val="21"/>
                        </w:rPr>
                      </w:pPr>
                      <w:r>
                        <w:rPr>
                          <w:rFonts w:ascii="宋体" w:hAnsi="宋体" w:cs="宋体" w:eastAsia="宋体" w:hint="default"/>
                          <w:sz w:val="21"/>
                          <w:szCs w:val="21"/>
                        </w:rPr>
                        <w:t>战略委员会</w:t>
                      </w:r>
                    </w:p>
                  </w:txbxContent>
                </v:textbox>
                <w10:wrap type="none"/>
              </v:shape>
              <v:shape style="position:absolute;left:4996;top:1105;width:1342;height:478" type="#_x0000_t202" filled="false" stroked="false">
                <v:textbox inset="0,0,0,0">
                  <w:txbxContent>
                    <w:p>
                      <w:pPr>
                        <w:spacing w:before="91"/>
                        <w:ind w:left="386" w:right="0" w:firstLine="0"/>
                        <w:jc w:val="left"/>
                        <w:rPr>
                          <w:rFonts w:ascii="宋体" w:hAnsi="宋体" w:cs="宋体" w:eastAsia="宋体" w:hint="default"/>
                          <w:sz w:val="21"/>
                          <w:szCs w:val="21"/>
                        </w:rPr>
                      </w:pPr>
                      <w:r>
                        <w:rPr>
                          <w:rFonts w:ascii="宋体" w:hAnsi="宋体" w:cs="宋体" w:eastAsia="宋体" w:hint="default"/>
                          <w:sz w:val="21"/>
                          <w:szCs w:val="21"/>
                        </w:rPr>
                        <w:t>董事会</w:t>
                      </w:r>
                    </w:p>
                  </w:txbxContent>
                </v:textbox>
                <w10:wrap type="none"/>
              </v:shape>
              <v:shape style="position:absolute;left:7448;top:1582;width:1620;height:508" type="#_x0000_t202" filled="false" stroked="false">
                <v:textbox inset="0,0,0,0">
                  <w:txbxContent>
                    <w:p>
                      <w:pPr>
                        <w:spacing w:before="131"/>
                        <w:ind w:left="285" w:right="0" w:firstLine="0"/>
                        <w:jc w:val="left"/>
                        <w:rPr>
                          <w:rFonts w:ascii="宋体" w:hAnsi="宋体" w:cs="宋体" w:eastAsia="宋体" w:hint="default"/>
                          <w:sz w:val="21"/>
                          <w:szCs w:val="21"/>
                        </w:rPr>
                      </w:pPr>
                      <w:r>
                        <w:rPr>
                          <w:rFonts w:ascii="宋体" w:hAnsi="宋体" w:cs="宋体" w:eastAsia="宋体" w:hint="default"/>
                          <w:sz w:val="21"/>
                          <w:szCs w:val="21"/>
                        </w:rPr>
                        <w:t>董事会秘书</w:t>
                      </w:r>
                    </w:p>
                  </w:txbxContent>
                </v:textbox>
                <w10:wrap type="none"/>
              </v:shape>
              <v:shape style="position:absolute;left:2122;top:1724;width:1620;height:468" type="#_x0000_t202" filled="false" stroked="false">
                <v:textbox inset="0,0,0,0">
                  <w:txbxContent>
                    <w:p>
                      <w:pPr>
                        <w:spacing w:before="86"/>
                        <w:ind w:left="339" w:right="0" w:firstLine="0"/>
                        <w:jc w:val="left"/>
                        <w:rPr>
                          <w:rFonts w:ascii="宋体" w:hAnsi="宋体" w:cs="宋体" w:eastAsia="宋体" w:hint="default"/>
                          <w:sz w:val="21"/>
                          <w:szCs w:val="21"/>
                        </w:rPr>
                      </w:pPr>
                      <w:r>
                        <w:rPr>
                          <w:rFonts w:ascii="宋体" w:hAnsi="宋体" w:cs="宋体" w:eastAsia="宋体" w:hint="default"/>
                          <w:sz w:val="21"/>
                          <w:szCs w:val="21"/>
                        </w:rPr>
                        <w:t>审计委员会</w:t>
                      </w:r>
                    </w:p>
                  </w:txbxContent>
                </v:textbox>
                <w10:wrap type="none"/>
              </v:shape>
              <v:shape style="position:absolute;left:4996;top:2191;width:1342;height:496" type="#_x0000_t202" filled="false" stroked="false">
                <v:textbox inset="0,0,0,0">
                  <w:txbxContent>
                    <w:p>
                      <w:pPr>
                        <w:spacing w:before="92"/>
                        <w:ind w:left="386" w:right="0" w:firstLine="0"/>
                        <w:jc w:val="left"/>
                        <w:rPr>
                          <w:rFonts w:ascii="宋体" w:hAnsi="宋体" w:cs="宋体" w:eastAsia="宋体" w:hint="default"/>
                          <w:sz w:val="21"/>
                          <w:szCs w:val="21"/>
                        </w:rPr>
                      </w:pPr>
                      <w:r>
                        <w:rPr>
                          <w:rFonts w:ascii="宋体" w:hAnsi="宋体" w:cs="宋体" w:eastAsia="宋体" w:hint="default"/>
                          <w:sz w:val="21"/>
                          <w:szCs w:val="21"/>
                        </w:rPr>
                        <w:t>总经理</w:t>
                      </w:r>
                    </w:p>
                  </w:txbxContent>
                </v:textbox>
                <w10:wrap type="none"/>
              </v:shape>
              <v:shape style="position:absolute;left:2122;top:2416;width:1620;height:462" type="#_x0000_t202" filled="false" stroked="false">
                <v:textbox inset="0,0,0,0">
                  <w:txbxContent>
                    <w:p>
                      <w:pPr>
                        <w:spacing w:before="86"/>
                        <w:ind w:left="285" w:right="0" w:firstLine="0"/>
                        <w:jc w:val="left"/>
                        <w:rPr>
                          <w:rFonts w:ascii="宋体" w:hAnsi="宋体" w:cs="宋体" w:eastAsia="宋体" w:hint="default"/>
                          <w:sz w:val="21"/>
                          <w:szCs w:val="21"/>
                        </w:rPr>
                      </w:pPr>
                      <w:r>
                        <w:rPr>
                          <w:rFonts w:ascii="宋体" w:hAnsi="宋体" w:cs="宋体" w:eastAsia="宋体" w:hint="default"/>
                          <w:sz w:val="21"/>
                          <w:szCs w:val="21"/>
                        </w:rPr>
                        <w:t>提名委员会</w:t>
                      </w:r>
                    </w:p>
                  </w:txbxContent>
                </v:textbox>
                <w10:wrap type="none"/>
              </v:shape>
              <v:shape style="position:absolute;left:7448;top:2687;width:1620;height:501" type="#_x0000_t202" filled="false" stroked="false">
                <v:textbox inset="0,0,0,0">
                  <w:txbxContent>
                    <w:p>
                      <w:pPr>
                        <w:spacing w:before="123"/>
                        <w:ind w:left="181" w:right="0" w:firstLine="0"/>
                        <w:jc w:val="left"/>
                        <w:rPr>
                          <w:rFonts w:ascii="宋体" w:hAnsi="宋体" w:cs="宋体" w:eastAsia="宋体" w:hint="default"/>
                          <w:sz w:val="21"/>
                          <w:szCs w:val="21"/>
                        </w:rPr>
                      </w:pPr>
                      <w:r>
                        <w:rPr>
                          <w:rFonts w:ascii="宋体" w:hAnsi="宋体" w:cs="宋体" w:eastAsia="宋体" w:hint="default"/>
                          <w:sz w:val="21"/>
                          <w:szCs w:val="21"/>
                        </w:rPr>
                        <w:t>董事会办公室</w:t>
                      </w:r>
                    </w:p>
                  </w:txbxContent>
                </v:textbox>
                <w10:wrap type="none"/>
              </v:shape>
              <v:shape style="position:absolute;left:8;top:3284;width:1598;height:462" type="#_x0000_t202" filled="false" stroked="false">
                <v:textbox inset="0,0,0,0">
                  <w:txbxContent>
                    <w:p>
                      <w:pPr>
                        <w:spacing w:before="86"/>
                        <w:ind w:left="495" w:right="0" w:firstLine="0"/>
                        <w:jc w:val="left"/>
                        <w:rPr>
                          <w:rFonts w:ascii="宋体" w:hAnsi="宋体" w:cs="宋体" w:eastAsia="宋体" w:hint="default"/>
                          <w:sz w:val="21"/>
                          <w:szCs w:val="21"/>
                        </w:rPr>
                      </w:pPr>
                      <w:r>
                        <w:rPr>
                          <w:rFonts w:ascii="宋体" w:hAnsi="宋体" w:cs="宋体" w:eastAsia="宋体" w:hint="default"/>
                          <w:sz w:val="21"/>
                          <w:szCs w:val="21"/>
                        </w:rPr>
                        <w:t>审计部</w:t>
                      </w:r>
                    </w:p>
                  </w:txbxContent>
                </v:textbox>
                <w10:wrap type="none"/>
              </v:shape>
              <v:shape style="position:absolute;left:1729;top:3901;width:1342;height:462" type="#_x0000_t202" filled="false" stroked="false">
                <v:textbox inset="0,0,0,0">
                  <w:txbxContent>
                    <w:p>
                      <w:pPr>
                        <w:spacing w:before="84"/>
                        <w:ind w:left="247" w:right="0" w:firstLine="0"/>
                        <w:jc w:val="left"/>
                        <w:rPr>
                          <w:rFonts w:ascii="宋体" w:hAnsi="宋体" w:cs="宋体" w:eastAsia="宋体" w:hint="default"/>
                          <w:sz w:val="21"/>
                          <w:szCs w:val="21"/>
                        </w:rPr>
                      </w:pPr>
                      <w:r>
                        <w:rPr>
                          <w:rFonts w:ascii="宋体" w:hAnsi="宋体" w:cs="宋体" w:eastAsia="宋体" w:hint="default"/>
                          <w:sz w:val="21"/>
                          <w:szCs w:val="21"/>
                        </w:rPr>
                        <w:t>财务总监</w:t>
                      </w:r>
                    </w:p>
                  </w:txbxContent>
                </v:textbox>
                <w10:wrap type="none"/>
              </v:shape>
              <v:shape style="position:absolute;left:1729;top:4844;width:1342;height:462" type="#_x0000_t202" filled="false" stroked="false">
                <v:textbox inset="0,0,0,0">
                  <w:txbxContent>
                    <w:p>
                      <w:pPr>
                        <w:spacing w:before="86"/>
                        <w:ind w:left="359" w:right="0" w:firstLine="0"/>
                        <w:jc w:val="left"/>
                        <w:rPr>
                          <w:rFonts w:ascii="宋体" w:hAnsi="宋体" w:cs="宋体" w:eastAsia="宋体" w:hint="default"/>
                          <w:sz w:val="21"/>
                          <w:szCs w:val="21"/>
                        </w:rPr>
                      </w:pPr>
                      <w:r>
                        <w:rPr>
                          <w:rFonts w:ascii="宋体" w:hAnsi="宋体" w:cs="宋体" w:eastAsia="宋体" w:hint="default"/>
                          <w:sz w:val="21"/>
                          <w:szCs w:val="21"/>
                        </w:rPr>
                        <w:t>财务部</w:t>
                      </w:r>
                    </w:p>
                  </w:txbxContent>
                </v:textbox>
                <w10:wrap type="none"/>
              </v:shape>
              <v:shape style="position:absolute;left:3308;top:4844;width:1341;height:462" type="#_x0000_t202" filled="false" stroked="false">
                <v:textbox inset="0,0,0,0">
                  <w:txbxContent>
                    <w:p>
                      <w:pPr>
                        <w:spacing w:before="86"/>
                        <w:ind w:left="250" w:right="0" w:firstLine="0"/>
                        <w:jc w:val="left"/>
                        <w:rPr>
                          <w:rFonts w:ascii="宋体" w:hAnsi="宋体" w:cs="宋体" w:eastAsia="宋体" w:hint="default"/>
                          <w:sz w:val="21"/>
                          <w:szCs w:val="21"/>
                        </w:rPr>
                      </w:pPr>
                      <w:r>
                        <w:rPr>
                          <w:rFonts w:ascii="宋体" w:hAnsi="宋体" w:cs="宋体" w:eastAsia="宋体" w:hint="default"/>
                          <w:sz w:val="21"/>
                          <w:szCs w:val="21"/>
                        </w:rPr>
                        <w:t>青岛广顺</w:t>
                      </w:r>
                    </w:p>
                  </w:txbxContent>
                </v:textbox>
                <w10:wrap type="none"/>
              </v:shape>
              <v:shape style="position:absolute;left:4996;top:4844;width:1342;height:462" type="#_x0000_t202" filled="false" stroked="false">
                <v:textbox inset="0,0,0,0">
                  <w:txbxContent>
                    <w:p>
                      <w:pPr>
                        <w:spacing w:before="86"/>
                        <w:ind w:left="220" w:right="0" w:firstLine="0"/>
                        <w:jc w:val="left"/>
                        <w:rPr>
                          <w:rFonts w:ascii="宋体" w:hAnsi="宋体" w:cs="宋体" w:eastAsia="宋体" w:hint="default"/>
                          <w:sz w:val="21"/>
                          <w:szCs w:val="21"/>
                        </w:rPr>
                      </w:pPr>
                      <w:r>
                        <w:rPr>
                          <w:rFonts w:ascii="宋体" w:hAnsi="宋体" w:cs="宋体" w:eastAsia="宋体" w:hint="default"/>
                          <w:sz w:val="21"/>
                          <w:szCs w:val="21"/>
                        </w:rPr>
                        <w:t>兖州海情</w:t>
                      </w:r>
                    </w:p>
                  </w:txbxContent>
                </v:textbox>
                <w10:wrap type="none"/>
              </v:shape>
              <v:shape style="position:absolute;left:6548;top:4844;width:1560;height:462" type="#_x0000_t202" filled="false" stroked="false">
                <v:textbox inset="0,0,0,0">
                  <w:txbxContent>
                    <w:p>
                      <w:pPr>
                        <w:spacing w:before="86"/>
                        <w:ind w:left="255" w:right="0" w:firstLine="0"/>
                        <w:jc w:val="left"/>
                        <w:rPr>
                          <w:rFonts w:ascii="宋体" w:hAnsi="宋体" w:cs="宋体" w:eastAsia="宋体" w:hint="default"/>
                          <w:sz w:val="21"/>
                          <w:szCs w:val="21"/>
                        </w:rPr>
                      </w:pPr>
                      <w:r>
                        <w:rPr>
                          <w:rFonts w:ascii="宋体" w:hAnsi="宋体" w:cs="宋体" w:eastAsia="宋体" w:hint="default"/>
                          <w:sz w:val="21"/>
                          <w:szCs w:val="21"/>
                        </w:rPr>
                        <w:t>工程管理部</w:t>
                      </w:r>
                    </w:p>
                  </w:txbxContent>
                </v:textbox>
                <w10:wrap type="none"/>
              </v:shape>
              <v:shape style="position:absolute;left:8348;top:4844;width:1560;height:462" type="#_x0000_t202" filled="false" stroked="false">
                <v:textbox inset="0,0,0,0">
                  <w:txbxContent>
                    <w:p>
                      <w:pPr>
                        <w:spacing w:before="80"/>
                        <w:ind w:left="255" w:right="0" w:firstLine="0"/>
                        <w:jc w:val="left"/>
                        <w:rPr>
                          <w:rFonts w:ascii="宋体" w:hAnsi="宋体" w:cs="宋体" w:eastAsia="宋体" w:hint="default"/>
                          <w:sz w:val="21"/>
                          <w:szCs w:val="21"/>
                        </w:rPr>
                      </w:pPr>
                      <w:r>
                        <w:rPr>
                          <w:rFonts w:ascii="宋体" w:hAnsi="宋体" w:cs="宋体" w:eastAsia="宋体" w:hint="default"/>
                          <w:sz w:val="21"/>
                          <w:szCs w:val="21"/>
                        </w:rPr>
                        <w:t>综合管理部</w:t>
                      </w:r>
                    </w:p>
                  </w:txbxContent>
                </v:textbox>
                <w10:wrap type="none"/>
              </v:shape>
              <v:shape style="position:absolute;left:4996;top:5930;width:1342;height:462" type="#_x0000_t202" filled="false" stroked="false">
                <v:textbox inset="0,0,0,0">
                  <w:txbxContent>
                    <w:p>
                      <w:pPr>
                        <w:spacing w:before="86"/>
                        <w:ind w:left="220" w:right="0" w:firstLine="0"/>
                        <w:jc w:val="left"/>
                        <w:rPr>
                          <w:rFonts w:ascii="宋体" w:hAnsi="宋体" w:cs="宋体" w:eastAsia="宋体" w:hint="default"/>
                          <w:sz w:val="21"/>
                          <w:szCs w:val="21"/>
                        </w:rPr>
                      </w:pPr>
                      <w:r>
                        <w:rPr>
                          <w:rFonts w:ascii="宋体" w:hAnsi="宋体" w:cs="宋体" w:eastAsia="宋体" w:hint="default"/>
                          <w:sz w:val="21"/>
                          <w:szCs w:val="21"/>
                        </w:rPr>
                        <w:t>泗水海情</w:t>
                      </w:r>
                    </w:p>
                  </w:txbxContent>
                </v:textbox>
                <w10:wrap type="none"/>
              </v:shape>
            </v:group>
          </v:group>
        </w:pict>
      </w:r>
      <w:r>
        <w:rPr>
          <w:rFonts w:ascii="宋体" w:hAnsi="宋体" w:cs="宋体" w:eastAsia="宋体" w:hint="default"/>
          <w:position w:val="-127"/>
          <w:sz w:val="20"/>
          <w:szCs w:val="20"/>
        </w:rPr>
      </w:r>
    </w:p>
    <w:p>
      <w:pPr>
        <w:spacing w:line="240" w:lineRule="auto" w:before="6"/>
        <w:rPr>
          <w:rFonts w:ascii="宋体" w:hAnsi="宋体" w:cs="宋体" w:eastAsia="宋体" w:hint="default"/>
          <w:sz w:val="5"/>
          <w:szCs w:val="5"/>
        </w:rPr>
      </w:pPr>
    </w:p>
    <w:p>
      <w:pPr>
        <w:pStyle w:val="BodyText"/>
        <w:spacing w:line="357" w:lineRule="auto" w:before="26"/>
        <w:ind w:left="1194" w:right="250"/>
        <w:jc w:val="left"/>
      </w:pPr>
      <w:r>
        <w:rPr/>
        <w:t>2）内部控制制度的建立和健全情况 本公司原已制订了健全的内部控制制度，但由于目前公司原主营业务已经停止，人员配</w:t>
      </w:r>
    </w:p>
    <w:p>
      <w:pPr>
        <w:pStyle w:val="BodyText"/>
        <w:spacing w:line="357" w:lineRule="auto"/>
        <w:ind w:left="1194" w:right="250" w:hanging="480"/>
        <w:jc w:val="left"/>
      </w:pPr>
      <w:r>
        <w:rPr/>
        <w:t>置也不完备，很多内部控制制度已不适用。 目前公司正处在重组阶段，公司主营业务已经转变为房地产。为此，公司正在根据中国</w:t>
      </w:r>
    </w:p>
    <w:p>
      <w:pPr>
        <w:pStyle w:val="BodyText"/>
        <w:spacing w:line="357" w:lineRule="auto"/>
        <w:ind w:left="714" w:right="268"/>
        <w:jc w:val="both"/>
      </w:pPr>
      <w:r>
        <w:rPr/>
        <w:t>证券监督管理委员会、深圳证券交易所等部门对上市公司内部控制的有关要求，依据《公司 法》、《证券法》、《上市公司治理准则》、《上市公司章程指引》、深圳证券交易所《上 市公司内部控制指引》等法律、法规和规章制度的规定，结合主业调整的情况，着手修订和 完善内部控制制度。</w:t>
      </w:r>
    </w:p>
    <w:p>
      <w:pPr>
        <w:pStyle w:val="BodyText"/>
        <w:spacing w:line="357" w:lineRule="auto"/>
        <w:ind w:left="1194" w:right="0"/>
        <w:jc w:val="left"/>
      </w:pPr>
      <w:r>
        <w:rPr/>
        <w:t>3）报告期内公司治理结构内控体系存在的问题及解决措施 </w:t>
      </w:r>
      <w:r>
        <w:rPr>
          <w:spacing w:val="-3"/>
        </w:rPr>
        <w:t>报告期内，公司治理结构和内部控制体系存在较多问题：董事会、监事会不能有效运作；</w:t>
      </w:r>
    </w:p>
    <w:p>
      <w:pPr>
        <w:pStyle w:val="BodyText"/>
        <w:spacing w:line="357" w:lineRule="auto"/>
        <w:ind w:left="1194" w:right="250" w:hanging="480"/>
        <w:jc w:val="left"/>
      </w:pPr>
      <w:r>
        <w:rPr/>
        <w:t>董事会秘书和财务总监缺位；财务负责人兼任监事等问题。 报告期末，公司对董事会和监事会进行了换届改选，恢复了董事会、监事会正常运作，</w:t>
      </w:r>
    </w:p>
    <w:p>
      <w:pPr>
        <w:pStyle w:val="BodyText"/>
        <w:spacing w:line="357" w:lineRule="auto"/>
        <w:ind w:left="714" w:right="268"/>
        <w:jc w:val="both"/>
      </w:pPr>
      <w:r>
        <w:rPr/>
        <w:t>解决了财务负责人兼任监事的问题。新聘任了董事会秘书和财务总监，解决了董事会秘书和 财务总监缺位问题。</w:t>
      </w:r>
    </w:p>
    <w:p>
      <w:pPr>
        <w:pStyle w:val="BodyText"/>
        <w:spacing w:line="240" w:lineRule="auto"/>
        <w:ind w:left="1194" w:right="250"/>
        <w:jc w:val="left"/>
      </w:pPr>
      <w:r>
        <w:rPr/>
        <w:t>4）公司内部审计部门的设立情况、人员配备及工作情况</w:t>
      </w:r>
    </w:p>
    <w:p>
      <w:pPr>
        <w:spacing w:after="0" w:line="240" w:lineRule="auto"/>
        <w:jc w:val="left"/>
        <w:sectPr>
          <w:pgSz w:w="11910" w:h="16840"/>
          <w:pgMar w:header="747" w:footer="669" w:top="980" w:bottom="860" w:left="420" w:right="900"/>
        </w:sectPr>
      </w:pPr>
    </w:p>
    <w:p>
      <w:pPr>
        <w:spacing w:line="240" w:lineRule="auto" w:before="7"/>
        <w:rPr>
          <w:rFonts w:ascii="宋体" w:hAnsi="宋体" w:cs="宋体" w:eastAsia="宋体" w:hint="default"/>
          <w:sz w:val="29"/>
          <w:szCs w:val="29"/>
        </w:rPr>
      </w:pPr>
    </w:p>
    <w:p>
      <w:pPr>
        <w:pStyle w:val="BodyText"/>
        <w:spacing w:line="357" w:lineRule="auto" w:before="26"/>
        <w:ind w:right="268" w:firstLine="480"/>
        <w:jc w:val="both"/>
      </w:pPr>
      <w:r>
        <w:rPr/>
        <w:t>报告期末，公司在董事会下设了董事会审计委员会，由三名董事组成，独立董事两名， 其中一名为会计专业人士，审计委员会设主任委员一名，由会计专业独立董事担任，负责主 持委员会工作。由于公司原主营业务已经停止，且在报告期末才完成董事会、监事会换届工 作，公司内部审计部门正处于构建、完善阶段。</w:t>
      </w:r>
    </w:p>
    <w:p>
      <w:pPr>
        <w:pStyle w:val="BodyText"/>
        <w:spacing w:line="240" w:lineRule="auto"/>
        <w:ind w:left="634" w:right="93"/>
        <w:jc w:val="left"/>
      </w:pPr>
      <w:r>
        <w:rPr/>
        <w:t>5）2009年公司为建立和完善内部控制所进行的重要活动、工作及成效</w:t>
      </w:r>
    </w:p>
    <w:p>
      <w:pPr>
        <w:pStyle w:val="BodyText"/>
        <w:spacing w:line="357" w:lineRule="auto" w:before="152"/>
        <w:ind w:right="92" w:firstLine="480"/>
        <w:jc w:val="left"/>
      </w:pPr>
      <w:r>
        <w:rPr/>
        <w:t>①根据《中华人民共和国公司法》、《中华人民共和国证券法》、《深圳证券交易所股 票上市规则》等有关法律、法规、规范性文件和《公司章程》、《上市公司信息披露管理办 法》的有关规定，公司制订了《内幕信息知情人登记制度》，以规范公司内幕信息管理，加 </w:t>
      </w:r>
      <w:r>
        <w:rPr>
          <w:spacing w:val="-2"/>
        </w:rPr>
        <w:t>强内幕信息保密工作，维护信息披露公平原则，并经公司第六届第二十六次董事会审议通过。</w:t>
      </w:r>
    </w:p>
    <w:p>
      <w:pPr>
        <w:pStyle w:val="BodyText"/>
        <w:spacing w:line="357" w:lineRule="auto"/>
        <w:ind w:right="268" w:firstLine="480"/>
        <w:jc w:val="both"/>
      </w:pPr>
      <w:r>
        <w:rPr/>
        <w:t>②公司组织学习证监会和交易所的各项业务通知，并加强上市公司高管人员培训，使培 训工作制度化、经常化。加强培训工作的一个重要目的就是要切实提高上市公司规范运作的 意识，加强上市公司系统协调管理能力。</w:t>
      </w:r>
    </w:p>
    <w:p>
      <w:pPr>
        <w:pStyle w:val="BodyText"/>
        <w:spacing w:line="357" w:lineRule="auto"/>
        <w:ind w:right="268" w:firstLine="480"/>
        <w:jc w:val="both"/>
      </w:pPr>
      <w:r>
        <w:rPr/>
        <w:t>③报告期末，公司董事会、监事会进行了换届改选，解决了法人治理结构和内部控制体 系存在的主要问题。</w:t>
      </w:r>
    </w:p>
    <w:p>
      <w:pPr>
        <w:pStyle w:val="BodyText"/>
        <w:spacing w:line="240" w:lineRule="auto"/>
        <w:ind w:left="634" w:right="93"/>
        <w:jc w:val="left"/>
      </w:pPr>
      <w:r>
        <w:rPr/>
        <w:t>2、公司2009年度内部控制重点工作</w:t>
      </w:r>
    </w:p>
    <w:p>
      <w:pPr>
        <w:pStyle w:val="BodyText"/>
        <w:spacing w:line="240" w:lineRule="auto" w:before="152"/>
        <w:ind w:left="634" w:right="93"/>
        <w:jc w:val="left"/>
      </w:pPr>
      <w:r>
        <w:rPr/>
        <w:t>1)控股子公司控制结构及持股比例图</w:t>
      </w:r>
    </w:p>
    <w:p>
      <w:pPr>
        <w:spacing w:line="240" w:lineRule="auto" w:before="1"/>
        <w:rPr>
          <w:rFonts w:ascii="宋体" w:hAnsi="宋体" w:cs="宋体" w:eastAsia="宋体" w:hint="default"/>
          <w:sz w:val="14"/>
          <w:szCs w:val="14"/>
        </w:rPr>
      </w:pPr>
    </w:p>
    <w:p>
      <w:pPr>
        <w:spacing w:line="2997" w:lineRule="exact"/>
        <w:ind w:left="634" w:right="0" w:firstLine="0"/>
        <w:rPr>
          <w:rFonts w:ascii="宋体" w:hAnsi="宋体" w:cs="宋体" w:eastAsia="宋体" w:hint="default"/>
          <w:sz w:val="20"/>
          <w:szCs w:val="20"/>
        </w:rPr>
      </w:pPr>
      <w:r>
        <w:rPr>
          <w:rFonts w:ascii="宋体" w:hAnsi="宋体" w:cs="宋体" w:eastAsia="宋体" w:hint="default"/>
          <w:position w:val="-59"/>
          <w:sz w:val="20"/>
          <w:szCs w:val="20"/>
        </w:rPr>
        <w:pict>
          <v:group style="width:367.9pt;height:149.85pt;mso-position-horizontal-relative:char;mso-position-vertical-relative:line" coordorigin="0,0" coordsize="7358,2997">
            <v:group style="position:absolute;left:2220;top:8;width:3060;height:468" coordorigin="2220,8" coordsize="3060,468">
              <v:shape style="position:absolute;left:2220;top:8;width:3060;height:468" coordorigin="2220,8" coordsize="3060,468" path="m5280,8l2220,8,2220,475,5280,475,5280,8xe" filled="false" stroked="true" strokeweight=".75pt" strokecolor="#000000">
                <v:path arrowok="t"/>
              </v:shape>
            </v:group>
            <v:group style="position:absolute;left:1680;top:786;width:4140;height:2" coordorigin="1680,786" coordsize="4140,2">
              <v:shape style="position:absolute;left:1680;top:786;width:4140;height:2" coordorigin="1680,786" coordsize="4140,0" path="m1680,786l5820,786e" filled="false" stroked="true" strokeweight=".75pt" strokecolor="#000000">
                <v:path arrowok="t"/>
              </v:shape>
            </v:group>
            <v:group style="position:absolute;left:3840;top:474;width:2;height:312" coordorigin="3840,474" coordsize="2,312">
              <v:shape style="position:absolute;left:3840;top:474;width:2;height:312" coordorigin="3840,474" coordsize="0,312" path="m3840,474l3840,786e" filled="false" stroked="true" strokeweight=".75pt" strokecolor="#000000">
                <v:path arrowok="t"/>
              </v:shape>
            </v:group>
            <v:group style="position:absolute;left:150;top:1444;width:3060;height:468" coordorigin="150,1444" coordsize="3060,468">
              <v:shape style="position:absolute;left:150;top:1444;width:3060;height:468" coordorigin="150,1444" coordsize="3060,468" path="m3210,1444l150,1444,150,1912,3210,1912,3210,1444xe" filled="false" stroked="true" strokeweight=".75pt" strokecolor="#000000">
                <v:path arrowok="t"/>
              </v:shape>
            </v:group>
            <v:group style="position:absolute;left:1680;top:786;width:2;height:624" coordorigin="1680,786" coordsize="2,624">
              <v:shape style="position:absolute;left:1680;top:786;width:2;height:624" coordorigin="1680,786" coordsize="0,624" path="m1680,786l1680,1410e" filled="false" stroked="true" strokeweight=".75pt" strokecolor="#000000">
                <v:path arrowok="t"/>
              </v:shape>
            </v:group>
            <v:group style="position:absolute;left:4290;top:1444;width:3060;height:468" coordorigin="4290,1444" coordsize="3060,468">
              <v:shape style="position:absolute;left:4290;top:1444;width:3060;height:468" coordorigin="4290,1444" coordsize="3060,468" path="m7350,1444l4290,1444,4290,1912,7350,1912,7350,1444xe" filled="false" stroked="true" strokeweight=".75pt" strokecolor="#000000">
                <v:path arrowok="t"/>
              </v:shape>
            </v:group>
            <v:group style="position:absolute;left:5820;top:786;width:2;height:624" coordorigin="5820,786" coordsize="2,624">
              <v:shape style="position:absolute;left:5820;top:786;width:2;height:624" coordorigin="5820,786" coordsize="0,624" path="m5820,786l5820,1410e" filled="false" stroked="true" strokeweight=".75pt" strokecolor="#000000">
                <v:path arrowok="t"/>
              </v:shape>
            </v:group>
            <v:group style="position:absolute;left:4290;top:2521;width:3060;height:468" coordorigin="4290,2521" coordsize="3060,468">
              <v:shape style="position:absolute;left:4290;top:2521;width:3060;height:468" coordorigin="4290,2521" coordsize="3060,468" path="m7350,2521l4290,2521,4290,2989,7350,2989,7350,2521xe" filled="false" stroked="true" strokeweight=".75pt" strokecolor="#000000">
                <v:path arrowok="t"/>
              </v:shape>
            </v:group>
            <v:group style="position:absolute;left:5820;top:1891;width:2;height:624" coordorigin="5820,1891" coordsize="2,624">
              <v:shape style="position:absolute;left:5820;top:1891;width:2;height:624" coordorigin="5820,1891" coordsize="0,624" path="m5820,1891l5820,2515e" filled="false" stroked="true" strokeweight=".75pt" strokecolor="#000000">
                <v:path arrowok="t"/>
              </v:shape>
              <v:shape style="position:absolute;left:2220;top:8;width:3060;height:468" type="#_x0000_t202" filled="false" stroked="false">
                <v:textbox inset="0,0,0,0">
                  <w:txbxContent>
                    <w:p>
                      <w:pPr>
                        <w:spacing w:before="86"/>
                        <w:ind w:left="271" w:right="0" w:firstLine="0"/>
                        <w:jc w:val="left"/>
                        <w:rPr>
                          <w:rFonts w:ascii="宋体" w:hAnsi="宋体" w:cs="宋体" w:eastAsia="宋体" w:hint="default"/>
                          <w:sz w:val="21"/>
                          <w:szCs w:val="21"/>
                        </w:rPr>
                      </w:pPr>
                      <w:r>
                        <w:rPr>
                          <w:rFonts w:ascii="宋体" w:hAnsi="宋体" w:cs="宋体" w:eastAsia="宋体" w:hint="default"/>
                          <w:sz w:val="21"/>
                          <w:szCs w:val="21"/>
                        </w:rPr>
                        <w:t>深圳大通实业股份有限公司</w:t>
                      </w:r>
                    </w:p>
                  </w:txbxContent>
                </v:textbox>
                <w10:wrap type="none"/>
              </v:shape>
              <v:shape style="position:absolute;left:150;top:1444;width:3060;height:468" type="#_x0000_t202" filled="false" stroked="false">
                <v:textbox inset="0,0,0,0">
                  <w:txbxContent>
                    <w:p>
                      <w:pPr>
                        <w:spacing w:before="86"/>
                        <w:ind w:left="375" w:right="0" w:firstLine="0"/>
                        <w:jc w:val="left"/>
                        <w:rPr>
                          <w:rFonts w:ascii="宋体" w:hAnsi="宋体" w:cs="宋体" w:eastAsia="宋体" w:hint="default"/>
                          <w:sz w:val="21"/>
                          <w:szCs w:val="21"/>
                        </w:rPr>
                      </w:pPr>
                      <w:r>
                        <w:rPr>
                          <w:rFonts w:ascii="宋体" w:hAnsi="宋体" w:cs="宋体" w:eastAsia="宋体" w:hint="default"/>
                          <w:sz w:val="21"/>
                          <w:szCs w:val="21"/>
                        </w:rPr>
                        <w:t>青岛广顺房地产有限公司</w:t>
                      </w:r>
                    </w:p>
                  </w:txbxContent>
                </v:textbox>
                <w10:wrap type="none"/>
              </v:shape>
              <v:shape style="position:absolute;left:4290;top:1444;width:3060;height:468" type="#_x0000_t202" filled="false" stroked="false">
                <v:textbox inset="0,0,0,0">
                  <w:txbxContent>
                    <w:p>
                      <w:pPr>
                        <w:spacing w:before="86"/>
                        <w:ind w:left="481" w:right="0" w:firstLine="0"/>
                        <w:jc w:val="left"/>
                        <w:rPr>
                          <w:rFonts w:ascii="宋体" w:hAnsi="宋体" w:cs="宋体" w:eastAsia="宋体" w:hint="default"/>
                          <w:sz w:val="21"/>
                          <w:szCs w:val="21"/>
                        </w:rPr>
                      </w:pPr>
                      <w:r>
                        <w:rPr>
                          <w:rFonts w:ascii="宋体" w:hAnsi="宋体" w:cs="宋体" w:eastAsia="宋体" w:hint="default"/>
                          <w:sz w:val="21"/>
                          <w:szCs w:val="21"/>
                        </w:rPr>
                        <w:t>兖州海情置业有限公司</w:t>
                      </w:r>
                    </w:p>
                  </w:txbxContent>
                </v:textbox>
                <w10:wrap type="none"/>
              </v:shape>
              <v:shape style="position:absolute;left:4290;top:2521;width:3060;height:468" type="#_x0000_t202" filled="false" stroked="false">
                <v:textbox inset="0,0,0,0">
                  <w:txbxContent>
                    <w:p>
                      <w:pPr>
                        <w:spacing w:before="86"/>
                        <w:ind w:left="481" w:right="0" w:firstLine="0"/>
                        <w:jc w:val="left"/>
                        <w:rPr>
                          <w:rFonts w:ascii="宋体" w:hAnsi="宋体" w:cs="宋体" w:eastAsia="宋体" w:hint="default"/>
                          <w:sz w:val="21"/>
                          <w:szCs w:val="21"/>
                        </w:rPr>
                      </w:pPr>
                      <w:r>
                        <w:rPr>
                          <w:rFonts w:ascii="宋体" w:hAnsi="宋体" w:cs="宋体" w:eastAsia="宋体" w:hint="default"/>
                          <w:sz w:val="21"/>
                          <w:szCs w:val="21"/>
                        </w:rPr>
                        <w:t>泗水海情置业有限公司</w:t>
                      </w:r>
                    </w:p>
                  </w:txbxContent>
                </v:textbox>
                <w10:wrap type="none"/>
              </v:shape>
              <v:shape style="position:absolute;left:1304;top:972;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83%</w:t>
                      </w:r>
                      <w:r>
                        <w:rPr>
                          <w:rFonts w:ascii="宋体"/>
                          <w:sz w:val="21"/>
                        </w:rPr>
                      </w:r>
                    </w:p>
                  </w:txbxContent>
                </v:textbox>
                <w10:wrap type="none"/>
              </v:shape>
              <v:shape style="position:absolute;left:5922;top:972;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90%</w:t>
                      </w:r>
                      <w:r>
                        <w:rPr>
                          <w:rFonts w:ascii="宋体"/>
                          <w:sz w:val="21"/>
                        </w:rPr>
                      </w:r>
                    </w:p>
                  </w:txbxContent>
                </v:textbox>
                <w10:wrap type="none"/>
              </v:shape>
              <v:shape style="position:absolute;left:5880;top:2256;width:419;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100%</w:t>
                      </w:r>
                      <w:r>
                        <w:rPr>
                          <w:rFonts w:ascii="宋体"/>
                          <w:sz w:val="21"/>
                        </w:rPr>
                      </w:r>
                    </w:p>
                  </w:txbxContent>
                </v:textbox>
                <w10:wrap type="none"/>
              </v:shape>
              <v:shape style="position:absolute;left:0;top:2668;width:3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2)控股子公司的管理控制情况</w:t>
                      </w:r>
                    </w:p>
                  </w:txbxContent>
                </v:textbox>
                <w10:wrap type="none"/>
              </v:shape>
            </v:group>
          </v:group>
        </w:pict>
      </w:r>
      <w:r>
        <w:rPr>
          <w:rFonts w:ascii="宋体" w:hAnsi="宋体" w:cs="宋体" w:eastAsia="宋体" w:hint="default"/>
          <w:position w:val="-59"/>
          <w:sz w:val="20"/>
          <w:szCs w:val="20"/>
        </w:rPr>
      </w:r>
    </w:p>
    <w:p>
      <w:pPr>
        <w:pStyle w:val="BodyText"/>
        <w:spacing w:line="357" w:lineRule="auto" w:before="65"/>
        <w:ind w:left="153" w:right="93" w:firstLine="480"/>
        <w:jc w:val="left"/>
      </w:pPr>
      <w:r>
        <w:rPr/>
        <w:t>由于公司正在重组过渡阶段，虽然两个子公司已于2008年9月底注入上市公司，但由于控 股股东亚星实业在报告期末才取得公司的实际控制权，因此，报告期末尚未建立起完善的控 </w:t>
      </w:r>
      <w:r>
        <w:rPr>
          <w:spacing w:val="-3"/>
        </w:rPr>
        <w:t>制制度。目前，公司正在着手建立对控股子公司的控制制度，包括向各控股子公司委派董事、</w:t>
      </w:r>
      <w:r>
        <w:rPr>
          <w:spacing w:val="-81"/>
        </w:rPr>
        <w:t> </w:t>
      </w:r>
      <w:r>
        <w:rPr>
          <w:spacing w:val="-81"/>
        </w:rPr>
      </w:r>
      <w:r>
        <w:rPr/>
        <w:t>监事及重要高级管理人员各控股子公司建立与公司相应的经营计划、风险管理程序，建立重 大事项报告制度和审议程序。</w:t>
      </w:r>
    </w:p>
    <w:p>
      <w:pPr>
        <w:pStyle w:val="BodyText"/>
        <w:spacing w:line="357" w:lineRule="auto"/>
        <w:ind w:left="633" w:right="251"/>
        <w:jc w:val="left"/>
      </w:pPr>
      <w:r>
        <w:rPr/>
        <w:t>3)公司关联交易的内部控制情况 公司明确划分了公司股东大会、董事会对关联交易事项的审批权限，规定了关联交易事</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250" w:hanging="480"/>
        <w:jc w:val="left"/>
      </w:pPr>
      <w:r>
        <w:rPr/>
        <w:t>项的审议程序和回避表决要求。 对照深交所《内部控制指引》的有关规定，公司对关联交易的内部控制严格、充分、有</w:t>
      </w:r>
    </w:p>
    <w:p>
      <w:pPr>
        <w:pStyle w:val="BodyText"/>
        <w:spacing w:line="357" w:lineRule="auto"/>
        <w:ind w:left="634" w:right="4570" w:hanging="480"/>
        <w:jc w:val="left"/>
      </w:pPr>
      <w:r>
        <w:rPr/>
        <w:t>效，未发现有违反《内部控制指引》的情形发生。 4)公司对外担保的内部控制情况</w:t>
      </w:r>
    </w:p>
    <w:p>
      <w:pPr>
        <w:pStyle w:val="BodyText"/>
        <w:spacing w:line="357" w:lineRule="auto"/>
        <w:ind w:right="268" w:firstLine="480"/>
        <w:jc w:val="both"/>
      </w:pPr>
      <w:r>
        <w:rPr/>
        <w:t>根据中国证监会发布的《关于规范上市公司与关联方资金往来及上市公司对外担保若干 问题的通知》，公司严格控制自身对外担保行为，同时也加强了对各控股子公司担保行为的 管理。公司章程中明确规定了对外担保的基本原则、审批权限、审批程序、被担保对象的资 信标准等。</w:t>
      </w:r>
    </w:p>
    <w:p>
      <w:pPr>
        <w:pStyle w:val="BodyText"/>
        <w:spacing w:line="357" w:lineRule="auto" w:before="36"/>
        <w:ind w:left="634" w:right="5290"/>
        <w:jc w:val="left"/>
      </w:pPr>
      <w:r>
        <w:rPr/>
        <w:t>报告期内，公司未发生对外担保事项。 5)募集资金使用的内部控制情况</w:t>
      </w:r>
    </w:p>
    <w:p>
      <w:pPr>
        <w:pStyle w:val="BodyText"/>
        <w:spacing w:line="357" w:lineRule="auto"/>
        <w:ind w:right="268" w:firstLine="480"/>
        <w:jc w:val="both"/>
      </w:pPr>
      <w:r>
        <w:rPr/>
        <w:t>公司已建立了《募集资金管理制度》，对募集资金的管理、使用、变更、信息披露等作 了明确规定。</w:t>
      </w:r>
    </w:p>
    <w:p>
      <w:pPr>
        <w:pStyle w:val="BodyText"/>
        <w:spacing w:line="357" w:lineRule="auto"/>
        <w:ind w:left="634" w:right="5290"/>
        <w:jc w:val="left"/>
      </w:pPr>
      <w:r>
        <w:rPr/>
        <w:t>报告期内，公司无募集资金使用情况。 6)重大投资的内部控制情况</w:t>
      </w:r>
    </w:p>
    <w:p>
      <w:pPr>
        <w:pStyle w:val="BodyText"/>
        <w:spacing w:line="357" w:lineRule="auto"/>
        <w:ind w:right="93" w:firstLine="480"/>
        <w:jc w:val="left"/>
      </w:pPr>
      <w:r>
        <w:rPr>
          <w:spacing w:val="-3"/>
        </w:rPr>
        <w:t>为规范公司重大投资行为、规避相应投资风险，公司股东大会对董事会进行了有限授权。</w:t>
      </w:r>
      <w:r>
        <w:rPr/>
        <w:t> 公司章程明确规定，“董事会应当确定其运用公司资产所做出的对外投资、收购出售资产等 权限，建立严格的审查和决策程序；重大投资项目应当组织有关专家、专业人员做好专业评 </w:t>
      </w:r>
      <w:r>
        <w:rPr>
          <w:spacing w:val="-3"/>
        </w:rPr>
        <w:t>审。为了更好的适应市场和公司发展的需要，保证公司经营决策的及时高效，董事会在法律、</w:t>
      </w:r>
      <w:r>
        <w:rPr>
          <w:spacing w:val="-81"/>
        </w:rPr>
        <w:t> </w:t>
      </w:r>
      <w:r>
        <w:rPr>
          <w:spacing w:val="-81"/>
        </w:rPr>
      </w:r>
      <w:r>
        <w:rPr/>
        <w:t>法规及公司章程允许的范围内对外投资和处置资产及审批贷款时，拥有不得超出该项行为发 生时公司净资产的30%的审批权”，比较好的控制了重大投资的风险。</w:t>
      </w:r>
    </w:p>
    <w:p>
      <w:pPr>
        <w:pStyle w:val="BodyText"/>
        <w:spacing w:line="357" w:lineRule="auto"/>
        <w:ind w:left="634" w:right="5530"/>
        <w:jc w:val="left"/>
      </w:pPr>
      <w:r>
        <w:rPr/>
        <w:t>报告期内，公司无重大投资的情况。 7)公司信息披露的内部控制情况</w:t>
      </w:r>
    </w:p>
    <w:p>
      <w:pPr>
        <w:pStyle w:val="BodyText"/>
        <w:spacing w:line="357" w:lineRule="auto"/>
        <w:ind w:right="268" w:firstLine="480"/>
        <w:jc w:val="both"/>
      </w:pPr>
      <w:r>
        <w:rPr/>
        <w:t>公司按照《上市公司信息披露管理办法》的要求建立了信息披露内控制度，制定了定期 报告的编制、审议、披露程序，制定了重大事件的报告、传递、审核、披露程序，明确了内 部保密责任。</w:t>
      </w:r>
    </w:p>
    <w:p>
      <w:pPr>
        <w:pStyle w:val="BodyText"/>
        <w:spacing w:line="357" w:lineRule="auto"/>
        <w:ind w:right="268" w:firstLine="480"/>
        <w:jc w:val="both"/>
      </w:pPr>
      <w:r>
        <w:rPr/>
        <w:t>对照深交所《内部控制指引》的有关规定，公司对信息披露的内部控制严格、充分、有 效，未有违反《内部控制指引》的情形发生。</w:t>
      </w:r>
    </w:p>
    <w:p>
      <w:pPr>
        <w:pStyle w:val="BodyText"/>
        <w:spacing w:line="240" w:lineRule="auto"/>
        <w:ind w:left="634" w:right="93"/>
        <w:jc w:val="left"/>
      </w:pPr>
      <w:r>
        <w:rPr/>
        <w:t>3、公司下一年度内部控制工作计划和需完善的事项</w:t>
      </w:r>
    </w:p>
    <w:p>
      <w:pPr>
        <w:pStyle w:val="BodyText"/>
        <w:spacing w:line="357" w:lineRule="auto" w:before="152"/>
        <w:ind w:right="231" w:firstLine="480"/>
        <w:jc w:val="both"/>
      </w:pPr>
      <w:r>
        <w:rPr>
          <w:spacing w:val="-3"/>
        </w:rPr>
        <w:t>1）在完成重组和股东股份过户的前提下，结合公司重组后的新业务、新情况，根据《深</w:t>
      </w:r>
      <w:r>
        <w:rPr/>
        <w:t> 圳证券交易所上市公司内部控制指引》，对公司内部控制制度进行进一步的完善，使重组的</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93" w:hanging="480"/>
        <w:jc w:val="left"/>
      </w:pPr>
      <w:r>
        <w:rPr/>
        <w:t>效应发挥到最大。 </w:t>
      </w:r>
      <w:r>
        <w:rPr>
          <w:spacing w:val="-3"/>
        </w:rPr>
        <w:t>2）建立对控股子公司的控制制度，包括向各控股子公司委派董事、监事及重要高级管理</w:t>
      </w:r>
    </w:p>
    <w:p>
      <w:pPr>
        <w:pStyle w:val="BodyText"/>
        <w:spacing w:line="357" w:lineRule="auto"/>
        <w:ind w:right="268"/>
        <w:jc w:val="both"/>
      </w:pPr>
      <w:r>
        <w:rPr/>
        <w:t>人员各控股子公司建立与公司相应的经营计划、风险管理程序，建立重大事项报告制度和审 议程序。</w:t>
      </w:r>
    </w:p>
    <w:p>
      <w:pPr>
        <w:pStyle w:val="BodyText"/>
        <w:spacing w:line="357" w:lineRule="auto"/>
        <w:ind w:right="231" w:firstLine="480"/>
        <w:jc w:val="both"/>
      </w:pPr>
      <w:r>
        <w:rPr>
          <w:spacing w:val="-3"/>
        </w:rPr>
        <w:t>3）逐步完善董事、监事、高管的绩效评价考核体系与激励机制。截止报告期末，除许亚</w:t>
      </w:r>
      <w:r>
        <w:rPr/>
        <w:t> 楠先生外，其他现任董事、监事、高级管理人员尚未在公司领薪。公司将在重组完成后，积 极着手完善符合公司实际的、公正、透明的董事、监事和高级管理人员的绩效评价体系和激 励约束机制，以进一步完善公司的法人治理结构。</w:t>
      </w:r>
    </w:p>
    <w:p>
      <w:pPr>
        <w:pStyle w:val="BodyText"/>
        <w:spacing w:line="357" w:lineRule="auto" w:before="36"/>
        <w:ind w:left="634" w:right="250"/>
        <w:jc w:val="left"/>
      </w:pPr>
      <w:r>
        <w:rPr/>
        <w:t>4、内部控制制度总体评价 尽管报告期内公司治理结构和内部控制体系存在较多问题，但通过报告期末董事会和监</w:t>
      </w:r>
    </w:p>
    <w:p>
      <w:pPr>
        <w:pStyle w:val="BodyText"/>
        <w:spacing w:line="357" w:lineRule="auto"/>
        <w:ind w:right="268"/>
        <w:jc w:val="both"/>
      </w:pPr>
      <w:r>
        <w:rPr/>
        <w:t>事会的换届改选，恢复了董事会、监事会正常运作，解决了法人治理结构和内部控制体系存 在的主要问题。</w:t>
      </w:r>
    </w:p>
    <w:p>
      <w:pPr>
        <w:pStyle w:val="BodyText"/>
        <w:spacing w:line="357" w:lineRule="auto"/>
        <w:ind w:right="268" w:firstLine="480"/>
        <w:jc w:val="both"/>
      </w:pPr>
      <w:r>
        <w:rPr/>
        <w:t>随着公司重组的完成及外部环境的变化和公司经营活动变化的需要，公司将继续不断修 订和完善相关内部控制管理制度，使之始终符合相关法律法规的要求和适应公司长期发展的 需要，同时完善内部审计机构的工作，防范风险，促进公司更快更好地发展。</w:t>
      </w:r>
    </w:p>
    <w:p>
      <w:pPr>
        <w:pStyle w:val="BodyText"/>
        <w:spacing w:line="357" w:lineRule="auto"/>
        <w:ind w:left="634" w:right="250"/>
        <w:jc w:val="left"/>
      </w:pPr>
      <w:r>
        <w:rPr/>
        <w:t>5、公司监事会对公司内部控制自我评价的意见 公司根据中国证监会、深圳证券交易所有关规定，遵循内部控制的基本原则，按照自身</w:t>
      </w:r>
    </w:p>
    <w:p>
      <w:pPr>
        <w:pStyle w:val="BodyText"/>
        <w:spacing w:line="357" w:lineRule="auto"/>
        <w:ind w:right="268"/>
        <w:jc w:val="both"/>
      </w:pPr>
      <w:r>
        <w:rPr/>
        <w:t>的实际情况，逐渐建立、完善内部控制制度，以保证各项业务活动的正常进行。公司内部控 制自我评价真实、准确地反映了公司内部控制的实际情况。</w:t>
      </w:r>
    </w:p>
    <w:p>
      <w:pPr>
        <w:pStyle w:val="BodyText"/>
        <w:spacing w:line="357" w:lineRule="auto"/>
        <w:ind w:left="634" w:right="93"/>
        <w:jc w:val="left"/>
      </w:pPr>
      <w:r>
        <w:rPr/>
        <w:t>6、公司独立董事对公司内部控制自我评价的意见 </w:t>
      </w:r>
      <w:r>
        <w:rPr>
          <w:spacing w:val="-3"/>
        </w:rPr>
        <w:t>报告期内，公司治理结构和内部控制体系存在较多问题：董事会、监事会不能有效运作；</w:t>
      </w:r>
    </w:p>
    <w:p>
      <w:pPr>
        <w:pStyle w:val="BodyText"/>
        <w:spacing w:line="357" w:lineRule="auto"/>
        <w:ind w:right="268"/>
        <w:jc w:val="both"/>
      </w:pPr>
      <w:r>
        <w:rPr/>
        <w:t>董事会秘书和财务总监缺位；财务负责人兼任监事等问题。报告期末，公司对董事会和监事 会进行了换届改选，恢复了董事会、监事会正常运作，解决了财务负责人兼任监事的问题。 新聘任了董事会秘书和财务总监，解决了董事会秘书和财务总监缺位问题。</w:t>
      </w:r>
    </w:p>
    <w:p>
      <w:pPr>
        <w:pStyle w:val="BodyText"/>
        <w:spacing w:line="357" w:lineRule="auto" w:before="36"/>
        <w:ind w:right="268" w:firstLine="480"/>
        <w:jc w:val="both"/>
      </w:pPr>
      <w:r>
        <w:rPr/>
        <w:t>同时，新一届董事会上任后，正针对公司治理结构和内部控制存在的问题正在认真的整 改，以完善的公司内部控制系统。同时，董事会正在按照公司的行业特点对公司原来的内控 制度进行修订，以保证公司经营业务的正常运行。</w:t>
      </w:r>
    </w:p>
    <w:p>
      <w:pPr>
        <w:pStyle w:val="BodyText"/>
        <w:spacing w:line="357" w:lineRule="auto"/>
        <w:ind w:right="268" w:firstLine="480"/>
        <w:jc w:val="both"/>
      </w:pPr>
      <w:r>
        <w:rPr/>
        <w:t>我们认为：公司内部控制体系正在完善。公司内部控制自我评价符合公司内部控制的实 际情况。</w:t>
      </w:r>
    </w:p>
    <w:p>
      <w:pPr>
        <w:pStyle w:val="BodyText"/>
        <w:spacing w:line="240" w:lineRule="auto"/>
        <w:ind w:left="634" w:right="93"/>
        <w:jc w:val="left"/>
      </w:pPr>
      <w:r>
        <w:rPr/>
        <w:t>（六）公司对高级管理人员的考评及激励机制</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t>报告期内，公司处于重组期间，公司未对高管人员进行考评及激励。</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4389" w:val="left" w:leader="none"/>
        </w:tabs>
        <w:spacing w:line="240" w:lineRule="auto"/>
        <w:ind w:left="3104" w:right="91"/>
        <w:jc w:val="left"/>
        <w:rPr>
          <w:b w:val="0"/>
          <w:bCs w:val="0"/>
        </w:rPr>
      </w:pPr>
      <w:bookmarkStart w:name="_TOC_250005" w:id="7"/>
      <w:r>
        <w:rPr>
          <w:w w:val="95"/>
        </w:rPr>
        <w:t>第七章</w:t>
        <w:tab/>
      </w:r>
      <w:r>
        <w:rPr/>
        <w:t>股东大会情况简介</w:t>
      </w:r>
      <w:bookmarkEnd w:id="7"/>
      <w:r>
        <w:rPr>
          <w:b w:val="0"/>
          <w:bCs w:val="0"/>
        </w:rPr>
      </w:r>
    </w:p>
    <w:p>
      <w:pPr>
        <w:spacing w:line="240" w:lineRule="auto" w:before="0"/>
        <w:rPr>
          <w:rFonts w:ascii="宋体" w:hAnsi="宋体" w:cs="宋体" w:eastAsia="宋体" w:hint="default"/>
          <w:b/>
          <w:bCs/>
          <w:sz w:val="35"/>
          <w:szCs w:val="35"/>
        </w:rPr>
      </w:pPr>
    </w:p>
    <w:p>
      <w:pPr>
        <w:pStyle w:val="BodyText"/>
        <w:spacing w:line="240" w:lineRule="auto" w:before="0"/>
        <w:ind w:left="694" w:right="91"/>
        <w:jc w:val="left"/>
      </w:pPr>
      <w:r>
        <w:rPr/>
        <w:t>（一）年度股东大会情况</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08"/>
        <w:gridCol w:w="1620"/>
        <w:gridCol w:w="3600"/>
        <w:gridCol w:w="2726"/>
      </w:tblGrid>
      <w:tr>
        <w:trPr>
          <w:trHeight w:val="28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会议决议刊登的信息披露报纸</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2008年度股东大会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2009年6月29日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2009年6月30日</w:t>
            </w:r>
          </w:p>
        </w:tc>
      </w:tr>
    </w:tbl>
    <w:p>
      <w:pPr>
        <w:pStyle w:val="BodyText"/>
        <w:spacing w:line="275" w:lineRule="exact" w:before="0"/>
        <w:ind w:left="694" w:right="91"/>
        <w:jc w:val="left"/>
      </w:pPr>
      <w:r>
        <w:rPr/>
        <w:t>公司2008年度股东大会于2009年6月29日在深圳市福田区深南大道6017号都市阳光名苑1</w:t>
      </w:r>
    </w:p>
    <w:p>
      <w:pPr>
        <w:pStyle w:val="BodyText"/>
        <w:spacing w:line="357" w:lineRule="auto" w:before="152"/>
        <w:ind w:left="214" w:right="130"/>
        <w:jc w:val="left"/>
      </w:pPr>
      <w:r>
        <w:rPr/>
        <w:t>栋4楼CEO商务中心会议室召开。会议由公司董事会召集，出席会议的股东（代理人）共计5 人，持有表决权的股份10,614,777股，占公司有表决权股份总数的11.03％，符合《公司法》 和《公司章程》的规定。会议由亚星实业的代理人主持，以记名方式投票表决，审议并表决 通过了以下议案：</w:t>
      </w:r>
    </w:p>
    <w:p>
      <w:pPr>
        <w:pStyle w:val="BodyText"/>
        <w:spacing w:line="240" w:lineRule="auto"/>
        <w:ind w:left="694" w:right="91"/>
        <w:jc w:val="left"/>
      </w:pPr>
      <w:r>
        <w:rPr/>
        <w:t>1、《公司2008 年董事会工作报告》；</w:t>
      </w:r>
    </w:p>
    <w:p>
      <w:pPr>
        <w:pStyle w:val="BodyText"/>
        <w:spacing w:line="240" w:lineRule="auto" w:before="152"/>
        <w:ind w:left="694" w:right="91"/>
        <w:jc w:val="left"/>
      </w:pPr>
      <w:r>
        <w:rPr/>
        <w:t>2、《公司2008 年监事会工作报告》；</w:t>
      </w:r>
    </w:p>
    <w:p>
      <w:pPr>
        <w:pStyle w:val="BodyText"/>
        <w:spacing w:line="240" w:lineRule="auto" w:before="152"/>
        <w:ind w:left="694" w:right="91"/>
        <w:jc w:val="left"/>
      </w:pPr>
      <w:r>
        <w:rPr/>
        <w:t>3、《公司2008 年度财务决算报告》；</w:t>
      </w:r>
    </w:p>
    <w:p>
      <w:pPr>
        <w:pStyle w:val="BodyText"/>
        <w:spacing w:line="240" w:lineRule="auto" w:before="152"/>
        <w:ind w:left="694" w:right="91"/>
        <w:jc w:val="left"/>
      </w:pPr>
      <w:r>
        <w:rPr/>
        <w:t>4、《2008年度利润分配预案》；</w:t>
      </w:r>
    </w:p>
    <w:p>
      <w:pPr>
        <w:pStyle w:val="BodyText"/>
        <w:spacing w:line="240" w:lineRule="auto" w:before="152"/>
        <w:ind w:left="694" w:right="91"/>
        <w:jc w:val="left"/>
      </w:pPr>
      <w:r>
        <w:rPr/>
        <w:t>5、《2008 年度报告及其摘要》；</w:t>
      </w:r>
    </w:p>
    <w:p>
      <w:pPr>
        <w:pStyle w:val="BodyText"/>
        <w:spacing w:line="240" w:lineRule="auto" w:before="152"/>
        <w:ind w:left="694" w:right="91"/>
        <w:jc w:val="left"/>
      </w:pPr>
      <w:r>
        <w:rPr/>
        <w:t>6、《关于修改〈公司章程〉的特别议案》；</w:t>
      </w:r>
    </w:p>
    <w:p>
      <w:pPr>
        <w:pStyle w:val="BodyText"/>
        <w:spacing w:line="240" w:lineRule="auto" w:before="152"/>
        <w:ind w:left="694" w:right="91"/>
        <w:jc w:val="left"/>
      </w:pPr>
      <w:r>
        <w:rPr/>
        <w:t>7、《关于续聘会计师事务所的议案》；</w:t>
      </w:r>
    </w:p>
    <w:p>
      <w:pPr>
        <w:pStyle w:val="BodyText"/>
        <w:spacing w:line="357" w:lineRule="auto" w:before="152"/>
        <w:ind w:left="694" w:right="250"/>
        <w:jc w:val="left"/>
      </w:pPr>
      <w:r>
        <w:rPr/>
        <w:t>8、《会计师事务所选聘制度》； 公司聘请北京市君合律师事务所王志雄律师和张宗珍律师出席本次股东大会现场见证，</w:t>
      </w:r>
    </w:p>
    <w:p>
      <w:pPr>
        <w:pStyle w:val="BodyText"/>
        <w:spacing w:line="240" w:lineRule="auto"/>
        <w:ind w:left="214" w:right="91"/>
        <w:jc w:val="left"/>
      </w:pPr>
      <w:r>
        <w:rPr/>
        <w:t>并出具法律意见书。</w:t>
      </w:r>
    </w:p>
    <w:p>
      <w:pPr>
        <w:pStyle w:val="BodyText"/>
        <w:spacing w:line="240" w:lineRule="auto" w:before="152"/>
        <w:ind w:left="694" w:right="91"/>
        <w:jc w:val="left"/>
      </w:pPr>
      <w:r>
        <w:rPr/>
        <w:t>（二）临时股东大会情况</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08"/>
        <w:gridCol w:w="1800"/>
        <w:gridCol w:w="2946"/>
        <w:gridCol w:w="2546"/>
      </w:tblGrid>
      <w:tr>
        <w:trPr>
          <w:trHeight w:val="28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会议决议刊登的信息披露报纸</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5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2009年第一次临时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2009年12月25日</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中国证券报、证券时报</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2009年12月26日</w:t>
            </w:r>
          </w:p>
        </w:tc>
      </w:tr>
    </w:tbl>
    <w:p>
      <w:pPr>
        <w:pStyle w:val="BodyText"/>
        <w:spacing w:line="275" w:lineRule="exact" w:before="0"/>
        <w:ind w:left="214" w:right="91" w:firstLine="480"/>
        <w:jc w:val="left"/>
      </w:pPr>
      <w:r>
        <w:rPr/>
        <w:t>公司2009年第一次临时股东大会于2009年12月25日在深圳市福田区深南大道6017号都市</w:t>
      </w:r>
    </w:p>
    <w:p>
      <w:pPr>
        <w:pStyle w:val="BodyText"/>
        <w:spacing w:line="357" w:lineRule="auto" w:before="152"/>
        <w:ind w:left="214" w:right="231"/>
        <w:jc w:val="both"/>
      </w:pPr>
      <w:r>
        <w:rPr>
          <w:spacing w:val="-2"/>
        </w:rPr>
        <w:t>阳光名苑1栋4楼CEO商务中心会议室召开。会议由董事会召集，出席会议的股东（代理人）共</w:t>
      </w:r>
      <w:r>
        <w:rPr>
          <w:spacing w:val="-118"/>
        </w:rPr>
        <w:t> </w:t>
      </w:r>
      <w:r>
        <w:rPr>
          <w:spacing w:val="-118"/>
        </w:rPr>
      </w:r>
      <w:r>
        <w:rPr/>
        <w:t>计5人，持有表决权的股份54,928,230股，占公司有表决权股份总数的57.08％，符合《公司 法》和《公司章程》的规定。会议由亚星实业的代理人主持，以记名方式投票表决，审议并 表决通过了以下议案：</w:t>
      </w:r>
    </w:p>
    <w:p>
      <w:pPr>
        <w:pStyle w:val="BodyText"/>
        <w:spacing w:line="240" w:lineRule="auto"/>
        <w:ind w:left="694" w:right="91"/>
        <w:jc w:val="left"/>
      </w:pPr>
      <w:r>
        <w:rPr/>
        <w:t>1、关于董事会换届和选举第七届董事会董事的议案</w:t>
      </w:r>
    </w:p>
    <w:p>
      <w:pPr>
        <w:pStyle w:val="BodyText"/>
        <w:spacing w:line="357" w:lineRule="auto" w:before="152"/>
        <w:ind w:left="694" w:right="250"/>
        <w:jc w:val="left"/>
      </w:pPr>
      <w:r>
        <w:rPr/>
        <w:t>2、关于监事会换届和选举第七届监事会股东代表监事的议案 公司聘请北京市君合律师事务所深圳分所郭晓夏律师和何俊辉律师出席本次股东大会现</w:t>
      </w:r>
    </w:p>
    <w:p>
      <w:pPr>
        <w:spacing w:after="0" w:line="357"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240" w:lineRule="auto" w:before="26"/>
        <w:ind w:right="0"/>
        <w:jc w:val="left"/>
      </w:pPr>
      <w:r>
        <w:rPr/>
        <w:t>场见证，并出具法律意见书。</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ind w:right="15"/>
        <w:jc w:val="center"/>
        <w:rPr>
          <w:b w:val="0"/>
          <w:bCs w:val="0"/>
        </w:rPr>
      </w:pPr>
      <w:bookmarkStart w:name="_TOC_250004" w:id="8"/>
      <w:r>
        <w:rPr>
          <w:w w:val="95"/>
        </w:rPr>
        <w:t>第八章</w:t>
        <w:tab/>
      </w:r>
      <w:r>
        <w:rPr/>
        <w:t>董事会报告</w:t>
      </w:r>
      <w:bookmarkEnd w:id="8"/>
      <w:r>
        <w:rPr>
          <w:b w:val="0"/>
          <w:bCs w:val="0"/>
        </w:rPr>
      </w:r>
    </w:p>
    <w:p>
      <w:pPr>
        <w:spacing w:line="240" w:lineRule="auto" w:before="0"/>
        <w:rPr>
          <w:rFonts w:ascii="宋体" w:hAnsi="宋体" w:cs="宋体" w:eastAsia="宋体" w:hint="default"/>
          <w:b/>
          <w:bCs/>
          <w:sz w:val="35"/>
          <w:szCs w:val="35"/>
        </w:rPr>
      </w:pPr>
    </w:p>
    <w:p>
      <w:pPr>
        <w:pStyle w:val="BodyText"/>
        <w:spacing w:line="357" w:lineRule="auto" w:before="0"/>
        <w:ind w:left="694" w:right="5530"/>
        <w:jc w:val="left"/>
      </w:pPr>
      <w:r>
        <w:rPr/>
        <w:t>（一）报告期内公司经营情况的回顾 1、报告期内总体经营情况</w:t>
      </w:r>
    </w:p>
    <w:p>
      <w:pPr>
        <w:pStyle w:val="BodyText"/>
        <w:spacing w:line="357" w:lineRule="auto"/>
        <w:ind w:left="214" w:right="250" w:firstLine="480"/>
        <w:jc w:val="left"/>
      </w:pPr>
      <w:r>
        <w:rPr/>
        <w:t>本报告期内，公司完成了股权分置改革，主营业务转变为房地产开发，新注入公司的子 公司也产生了较好的收入和利润，公司已具备了持续经营和发展的能力。</w:t>
      </w:r>
    </w:p>
    <w:p>
      <w:pPr>
        <w:pStyle w:val="BodyText"/>
        <w:spacing w:line="357" w:lineRule="auto"/>
        <w:ind w:left="214" w:right="250" w:firstLine="480"/>
        <w:jc w:val="left"/>
      </w:pPr>
      <w:r>
        <w:rPr/>
        <w:t>报告期内，公司在前期工作的基础上，继续积极推进股权分置改革，并于2009年4月30 日发布了《股权分置改革实施公告》，公司股权分置改革基本完成，为公司恢复上市打下了 良好的基础。</w:t>
      </w:r>
    </w:p>
    <w:p>
      <w:pPr>
        <w:pStyle w:val="BodyText"/>
        <w:spacing w:line="357" w:lineRule="auto"/>
        <w:ind w:left="214" w:right="250" w:firstLine="480"/>
        <w:jc w:val="left"/>
      </w:pPr>
      <w:r>
        <w:rPr/>
        <w:t>报告期内，公司控股子公司兖州海情置业有限公司海情丽都项目一期工程和青岛广顺房 地产开发有限公司的石雀滩项目均已对外销售并竣工验收，产生了收入和利润。</w:t>
      </w:r>
    </w:p>
    <w:p>
      <w:pPr>
        <w:pStyle w:val="BodyText"/>
        <w:spacing w:line="357" w:lineRule="auto"/>
        <w:ind w:left="214" w:right="226" w:firstLine="480"/>
        <w:jc w:val="left"/>
      </w:pPr>
      <w:r>
        <w:rPr>
          <w:spacing w:val="-2"/>
        </w:rPr>
        <w:t>2009年度，公司实现营业收入11004.36万元；实现利润总额3533.96万元；实现归属母公</w:t>
      </w:r>
      <w:r>
        <w:rPr/>
        <w:t> 司所有者的净利润2156.41万元；实现扣除非经常性损益后归属母公司所有者的净利润 1311.09万元。</w:t>
      </w:r>
    </w:p>
    <w:p>
      <w:pPr>
        <w:pStyle w:val="BodyText"/>
        <w:spacing w:line="240" w:lineRule="auto" w:before="36"/>
        <w:ind w:left="694" w:right="91"/>
        <w:jc w:val="left"/>
      </w:pPr>
      <w:r>
        <w:rPr/>
        <w:t>2、报告期内公司主营业务及其经营状况</w:t>
      </w:r>
    </w:p>
    <w:p>
      <w:pPr>
        <w:pStyle w:val="BodyText"/>
        <w:spacing w:line="240" w:lineRule="auto" w:before="152"/>
        <w:ind w:left="694" w:right="91"/>
        <w:jc w:val="left"/>
      </w:pPr>
      <w:r>
        <w:rPr/>
        <w:t>1）公司目前的实际主营业务为：房地产开发和经营。</w:t>
      </w:r>
    </w:p>
    <w:p>
      <w:pPr>
        <w:pStyle w:val="BodyText"/>
        <w:spacing w:line="240" w:lineRule="auto" w:before="152"/>
        <w:ind w:left="694" w:right="91"/>
        <w:jc w:val="left"/>
      </w:pPr>
      <w:r>
        <w:rPr/>
        <w:t>2）公司2009年实现主营业务收入11004.36万元，利润主要来源于以下项目：</w:t>
      </w:r>
    </w:p>
    <w:p>
      <w:pPr>
        <w:spacing w:before="156"/>
        <w:ind w:left="0" w:right="231"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728"/>
        <w:gridCol w:w="1260"/>
        <w:gridCol w:w="1260"/>
        <w:gridCol w:w="1080"/>
        <w:gridCol w:w="1080"/>
        <w:gridCol w:w="1200"/>
        <w:gridCol w:w="1156"/>
        <w:gridCol w:w="1064"/>
      </w:tblGrid>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利润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兖州海情置业有</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海情丽都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14596.64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4417.67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7670.63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3"/>
              <w:jc w:val="right"/>
              <w:rPr>
                <w:rFonts w:ascii="宋体" w:hAnsi="宋体" w:cs="宋体" w:eastAsia="宋体" w:hint="default"/>
                <w:sz w:val="21"/>
                <w:szCs w:val="21"/>
              </w:rPr>
            </w:pPr>
            <w:r>
              <w:rPr>
                <w:rFonts w:ascii="宋体"/>
                <w:spacing w:val="-1"/>
                <w:sz w:val="21"/>
              </w:rPr>
              <w:t>3568.51</w:t>
            </w:r>
            <w:r>
              <w:rPr>
                <w:rFonts w:ascii="宋体"/>
                <w:sz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2557.62</w:t>
            </w:r>
          </w:p>
        </w:tc>
      </w:tr>
      <w:tr>
        <w:trPr>
          <w:trHeight w:val="55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青岛广顺房地产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开发有限公司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石雀滩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15851.15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1854.59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3333.73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2"/>
              <w:jc w:val="right"/>
              <w:rPr>
                <w:rFonts w:ascii="宋体" w:hAnsi="宋体" w:cs="宋体" w:eastAsia="宋体" w:hint="default"/>
                <w:sz w:val="21"/>
                <w:szCs w:val="21"/>
              </w:rPr>
            </w:pPr>
            <w:r>
              <w:rPr>
                <w:rFonts w:ascii="宋体"/>
                <w:sz w:val="21"/>
              </w:rPr>
              <w:t>1306.81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954.75</w:t>
            </w:r>
          </w:p>
        </w:tc>
      </w:tr>
    </w:tbl>
    <w:p>
      <w:pPr>
        <w:pStyle w:val="BodyText"/>
        <w:spacing w:line="275" w:lineRule="exact" w:before="0"/>
        <w:ind w:left="694" w:right="91"/>
        <w:jc w:val="left"/>
      </w:pPr>
      <w:r>
        <w:rPr/>
        <w:t>3）公司2009年前5名供应商合计的采购金额占年度采购总额的比例为56.50%。</w:t>
      </w:r>
    </w:p>
    <w:p>
      <w:pPr>
        <w:pStyle w:val="BodyText"/>
        <w:spacing w:line="357" w:lineRule="auto" w:before="152"/>
        <w:ind w:left="694" w:right="2050" w:firstLine="360"/>
        <w:jc w:val="left"/>
      </w:pPr>
      <w:r>
        <w:rPr/>
        <w:t>公司2009年前5名客户销售额合计占公司销售总额的比例为3.31%。 3、主要财务状况、经营成果指标变化情况</w:t>
      </w:r>
    </w:p>
    <w:p>
      <w:pPr>
        <w:pStyle w:val="BodyText"/>
        <w:spacing w:line="240" w:lineRule="auto"/>
        <w:ind w:left="694" w:right="91"/>
        <w:jc w:val="left"/>
      </w:pPr>
      <w:r>
        <w:rPr/>
        <w:t>1）资产构成发生重大变化情况</w:t>
      </w:r>
    </w:p>
    <w:p>
      <w:pPr>
        <w:spacing w:before="156"/>
        <w:ind w:left="0" w:right="231"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728"/>
        <w:gridCol w:w="1556"/>
        <w:gridCol w:w="1642"/>
        <w:gridCol w:w="1642"/>
        <w:gridCol w:w="1644"/>
        <w:gridCol w:w="1643"/>
      </w:tblGrid>
      <w:tr>
        <w:trPr>
          <w:trHeight w:val="28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增减额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5" w:right="0"/>
              <w:jc w:val="left"/>
              <w:rPr>
                <w:rFonts w:ascii="宋体" w:hAnsi="宋体" w:cs="宋体" w:eastAsia="宋体" w:hint="default"/>
                <w:sz w:val="21"/>
                <w:szCs w:val="21"/>
              </w:rPr>
            </w:pPr>
            <w:r>
              <w:rPr>
                <w:rFonts w:ascii="宋体" w:hAnsi="宋体" w:cs="宋体" w:eastAsia="宋体" w:hint="default"/>
                <w:sz w:val="21"/>
                <w:szCs w:val="21"/>
              </w:rPr>
              <w:t>变化比例</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变化原因</w:t>
            </w:r>
          </w:p>
        </w:tc>
      </w:tr>
      <w:tr>
        <w:trPr>
          <w:trHeight w:val="276"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556"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44" w:type="dxa"/>
            <w:tcBorders>
              <w:top w:val="single" w:sz="4" w:space="0" w:color="000000"/>
              <w:left w:val="single" w:sz="4" w:space="0" w:color="000000"/>
              <w:bottom w:val="nil" w:sz="6" w:space="0" w:color="auto"/>
              <w:right w:val="single" w:sz="4" w:space="0" w:color="000000"/>
            </w:tcBorders>
          </w:tcPr>
          <w:p>
            <w:pPr/>
          </w:p>
        </w:tc>
        <w:tc>
          <w:tcPr>
            <w:tcW w:w="1643"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26"/>
                <w:sz w:val="21"/>
                <w:szCs w:val="21"/>
              </w:rPr>
              <w:t>一方面子公</w:t>
            </w:r>
            <w:r>
              <w:rPr>
                <w:rFonts w:ascii="宋体" w:hAnsi="宋体" w:cs="宋体" w:eastAsia="宋体" w:hint="default"/>
                <w:spacing w:val="-72"/>
                <w:sz w:val="21"/>
                <w:szCs w:val="21"/>
              </w:rPr>
              <w:t> </w:t>
            </w:r>
            <w:r>
              <w:rPr>
                <w:rFonts w:ascii="宋体" w:hAnsi="宋体" w:cs="宋体" w:eastAsia="宋体" w:hint="default"/>
                <w:sz w:val="21"/>
                <w:szCs w:val="21"/>
              </w:rPr>
              <w:t>司</w:t>
            </w: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26"/>
                <w:sz w:val="21"/>
                <w:szCs w:val="21"/>
              </w:rPr>
              <w:t>青岛广顺和</w:t>
            </w:r>
            <w:r>
              <w:rPr>
                <w:rFonts w:ascii="宋体" w:hAnsi="宋体" w:cs="宋体" w:eastAsia="宋体" w:hint="default"/>
                <w:spacing w:val="-72"/>
                <w:sz w:val="21"/>
                <w:szCs w:val="21"/>
              </w:rPr>
              <w:t> </w:t>
            </w:r>
            <w:r>
              <w:rPr>
                <w:rFonts w:ascii="宋体" w:hAnsi="宋体" w:cs="宋体" w:eastAsia="宋体" w:hint="default"/>
                <w:sz w:val="21"/>
                <w:szCs w:val="21"/>
              </w:rPr>
              <w:t>兖</w:t>
            </w:r>
          </w:p>
        </w:tc>
      </w:tr>
      <w:tr>
        <w:trPr>
          <w:trHeight w:val="545"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33" w:right="0"/>
              <w:jc w:val="center"/>
              <w:rPr>
                <w:rFonts w:ascii="Times New Roman" w:hAnsi="Times New Roman" w:cs="Times New Roman" w:eastAsia="Times New Roman" w:hint="default"/>
                <w:sz w:val="21"/>
                <w:szCs w:val="21"/>
              </w:rPr>
            </w:pPr>
            <w:r>
              <w:rPr>
                <w:rFonts w:ascii="Times New Roman"/>
                <w:sz w:val="21"/>
              </w:rPr>
              <w:t>32,530,614.74</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11" w:right="0"/>
              <w:jc w:val="center"/>
              <w:rPr>
                <w:rFonts w:ascii="Times New Roman" w:hAnsi="Times New Roman" w:cs="Times New Roman" w:eastAsia="Times New Roman" w:hint="default"/>
                <w:sz w:val="21"/>
                <w:szCs w:val="21"/>
              </w:rPr>
            </w:pPr>
            <w:r>
              <w:rPr>
                <w:rFonts w:ascii="Times New Roman"/>
                <w:sz w:val="21"/>
              </w:rPr>
              <w:t>144,800,392.95</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19" w:right="0"/>
              <w:jc w:val="center"/>
              <w:rPr>
                <w:rFonts w:ascii="Times New Roman" w:hAnsi="Times New Roman" w:cs="Times New Roman" w:eastAsia="Times New Roman" w:hint="default"/>
                <w:sz w:val="21"/>
                <w:szCs w:val="21"/>
              </w:rPr>
            </w:pPr>
            <w:r>
              <w:rPr>
                <w:rFonts w:ascii="Times New Roman"/>
                <w:sz w:val="21"/>
              </w:rPr>
              <w:t>112,269,778.21</w:t>
            </w:r>
          </w:p>
        </w:tc>
        <w:tc>
          <w:tcPr>
            <w:tcW w:w="16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776" w:right="0"/>
              <w:jc w:val="left"/>
              <w:rPr>
                <w:rFonts w:ascii="Times New Roman" w:hAnsi="Times New Roman" w:cs="Times New Roman" w:eastAsia="Times New Roman" w:hint="default"/>
                <w:sz w:val="21"/>
                <w:szCs w:val="21"/>
              </w:rPr>
            </w:pPr>
            <w:r>
              <w:rPr>
                <w:rFonts w:ascii="Times New Roman"/>
                <w:sz w:val="21"/>
              </w:rPr>
              <w:t>345.12%</w:t>
            </w: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州海情公司</w:t>
            </w:r>
            <w:r>
              <w:rPr>
                <w:rFonts w:ascii="宋体" w:hAnsi="宋体" w:cs="宋体" w:eastAsia="宋体" w:hint="default"/>
                <w:spacing w:val="-72"/>
                <w:sz w:val="21"/>
                <w:szCs w:val="21"/>
              </w:rPr>
              <w:t> </w:t>
            </w:r>
            <w:r>
              <w:rPr>
                <w:rFonts w:ascii="宋体" w:hAnsi="宋体" w:cs="宋体" w:eastAsia="宋体" w:hint="default"/>
                <w:sz w:val="21"/>
                <w:szCs w:val="21"/>
              </w:rPr>
              <w:t>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期向银行借</w:t>
            </w:r>
            <w:r>
              <w:rPr>
                <w:rFonts w:ascii="宋体" w:hAnsi="宋体" w:cs="宋体" w:eastAsia="宋体" w:hint="default"/>
                <w:spacing w:val="-72"/>
                <w:sz w:val="21"/>
                <w:szCs w:val="21"/>
              </w:rPr>
              <w:t> </w:t>
            </w:r>
            <w:r>
              <w:rPr>
                <w:rFonts w:ascii="宋体" w:hAnsi="宋体" w:cs="宋体" w:eastAsia="宋体" w:hint="default"/>
                <w:sz w:val="21"/>
                <w:szCs w:val="21"/>
              </w:rPr>
              <w:t>款</w:t>
            </w: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556"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44" w:type="dxa"/>
            <w:tcBorders>
              <w:top w:val="nil" w:sz="6" w:space="0" w:color="auto"/>
              <w:left w:val="single" w:sz="4" w:space="0" w:color="000000"/>
              <w:bottom w:val="nil" w:sz="6" w:space="0" w:color="auto"/>
              <w:right w:val="single" w:sz="4" w:space="0" w:color="000000"/>
            </w:tcBorders>
          </w:tcPr>
          <w:p>
            <w:pPr/>
          </w:p>
        </w:tc>
        <w:tc>
          <w:tcPr>
            <w:tcW w:w="164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sz w:val="21"/>
                <w:szCs w:val="21"/>
              </w:rPr>
              <w:t>增加货币资金，</w:t>
            </w:r>
          </w:p>
        </w:tc>
      </w:tr>
      <w:tr>
        <w:trPr>
          <w:trHeight w:val="28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556"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44" w:type="dxa"/>
            <w:tcBorders>
              <w:top w:val="nil" w:sz="6" w:space="0" w:color="auto"/>
              <w:left w:val="single" w:sz="4" w:space="0" w:color="000000"/>
              <w:bottom w:val="single" w:sz="4" w:space="0" w:color="000000"/>
              <w:right w:val="single" w:sz="4" w:space="0" w:color="000000"/>
            </w:tcBorders>
          </w:tcPr>
          <w:p>
            <w:pPr/>
          </w:p>
        </w:tc>
        <w:tc>
          <w:tcPr>
            <w:tcW w:w="164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26"/>
                <w:sz w:val="21"/>
                <w:szCs w:val="21"/>
              </w:rPr>
              <w:t>另一方面子</w:t>
            </w:r>
            <w:r>
              <w:rPr>
                <w:rFonts w:ascii="宋体" w:hAnsi="宋体" w:cs="宋体" w:eastAsia="宋体" w:hint="default"/>
                <w:spacing w:val="-72"/>
                <w:sz w:val="21"/>
                <w:szCs w:val="21"/>
              </w:rPr>
              <w:t> </w:t>
            </w:r>
            <w:r>
              <w:rPr>
                <w:rFonts w:ascii="宋体" w:hAnsi="宋体" w:cs="宋体" w:eastAsia="宋体" w:hint="default"/>
                <w:sz w:val="21"/>
                <w:szCs w:val="21"/>
              </w:rPr>
              <w:t>公</w:t>
            </w:r>
          </w:p>
        </w:tc>
      </w:tr>
    </w:tbl>
    <w:p>
      <w:pPr>
        <w:spacing w:after="0" w:line="241" w:lineRule="exact"/>
        <w:jc w:val="center"/>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728"/>
        <w:gridCol w:w="1556"/>
        <w:gridCol w:w="1642"/>
        <w:gridCol w:w="1642"/>
        <w:gridCol w:w="1644"/>
        <w:gridCol w:w="1643"/>
      </w:tblGrid>
      <w:tr>
        <w:trPr>
          <w:trHeight w:val="1099" w:hRule="exact"/>
        </w:trPr>
        <w:tc>
          <w:tcPr>
            <w:tcW w:w="172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6"/>
                <w:sz w:val="21"/>
                <w:szCs w:val="21"/>
              </w:rPr>
              <w:t>司房产开发</w:t>
            </w:r>
            <w:r>
              <w:rPr>
                <w:rFonts w:ascii="宋体" w:hAnsi="宋体" w:cs="宋体" w:eastAsia="宋体" w:hint="default"/>
                <w:spacing w:val="-72"/>
                <w:sz w:val="21"/>
                <w:szCs w:val="21"/>
              </w:rPr>
              <w:t> </w:t>
            </w:r>
            <w:r>
              <w:rPr>
                <w:rFonts w:ascii="宋体" w:hAnsi="宋体" w:cs="宋体" w:eastAsia="宋体" w:hint="default"/>
                <w:sz w:val="21"/>
                <w:szCs w:val="21"/>
              </w:rPr>
              <w:t>项</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26"/>
                <w:sz w:val="21"/>
                <w:szCs w:val="21"/>
              </w:rPr>
              <w:t>目年度实现</w:t>
            </w:r>
            <w:r>
              <w:rPr>
                <w:rFonts w:ascii="宋体" w:hAnsi="宋体" w:cs="宋体" w:eastAsia="宋体" w:hint="default"/>
                <w:spacing w:val="-72"/>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r>
              <w:rPr>
                <w:rFonts w:ascii="宋体" w:hAnsi="宋体" w:cs="宋体" w:eastAsia="宋体" w:hint="default"/>
                <w:spacing w:val="26"/>
                <w:sz w:val="21"/>
                <w:szCs w:val="21"/>
              </w:rPr>
              <w:t>售增加期末</w:t>
            </w:r>
            <w:r>
              <w:rPr>
                <w:rFonts w:ascii="宋体" w:hAnsi="宋体" w:cs="宋体" w:eastAsia="宋体" w:hint="default"/>
                <w:spacing w:val="-72"/>
                <w:sz w:val="21"/>
                <w:szCs w:val="21"/>
              </w:rPr>
              <w:t> </w:t>
            </w:r>
            <w:r>
              <w:rPr>
                <w:rFonts w:ascii="宋体" w:hAnsi="宋体" w:cs="宋体" w:eastAsia="宋体" w:hint="default"/>
                <w:sz w:val="21"/>
                <w:szCs w:val="21"/>
              </w:rPr>
              <w:t>货</w:t>
            </w:r>
            <w:r>
              <w:rPr>
                <w:rFonts w:ascii="宋体" w:hAnsi="宋体" w:cs="宋体" w:eastAsia="宋体" w:hint="default"/>
                <w:sz w:val="21"/>
                <w:szCs w:val="21"/>
              </w:rPr>
              <w:t> 币资金</w:t>
            </w:r>
          </w:p>
        </w:tc>
      </w:tr>
      <w:tr>
        <w:trPr>
          <w:trHeight w:val="82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4,967,905.96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59,300.00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-4,908,605.96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-98.81%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61"/>
              <w:jc w:val="left"/>
              <w:rPr>
                <w:rFonts w:ascii="宋体" w:hAnsi="宋体" w:cs="宋体" w:eastAsia="宋体" w:hint="default"/>
                <w:sz w:val="21"/>
                <w:szCs w:val="21"/>
              </w:rPr>
            </w:pPr>
            <w:r>
              <w:rPr>
                <w:rFonts w:ascii="宋体" w:hAnsi="宋体" w:cs="宋体" w:eastAsia="宋体" w:hint="default"/>
                <w:spacing w:val="17"/>
                <w:sz w:val="21"/>
                <w:szCs w:val="21"/>
              </w:rPr>
              <w:t>预付工程款均</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26"/>
                <w:sz w:val="21"/>
                <w:szCs w:val="21"/>
              </w:rPr>
              <w:t>已结算并结</w:t>
            </w:r>
            <w:r>
              <w:rPr>
                <w:rFonts w:ascii="宋体" w:hAnsi="宋体" w:cs="宋体" w:eastAsia="宋体" w:hint="default"/>
                <w:spacing w:val="-72"/>
                <w:sz w:val="21"/>
                <w:szCs w:val="21"/>
              </w:rPr>
              <w:t> </w:t>
            </w:r>
            <w:r>
              <w:rPr>
                <w:rFonts w:ascii="宋体" w:hAnsi="宋体" w:cs="宋体" w:eastAsia="宋体" w:hint="default"/>
                <w:sz w:val="21"/>
                <w:szCs w:val="21"/>
              </w:rPr>
              <w:t>转</w:t>
            </w:r>
            <w:r>
              <w:rPr>
                <w:rFonts w:ascii="宋体" w:hAnsi="宋体" w:cs="宋体" w:eastAsia="宋体" w:hint="default"/>
                <w:sz w:val="21"/>
                <w:szCs w:val="21"/>
              </w:rPr>
              <w:t> 到存货所致</w:t>
            </w:r>
          </w:p>
        </w:tc>
      </w:tr>
      <w:tr>
        <w:trPr>
          <w:trHeight w:val="55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10,430,603.32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3,373,668.80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-7,056,934.52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-67.66%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前期往来款</w:t>
            </w:r>
            <w:r>
              <w:rPr>
                <w:rFonts w:ascii="宋体" w:hAnsi="宋体" w:cs="宋体" w:eastAsia="宋体" w:hint="default"/>
                <w:spacing w:val="-72"/>
                <w:sz w:val="21"/>
                <w:szCs w:val="21"/>
              </w:rPr>
              <w:t> </w:t>
            </w:r>
            <w:r>
              <w:rPr>
                <w:rFonts w:ascii="宋体" w:hAnsi="宋体" w:cs="宋体" w:eastAsia="宋体" w:hint="default"/>
                <w:sz w:val="21"/>
                <w:szCs w:val="21"/>
              </w:rPr>
              <w:t>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回所致</w:t>
            </w:r>
          </w:p>
        </w:tc>
      </w:tr>
      <w:tr>
        <w:trPr>
          <w:trHeight w:val="1372"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258,037,804.47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327,140,703.69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69,102,899.22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26.78%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14"/>
                <w:sz w:val="21"/>
                <w:szCs w:val="21"/>
              </w:rPr>
              <w:t> </w:t>
            </w:r>
            <w:r>
              <w:rPr>
                <w:rFonts w:ascii="宋体" w:hAnsi="宋体" w:cs="宋体" w:eastAsia="宋体" w:hint="default"/>
                <w:spacing w:val="11"/>
                <w:sz w:val="21"/>
                <w:szCs w:val="21"/>
              </w:rPr>
              <w:t>年子公司</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26"/>
                <w:sz w:val="21"/>
                <w:szCs w:val="21"/>
              </w:rPr>
              <w:t>开发项目已</w:t>
            </w:r>
            <w:r>
              <w:rPr>
                <w:rFonts w:ascii="宋体" w:hAnsi="宋体" w:cs="宋体" w:eastAsia="宋体" w:hint="default"/>
                <w:spacing w:val="-72"/>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r>
              <w:rPr>
                <w:rFonts w:ascii="宋体" w:hAnsi="宋体" w:cs="宋体" w:eastAsia="宋体" w:hint="default"/>
                <w:spacing w:val="-7"/>
                <w:sz w:val="21"/>
                <w:szCs w:val="21"/>
              </w:rPr>
              <w:t>工，导致在建开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6"/>
                <w:sz w:val="21"/>
                <w:szCs w:val="21"/>
              </w:rPr>
              <w:t>发产品大幅</w:t>
            </w:r>
            <w:r>
              <w:rPr>
                <w:rFonts w:ascii="宋体" w:hAnsi="宋体" w:cs="宋体" w:eastAsia="宋体" w:hint="default"/>
                <w:spacing w:val="-72"/>
                <w:sz w:val="21"/>
                <w:szCs w:val="21"/>
              </w:rPr>
              <w:t> </w:t>
            </w:r>
            <w:r>
              <w:rPr>
                <w:rFonts w:ascii="宋体" w:hAnsi="宋体" w:cs="宋体" w:eastAsia="宋体" w:hint="default"/>
                <w:sz w:val="21"/>
                <w:szCs w:val="21"/>
              </w:rPr>
              <w:t>增</w:t>
            </w:r>
            <w:r>
              <w:rPr>
                <w:rFonts w:ascii="宋体" w:hAnsi="宋体" w:cs="宋体" w:eastAsia="宋体" w:hint="default"/>
                <w:sz w:val="21"/>
                <w:szCs w:val="21"/>
              </w:rPr>
              <w:t> 加</w:t>
            </w:r>
          </w:p>
        </w:tc>
      </w:tr>
      <w:tr>
        <w:trPr>
          <w:trHeight w:val="109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1,173,372.16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Times New Roman" w:hAnsi="Times New Roman" w:cs="Times New Roman" w:eastAsia="Times New Roman" w:hint="default"/>
                <w:sz w:val="21"/>
                <w:szCs w:val="21"/>
              </w:rPr>
            </w:pPr>
            <w:r>
              <w:rPr>
                <w:rFonts w:ascii="Times New Roman"/>
                <w:spacing w:val="-1"/>
                <w:sz w:val="21"/>
              </w:rPr>
              <w:t>507,127.85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-666,244.31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Times New Roman" w:hAnsi="Times New Roman" w:cs="Times New Roman" w:eastAsia="Times New Roman" w:hint="default"/>
                <w:sz w:val="21"/>
                <w:szCs w:val="21"/>
              </w:rPr>
            </w:pPr>
            <w:r>
              <w:rPr>
                <w:rFonts w:ascii="Times New Roman"/>
                <w:spacing w:val="-1"/>
                <w:sz w:val="21"/>
              </w:rPr>
              <w:t>-56.78%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6"/>
                <w:sz w:val="21"/>
                <w:szCs w:val="21"/>
              </w:rPr>
              <w:t>前期可弥补</w:t>
            </w:r>
            <w:r>
              <w:rPr>
                <w:rFonts w:ascii="宋体" w:hAnsi="宋体" w:cs="宋体" w:eastAsia="宋体" w:hint="default"/>
                <w:spacing w:val="-72"/>
                <w:sz w:val="21"/>
                <w:szCs w:val="21"/>
              </w:rPr>
              <w:t> </w:t>
            </w:r>
            <w:r>
              <w:rPr>
                <w:rFonts w:ascii="宋体" w:hAnsi="宋体" w:cs="宋体" w:eastAsia="宋体" w:hint="default"/>
                <w:sz w:val="21"/>
                <w:szCs w:val="21"/>
              </w:rPr>
              <w:t>亏</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7"/>
                <w:sz w:val="21"/>
                <w:szCs w:val="21"/>
              </w:rPr>
              <w:t>损，本年弥补减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6"/>
                <w:sz w:val="21"/>
                <w:szCs w:val="21"/>
              </w:rPr>
              <w:t>少上期递延</w:t>
            </w:r>
            <w:r>
              <w:rPr>
                <w:rFonts w:ascii="宋体" w:hAnsi="宋体" w:cs="宋体" w:eastAsia="宋体" w:hint="default"/>
                <w:spacing w:val="-72"/>
                <w:sz w:val="21"/>
                <w:szCs w:val="21"/>
              </w:rPr>
              <w:t> </w:t>
            </w:r>
            <w:r>
              <w:rPr>
                <w:rFonts w:ascii="宋体" w:hAnsi="宋体" w:cs="宋体" w:eastAsia="宋体" w:hint="default"/>
                <w:sz w:val="21"/>
                <w:szCs w:val="21"/>
              </w:rPr>
              <w:t>所</w:t>
            </w:r>
            <w:r>
              <w:rPr>
                <w:rFonts w:ascii="宋体" w:hAnsi="宋体" w:cs="宋体" w:eastAsia="宋体" w:hint="default"/>
                <w:sz w:val="21"/>
                <w:szCs w:val="21"/>
              </w:rPr>
              <w:t> 得税资产</w:t>
            </w:r>
          </w:p>
        </w:tc>
      </w:tr>
      <w:tr>
        <w:trPr>
          <w:trHeight w:val="33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46,370,842.28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-36,370,842.28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-78.43%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归还前期借款</w:t>
            </w:r>
          </w:p>
        </w:tc>
      </w:tr>
      <w:tr>
        <w:trPr>
          <w:trHeight w:val="164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8,215,291.21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77,876,431.31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69,661,140.10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2"/>
              <w:jc w:val="right"/>
              <w:rPr>
                <w:rFonts w:ascii="Times New Roman" w:hAnsi="Times New Roman" w:cs="Times New Roman" w:eastAsia="Times New Roman" w:hint="default"/>
                <w:sz w:val="21"/>
                <w:szCs w:val="21"/>
              </w:rPr>
            </w:pPr>
            <w:r>
              <w:rPr>
                <w:rFonts w:ascii="Times New Roman"/>
                <w:spacing w:val="-1"/>
                <w:sz w:val="21"/>
              </w:rPr>
              <w:t>847.94%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14"/>
                <w:sz w:val="21"/>
                <w:szCs w:val="21"/>
              </w:rPr>
              <w:t> </w:t>
            </w:r>
            <w:r>
              <w:rPr>
                <w:rFonts w:ascii="宋体" w:hAnsi="宋体" w:cs="宋体" w:eastAsia="宋体" w:hint="default"/>
                <w:spacing w:val="11"/>
                <w:sz w:val="21"/>
                <w:szCs w:val="21"/>
              </w:rPr>
              <w:t>年子公司</w:t>
            </w:r>
          </w:p>
          <w:p>
            <w:pPr>
              <w:pStyle w:val="TableParagraph"/>
              <w:spacing w:line="272" w:lineRule="exact" w:before="18"/>
              <w:ind w:left="103" w:right="101"/>
              <w:jc w:val="both"/>
              <w:rPr>
                <w:rFonts w:ascii="宋体" w:hAnsi="宋体" w:cs="宋体" w:eastAsia="宋体" w:hint="default"/>
                <w:sz w:val="21"/>
                <w:szCs w:val="21"/>
              </w:rPr>
            </w:pPr>
            <w:r>
              <w:rPr>
                <w:rFonts w:ascii="宋体" w:hAnsi="宋体" w:cs="宋体" w:eastAsia="宋体" w:hint="default"/>
                <w:spacing w:val="26"/>
                <w:sz w:val="21"/>
                <w:szCs w:val="21"/>
              </w:rPr>
              <w:t>开发项目已</w:t>
            </w:r>
            <w:r>
              <w:rPr>
                <w:rFonts w:ascii="宋体" w:hAnsi="宋体" w:cs="宋体" w:eastAsia="宋体" w:hint="default"/>
                <w:spacing w:val="-72"/>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r>
              <w:rPr>
                <w:rFonts w:ascii="宋体" w:hAnsi="宋体" w:cs="宋体" w:eastAsia="宋体" w:hint="default"/>
                <w:spacing w:val="-7"/>
                <w:sz w:val="21"/>
                <w:szCs w:val="21"/>
              </w:rPr>
              <w:t>工，导致材料款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6"/>
                <w:sz w:val="21"/>
                <w:szCs w:val="21"/>
              </w:rPr>
              <w:t>及工程款相</w:t>
            </w:r>
            <w:r>
              <w:rPr>
                <w:rFonts w:ascii="宋体" w:hAnsi="宋体" w:cs="宋体" w:eastAsia="宋体" w:hint="default"/>
                <w:spacing w:val="-72"/>
                <w:sz w:val="21"/>
                <w:szCs w:val="21"/>
              </w:rPr>
              <w:t> </w:t>
            </w:r>
            <w:r>
              <w:rPr>
                <w:rFonts w:ascii="宋体" w:hAnsi="宋体" w:cs="宋体" w:eastAsia="宋体" w:hint="default"/>
                <w:sz w:val="21"/>
                <w:szCs w:val="21"/>
              </w:rPr>
              <w:t>应</w:t>
            </w:r>
            <w:r>
              <w:rPr>
                <w:rFonts w:ascii="宋体" w:hAnsi="宋体" w:cs="宋体" w:eastAsia="宋体" w:hint="default"/>
                <w:sz w:val="21"/>
                <w:szCs w:val="21"/>
              </w:rPr>
              <w:t> </w:t>
            </w:r>
            <w:r>
              <w:rPr>
                <w:rFonts w:ascii="宋体" w:hAnsi="宋体" w:cs="宋体" w:eastAsia="宋体" w:hint="default"/>
                <w:spacing w:val="-7"/>
                <w:sz w:val="21"/>
                <w:szCs w:val="21"/>
              </w:rPr>
              <w:t>增加，应付供应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商款相应增加</w:t>
            </w:r>
          </w:p>
        </w:tc>
      </w:tr>
      <w:tr>
        <w:trPr>
          <w:trHeight w:val="191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875,431.15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29,743,802.05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28,868,370.90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3297.62%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14"/>
                <w:sz w:val="21"/>
                <w:szCs w:val="21"/>
              </w:rPr>
              <w:t> </w:t>
            </w:r>
            <w:r>
              <w:rPr>
                <w:rFonts w:ascii="宋体" w:hAnsi="宋体" w:cs="宋体" w:eastAsia="宋体" w:hint="default"/>
                <w:spacing w:val="11"/>
                <w:sz w:val="21"/>
                <w:szCs w:val="21"/>
              </w:rPr>
              <w:t>年度销售</w:t>
            </w:r>
          </w:p>
          <w:p>
            <w:pPr>
              <w:pStyle w:val="TableParagraph"/>
              <w:spacing w:line="272" w:lineRule="exact" w:before="18"/>
              <w:ind w:left="103" w:right="101"/>
              <w:jc w:val="both"/>
              <w:rPr>
                <w:rFonts w:ascii="宋体" w:hAnsi="宋体" w:cs="宋体" w:eastAsia="宋体" w:hint="default"/>
                <w:sz w:val="21"/>
                <w:szCs w:val="21"/>
              </w:rPr>
            </w:pPr>
            <w:r>
              <w:rPr>
                <w:rFonts w:ascii="宋体" w:hAnsi="宋体" w:cs="宋体" w:eastAsia="宋体" w:hint="default"/>
                <w:spacing w:val="-7"/>
                <w:sz w:val="21"/>
                <w:szCs w:val="21"/>
              </w:rPr>
              <w:t>的房屋，因未达</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6"/>
                <w:sz w:val="21"/>
                <w:szCs w:val="21"/>
              </w:rPr>
              <w:t>到收入确认</w:t>
            </w:r>
            <w:r>
              <w:rPr>
                <w:rFonts w:ascii="宋体" w:hAnsi="宋体" w:cs="宋体" w:eastAsia="宋体" w:hint="default"/>
                <w:spacing w:val="-72"/>
                <w:sz w:val="21"/>
                <w:szCs w:val="21"/>
              </w:rPr>
              <w:t> </w:t>
            </w:r>
            <w:r>
              <w:rPr>
                <w:rFonts w:ascii="宋体" w:hAnsi="宋体" w:cs="宋体" w:eastAsia="宋体" w:hint="default"/>
                <w:sz w:val="21"/>
                <w:szCs w:val="21"/>
              </w:rPr>
              <w:t>条</w:t>
            </w:r>
            <w:r>
              <w:rPr>
                <w:rFonts w:ascii="宋体" w:hAnsi="宋体" w:cs="宋体" w:eastAsia="宋体" w:hint="default"/>
                <w:sz w:val="21"/>
                <w:szCs w:val="21"/>
              </w:rPr>
              <w:t> </w:t>
            </w:r>
            <w:r>
              <w:rPr>
                <w:rFonts w:ascii="宋体" w:hAnsi="宋体" w:cs="宋体" w:eastAsia="宋体" w:hint="default"/>
                <w:spacing w:val="26"/>
                <w:sz w:val="21"/>
                <w:szCs w:val="21"/>
              </w:rPr>
              <w:t>件，暂挂账</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pacing w:val="11"/>
                <w:sz w:val="21"/>
                <w:szCs w:val="21"/>
              </w:rPr>
              <w:t>年公司没</w:t>
            </w:r>
            <w:r>
              <w:rPr>
                <w:rFonts w:ascii="宋体" w:hAnsi="宋体" w:cs="宋体" w:eastAsia="宋体" w:hint="default"/>
                <w:sz w:val="21"/>
                <w:szCs w:val="21"/>
              </w:rPr>
              <w:t> </w:t>
            </w:r>
            <w:r>
              <w:rPr>
                <w:rFonts w:ascii="宋体" w:hAnsi="宋体" w:cs="宋体" w:eastAsia="宋体" w:hint="default"/>
                <w:spacing w:val="-7"/>
                <w:sz w:val="21"/>
                <w:szCs w:val="21"/>
              </w:rPr>
              <w:t>有房产销售，因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此增幅较大</w:t>
            </w:r>
          </w:p>
        </w:tc>
      </w:tr>
      <w:tr>
        <w:trPr>
          <w:trHeight w:val="82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11,343,563.15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24,068,917.25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12,725,354.10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sz w:val="21"/>
              </w:rPr>
              <w:t>112.18%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房屋销售的</w:t>
            </w:r>
            <w:r>
              <w:rPr>
                <w:rFonts w:ascii="宋体" w:hAnsi="宋体" w:cs="宋体" w:eastAsia="宋体" w:hint="default"/>
                <w:spacing w:val="-72"/>
                <w:sz w:val="21"/>
                <w:szCs w:val="21"/>
              </w:rPr>
              <w:t> </w:t>
            </w:r>
            <w:r>
              <w:rPr>
                <w:rFonts w:ascii="宋体" w:hAnsi="宋体" w:cs="宋体" w:eastAsia="宋体" w:hint="default"/>
                <w:sz w:val="21"/>
                <w:szCs w:val="21"/>
              </w:rPr>
              <w:t>增</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7"/>
                <w:sz w:val="21"/>
                <w:szCs w:val="21"/>
              </w:rPr>
              <w:t>长，使税金随之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增长</w:t>
            </w:r>
          </w:p>
        </w:tc>
      </w:tr>
      <w:tr>
        <w:trPr>
          <w:trHeight w:val="109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11,984,750.28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Times New Roman" w:hAnsi="Times New Roman" w:cs="Times New Roman" w:eastAsia="Times New Roman" w:hint="default"/>
                <w:sz w:val="21"/>
                <w:szCs w:val="21"/>
              </w:rPr>
            </w:pPr>
            <w:r>
              <w:rPr>
                <w:rFonts w:ascii="Times New Roman"/>
                <w:spacing w:val="-1"/>
                <w:w w:val="95"/>
                <w:sz w:val="21"/>
              </w:rPr>
              <w:t>-11,984,750.28</w:t>
            </w:r>
            <w:r>
              <w:rPr>
                <w:rFonts w:ascii="Times New Roman"/>
                <w:spacing w:val="-1"/>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Times New Roman" w:hAnsi="Times New Roman" w:cs="Times New Roman" w:eastAsia="Times New Roman" w:hint="default"/>
                <w:sz w:val="21"/>
                <w:szCs w:val="21"/>
              </w:rPr>
            </w:pPr>
            <w:r>
              <w:rPr>
                <w:rFonts w:ascii="Times New Roman"/>
                <w:spacing w:val="-1"/>
                <w:sz w:val="21"/>
              </w:rPr>
              <w:t>-100.00%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6"/>
                <w:sz w:val="21"/>
                <w:szCs w:val="21"/>
              </w:rPr>
              <w:t>公司根据重</w:t>
            </w:r>
            <w:r>
              <w:rPr>
                <w:rFonts w:ascii="宋体" w:hAnsi="宋体" w:cs="宋体" w:eastAsia="宋体" w:hint="default"/>
                <w:spacing w:val="-72"/>
                <w:sz w:val="21"/>
                <w:szCs w:val="21"/>
              </w:rPr>
              <w:t> </w:t>
            </w:r>
            <w:r>
              <w:rPr>
                <w:rFonts w:ascii="宋体" w:hAnsi="宋体" w:cs="宋体" w:eastAsia="宋体" w:hint="default"/>
                <w:sz w:val="21"/>
                <w:szCs w:val="21"/>
              </w:rPr>
              <w:t>组</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26"/>
                <w:sz w:val="21"/>
                <w:szCs w:val="21"/>
              </w:rPr>
              <w:t>协议的约定</w:t>
            </w:r>
            <w:r>
              <w:rPr>
                <w:rFonts w:ascii="宋体" w:hAnsi="宋体" w:cs="宋体" w:eastAsia="宋体" w:hint="default"/>
                <w:spacing w:val="-72"/>
                <w:sz w:val="21"/>
                <w:szCs w:val="21"/>
              </w:rPr>
              <w:t> </w:t>
            </w:r>
            <w:r>
              <w:rPr>
                <w:rFonts w:ascii="宋体" w:hAnsi="宋体" w:cs="宋体" w:eastAsia="宋体" w:hint="default"/>
                <w:sz w:val="21"/>
                <w:szCs w:val="21"/>
              </w:rPr>
              <w:t>归</w:t>
            </w:r>
            <w:r>
              <w:rPr>
                <w:rFonts w:ascii="宋体" w:hAnsi="宋体" w:cs="宋体" w:eastAsia="宋体" w:hint="default"/>
                <w:sz w:val="21"/>
                <w:szCs w:val="21"/>
              </w:rPr>
              <w:t> </w:t>
            </w:r>
            <w:r>
              <w:rPr>
                <w:rFonts w:ascii="宋体" w:hAnsi="宋体" w:cs="宋体" w:eastAsia="宋体" w:hint="default"/>
                <w:spacing w:val="26"/>
                <w:sz w:val="21"/>
                <w:szCs w:val="21"/>
              </w:rPr>
              <w:t>还应付利息</w:t>
            </w:r>
            <w:r>
              <w:rPr>
                <w:rFonts w:ascii="宋体" w:hAnsi="宋体" w:cs="宋体" w:eastAsia="宋体" w:hint="default"/>
                <w:spacing w:val="-72"/>
                <w:sz w:val="21"/>
                <w:szCs w:val="21"/>
              </w:rPr>
              <w:t> </w:t>
            </w:r>
            <w:r>
              <w:rPr>
                <w:rFonts w:ascii="宋体" w:hAnsi="宋体" w:cs="宋体" w:eastAsia="宋体" w:hint="default"/>
                <w:sz w:val="21"/>
                <w:szCs w:val="21"/>
              </w:rPr>
              <w:t>所</w:t>
            </w:r>
            <w:r>
              <w:rPr>
                <w:rFonts w:ascii="宋体" w:hAnsi="宋体" w:cs="宋体" w:eastAsia="宋体" w:hint="default"/>
                <w:sz w:val="21"/>
                <w:szCs w:val="21"/>
              </w:rPr>
              <w:t> 致</w:t>
            </w:r>
          </w:p>
        </w:tc>
      </w:tr>
      <w:tr>
        <w:trPr>
          <w:trHeight w:val="82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98,134,441.67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61,736,355.84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-36,398,085.83</w:t>
            </w:r>
            <w:r>
              <w:rPr>
                <w:rFonts w:ascii="Times New Roman"/>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-37.09%</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61"/>
              <w:jc w:val="left"/>
              <w:rPr>
                <w:rFonts w:ascii="宋体" w:hAnsi="宋体" w:cs="宋体" w:eastAsia="宋体" w:hint="default"/>
                <w:sz w:val="21"/>
                <w:szCs w:val="21"/>
              </w:rPr>
            </w:pPr>
            <w:r>
              <w:rPr>
                <w:rFonts w:ascii="宋体" w:hAnsi="宋体" w:cs="宋体" w:eastAsia="宋体" w:hint="default"/>
                <w:spacing w:val="17"/>
                <w:sz w:val="21"/>
                <w:szCs w:val="21"/>
              </w:rPr>
              <w:t>公司收到前期</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26"/>
                <w:sz w:val="21"/>
                <w:szCs w:val="21"/>
              </w:rPr>
              <w:t>关联方往来</w:t>
            </w:r>
            <w:r>
              <w:rPr>
                <w:rFonts w:ascii="宋体" w:hAnsi="宋体" w:cs="宋体" w:eastAsia="宋体" w:hint="default"/>
                <w:spacing w:val="-72"/>
                <w:sz w:val="21"/>
                <w:szCs w:val="21"/>
              </w:rPr>
              <w:t> </w:t>
            </w:r>
            <w:r>
              <w:rPr>
                <w:rFonts w:ascii="宋体" w:hAnsi="宋体" w:cs="宋体" w:eastAsia="宋体" w:hint="default"/>
                <w:sz w:val="21"/>
                <w:szCs w:val="21"/>
              </w:rPr>
              <w:t>款</w:t>
            </w:r>
            <w:r>
              <w:rPr>
                <w:rFonts w:ascii="宋体" w:hAnsi="宋体" w:cs="宋体" w:eastAsia="宋体" w:hint="default"/>
                <w:sz w:val="21"/>
                <w:szCs w:val="21"/>
              </w:rPr>
              <w:t> 所致</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118,370,842.28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118,370,842.28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6"/>
                <w:sz w:val="21"/>
                <w:szCs w:val="21"/>
              </w:rPr>
              <w:t>本期子公司</w:t>
            </w:r>
            <w:r>
              <w:rPr>
                <w:rFonts w:ascii="宋体" w:hAnsi="宋体" w:cs="宋体" w:eastAsia="宋体" w:hint="default"/>
                <w:spacing w:val="-72"/>
                <w:sz w:val="21"/>
                <w:szCs w:val="21"/>
              </w:rPr>
              <w:t> </w:t>
            </w:r>
            <w:r>
              <w:rPr>
                <w:rFonts w:ascii="宋体" w:hAnsi="宋体" w:cs="宋体" w:eastAsia="宋体" w:hint="default"/>
                <w:sz w:val="21"/>
                <w:szCs w:val="21"/>
              </w:rPr>
              <w:t>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增贷款所致</w:t>
            </w:r>
          </w:p>
        </w:tc>
      </w:tr>
    </w:tbl>
    <w:p>
      <w:pPr>
        <w:pStyle w:val="BodyText"/>
        <w:spacing w:line="275" w:lineRule="exact" w:before="0"/>
        <w:ind w:left="694" w:right="91"/>
        <w:jc w:val="left"/>
      </w:pPr>
      <w:r>
        <w:rPr/>
        <w:t>2）报告期内，公司主要资产采用的计量属性：</w:t>
      </w:r>
    </w:p>
    <w:p>
      <w:pPr>
        <w:pStyle w:val="BodyText"/>
        <w:spacing w:line="357" w:lineRule="auto" w:before="152"/>
        <w:ind w:left="694" w:right="250"/>
        <w:jc w:val="left"/>
      </w:pPr>
      <w:r>
        <w:rPr/>
        <w:t>根据新企业会计准则的规定，报告期内，公司主要资产采用的计量属性为： 存货采用成本与可变现净值孰低计量；长期股权投资、固定资产、无形资产采用资产的</w:t>
      </w:r>
    </w:p>
    <w:p>
      <w:pPr>
        <w:pStyle w:val="BodyText"/>
        <w:spacing w:line="240" w:lineRule="auto"/>
        <w:ind w:left="214" w:right="91"/>
        <w:jc w:val="left"/>
      </w:pPr>
      <w:r>
        <w:rPr/>
        <w:t>账面价值与可回收金额孰低计量；可供出售金融资产采用公允价值计量模式；应收款项采用</w:t>
      </w:r>
    </w:p>
    <w:p>
      <w:pPr>
        <w:spacing w:after="0" w:line="240" w:lineRule="auto"/>
        <w:jc w:val="left"/>
        <w:sectPr>
          <w:pgSz w:w="11910" w:h="16840"/>
          <w:pgMar w:header="747" w:footer="669" w:top="980" w:bottom="860" w:left="920" w:right="900"/>
        </w:sectPr>
      </w:pPr>
    </w:p>
    <w:p>
      <w:pPr>
        <w:spacing w:line="240" w:lineRule="auto" w:before="7"/>
        <w:rPr>
          <w:rFonts w:ascii="宋体" w:hAnsi="宋体" w:cs="宋体" w:eastAsia="宋体" w:hint="default"/>
          <w:sz w:val="29"/>
          <w:szCs w:val="29"/>
        </w:rPr>
      </w:pPr>
    </w:p>
    <w:p>
      <w:pPr>
        <w:pStyle w:val="BodyText"/>
        <w:spacing w:line="357" w:lineRule="auto" w:before="26"/>
        <w:ind w:left="694" w:right="0" w:hanging="480"/>
        <w:jc w:val="left"/>
      </w:pPr>
      <w:r>
        <w:rPr/>
        <w:t>备抵法核算坏账损失；投资性房地产采用成本模式计量。 </w:t>
      </w:r>
      <w:r>
        <w:rPr>
          <w:spacing w:val="-3"/>
        </w:rPr>
        <w:t>金融资产的公允价值确定方法：a、存在活跃市场的金融资产，以活跃市场中的报价确定</w:t>
      </w:r>
    </w:p>
    <w:p>
      <w:pPr>
        <w:pStyle w:val="BodyText"/>
        <w:spacing w:line="357" w:lineRule="auto"/>
        <w:ind w:left="694" w:right="2250" w:hanging="480"/>
        <w:jc w:val="left"/>
      </w:pPr>
      <w:r>
        <w:rPr/>
        <w:t>其公允价值。b、不存在活跃市场的，公司采用估值技术确定其公允价值。 3）公司费用发生重大变化情况：</w:t>
      </w:r>
    </w:p>
    <w:p>
      <w:pPr>
        <w:spacing w:before="39"/>
        <w:ind w:left="0" w:right="431"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88"/>
        <w:gridCol w:w="1980"/>
        <w:gridCol w:w="1800"/>
        <w:gridCol w:w="1800"/>
        <w:gridCol w:w="2160"/>
      </w:tblGrid>
      <w:tr>
        <w:trPr>
          <w:trHeight w:val="28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变化比例</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110,043,571.90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110,043,571.90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color w:val="FF0000"/>
                <w:w w:val="99"/>
                <w:sz w:val="21"/>
              </w:rPr>
              <w:t>-</w:t>
            </w:r>
            <w:r>
              <w:rPr>
                <w:rFonts w:ascii="Times New Roman"/>
                <w:sz w:val="21"/>
              </w:rPr>
            </w:r>
          </w:p>
        </w:tc>
      </w:tr>
      <w:tr>
        <w:trPr>
          <w:trHeight w:val="28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70,124,034.22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70,124,034.22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color w:val="FF0000"/>
                <w:w w:val="99"/>
                <w:sz w:val="21"/>
              </w:rPr>
              <w:t>-</w:t>
            </w:r>
            <w:r>
              <w:rPr>
                <w:rFonts w:ascii="Times New Roman"/>
                <w:sz w:val="21"/>
              </w:rPr>
            </w:r>
          </w:p>
        </w:tc>
      </w:tr>
      <w:tr>
        <w:trPr>
          <w:trHeight w:val="28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7,169,500.82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7,169,500.82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color w:val="FF0000"/>
                <w:w w:val="99"/>
                <w:sz w:val="21"/>
              </w:rPr>
              <w:t>-</w:t>
            </w:r>
            <w:r>
              <w:rPr>
                <w:rFonts w:ascii="Times New Roman"/>
                <w:sz w:val="21"/>
              </w:rPr>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13,475.00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1,160,171.73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1,146,696.73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8509.81%</w:t>
            </w:r>
            <w:r>
              <w:rPr>
                <w:rFonts w:ascii="Times New Roman"/>
                <w:sz w:val="18"/>
              </w:rPr>
            </w:r>
          </w:p>
        </w:tc>
      </w:tr>
      <w:tr>
        <w:trPr>
          <w:trHeight w:val="296"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4,006,203.81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2,524,447.72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-1,481,756.09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-36.99%</w:t>
            </w:r>
            <w:r>
              <w:rPr>
                <w:rFonts w:ascii="Times New Roman"/>
                <w:sz w:val="18"/>
              </w:rPr>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98,352.04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88,352.04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883.52%</w:t>
            </w:r>
            <w:r>
              <w:rPr>
                <w:rFonts w:ascii="Times New Roman"/>
                <w:sz w:val="18"/>
              </w:rPr>
            </w:r>
          </w:p>
        </w:tc>
      </w:tr>
      <w:tr>
        <w:trPr>
          <w:trHeight w:val="296"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208,578,842.9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10,566,546.44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-198,012,296.46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-94.93%</w:t>
            </w:r>
            <w:r>
              <w:rPr>
                <w:rFonts w:ascii="Times New Roman"/>
                <w:sz w:val="18"/>
              </w:rPr>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12,308,341.38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1"/>
                <w:sz w:val="21"/>
              </w:rPr>
              <w:t>4.53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pacing w:val="-1"/>
                <w:sz w:val="21"/>
              </w:rPr>
              <w:t>-12,308,336.85</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-1,173,372.16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11,525,520.05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12,698,892.21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75" w:lineRule="exact" w:before="0"/>
        <w:ind w:left="694" w:right="0"/>
        <w:jc w:val="left"/>
      </w:pPr>
      <w:r>
        <w:rPr/>
        <w:t>说明：利润表项目本期报告期末数比年初数均有较大增减变动，主要因为公司2009年子</w:t>
      </w:r>
    </w:p>
    <w:p>
      <w:pPr>
        <w:pStyle w:val="BodyText"/>
        <w:spacing w:line="357" w:lineRule="auto" w:before="152"/>
        <w:ind w:left="694" w:right="1890" w:hanging="480"/>
        <w:jc w:val="left"/>
      </w:pPr>
      <w:r>
        <w:rPr/>
        <w:t>公司房地产项目已实现销售，导致相应收入、成本、费用、所得税费用增加。 4) 公司现金流量表相关数据：</w:t>
      </w:r>
    </w:p>
    <w:p>
      <w:pPr>
        <w:spacing w:before="39"/>
        <w:ind w:left="0" w:right="431"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443"/>
        <w:gridCol w:w="1582"/>
        <w:gridCol w:w="1620"/>
        <w:gridCol w:w="1620"/>
        <w:gridCol w:w="1800"/>
      </w:tblGrid>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变化比例</w:t>
            </w:r>
          </w:p>
        </w:tc>
      </w:tr>
      <w:tr>
        <w:trPr>
          <w:trHeight w:val="36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pacing w:val="-2"/>
                <w:sz w:val="21"/>
              </w:rPr>
              <w:t>138,911,942.80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pacing w:val="-2"/>
                <w:sz w:val="21"/>
              </w:rPr>
              <w:t>138,911,942.8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40,601,820.73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pacing w:val="-1"/>
                <w:sz w:val="21"/>
              </w:rPr>
              <w:t>665,326.87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-39,936,493.9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-98.36%</w:t>
            </w:r>
          </w:p>
        </w:tc>
      </w:tr>
      <w:tr>
        <w:trPr>
          <w:trHeight w:val="36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5,719,349.90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64,153,743.90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58,434,394.0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1021.70%</w:t>
            </w:r>
          </w:p>
        </w:tc>
      </w:tr>
      <w:tr>
        <w:trPr>
          <w:trHeight w:val="36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715,104.02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6,968,366.22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6,253,262.2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874.45%</w:t>
            </w:r>
          </w:p>
        </w:tc>
      </w:tr>
      <w:tr>
        <w:trPr>
          <w:trHeight w:val="36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10,713,718.92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47,273,785.54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36,560,066.6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341.25%</w:t>
            </w:r>
          </w:p>
        </w:tc>
      </w:tr>
      <w:tr>
        <w:trPr>
          <w:trHeight w:val="635"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3" w:right="93"/>
              <w:jc w:val="left"/>
              <w:rPr>
                <w:rFonts w:ascii="宋体" w:hAnsi="宋体" w:cs="宋体" w:eastAsia="宋体" w:hint="default"/>
                <w:sz w:val="21"/>
                <w:szCs w:val="21"/>
              </w:rPr>
            </w:pPr>
            <w:r>
              <w:rPr>
                <w:rFonts w:ascii="宋体" w:hAnsi="宋体" w:cs="宋体" w:eastAsia="宋体" w:hint="default"/>
                <w:spacing w:val="5"/>
                <w:sz w:val="21"/>
                <w:szCs w:val="21"/>
              </w:rPr>
              <w:t>取得子公司及其他营业单位支付的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现金净额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-9,985,581.02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9,985,581.0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spacing w:val="-1"/>
                <w:sz w:val="21"/>
              </w:rPr>
              <w:t>92,000,000.00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92,000,000.0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75" w:lineRule="exact" w:before="0"/>
        <w:ind w:left="694" w:right="0"/>
        <w:jc w:val="left"/>
      </w:pPr>
      <w:r>
        <w:rPr>
          <w:spacing w:val="-3"/>
        </w:rPr>
        <w:t>说明：本期子公司2009年已实现销售，导致销售商品、提供劳务收到的现金与购买商品、</w:t>
      </w:r>
    </w:p>
    <w:p>
      <w:pPr>
        <w:pStyle w:val="BodyText"/>
        <w:spacing w:line="357" w:lineRule="auto" w:before="152"/>
        <w:ind w:left="694" w:right="5010" w:hanging="480"/>
        <w:jc w:val="left"/>
      </w:pPr>
      <w:r>
        <w:rPr/>
        <w:t>接收劳务支付的现金变动较大。 4、公司控制的特殊目的主体情况 报告期内，公司无控制的特殊目的的主体。</w:t>
      </w:r>
    </w:p>
    <w:p>
      <w:pPr>
        <w:pStyle w:val="BodyText"/>
        <w:spacing w:line="357" w:lineRule="auto"/>
        <w:ind w:left="694" w:right="3690"/>
        <w:jc w:val="left"/>
      </w:pPr>
      <w:r>
        <w:rPr/>
        <w:t>（二）对公司未来发展的展望 1、公司所处行业的发展趋势及公司面临的市场竞争格局</w:t>
      </w:r>
    </w:p>
    <w:p>
      <w:pPr>
        <w:pStyle w:val="BodyText"/>
        <w:spacing w:line="357" w:lineRule="auto"/>
        <w:ind w:left="694" w:right="5250"/>
        <w:jc w:val="left"/>
      </w:pPr>
      <w:r>
        <w:rPr/>
        <w:t>1）公司所处行业的发展趋势 报告期内，公司所属行业为房地产行业。</w:t>
      </w:r>
    </w:p>
    <w:p>
      <w:pPr>
        <w:pStyle w:val="BodyText"/>
        <w:spacing w:line="240" w:lineRule="auto"/>
        <w:ind w:left="694" w:right="0"/>
        <w:jc w:val="left"/>
      </w:pPr>
      <w:r>
        <w:rPr/>
        <w:t>我国正处于农业化向工业化城市化高速发展的阶段，国民经济的持续稳定增长、人民收</w:t>
      </w:r>
    </w:p>
    <w:p>
      <w:pPr>
        <w:spacing w:after="0" w:line="240" w:lineRule="auto"/>
        <w:jc w:val="left"/>
        <w:sectPr>
          <w:pgSz w:w="11910" w:h="16840"/>
          <w:pgMar w:header="747" w:footer="669" w:top="980" w:bottom="860" w:left="920" w:right="700"/>
        </w:sectPr>
      </w:pPr>
    </w:p>
    <w:p>
      <w:pPr>
        <w:spacing w:line="240" w:lineRule="auto" w:before="7"/>
        <w:rPr>
          <w:rFonts w:ascii="宋体" w:hAnsi="宋体" w:cs="宋体" w:eastAsia="宋体" w:hint="default"/>
          <w:sz w:val="29"/>
          <w:szCs w:val="29"/>
        </w:rPr>
      </w:pPr>
    </w:p>
    <w:p>
      <w:pPr>
        <w:pStyle w:val="BodyText"/>
        <w:spacing w:line="357" w:lineRule="auto" w:before="26"/>
        <w:ind w:right="250"/>
        <w:jc w:val="left"/>
      </w:pPr>
      <w:r>
        <w:rPr/>
        <w:t>入的稳步提升、居民消费水平的提升和消费的升级，构成我国房地产市场快速发展的强劲动 力，保证了我国房地产企业持续、健康地发展。</w:t>
      </w:r>
    </w:p>
    <w:p>
      <w:pPr>
        <w:pStyle w:val="BodyText"/>
        <w:spacing w:line="357" w:lineRule="auto"/>
        <w:ind w:right="268" w:firstLine="480"/>
        <w:jc w:val="both"/>
      </w:pPr>
      <w:r>
        <w:rPr/>
        <w:t>房地产行业是国家支柱产业之一，其与钢铁、水泥、木材、玻璃、塑料、家电等产业均 具有较强的关联性，因此，国家高度重视房地产业的健康发展，近期出台的调控政策目的也 是为了调控房地产过快的涨幅，使房地产价格基本稳定，以利于房地产业和整个国民经济的 健康发展。</w:t>
      </w:r>
    </w:p>
    <w:p>
      <w:pPr>
        <w:pStyle w:val="BodyText"/>
        <w:spacing w:line="357" w:lineRule="auto"/>
        <w:ind w:right="250" w:firstLine="480"/>
        <w:jc w:val="left"/>
      </w:pPr>
      <w:r>
        <w:rPr/>
        <w:t>总之，我国房地产市场在其未来的发展过程中仍然会出现一定的调整，但其持续、稳定 的发展态势仍然未发生变化，房地产行业作为支柱产业的地位仍将长期保持不变。</w:t>
      </w:r>
    </w:p>
    <w:p>
      <w:pPr>
        <w:pStyle w:val="BodyText"/>
        <w:spacing w:line="386" w:lineRule="auto" w:before="76"/>
        <w:ind w:left="634" w:right="93"/>
        <w:jc w:val="left"/>
      </w:pPr>
      <w:r>
        <w:rPr/>
        <w:t>2）公司面临的市场竞争格局 公司目前拥有两个下属子公司青岛广顺和兖州海情，其项目分别位于青岛市黄岛区和兖</w:t>
      </w:r>
    </w:p>
    <w:p>
      <w:pPr>
        <w:pStyle w:val="BodyText"/>
        <w:spacing w:line="240" w:lineRule="auto" w:before="6"/>
        <w:ind w:left="153" w:right="93"/>
        <w:jc w:val="left"/>
      </w:pPr>
      <w:r>
        <w:rPr/>
        <w:t>州西城区，两地市场竞争情况各不相同。</w:t>
      </w:r>
    </w:p>
    <w:p>
      <w:pPr>
        <w:pStyle w:val="BodyText"/>
        <w:spacing w:line="357" w:lineRule="auto" w:before="193"/>
        <w:ind w:left="153" w:right="101" w:firstLine="480"/>
        <w:jc w:val="left"/>
      </w:pPr>
      <w:r>
        <w:rPr>
          <w:spacing w:val="-3"/>
        </w:rPr>
        <w:t>①青岛是我国重要的海滨城市之一，也是我国著名的风景旅游胜地和国家历史文化名城，</w:t>
      </w:r>
      <w:r>
        <w:rPr/>
        <w:t> 舒适的居住环境和较为发达的经济水平使得青岛成为我国房地产发展较早和较快的城市之 一，其房地产行业的竞争也较为充分。目前青岛的房地产行业通过近十余年的发展，已经形 成了一支较具规模的本土品牌团队，如青建集团、城建地产、天泰集团、海信地产、海尔地 产、亚星置业、百通集团等企业已为社会各界所熟悉；近年来，一些全国知名地产品牌，如 万科、绿城、保利、上实、宝龙地产等企业纷纷进入青岛市场，逐渐打破本土企业垄断青岛 房地产市场的局面。伴随着青岛消费者对精品住宅的渴求、相对开放的消费观念以及持续增 长的市场需求量等综合因素，无论是本土还是外来的房地产企业都将对青岛的房地产市场继 </w:t>
      </w:r>
      <w:r>
        <w:rPr>
          <w:spacing w:val="-3"/>
        </w:rPr>
        <w:t>续看好，市场竞争将日趋激烈。目前，青岛市正在建设青岛市至黄岛的跨海大桥和海底隧道，</w:t>
      </w:r>
      <w:r>
        <w:rPr>
          <w:spacing w:val="-81"/>
        </w:rPr>
        <w:t> </w:t>
      </w:r>
      <w:r>
        <w:rPr>
          <w:spacing w:val="-81"/>
        </w:rPr>
      </w:r>
      <w:r>
        <w:rPr/>
        <w:t>跨海大桥建成后，黄岛区到青岛市将建成大的都市圈，将极大的拉升黄岛的经济发展和房地 </w:t>
      </w:r>
      <w:r>
        <w:rPr>
          <w:spacing w:val="-5"/>
        </w:rPr>
        <w:t>产市场的发展。广顺的石雀滩项目，距黄岛区政府仅5分钟车程，南临滨海大道，紧邻胶州湾，</w:t>
      </w:r>
      <w:r>
        <w:rPr>
          <w:spacing w:val="-114"/>
        </w:rPr>
        <w:t> </w:t>
      </w:r>
      <w:r>
        <w:rPr>
          <w:spacing w:val="-114"/>
        </w:rPr>
      </w:r>
      <w:r>
        <w:rPr/>
        <w:t>地理位置优越，且具有一定的竞争优势。</w:t>
      </w:r>
    </w:p>
    <w:p>
      <w:pPr>
        <w:pStyle w:val="BodyText"/>
        <w:spacing w:line="357" w:lineRule="auto"/>
        <w:ind w:left="153" w:right="93" w:firstLine="480"/>
        <w:jc w:val="left"/>
      </w:pPr>
      <w:r>
        <w:rPr>
          <w:spacing w:val="-3"/>
        </w:rPr>
        <w:t>②相对于青岛而言，兖州的房地产市场竞争的激烈程度要低许多，房地产企业数量较少，</w:t>
      </w:r>
      <w:r>
        <w:rPr/>
        <w:t> 而且资质较低，由于经济发展、地理位置等关系，兖州市相对于青岛等二线城市，房地产起 步更晚，前几年主要以当地开发商为主进行开发，随着当地经济的发展、当地开发商的逐渐 成熟，以及一线城市的房地产开发商向二线、三线城市的渗透，</w:t>
      </w:r>
      <w:r>
        <w:rPr>
          <w:spacing w:val="-52"/>
        </w:rPr>
        <w:t> </w:t>
      </w:r>
      <w:r>
        <w:rPr/>
        <w:t>兖州市场竞争的激烈程度将</w:t>
      </w:r>
      <w:r>
        <w:rPr/>
        <w:t> 逐渐加强。兖州海情公司的海情丽都项目位于兖州市西城区的商贸居住综合区，在当地地理 位置得天独厚，是不可多得的黄金地段；同时，兖州海情丽都项目已经被国家评为最高级别</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88"/>
        <w:jc w:val="both"/>
      </w:pPr>
      <w:r>
        <w:rPr/>
        <w:t>的“康居工程”，拟建成兖州市的示范居住小区，将其打造为地标性的楼盘，在兖州有着比 较大的竞争优势。</w:t>
      </w:r>
    </w:p>
    <w:p>
      <w:pPr>
        <w:pStyle w:val="BodyText"/>
        <w:spacing w:line="240" w:lineRule="auto"/>
        <w:ind w:left="634" w:right="0"/>
        <w:jc w:val="left"/>
      </w:pPr>
      <w:r>
        <w:rPr/>
        <w:t>2、公司发展战略和新年度经营计划</w:t>
      </w:r>
    </w:p>
    <w:p>
      <w:pPr>
        <w:pStyle w:val="BodyText"/>
        <w:spacing w:line="240" w:lineRule="auto" w:before="152"/>
        <w:ind w:left="634" w:right="0"/>
        <w:jc w:val="left"/>
      </w:pPr>
      <w:r>
        <w:rPr/>
        <w:t>1）发展战略和实现路径</w:t>
      </w:r>
    </w:p>
    <w:p>
      <w:pPr>
        <w:pStyle w:val="BodyText"/>
        <w:spacing w:line="357" w:lineRule="auto" w:before="152"/>
        <w:ind w:right="188" w:firstLine="480"/>
        <w:jc w:val="both"/>
      </w:pPr>
      <w:r>
        <w:rPr/>
        <w:t>2010年公司将继续推进公司的资产重组计划，督促相关股东尽快股份过户工作，进一步 推进公司剩余或有负债的彻底解决，同时剥离除本次亚星实业赠与的股权外的全部资产和农 业银行负债外的全部债务。</w:t>
      </w:r>
    </w:p>
    <w:p>
      <w:pPr>
        <w:pStyle w:val="BodyText"/>
        <w:spacing w:line="357" w:lineRule="auto"/>
        <w:ind w:right="188" w:firstLine="480"/>
        <w:jc w:val="both"/>
      </w:pPr>
      <w:r>
        <w:rPr/>
        <w:t>在结合行业未来发展环境、公司自身的资源实力、产品定位特点、管理运作水平等情况 下，公司对未来可持续发展进行了战略规划，制定了以下的自身业务发展目标：在产品上主 要专注于住宅开发，走精细化道路，着力塑造一流设计、品质卓越的中高端物业产品；在项 目建设上，通过加快开发，缩短投资周期，实现稳健、快速的良性循环，实现住宅标准化、 产业化、规模化运作；在地域发展上，立足山东，以青岛、兖州为开发主战场，同时紧密地 关注各其他城市的商业机会，在充分评估风险和收益后择机进入，提升公司的经营规模和效 益。</w:t>
      </w:r>
    </w:p>
    <w:p>
      <w:pPr>
        <w:pStyle w:val="BodyText"/>
        <w:spacing w:line="240" w:lineRule="auto" w:before="74"/>
        <w:ind w:left="694" w:right="0"/>
        <w:jc w:val="left"/>
      </w:pPr>
      <w:r>
        <w:rPr/>
        <w:pict>
          <v:group style="position:absolute;margin-left:371.700012pt;margin-top:70.035912pt;width:9pt;height:31.2pt;mso-position-horizontal-relative:page;mso-position-vertical-relative:paragraph;z-index:2056" coordorigin="7434,1401" coordsize="180,624">
            <v:shape style="position:absolute;left:7434;top:1401;width:180;height:624" coordorigin="7434,1401" coordsize="180,624" path="m7434,1869l7478,1869,7478,1401,7568,1401,7568,1869,7614,1869,7524,2025,7434,1869xe" filled="false" stroked="true" strokeweight=".75pt" strokecolor="#000000">
              <v:path arrowok="t"/>
            </v:shape>
            <w10:wrap type="none"/>
          </v:group>
        </w:pict>
      </w:r>
      <w:r>
        <w:rPr/>
        <w:pict>
          <v:group style="position:absolute;margin-left:146.699997pt;margin-top:70.035912pt;width:9pt;height:31.2pt;mso-position-horizontal-relative:page;mso-position-vertical-relative:paragraph;z-index:2128" coordorigin="2934,1401" coordsize="180,624">
            <v:shape style="position:absolute;left:2934;top:1401;width:180;height:624" coordorigin="2934,1401" coordsize="180,624" path="m2934,1869l2978,1869,2978,1401,3068,1401,3068,1869,3114,1869,3024,2025,2934,1869xe" filled="false" stroked="true" strokeweight=".75pt" strokecolor="#000000">
              <v:path arrowok="t"/>
            </v:shape>
            <w10:wrap type="none"/>
          </v:group>
        </w:pict>
      </w:r>
      <w:r>
        <w:rPr/>
        <w:t>上述战略规划与目标的实现路径是：</w:t>
      </w:r>
    </w:p>
    <w:p>
      <w:pPr>
        <w:spacing w:line="240" w:lineRule="auto" w:before="10"/>
        <w:rPr>
          <w:rFonts w:ascii="宋体" w:hAnsi="宋体" w:cs="宋体" w:eastAsia="宋体" w:hint="default"/>
          <w:sz w:val="26"/>
          <w:szCs w:val="26"/>
        </w:rPr>
      </w:pPr>
    </w:p>
    <w:tbl>
      <w:tblPr>
        <w:tblW w:w="0" w:type="auto"/>
        <w:jc w:val="left"/>
        <w:tblInd w:w="686" w:type="dxa"/>
        <w:tblLayout w:type="fixed"/>
        <w:tblCellMar>
          <w:top w:w="0" w:type="dxa"/>
          <w:left w:w="0" w:type="dxa"/>
          <w:bottom w:w="0" w:type="dxa"/>
          <w:right w:w="0" w:type="dxa"/>
        </w:tblCellMar>
        <w:tblLook w:val="01E0"/>
      </w:tblPr>
      <w:tblGrid>
        <w:gridCol w:w="3060"/>
        <w:gridCol w:w="1260"/>
        <w:gridCol w:w="2880"/>
      </w:tblGrid>
      <w:tr>
        <w:trPr>
          <w:trHeight w:val="281" w:hRule="exact"/>
        </w:trPr>
        <w:tc>
          <w:tcPr>
            <w:tcW w:w="3060" w:type="dxa"/>
            <w:vMerge w:val="restart"/>
            <w:tcBorders>
              <w:top w:val="single" w:sz="6" w:space="0" w:color="000000"/>
              <w:left w:val="single" w:sz="6" w:space="0" w:color="000000"/>
              <w:right w:val="single" w:sz="6" w:space="0" w:color="000000"/>
            </w:tcBorders>
          </w:tcPr>
          <w:p>
            <w:pPr>
              <w:pStyle w:val="TableParagraph"/>
              <w:tabs>
                <w:tab w:pos="1209" w:val="left" w:leader="none"/>
                <w:tab w:pos="1629" w:val="left" w:leader="none"/>
                <w:tab w:pos="2048" w:val="left" w:leader="none"/>
              </w:tabs>
              <w:spacing w:line="240" w:lineRule="auto" w:before="76"/>
              <w:ind w:left="788" w:right="0"/>
              <w:jc w:val="left"/>
              <w:rPr>
                <w:rFonts w:ascii="宋体" w:hAnsi="宋体" w:cs="宋体" w:eastAsia="宋体" w:hint="default"/>
                <w:sz w:val="21"/>
                <w:szCs w:val="21"/>
              </w:rPr>
            </w:pPr>
            <w:r>
              <w:rPr>
                <w:rFonts w:ascii="宋体" w:hAnsi="宋体" w:cs="宋体" w:eastAsia="宋体" w:hint="default"/>
                <w:sz w:val="21"/>
                <w:szCs w:val="21"/>
              </w:rPr>
              <w:t>品</w:t>
              <w:tab/>
              <w:t>牌</w:t>
              <w:tab/>
              <w:t>扩</w:t>
              <w:tab/>
              <w:t>张</w:t>
            </w:r>
          </w:p>
        </w:tc>
        <w:tc>
          <w:tcPr>
            <w:tcW w:w="1260" w:type="dxa"/>
            <w:tcBorders>
              <w:top w:val="nil" w:sz="6" w:space="0" w:color="auto"/>
              <w:left w:val="single" w:sz="6" w:space="0" w:color="000000"/>
              <w:bottom w:val="dotted" w:sz="24" w:space="0" w:color="000000"/>
              <w:right w:val="single" w:sz="6" w:space="0" w:color="000000"/>
            </w:tcBorders>
          </w:tcPr>
          <w:p>
            <w:pPr/>
          </w:p>
        </w:tc>
        <w:tc>
          <w:tcPr>
            <w:tcW w:w="2880" w:type="dxa"/>
            <w:vMerge w:val="restart"/>
            <w:tcBorders>
              <w:top w:val="single" w:sz="6" w:space="0" w:color="000000"/>
              <w:left w:val="single" w:sz="6" w:space="0" w:color="000000"/>
              <w:right w:val="single" w:sz="6" w:space="0" w:color="000000"/>
            </w:tcBorders>
          </w:tcPr>
          <w:p>
            <w:pPr>
              <w:pStyle w:val="TableParagraph"/>
              <w:spacing w:line="240" w:lineRule="auto" w:before="76"/>
              <w:ind w:left="908" w:right="0"/>
              <w:jc w:val="left"/>
              <w:rPr>
                <w:rFonts w:ascii="宋体" w:hAnsi="宋体" w:cs="宋体" w:eastAsia="宋体" w:hint="default"/>
                <w:sz w:val="21"/>
                <w:szCs w:val="21"/>
              </w:rPr>
            </w:pPr>
            <w:r>
              <w:rPr>
                <w:rFonts w:ascii="宋体" w:hAnsi="宋体" w:cs="宋体" w:eastAsia="宋体" w:hint="default"/>
                <w:sz w:val="21"/>
                <w:szCs w:val="21"/>
              </w:rPr>
              <w:t>青岛、兖州</w:t>
            </w:r>
          </w:p>
        </w:tc>
      </w:tr>
      <w:tr>
        <w:trPr>
          <w:trHeight w:val="343" w:hRule="exact"/>
        </w:trPr>
        <w:tc>
          <w:tcPr>
            <w:tcW w:w="3060" w:type="dxa"/>
            <w:vMerge/>
            <w:tcBorders>
              <w:left w:val="single" w:sz="6" w:space="0" w:color="000000"/>
              <w:bottom w:val="single" w:sz="6" w:space="0" w:color="000000"/>
              <w:right w:val="single" w:sz="6" w:space="0" w:color="000000"/>
            </w:tcBorders>
          </w:tcPr>
          <w:p>
            <w:pPr/>
          </w:p>
        </w:tc>
        <w:tc>
          <w:tcPr>
            <w:tcW w:w="1260" w:type="dxa"/>
            <w:tcBorders>
              <w:top w:val="dotted" w:sz="24" w:space="0" w:color="000000"/>
              <w:left w:val="single" w:sz="6" w:space="0" w:color="000000"/>
              <w:bottom w:val="nil" w:sz="6" w:space="0" w:color="auto"/>
              <w:right w:val="single" w:sz="6" w:space="0" w:color="000000"/>
            </w:tcBorders>
          </w:tcPr>
          <w:p>
            <w:pPr/>
          </w:p>
        </w:tc>
        <w:tc>
          <w:tcPr>
            <w:tcW w:w="288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tbl>
      <w:tblPr>
        <w:tblW w:w="0" w:type="auto"/>
        <w:jc w:val="left"/>
        <w:tblInd w:w="686" w:type="dxa"/>
        <w:tblLayout w:type="fixed"/>
        <w:tblCellMar>
          <w:top w:w="0" w:type="dxa"/>
          <w:left w:w="0" w:type="dxa"/>
          <w:bottom w:w="0" w:type="dxa"/>
          <w:right w:w="0" w:type="dxa"/>
        </w:tblCellMar>
        <w:tblLook w:val="01E0"/>
      </w:tblPr>
      <w:tblGrid>
        <w:gridCol w:w="3060"/>
        <w:gridCol w:w="1260"/>
        <w:gridCol w:w="2880"/>
      </w:tblGrid>
      <w:tr>
        <w:trPr>
          <w:trHeight w:val="324" w:hRule="exact"/>
        </w:trPr>
        <w:tc>
          <w:tcPr>
            <w:tcW w:w="3060" w:type="dxa"/>
            <w:vMerge w:val="restart"/>
            <w:tcBorders>
              <w:top w:val="single" w:sz="6" w:space="0" w:color="000000"/>
              <w:left w:val="single" w:sz="6" w:space="0" w:color="000000"/>
              <w:right w:val="single" w:sz="6" w:space="0" w:color="000000"/>
            </w:tcBorders>
          </w:tcPr>
          <w:p>
            <w:pPr>
              <w:pStyle w:val="TableParagraph"/>
              <w:tabs>
                <w:tab w:pos="1209" w:val="left" w:leader="none"/>
                <w:tab w:pos="1629" w:val="left" w:leader="none"/>
                <w:tab w:pos="2048" w:val="left" w:leader="none"/>
              </w:tabs>
              <w:spacing w:line="240" w:lineRule="auto" w:before="37"/>
              <w:ind w:left="788" w:right="0"/>
              <w:jc w:val="left"/>
              <w:rPr>
                <w:rFonts w:ascii="宋体" w:hAnsi="宋体" w:cs="宋体" w:eastAsia="宋体" w:hint="default"/>
                <w:sz w:val="21"/>
                <w:szCs w:val="21"/>
              </w:rPr>
            </w:pPr>
            <w:r>
              <w:rPr>
                <w:rFonts w:ascii="宋体" w:hAnsi="宋体" w:cs="宋体" w:eastAsia="宋体" w:hint="default"/>
                <w:sz w:val="21"/>
                <w:szCs w:val="21"/>
              </w:rPr>
              <w:t>规</w:t>
              <w:tab/>
              <w:t>模</w:t>
              <w:tab/>
              <w:t>扩</w:t>
              <w:tab/>
              <w:t>张</w:t>
            </w:r>
          </w:p>
        </w:tc>
        <w:tc>
          <w:tcPr>
            <w:tcW w:w="1260" w:type="dxa"/>
            <w:tcBorders>
              <w:top w:val="nil" w:sz="6" w:space="0" w:color="auto"/>
              <w:left w:val="single" w:sz="6" w:space="0" w:color="000000"/>
              <w:bottom w:val="dotted" w:sz="24" w:space="0" w:color="000000"/>
              <w:right w:val="single" w:sz="6" w:space="0" w:color="000000"/>
            </w:tcBorders>
          </w:tcPr>
          <w:p>
            <w:pPr/>
          </w:p>
        </w:tc>
        <w:tc>
          <w:tcPr>
            <w:tcW w:w="2880" w:type="dxa"/>
            <w:vMerge w:val="restart"/>
            <w:tcBorders>
              <w:top w:val="single" w:sz="6" w:space="0" w:color="000000"/>
              <w:left w:val="single" w:sz="6" w:space="0" w:color="000000"/>
              <w:right w:val="single" w:sz="6" w:space="0" w:color="000000"/>
            </w:tcBorders>
          </w:tcPr>
          <w:p>
            <w:pPr>
              <w:pStyle w:val="TableParagraph"/>
              <w:spacing w:line="240" w:lineRule="auto" w:before="77"/>
              <w:ind w:left="7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绵阳、泗水</w:t>
            </w:r>
            <w:r>
              <w:rPr>
                <w:rFonts w:ascii="Times New Roman" w:hAnsi="Times New Roman" w:cs="Times New Roman" w:eastAsia="Times New Roman" w:hint="default"/>
                <w:sz w:val="21"/>
                <w:szCs w:val="21"/>
              </w:rPr>
              <w:t>…..</w:t>
            </w:r>
          </w:p>
        </w:tc>
      </w:tr>
      <w:tr>
        <w:trPr>
          <w:trHeight w:val="300" w:hRule="exact"/>
        </w:trPr>
        <w:tc>
          <w:tcPr>
            <w:tcW w:w="3060" w:type="dxa"/>
            <w:vMerge/>
            <w:tcBorders>
              <w:left w:val="single" w:sz="6" w:space="0" w:color="000000"/>
              <w:bottom w:val="single" w:sz="6" w:space="0" w:color="000000"/>
              <w:right w:val="single" w:sz="6" w:space="0" w:color="000000"/>
            </w:tcBorders>
          </w:tcPr>
          <w:p>
            <w:pPr/>
          </w:p>
        </w:tc>
        <w:tc>
          <w:tcPr>
            <w:tcW w:w="1260" w:type="dxa"/>
            <w:tcBorders>
              <w:top w:val="dotted" w:sz="24" w:space="0" w:color="000000"/>
              <w:left w:val="single" w:sz="6" w:space="0" w:color="000000"/>
              <w:bottom w:val="nil" w:sz="6" w:space="0" w:color="auto"/>
              <w:right w:val="single" w:sz="6" w:space="0" w:color="000000"/>
            </w:tcBorders>
          </w:tcPr>
          <w:p>
            <w:pPr/>
          </w:p>
        </w:tc>
        <w:tc>
          <w:tcPr>
            <w:tcW w:w="288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tbl>
      <w:tblPr>
        <w:tblW w:w="0" w:type="auto"/>
        <w:jc w:val="left"/>
        <w:tblInd w:w="686" w:type="dxa"/>
        <w:tblLayout w:type="fixed"/>
        <w:tblCellMar>
          <w:top w:w="0" w:type="dxa"/>
          <w:left w:w="0" w:type="dxa"/>
          <w:bottom w:w="0" w:type="dxa"/>
          <w:right w:w="0" w:type="dxa"/>
        </w:tblCellMar>
        <w:tblLook w:val="01E0"/>
      </w:tblPr>
      <w:tblGrid>
        <w:gridCol w:w="3060"/>
        <w:gridCol w:w="1260"/>
        <w:gridCol w:w="3060"/>
      </w:tblGrid>
      <w:tr>
        <w:trPr>
          <w:trHeight w:val="331" w:hRule="exact"/>
        </w:trPr>
        <w:tc>
          <w:tcPr>
            <w:tcW w:w="3060" w:type="dxa"/>
            <w:vMerge w:val="restart"/>
            <w:tcBorders>
              <w:top w:val="single" w:sz="6" w:space="0" w:color="000000"/>
              <w:left w:val="single" w:sz="6" w:space="0" w:color="000000"/>
              <w:right w:val="single" w:sz="6" w:space="0" w:color="000000"/>
            </w:tcBorders>
          </w:tcPr>
          <w:p>
            <w:pPr>
              <w:pStyle w:val="TableParagraph"/>
              <w:spacing w:line="240" w:lineRule="auto" w:before="77"/>
              <w:ind w:left="144" w:right="0"/>
              <w:jc w:val="left"/>
              <w:rPr>
                <w:rFonts w:ascii="宋体" w:hAnsi="宋体" w:cs="宋体" w:eastAsia="宋体" w:hint="default"/>
                <w:sz w:val="21"/>
                <w:szCs w:val="21"/>
              </w:rPr>
            </w:pPr>
            <w:r>
              <w:rPr>
                <w:rFonts w:ascii="宋体" w:hAnsi="宋体" w:cs="宋体" w:eastAsia="宋体" w:hint="default"/>
                <w:sz w:val="21"/>
                <w:szCs w:val="21"/>
              </w:rPr>
              <w:t>规模和综合实力挤身行业前列</w:t>
            </w:r>
          </w:p>
        </w:tc>
        <w:tc>
          <w:tcPr>
            <w:tcW w:w="1260" w:type="dxa"/>
            <w:tcBorders>
              <w:top w:val="nil" w:sz="6" w:space="0" w:color="auto"/>
              <w:left w:val="single" w:sz="6" w:space="0" w:color="000000"/>
              <w:bottom w:val="dotted" w:sz="24" w:space="0" w:color="000000"/>
              <w:right w:val="single" w:sz="6" w:space="0" w:color="000000"/>
            </w:tcBorders>
          </w:tcPr>
          <w:p>
            <w:pPr/>
          </w:p>
        </w:tc>
        <w:tc>
          <w:tcPr>
            <w:tcW w:w="3060" w:type="dxa"/>
            <w:vMerge w:val="restart"/>
            <w:tcBorders>
              <w:top w:val="single" w:sz="6" w:space="0" w:color="000000"/>
              <w:left w:val="single" w:sz="6" w:space="0" w:color="000000"/>
              <w:right w:val="single" w:sz="6" w:space="0" w:color="000000"/>
            </w:tcBorders>
          </w:tcPr>
          <w:p>
            <w:pPr>
              <w:pStyle w:val="TableParagraph"/>
              <w:spacing w:line="240" w:lineRule="auto" w:before="77"/>
              <w:ind w:left="473" w:right="0"/>
              <w:jc w:val="left"/>
              <w:rPr>
                <w:rFonts w:ascii="宋体" w:hAnsi="宋体" w:cs="宋体" w:eastAsia="宋体" w:hint="default"/>
                <w:sz w:val="21"/>
                <w:szCs w:val="21"/>
              </w:rPr>
            </w:pPr>
            <w:r>
              <w:rPr>
                <w:rFonts w:ascii="宋体" w:hAnsi="宋体" w:cs="宋体" w:eastAsia="宋体" w:hint="default"/>
                <w:sz w:val="21"/>
                <w:szCs w:val="21"/>
              </w:rPr>
              <w:t>形成全国性的战略布局</w:t>
            </w:r>
          </w:p>
        </w:tc>
      </w:tr>
      <w:tr>
        <w:trPr>
          <w:trHeight w:val="293" w:hRule="exact"/>
        </w:trPr>
        <w:tc>
          <w:tcPr>
            <w:tcW w:w="3060" w:type="dxa"/>
            <w:vMerge/>
            <w:tcBorders>
              <w:left w:val="single" w:sz="6" w:space="0" w:color="000000"/>
              <w:bottom w:val="single" w:sz="6" w:space="0" w:color="000000"/>
              <w:right w:val="single" w:sz="6" w:space="0" w:color="000000"/>
            </w:tcBorders>
          </w:tcPr>
          <w:p>
            <w:pPr/>
          </w:p>
        </w:tc>
        <w:tc>
          <w:tcPr>
            <w:tcW w:w="1260" w:type="dxa"/>
            <w:tcBorders>
              <w:top w:val="dotted" w:sz="24" w:space="0" w:color="000000"/>
              <w:left w:val="single" w:sz="6" w:space="0" w:color="000000"/>
              <w:bottom w:val="nil" w:sz="6" w:space="0" w:color="auto"/>
              <w:right w:val="single" w:sz="6" w:space="0" w:color="000000"/>
            </w:tcBorders>
          </w:tcPr>
          <w:p>
            <w:pPr/>
          </w:p>
        </w:tc>
        <w:tc>
          <w:tcPr>
            <w:tcW w:w="3060" w:type="dxa"/>
            <w:vMerge/>
            <w:tcBorders>
              <w:left w:val="single" w:sz="6" w:space="0" w:color="000000"/>
              <w:bottom w:val="single" w:sz="6" w:space="0" w:color="000000"/>
              <w:right w:val="single" w:sz="6" w:space="0" w:color="000000"/>
            </w:tcBorders>
          </w:tcPr>
          <w:p>
            <w:pPr/>
          </w:p>
        </w:tc>
      </w:tr>
    </w:tbl>
    <w:p>
      <w:pPr>
        <w:pStyle w:val="BodyText"/>
        <w:spacing w:line="240" w:lineRule="auto" w:before="89"/>
        <w:ind w:left="634" w:right="0"/>
        <w:jc w:val="left"/>
      </w:pPr>
      <w:r>
        <w:rPr/>
        <w:pict>
          <v:group style="position:absolute;margin-left:371.700012pt;margin-top:-63.31398pt;width:9pt;height:31.2pt;mso-position-horizontal-relative:page;mso-position-vertical-relative:paragraph;z-index:2080" coordorigin="7434,-1266" coordsize="180,624">
            <v:shape style="position:absolute;left:7434;top:-1266;width:180;height:624" coordorigin="7434,-1266" coordsize="180,624" path="m7434,-798l7478,-798,7478,-1266,7568,-1266,7568,-798,7614,-798,7524,-642,7434,-798xe" filled="false" stroked="true" strokeweight=".75pt" strokecolor="#000000">
              <v:path arrowok="t"/>
            </v:shape>
            <w10:wrap type="none"/>
          </v:group>
        </w:pict>
      </w:r>
      <w:r>
        <w:rPr/>
        <w:pict>
          <v:group style="position:absolute;margin-left:146.699997pt;margin-top:-63.31398pt;width:9pt;height:31.2pt;mso-position-horizontal-relative:page;mso-position-vertical-relative:paragraph;z-index:2104" coordorigin="2934,-1266" coordsize="180,624">
            <v:shape style="position:absolute;left:2934;top:-1266;width:180;height:624" coordorigin="2934,-1266" coordsize="180,624" path="m2934,-798l2978,-798,2978,-1266,3068,-1266,3068,-798,3114,-798,3024,-642,2934,-798xe" filled="false" stroked="true" strokeweight=".75pt" strokecolor="#000000">
              <v:path arrowok="t"/>
            </v:shape>
            <w10:wrap type="none"/>
          </v:group>
        </w:pict>
      </w:r>
      <w:r>
        <w:rPr/>
        <w:t>2）主要计划</w:t>
      </w:r>
    </w:p>
    <w:p>
      <w:pPr>
        <w:pStyle w:val="BodyText"/>
        <w:spacing w:line="240" w:lineRule="auto" w:before="154"/>
        <w:ind w:left="634" w:right="0"/>
        <w:jc w:val="left"/>
      </w:pPr>
      <w:r>
        <w:rPr/>
        <w:t>①继续深入推进重组；</w:t>
      </w:r>
    </w:p>
    <w:p>
      <w:pPr>
        <w:pStyle w:val="BodyText"/>
        <w:spacing w:line="357" w:lineRule="auto" w:before="152"/>
        <w:ind w:left="634" w:right="170"/>
        <w:jc w:val="left"/>
      </w:pPr>
      <w:r>
        <w:rPr/>
        <w:t>②市场开发与营销网络建设计划 根据项目需要，制定相应媒体推介计划，大力宣传公司的品牌及经营理念，提高公司的</w:t>
      </w:r>
    </w:p>
    <w:p>
      <w:pPr>
        <w:pStyle w:val="BodyText"/>
        <w:spacing w:line="357" w:lineRule="auto"/>
        <w:ind w:right="188"/>
        <w:jc w:val="both"/>
      </w:pPr>
      <w:r>
        <w:rPr/>
        <w:t>市场影响力；加强营销理念管理和营销队伍的建设，提高营销工作的档次；在具体运作中加 强公司本部对控股子公司的营销管理监控，满足公司整体品牌建设的需求；根据公司品牌战 略规划和品牌管理原则，着力扩充营销人员，完善公司营销网络。</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4" w:right="93"/>
        <w:jc w:val="left"/>
      </w:pPr>
      <w:r>
        <w:rPr/>
        <w:t>③技术开发与创新计划 </w:t>
      </w:r>
      <w:r>
        <w:rPr>
          <w:spacing w:val="-3"/>
        </w:rPr>
        <w:t>公司将结合目前的海情丽都等大型住宅小区的开发建设，以《国家重点鼓励发展的产业、</w:t>
      </w:r>
    </w:p>
    <w:p>
      <w:pPr>
        <w:pStyle w:val="BodyText"/>
        <w:spacing w:line="357" w:lineRule="auto"/>
        <w:ind w:right="268"/>
        <w:jc w:val="both"/>
      </w:pPr>
      <w:r>
        <w:rPr/>
        <w:t>产品和技术目录》为政策指引，密切跟踪国际国内房地产开发方面的最新科研成果；根据每 个项目的市场定位和特点，有针对性地把成熟的新技术、新材料、新工艺运用到在建和拟建 项目中；加大技术开发和创新力度，提高产品的整体性能构建品质化、创新化、社区化、多 元化、数字化的产品开发理念；一方面使公司开发的项目具有优良的品质、齐备的功能和完 善的配套设施，另一方面实现进一步缩短工期、控制成本，提高效益的目的。</w:t>
      </w:r>
    </w:p>
    <w:p>
      <w:pPr>
        <w:pStyle w:val="BodyText"/>
        <w:spacing w:line="357" w:lineRule="auto"/>
        <w:ind w:left="634" w:right="250"/>
        <w:jc w:val="left"/>
      </w:pPr>
      <w:r>
        <w:rPr/>
        <w:t>④人力资源开发计划 公司将根据实际情况进行上市公司的人力资源规划和统筹安排，尽快完善上市公司的人</w:t>
      </w:r>
    </w:p>
    <w:p>
      <w:pPr>
        <w:pStyle w:val="BodyText"/>
        <w:spacing w:line="357" w:lineRule="auto"/>
        <w:ind w:right="268"/>
        <w:jc w:val="both"/>
      </w:pPr>
      <w:r>
        <w:rPr/>
        <w:t>员结构，保持适度的中高级人才储备，以适应公司扩张发展的需要。公司除计划招聘大量的 本科人员外，还计划聘用硕士、博士研究生和行业高级技术人员，引进一批房地产管理、规 划及工程技术人员；并适当引入投资、证券、财务、法律方面的专业人员，此外，在目前的 主管级队伍中着重培养较为全面的中层管理人员。</w:t>
      </w:r>
    </w:p>
    <w:p>
      <w:pPr>
        <w:pStyle w:val="BodyText"/>
        <w:spacing w:line="357" w:lineRule="auto"/>
        <w:ind w:left="634" w:right="250"/>
        <w:jc w:val="left"/>
      </w:pPr>
      <w:r>
        <w:rPr/>
        <w:t>⑤收购兼并及对外扩充计划 公司在具体的项目拓展过程中，除采取常规的通过招、拍、挂获取项目的方式，在充分</w:t>
      </w:r>
    </w:p>
    <w:p>
      <w:pPr>
        <w:pStyle w:val="BodyText"/>
        <w:spacing w:line="357" w:lineRule="auto"/>
        <w:ind w:left="153" w:right="93"/>
        <w:jc w:val="left"/>
      </w:pPr>
      <w:r>
        <w:rPr/>
        <w:t>论证的基础上，还可以根据市场情况和公司发展的需要，采用收购和兼并等资本运作方式作 </w:t>
      </w:r>
      <w:r>
        <w:rPr>
          <w:spacing w:val="-2"/>
        </w:rPr>
        <w:t>为市场开发计划实施的补充手段，凭借重组后上市公司在资金实力和品牌文化等方面的优势，</w:t>
      </w:r>
      <w:r>
        <w:rPr/>
        <w:t> 进行横向并购同行业和纵向并购产业链环节的目标企业。</w:t>
      </w:r>
    </w:p>
    <w:p>
      <w:pPr>
        <w:pStyle w:val="BodyText"/>
        <w:spacing w:line="357" w:lineRule="auto"/>
        <w:ind w:left="633" w:right="251"/>
        <w:jc w:val="left"/>
      </w:pPr>
      <w:r>
        <w:rPr/>
        <w:t>3）公司未来发展所需的资金需求、使用及来源计划 公司将采取措施大力提升金融资本运作能力，调整以银行为主的狭窄的融资渠道，尽快</w:t>
      </w:r>
    </w:p>
    <w:p>
      <w:pPr>
        <w:pStyle w:val="BodyText"/>
        <w:spacing w:line="357" w:lineRule="auto"/>
        <w:ind w:left="153" w:right="93"/>
        <w:jc w:val="left"/>
      </w:pPr>
      <w:r>
        <w:rPr>
          <w:spacing w:val="-3"/>
        </w:rPr>
        <w:t>开拓多元化的融资渠道，通过资本市场、银行借款、房地产信托基金、项目合作等多个方面，</w:t>
      </w:r>
      <w:r>
        <w:rPr>
          <w:spacing w:val="-81"/>
        </w:rPr>
        <w:t> </w:t>
      </w:r>
      <w:r>
        <w:rPr>
          <w:spacing w:val="-81"/>
        </w:rPr>
      </w:r>
      <w:r>
        <w:rPr/>
        <w:t>来大力拓宽公司融资渠道，为公司做大做强提供强有力的资金支持；公司将做好充分的统筹 安排、严格做到资金的专款专用，同时做好开源节流工作，力争在提升经营收入的同时，控 制费用，配合资产重组。</w:t>
      </w:r>
    </w:p>
    <w:p>
      <w:pPr>
        <w:pStyle w:val="BodyText"/>
        <w:spacing w:line="240" w:lineRule="auto" w:before="36"/>
        <w:ind w:left="633" w:right="93"/>
        <w:jc w:val="left"/>
      </w:pPr>
      <w:r>
        <w:rPr/>
        <w:t>4）未来发展面临的风险和措施</w:t>
      </w:r>
    </w:p>
    <w:p>
      <w:pPr>
        <w:pStyle w:val="BodyText"/>
        <w:spacing w:line="386" w:lineRule="auto" w:before="192"/>
        <w:ind w:left="633" w:right="251"/>
        <w:jc w:val="left"/>
      </w:pPr>
      <w:r>
        <w:rPr/>
        <w:t>①房地产调控政策风险 房地产行业是国家近年来重点宏观调控对象，因此国家相关房地产宏观调控政策对公司</w:t>
      </w:r>
    </w:p>
    <w:p>
      <w:pPr>
        <w:pStyle w:val="BodyText"/>
        <w:spacing w:line="357" w:lineRule="auto" w:before="6"/>
        <w:ind w:left="153" w:right="268"/>
        <w:jc w:val="both"/>
      </w:pPr>
      <w:r>
        <w:rPr/>
        <w:t>将具有重大影响。09年12月上旬的中央经济工作会议和国务院常务会议，再次拉开了房调的 大幕。尽管截至2010年一季度，宏观政策调控的效应未能显现，但不能排除国家和地方政府 再次加大房地产调控力度，从而使房地产市场下滑，进而给公司的经营带来影响的风险。</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68" w:firstLine="480"/>
        <w:jc w:val="both"/>
      </w:pPr>
      <w:r>
        <w:rPr/>
        <w:t>措施：公司的未来发展计划将适应新形势的宏观调控政策，向三个方面转变：第一，发 展节能、省地、环保型建筑；第二，重点发展面向广大群众的普通商品房；第三，保持适当 的房地产投资规模。</w:t>
      </w:r>
    </w:p>
    <w:p>
      <w:pPr>
        <w:pStyle w:val="BodyText"/>
        <w:spacing w:line="386" w:lineRule="auto" w:before="76"/>
        <w:ind w:left="634" w:right="250"/>
        <w:jc w:val="left"/>
      </w:pPr>
      <w:r>
        <w:rPr/>
        <w:t>②项目开发风险 房地产项目具有开发周期长，投资金额大，涉及相关行业广，合作单位多等特点，从市</w:t>
      </w:r>
    </w:p>
    <w:p>
      <w:pPr>
        <w:pStyle w:val="BodyText"/>
        <w:spacing w:line="357" w:lineRule="auto" w:before="6"/>
        <w:ind w:right="92"/>
        <w:jc w:val="left"/>
      </w:pPr>
      <w:r>
        <w:rPr/>
        <w:t>场研究、土地获得、投资决策、规划设计、建设施工，到市场营销、销售服务和物业管理的 </w:t>
      </w:r>
      <w:r>
        <w:rPr>
          <w:spacing w:val="-3"/>
        </w:rPr>
        <w:t>开发流程中，项目开发涉及到调研、规划设计、建筑施工、材料供应、广告策划等多个领域，</w:t>
      </w:r>
      <w:r>
        <w:rPr>
          <w:spacing w:val="-82"/>
        </w:rPr>
        <w:t> </w:t>
      </w:r>
      <w:r>
        <w:rPr>
          <w:spacing w:val="-82"/>
        </w:rPr>
      </w:r>
      <w:r>
        <w:rPr/>
        <w:t>同时要接受规划、国土、建设、房管、消防和环保等多个政府部门的审批和监管。因此，虽 然公司的房地产项目公司均具备较强的房地产项目操作能力，但如果项目的某个开发环节出 </w:t>
      </w:r>
      <w:r>
        <w:rPr>
          <w:spacing w:val="-3"/>
        </w:rPr>
        <w:t>现问题，如产品定位偏差、政府出台新的规定、与政府部门沟通不畅、施工方案选定不科学、</w:t>
      </w:r>
      <w:r>
        <w:rPr>
          <w:spacing w:val="-81"/>
        </w:rPr>
        <w:t> </w:t>
      </w:r>
      <w:r>
        <w:rPr>
          <w:spacing w:val="-81"/>
        </w:rPr>
      </w:r>
      <w:r>
        <w:rPr>
          <w:spacing w:val="-2"/>
        </w:rPr>
        <w:t>合作单位配合不力、项目管理和组织不力等，都可能会直接或间接地导致项目开发周期延长、</w:t>
      </w:r>
      <w:r>
        <w:rPr/>
        <w:t> 成本上升，造成项目预期经营目标难以如期实现。</w:t>
      </w:r>
    </w:p>
    <w:p>
      <w:pPr>
        <w:pStyle w:val="BodyText"/>
        <w:spacing w:line="357" w:lineRule="auto" w:before="76"/>
        <w:ind w:left="153" w:right="268" w:firstLine="480"/>
        <w:jc w:val="both"/>
      </w:pPr>
      <w:r>
        <w:rPr/>
        <w:t>措施：公司的房地产业务经过多年的专业化经营，已经在房地产开发方面积累了丰富的 专业经验，组建了一支具有丰富项目管理及操作经验的团队，具备较强的项目操作能力和较 强的专业经营能力。未来，公司将制定科学的项目决策程序，完善项目开发与建设的质量控 制体系，从项目开发建设到销售完成的全过程，公司将加大质量控制，充分考虑项目建设过 程中的各种潜在不利因素，合理规划开发建设周期，力争降低此类风险给公司带来的不利影 响。</w:t>
      </w:r>
    </w:p>
    <w:p>
      <w:pPr>
        <w:pStyle w:val="BodyText"/>
        <w:spacing w:line="357" w:lineRule="auto"/>
        <w:ind w:left="633" w:right="251"/>
        <w:jc w:val="left"/>
      </w:pPr>
      <w:r>
        <w:rPr/>
        <w:t>③资产流动性风险 由于行业发展的特殊性，房地产开发与销售需要大量资金投入，建设周期长，大大降低</w:t>
      </w:r>
    </w:p>
    <w:p>
      <w:pPr>
        <w:pStyle w:val="BodyText"/>
        <w:spacing w:line="357" w:lineRule="auto"/>
        <w:ind w:left="153" w:right="268"/>
        <w:jc w:val="both"/>
      </w:pPr>
      <w:r>
        <w:rPr/>
        <w:t>了企业资产的流动性，从前述分析可见，房地产企业速动比率较低，资产变现能力较差。本 次交易完成后，公司营销能力直接影响着公司的资产流动性及短期偿债能力，如果由于项目 开发和销售迟滞等因素导致资金周转不畅，将给公司总资产的周转和短期偿债能力带来较大 压力。</w:t>
      </w:r>
    </w:p>
    <w:p>
      <w:pPr>
        <w:pStyle w:val="BodyText"/>
        <w:spacing w:line="357" w:lineRule="auto" w:before="36"/>
        <w:ind w:left="153" w:right="268" w:firstLine="480"/>
        <w:jc w:val="both"/>
      </w:pPr>
      <w:r>
        <w:rPr/>
        <w:t>措施：公司一直以客户需求为导向，通过深入研究项目的区域市场、目标客户和竞争对 手情况，从而准确地进行市场定位，为客户提供理想的居住环境。未来公司将进一步制定科 学的项目开发决策程序，在保证工程质量的前提下，将加大项目管理力度，通过多种手段确 保工程进度如期执行。在销售方面，通过多种形式的促销，充分发挥品牌优势，加快回款速 度，提高资金使用效率，提高资产周转率；公司还将做好资金筹集与运用的筹划工作，充分</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right="93"/>
        <w:jc w:val="left"/>
      </w:pPr>
      <w:r>
        <w:rPr/>
        <w:t>运用多种手段募集所需的项目开发资金，严格控制公司的资产负债比率，降低财务风险。</w:t>
      </w:r>
    </w:p>
    <w:p>
      <w:pPr>
        <w:pStyle w:val="BodyText"/>
        <w:spacing w:line="357" w:lineRule="auto" w:before="152"/>
        <w:ind w:left="634" w:right="4570"/>
        <w:jc w:val="left"/>
      </w:pPr>
      <w:r>
        <w:rPr/>
        <w:t>（三）公司投资情况 1、前次募集资金使用情况 公司无募集资金延续到报告期内使用的情况。 2、非募集资金投资情况 报告期内公司无非募集资金投资情况。</w:t>
      </w:r>
    </w:p>
    <w:p>
      <w:pPr>
        <w:pStyle w:val="BodyText"/>
        <w:spacing w:line="357" w:lineRule="auto"/>
        <w:ind w:right="250" w:firstLine="480"/>
        <w:jc w:val="left"/>
      </w:pPr>
      <w:r>
        <w:rPr/>
        <w:t>（四）陈述董事会对公司会计政策、会计估计变更、重大会计差错更正、重大遗漏信息 补充以及业绩预告修正的原因及影响的讨论结果</w:t>
      </w:r>
    </w:p>
    <w:p>
      <w:pPr>
        <w:pStyle w:val="BodyText"/>
        <w:spacing w:line="240" w:lineRule="auto" w:before="36"/>
        <w:ind w:left="634" w:right="93"/>
        <w:jc w:val="left"/>
      </w:pPr>
      <w:r>
        <w:rPr/>
        <w:t>1、报告期内，公司无会计政策、会计估计变更、重大遗漏信息补充以及业绩预告修正。</w:t>
      </w:r>
    </w:p>
    <w:p>
      <w:pPr>
        <w:pStyle w:val="BodyText"/>
        <w:spacing w:line="240" w:lineRule="auto" w:before="152"/>
        <w:ind w:left="634" w:right="93"/>
        <w:jc w:val="left"/>
      </w:pPr>
      <w:r>
        <w:rPr/>
        <w:t>2、前期会计差错更正：</w:t>
      </w:r>
    </w:p>
    <w:p>
      <w:pPr>
        <w:pStyle w:val="BodyText"/>
        <w:spacing w:line="240" w:lineRule="auto" w:before="152"/>
        <w:ind w:left="634" w:right="93"/>
        <w:jc w:val="left"/>
      </w:pPr>
      <w:r>
        <w:rPr/>
        <w:t>1）2008年12 月本公司账面计提了所得税33,832,777.21元，据国家税务总局2009年7月</w:t>
      </w:r>
    </w:p>
    <w:p>
      <w:pPr>
        <w:pStyle w:val="BodyText"/>
        <w:spacing w:line="350" w:lineRule="auto" w:before="152"/>
        <w:ind w:right="148"/>
        <w:jc w:val="left"/>
      </w:pPr>
      <w:r>
        <w:rPr>
          <w:spacing w:val="-2"/>
        </w:rPr>
        <w:t>13日国税函【2009】375号“关于股权分置改革中上市公司取得资产及债务豁免对价收入征收</w:t>
      </w:r>
      <w:r>
        <w:rPr>
          <w:spacing w:val="-114"/>
        </w:rPr>
        <w:t> </w:t>
      </w:r>
      <w:r>
        <w:rPr>
          <w:spacing w:val="-114"/>
        </w:rPr>
      </w:r>
      <w:r>
        <w:rPr/>
        <w:t>所得税问题的批复”，本公司2008年取得的青岛亚星实业有限公司作为股改对价捐赠资产 208,562,237.00元属于不征税收入，本公司于2009年7月31日，对2008年度所得税汇算清缴， </w:t>
      </w:r>
      <w:r>
        <w:rPr>
          <w:spacing w:val="-2"/>
        </w:rPr>
        <w:t>经深圳市南山区税务局确认，本公司2008年应纳所得税为0元。因此本公司在2008年计提所得</w:t>
      </w:r>
      <w:r>
        <w:rPr>
          <w:spacing w:val="-112"/>
        </w:rPr>
        <w:t> </w:t>
      </w:r>
      <w:r>
        <w:rPr>
          <w:spacing w:val="-112"/>
        </w:rPr>
      </w:r>
      <w:r>
        <w:rPr/>
        <w:t>税33,832,777.21元，应交税金</w:t>
      </w:r>
      <w:r>
        <w:rPr>
          <w:rFonts w:ascii="Times New Roman" w:hAnsi="Times New Roman" w:cs="Times New Roman" w:eastAsia="Times New Roman" w:hint="default"/>
        </w:rPr>
        <w:t>—</w:t>
      </w:r>
      <w:r>
        <w:rPr/>
        <w:t>所得税33,832,777.21元，形成前期差错，本公司对此差错 </w:t>
      </w:r>
      <w:r>
        <w:rPr>
          <w:spacing w:val="-7"/>
        </w:rPr>
        <w:t>作了追溯调整，调整了</w:t>
      </w:r>
      <w:r>
        <w:rPr>
          <w:spacing w:val="3"/>
        </w:rPr>
        <w:t> </w:t>
      </w:r>
      <w:r>
        <w:rPr/>
        <w:t>2008</w:t>
      </w:r>
      <w:r>
        <w:rPr>
          <w:spacing w:val="3"/>
        </w:rPr>
        <w:t> </w:t>
      </w:r>
      <w:r>
        <w:rPr>
          <w:spacing w:val="-4"/>
        </w:rPr>
        <w:t>年度比较财务报表，涉及调整2008</w:t>
      </w:r>
      <w:r>
        <w:rPr>
          <w:spacing w:val="3"/>
        </w:rPr>
        <w:t> </w:t>
      </w:r>
      <w:r>
        <w:rPr>
          <w:spacing w:val="-5"/>
        </w:rPr>
        <w:t>年度会计报表科目：调减</w:t>
      </w:r>
      <w:r>
        <w:rPr>
          <w:rFonts w:ascii="Times New Roman" w:hAnsi="Times New Roman" w:cs="Times New Roman" w:eastAsia="Times New Roman" w:hint="default"/>
          <w:spacing w:val="-5"/>
        </w:rPr>
        <w:t>“</w:t>
      </w:r>
      <w:r>
        <w:rPr>
          <w:spacing w:val="-5"/>
        </w:rPr>
        <w:t>应</w:t>
      </w:r>
      <w:r>
        <w:rPr>
          <w:spacing w:val="-118"/>
        </w:rPr>
        <w:t> </w:t>
      </w:r>
      <w:r>
        <w:rPr/>
        <w:t>交税费-应交所得税</w:t>
      </w:r>
      <w:r>
        <w:rPr>
          <w:rFonts w:ascii="Times New Roman" w:hAnsi="Times New Roman" w:cs="Times New Roman" w:eastAsia="Times New Roman" w:hint="default"/>
        </w:rPr>
        <w:t>”  </w:t>
      </w:r>
      <w:r>
        <w:rPr/>
        <w:t>33,832,777.21元，调减</w:t>
      </w:r>
      <w:r>
        <w:rPr>
          <w:rFonts w:ascii="Times New Roman" w:hAnsi="Times New Roman" w:cs="Times New Roman" w:eastAsia="Times New Roman" w:hint="default"/>
        </w:rPr>
        <w:t>“</w:t>
      </w:r>
      <w:r>
        <w:rPr/>
        <w:t>所得税</w:t>
      </w:r>
      <w:r>
        <w:rPr>
          <w:rFonts w:ascii="Times New Roman" w:hAnsi="Times New Roman" w:cs="Times New Roman" w:eastAsia="Times New Roman" w:hint="default"/>
        </w:rPr>
        <w:t>”  </w:t>
      </w:r>
      <w:r>
        <w:rPr/>
        <w:t>33,832,777.21元。</w:t>
      </w:r>
    </w:p>
    <w:p>
      <w:pPr>
        <w:pStyle w:val="BodyText"/>
        <w:spacing w:line="240" w:lineRule="auto" w:before="12"/>
        <w:ind w:left="634" w:right="0"/>
        <w:jc w:val="left"/>
      </w:pPr>
      <w:r>
        <w:rPr>
          <w:spacing w:val="-2"/>
        </w:rPr>
        <w:t>2）本公司于2009年7月31日，对2008年度所得税汇算清缴，经深圳市南山区税务局确认，</w:t>
      </w:r>
    </w:p>
    <w:p>
      <w:pPr>
        <w:pStyle w:val="BodyText"/>
        <w:spacing w:line="357" w:lineRule="auto" w:before="152"/>
        <w:ind w:right="268"/>
        <w:jc w:val="both"/>
      </w:pPr>
      <w:r>
        <w:rPr/>
        <w:t>2008年度可弥补亏损为-20,026,824.08元，公司2009年实现利润5,866,860.81元，利润主要 来源于债务重组收益，由于预计包括2010年在内的未来四年很难取得足够的应纳税所得额， 因此根据企业会计准则讲解的规定“可以结转以后年度的未弥补亏损，在预计可利用可弥补 亏损或税款抵减的未来期间内很可能取得足够的应纳税所得额时，应当以很可能取得的应纳 税所得额为限，确认相应的递延所得税资产，同时减少确认当期所得税费用”。由于2009年 实现了5,866,860.81元利润，因此可以部分弥补以前年度亏损，按照上述解释的规定追溯调 整2008年递延所得税费用1,173,372.16元，递延所得税资产1,173,372.16元。</w:t>
      </w:r>
    </w:p>
    <w:p>
      <w:pPr>
        <w:pStyle w:val="BodyText"/>
        <w:spacing w:line="357" w:lineRule="auto"/>
        <w:ind w:right="216" w:firstLine="480"/>
        <w:jc w:val="left"/>
      </w:pPr>
      <w:r>
        <w:rPr>
          <w:spacing w:val="-2"/>
        </w:rPr>
        <w:t>3）2009年12月31日，中国农业银行深圳罗湖支行与本公司及青岛亚星实业有限公司（本</w:t>
      </w:r>
      <w:r>
        <w:rPr/>
        <w:t> 公司执行担保人）签订编号：（深）农银豁免息字20090618号债务和解协议书，免除本公司 截至2008年7月31日之前的贷款利息合计人民币10,566,266.22元。本公司截至2008年7月31 日针对中国农业银行深圳罗湖支行贷款计提了 9,108,858.22元的利息，利息差异</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214" w:right="950"/>
        <w:jc w:val="left"/>
      </w:pPr>
      <w:r>
        <w:rPr/>
        <w:t>1,457,408.00元，系中国农业银行深圳罗湖支行计提了贷款罚息复利，本公司未计提罚息复 利所致。</w:t>
      </w:r>
    </w:p>
    <w:p>
      <w:pPr>
        <w:pStyle w:val="BodyText"/>
        <w:spacing w:line="357" w:lineRule="auto"/>
        <w:ind w:left="694" w:right="6830"/>
        <w:jc w:val="left"/>
      </w:pPr>
      <w:r>
        <w:rPr/>
        <w:t>（五）董事会日常工作情况 1、董事会会议情况及决议内容</w:t>
      </w:r>
    </w:p>
    <w:p>
      <w:pPr>
        <w:spacing w:line="240" w:lineRule="auto" w:before="9"/>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728"/>
        <w:gridCol w:w="1080"/>
        <w:gridCol w:w="5040"/>
        <w:gridCol w:w="1620"/>
        <w:gridCol w:w="1094"/>
      </w:tblGrid>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信息披露报纸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信息披露</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75"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1、通过了同意高海波先生辞去公司总经理职务的议</w:t>
            </w:r>
          </w:p>
        </w:tc>
        <w:tc>
          <w:tcPr>
            <w:tcW w:w="162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第六届董事会第</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2009年1</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案；2、通过了同意王晨光先生辞去公司副总经理职</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2009年1</w:t>
            </w: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二十次会议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月16日</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务的议案；3、通过了关于聘请许亚楠先生为公司总</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月20日</w:t>
            </w:r>
          </w:p>
        </w:tc>
      </w:tr>
      <w:tr>
        <w:trPr>
          <w:trHeight w:val="28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经理的议案。</w:t>
            </w:r>
          </w:p>
        </w:tc>
        <w:tc>
          <w:tcPr>
            <w:tcW w:w="162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审议通过：1、《公司2008年董事会工作报告》；2、</w:t>
            </w:r>
          </w:p>
        </w:tc>
        <w:tc>
          <w:tcPr>
            <w:tcW w:w="162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《公司2008年度财务决算报告》；3、《2008年度利</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润分配预案》；4、《2008年度报告及其摘要》；5、</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第六届董事会第</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2009年4</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《2009年第一季度报告》；6、《关于修改〈公司章</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2009年4</w:t>
            </w: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二十一次会议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月29日</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程〉的议案》；7、《内部控制制度报告》；8、《关</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月30日</w:t>
            </w: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于续聘会计师事务所的议案》；9、《独立董事述职</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报告》；10、《关于提议召开公司2008年年度股东大</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会的议案》。</w:t>
            </w:r>
          </w:p>
        </w:tc>
        <w:tc>
          <w:tcPr>
            <w:tcW w:w="162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第六届董事会第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二十二次会议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hAnsi="宋体" w:cs="宋体" w:eastAsia="宋体" w:hint="default"/>
                <w:sz w:val="21"/>
                <w:szCs w:val="21"/>
              </w:rPr>
              <w:t>2009年5</w:t>
            </w:r>
          </w:p>
          <w:p>
            <w:pPr>
              <w:pStyle w:val="TableParagraph"/>
              <w:spacing w:line="274" w:lineRule="exact"/>
              <w:ind w:left="219" w:right="0"/>
              <w:jc w:val="left"/>
              <w:rPr>
                <w:rFonts w:ascii="宋体" w:hAnsi="宋体" w:cs="宋体" w:eastAsia="宋体" w:hint="default"/>
                <w:sz w:val="21"/>
                <w:szCs w:val="21"/>
              </w:rPr>
            </w:pPr>
            <w:r>
              <w:rPr>
                <w:rFonts w:ascii="宋体" w:hAnsi="宋体" w:cs="宋体" w:eastAsia="宋体" w:hint="default"/>
                <w:sz w:val="21"/>
                <w:szCs w:val="21"/>
              </w:rPr>
              <w:t>月18日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通过了《聘任宋星先生为证券事务代表的议案》。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2009年5</w:t>
            </w:r>
          </w:p>
          <w:p>
            <w:pPr>
              <w:pStyle w:val="TableParagraph"/>
              <w:spacing w:line="274" w:lineRule="exact"/>
              <w:ind w:left="226" w:right="0"/>
              <w:jc w:val="left"/>
              <w:rPr>
                <w:rFonts w:ascii="宋体" w:hAnsi="宋体" w:cs="宋体" w:eastAsia="宋体" w:hint="default"/>
                <w:sz w:val="21"/>
                <w:szCs w:val="21"/>
              </w:rPr>
            </w:pPr>
            <w:r>
              <w:rPr>
                <w:rFonts w:ascii="宋体" w:hAnsi="宋体" w:cs="宋体" w:eastAsia="宋体" w:hint="default"/>
                <w:sz w:val="21"/>
                <w:szCs w:val="21"/>
              </w:rPr>
              <w:t>月19日</w:t>
            </w:r>
          </w:p>
        </w:tc>
      </w:tr>
      <w:tr>
        <w:trPr>
          <w:trHeight w:val="55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第六届董事会第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二十三次会议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2009年6</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审议通过了《&lt;会计师事务所选聘制度&gt;的议案》。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2009年6</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月9日</w:t>
            </w:r>
          </w:p>
        </w:tc>
      </w:tr>
      <w:tr>
        <w:trPr>
          <w:trHeight w:val="276" w:hRule="exact"/>
        </w:trPr>
        <w:tc>
          <w:tcPr>
            <w:tcW w:w="172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第六届董事会第</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2009年7</w:t>
            </w: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审议通过了《关于公司2009</w:t>
            </w:r>
            <w:r>
              <w:rPr>
                <w:rFonts w:ascii="宋体" w:hAnsi="宋体" w:cs="宋体" w:eastAsia="宋体" w:hint="default"/>
                <w:spacing w:val="-2"/>
                <w:sz w:val="21"/>
                <w:szCs w:val="21"/>
              </w:rPr>
              <w:t> </w:t>
            </w:r>
            <w:r>
              <w:rPr>
                <w:rFonts w:ascii="宋体" w:hAnsi="宋体" w:cs="宋体" w:eastAsia="宋体" w:hint="default"/>
                <w:sz w:val="21"/>
                <w:szCs w:val="21"/>
              </w:rPr>
              <w:t>年半年度报告、半年度</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09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2009年7</w:t>
            </w:r>
          </w:p>
        </w:tc>
      </w:tr>
      <w:tr>
        <w:trPr>
          <w:trHeight w:val="279" w:hRule="exact"/>
        </w:trPr>
        <w:tc>
          <w:tcPr>
            <w:tcW w:w="17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二十四次会议</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月27日</w:t>
            </w: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财务报告及半年度报告摘要的议案》。</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109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月28日</w:t>
            </w:r>
          </w:p>
        </w:tc>
      </w:tr>
      <w:tr>
        <w:trPr>
          <w:trHeight w:val="276"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审议未能通过：1、《关于变更经营范围议案》；2、</w:t>
            </w:r>
          </w:p>
        </w:tc>
        <w:tc>
          <w:tcPr>
            <w:tcW w:w="162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《关于修改公司章程的议案》；3、《关于公司符合</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发行股份购买资产的相关法律、法规规定的议案》；</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4、《关于公司本次非公开发行股份购买资产构成关</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联交易的议案》；5、《关于公司发行股份购买资产</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具体方案的议案》；6、《深圳大通实业股份有限公</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817"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229" w:right="122" w:hanging="106"/>
              <w:jc w:val="left"/>
              <w:rPr>
                <w:rFonts w:ascii="宋体" w:hAnsi="宋体" w:cs="宋体" w:eastAsia="宋体" w:hint="default"/>
                <w:sz w:val="21"/>
                <w:szCs w:val="21"/>
              </w:rPr>
            </w:pPr>
            <w:r>
              <w:rPr>
                <w:rFonts w:ascii="宋体" w:hAnsi="宋体" w:cs="宋体" w:eastAsia="宋体" w:hint="default"/>
                <w:sz w:val="21"/>
                <w:szCs w:val="21"/>
              </w:rPr>
              <w:t>第六届董事会第 二十五次会议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left="168" w:right="0"/>
              <w:jc w:val="left"/>
              <w:rPr>
                <w:rFonts w:ascii="宋体" w:hAnsi="宋体" w:cs="宋体" w:eastAsia="宋体" w:hint="default"/>
                <w:sz w:val="21"/>
                <w:szCs w:val="21"/>
              </w:rPr>
            </w:pPr>
            <w:r>
              <w:rPr>
                <w:rFonts w:ascii="宋体" w:hAnsi="宋体" w:cs="宋体" w:eastAsia="宋体" w:hint="default"/>
                <w:sz w:val="21"/>
                <w:szCs w:val="21"/>
              </w:rPr>
              <w:t>2009年7</w:t>
            </w:r>
          </w:p>
          <w:p>
            <w:pPr>
              <w:pStyle w:val="TableParagraph"/>
              <w:spacing w:line="274" w:lineRule="exact"/>
              <w:ind w:left="219" w:right="0"/>
              <w:jc w:val="left"/>
              <w:rPr>
                <w:rFonts w:ascii="宋体" w:hAnsi="宋体" w:cs="宋体" w:eastAsia="宋体" w:hint="default"/>
                <w:sz w:val="21"/>
                <w:szCs w:val="21"/>
              </w:rPr>
            </w:pPr>
            <w:r>
              <w:rPr>
                <w:rFonts w:ascii="宋体" w:hAnsi="宋体" w:cs="宋体" w:eastAsia="宋体" w:hint="default"/>
                <w:sz w:val="21"/>
                <w:szCs w:val="21"/>
              </w:rPr>
              <w:t>月27日</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司发行股份购买资产暨关联交易报告书》；7、《深</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圳大通实业股份有限公司与青岛亚星实业有限公司 发行股份购买资产协议书》；8、《深圳大通实业股</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385" w:right="278"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left="175" w:right="0"/>
              <w:jc w:val="left"/>
              <w:rPr>
                <w:rFonts w:ascii="宋体" w:hAnsi="宋体" w:cs="宋体" w:eastAsia="宋体" w:hint="default"/>
                <w:sz w:val="21"/>
                <w:szCs w:val="21"/>
              </w:rPr>
            </w:pPr>
            <w:r>
              <w:rPr>
                <w:rFonts w:ascii="宋体" w:hAnsi="宋体" w:cs="宋体" w:eastAsia="宋体" w:hint="default"/>
                <w:sz w:val="21"/>
                <w:szCs w:val="21"/>
              </w:rPr>
              <w:t>2009年7</w:t>
            </w:r>
          </w:p>
          <w:p>
            <w:pPr>
              <w:pStyle w:val="TableParagraph"/>
              <w:spacing w:line="274" w:lineRule="exact"/>
              <w:ind w:left="226" w:right="0"/>
              <w:jc w:val="left"/>
              <w:rPr>
                <w:rFonts w:ascii="宋体" w:hAnsi="宋体" w:cs="宋体" w:eastAsia="宋体" w:hint="default"/>
                <w:sz w:val="21"/>
                <w:szCs w:val="21"/>
              </w:rPr>
            </w:pPr>
            <w:r>
              <w:rPr>
                <w:rFonts w:ascii="宋体" w:hAnsi="宋体" w:cs="宋体" w:eastAsia="宋体" w:hint="default"/>
                <w:sz w:val="21"/>
                <w:szCs w:val="21"/>
              </w:rPr>
              <w:t>月29日</w:t>
            </w: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份有限公司发行股份购买资产协议书》；9、《公司</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关于提请股东大会批准青岛亚星实业有限公司免于</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以要约方式收购公司股份的议案》；10、《关于提请</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股东大会授权董事会全权办理本次发行股份购买资</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产相关事宜的议案》；11、《关于提议召开公司2009</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年度第一次临时股东大会的议案》。</w:t>
            </w:r>
          </w:p>
        </w:tc>
        <w:tc>
          <w:tcPr>
            <w:tcW w:w="162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r>
        <w:trPr>
          <w:trHeight w:val="82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9" w:right="122" w:hanging="106"/>
              <w:jc w:val="left"/>
              <w:rPr>
                <w:rFonts w:ascii="宋体" w:hAnsi="宋体" w:cs="宋体" w:eastAsia="宋体" w:hint="default"/>
                <w:sz w:val="21"/>
                <w:szCs w:val="21"/>
              </w:rPr>
            </w:pPr>
            <w:r>
              <w:rPr>
                <w:rFonts w:ascii="宋体" w:hAnsi="宋体" w:cs="宋体" w:eastAsia="宋体" w:hint="default"/>
                <w:sz w:val="21"/>
                <w:szCs w:val="21"/>
              </w:rPr>
              <w:t>第六届董事会第 二十六次会议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 w:right="0"/>
              <w:jc w:val="center"/>
              <w:rPr>
                <w:rFonts w:ascii="宋体" w:hAnsi="宋体" w:cs="宋体" w:eastAsia="宋体" w:hint="default"/>
                <w:sz w:val="21"/>
                <w:szCs w:val="21"/>
              </w:rPr>
            </w:pPr>
            <w:r>
              <w:rPr>
                <w:rFonts w:ascii="宋体" w:hAnsi="宋体" w:cs="宋体" w:eastAsia="宋体" w:hint="default"/>
                <w:sz w:val="21"/>
                <w:szCs w:val="21"/>
              </w:rPr>
              <w:t>2009年10</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月26日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1"/>
              <w:jc w:val="left"/>
              <w:rPr>
                <w:rFonts w:ascii="宋体" w:hAnsi="宋体" w:cs="宋体" w:eastAsia="宋体" w:hint="default"/>
                <w:sz w:val="21"/>
                <w:szCs w:val="21"/>
              </w:rPr>
            </w:pPr>
            <w:r>
              <w:rPr>
                <w:rFonts w:ascii="宋体" w:hAnsi="宋体" w:cs="宋体" w:eastAsia="宋体" w:hint="default"/>
                <w:spacing w:val="-8"/>
                <w:sz w:val="21"/>
                <w:szCs w:val="21"/>
              </w:rPr>
              <w:t>审议通过：1、《关于公司2009</w:t>
            </w:r>
            <w:r>
              <w:rPr>
                <w:rFonts w:ascii="宋体" w:hAnsi="宋体" w:cs="宋体" w:eastAsia="宋体" w:hint="default"/>
                <w:spacing w:val="13"/>
                <w:sz w:val="21"/>
                <w:szCs w:val="21"/>
              </w:rPr>
              <w:t> </w:t>
            </w:r>
            <w:r>
              <w:rPr>
                <w:rFonts w:ascii="宋体" w:hAnsi="宋体" w:cs="宋体" w:eastAsia="宋体" w:hint="default"/>
                <w:sz w:val="21"/>
                <w:szCs w:val="21"/>
              </w:rPr>
              <w:t>年第三季度报告全文、</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正文及财务报告的议案》；2、《内幕信息知情人登 记制度》。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85" w:right="278"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 w:right="0"/>
              <w:jc w:val="center"/>
              <w:rPr>
                <w:rFonts w:ascii="宋体" w:hAnsi="宋体" w:cs="宋体" w:eastAsia="宋体" w:hint="default"/>
                <w:sz w:val="21"/>
                <w:szCs w:val="21"/>
              </w:rPr>
            </w:pPr>
            <w:r>
              <w:rPr>
                <w:rFonts w:ascii="宋体" w:hAnsi="宋体" w:cs="宋体" w:eastAsia="宋体" w:hint="default"/>
                <w:sz w:val="21"/>
                <w:szCs w:val="21"/>
              </w:rPr>
              <w:t>2009年10</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月28日</w:t>
            </w:r>
          </w:p>
        </w:tc>
      </w:tr>
      <w:tr>
        <w:trPr>
          <w:trHeight w:val="276"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审议通过：《关于董事会换届和选举第七届董事会董</w:t>
            </w:r>
          </w:p>
        </w:tc>
        <w:tc>
          <w:tcPr>
            <w:tcW w:w="162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817"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229" w:right="122" w:hanging="106"/>
              <w:jc w:val="left"/>
              <w:rPr>
                <w:rFonts w:ascii="宋体" w:hAnsi="宋体" w:cs="宋体" w:eastAsia="宋体" w:hint="default"/>
                <w:sz w:val="21"/>
                <w:szCs w:val="21"/>
              </w:rPr>
            </w:pPr>
            <w:r>
              <w:rPr>
                <w:rFonts w:ascii="宋体" w:hAnsi="宋体" w:cs="宋体" w:eastAsia="宋体" w:hint="default"/>
                <w:sz w:val="21"/>
                <w:szCs w:val="21"/>
              </w:rPr>
              <w:t>第六届董事会第 二十七次会议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left="1" w:right="0"/>
              <w:jc w:val="center"/>
              <w:rPr>
                <w:rFonts w:ascii="宋体" w:hAnsi="宋体" w:cs="宋体" w:eastAsia="宋体" w:hint="default"/>
                <w:sz w:val="21"/>
                <w:szCs w:val="21"/>
              </w:rPr>
            </w:pPr>
            <w:r>
              <w:rPr>
                <w:rFonts w:ascii="宋体" w:hAnsi="宋体" w:cs="宋体" w:eastAsia="宋体" w:hint="default"/>
                <w:sz w:val="21"/>
                <w:szCs w:val="21"/>
              </w:rPr>
              <w:t>2009年12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月9日</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事候选人的议案》；2、《关于聘请刘仕保先生为公</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司董事会秘书的议案》；3、《关于聘请易平良先生 为公司财务总监的议案》；4、《关于提请召开公司</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385" w:right="278"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left="1" w:right="0"/>
              <w:jc w:val="center"/>
              <w:rPr>
                <w:rFonts w:ascii="宋体" w:hAnsi="宋体" w:cs="宋体" w:eastAsia="宋体" w:hint="default"/>
                <w:sz w:val="21"/>
                <w:szCs w:val="21"/>
              </w:rPr>
            </w:pPr>
            <w:r>
              <w:rPr>
                <w:rFonts w:ascii="宋体" w:hAnsi="宋体" w:cs="宋体" w:eastAsia="宋体" w:hint="default"/>
                <w:sz w:val="21"/>
                <w:szCs w:val="21"/>
              </w:rPr>
              <w:t>2009年12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月10日</w:t>
            </w:r>
          </w:p>
        </w:tc>
      </w:tr>
      <w:tr>
        <w:trPr>
          <w:trHeight w:val="280"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年第一次临时股东大会的议案》。</w:t>
            </w:r>
          </w:p>
        </w:tc>
        <w:tc>
          <w:tcPr>
            <w:tcW w:w="162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2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728"/>
        <w:gridCol w:w="1080"/>
        <w:gridCol w:w="5040"/>
        <w:gridCol w:w="1620"/>
        <w:gridCol w:w="1094"/>
      </w:tblGrid>
      <w:tr>
        <w:trPr>
          <w:trHeight w:val="276" w:hRule="exact"/>
        </w:trPr>
        <w:tc>
          <w:tcPr>
            <w:tcW w:w="1728"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504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审议通过：1、《关于选举许亚楠为公司董事长的议</w:t>
            </w:r>
          </w:p>
        </w:tc>
        <w:tc>
          <w:tcPr>
            <w:tcW w:w="1620"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案》；2、《关于选举舒强兴先生、王洪先生、张庆</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文先生为公司第七届董事会审计委员会成员，舒强兴</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817" w:hRule="exact"/>
        </w:trPr>
        <w:tc>
          <w:tcPr>
            <w:tcW w:w="1728"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439" w:right="122" w:hanging="316"/>
              <w:jc w:val="left"/>
              <w:rPr>
                <w:rFonts w:ascii="宋体" w:hAnsi="宋体" w:cs="宋体" w:eastAsia="宋体" w:hint="default"/>
                <w:sz w:val="21"/>
                <w:szCs w:val="21"/>
              </w:rPr>
            </w:pPr>
            <w:r>
              <w:rPr>
                <w:rFonts w:ascii="宋体" w:hAnsi="宋体" w:cs="宋体" w:eastAsia="宋体" w:hint="default"/>
                <w:sz w:val="21"/>
                <w:szCs w:val="21"/>
              </w:rPr>
              <w:t>第七届董事会第 一次会议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left="1" w:right="0"/>
              <w:jc w:val="center"/>
              <w:rPr>
                <w:rFonts w:ascii="宋体" w:hAnsi="宋体" w:cs="宋体" w:eastAsia="宋体" w:hint="default"/>
                <w:sz w:val="21"/>
                <w:szCs w:val="21"/>
              </w:rPr>
            </w:pPr>
            <w:r>
              <w:rPr>
                <w:rFonts w:ascii="宋体" w:hAnsi="宋体" w:cs="宋体" w:eastAsia="宋体" w:hint="default"/>
                <w:sz w:val="21"/>
                <w:szCs w:val="21"/>
              </w:rPr>
              <w:t>2009年12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月30日</w:t>
            </w: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先生为审计委员会召集人的议案》；3、《关于修改</w:t>
            </w:r>
          </w:p>
          <w:p>
            <w:pPr>
              <w:pStyle w:val="TableParagraph"/>
              <w:spacing w:line="272" w:lineRule="exact" w:before="26"/>
              <w:ind w:left="103" w:right="200"/>
              <w:jc w:val="left"/>
              <w:rPr>
                <w:rFonts w:ascii="宋体" w:hAnsi="宋体" w:cs="宋体" w:eastAsia="宋体" w:hint="default"/>
                <w:sz w:val="21"/>
                <w:szCs w:val="21"/>
              </w:rPr>
            </w:pPr>
            <w:r>
              <w:rPr>
                <w:rFonts w:ascii="宋体" w:hAnsi="宋体" w:cs="宋体" w:eastAsia="宋体" w:hint="default"/>
                <w:sz w:val="21"/>
                <w:szCs w:val="21"/>
              </w:rPr>
              <w:t>公司章程的议案》；4、《关于公司与中国农业银行 深圳分行罗湖支行贷款重组的方案》；5、《关于公</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72" w:lineRule="exact" w:before="129"/>
              <w:ind w:left="385" w:right="278"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74" w:lineRule="exact" w:before="102"/>
              <w:ind w:left="1" w:right="0"/>
              <w:jc w:val="center"/>
              <w:rPr>
                <w:rFonts w:ascii="宋体" w:hAnsi="宋体" w:cs="宋体" w:eastAsia="宋体" w:hint="default"/>
                <w:sz w:val="21"/>
                <w:szCs w:val="21"/>
              </w:rPr>
            </w:pPr>
            <w:r>
              <w:rPr>
                <w:rFonts w:ascii="宋体" w:hAnsi="宋体" w:cs="宋体" w:eastAsia="宋体" w:hint="default"/>
                <w:sz w:val="21"/>
                <w:szCs w:val="21"/>
              </w:rPr>
              <w:t>2009年12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月31日</w:t>
            </w: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司控股子公司兖州海情置业有限公司拟成立子公司</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728"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504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开发泗水圣德路项目的议案》；6、《关于提请召开</w:t>
            </w:r>
          </w:p>
        </w:tc>
        <w:tc>
          <w:tcPr>
            <w:tcW w:w="1620"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728"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5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公司2010</w:t>
            </w:r>
            <w:r>
              <w:rPr>
                <w:rFonts w:ascii="宋体" w:hAnsi="宋体" w:cs="宋体" w:eastAsia="宋体" w:hint="default"/>
                <w:spacing w:val="-2"/>
                <w:sz w:val="21"/>
                <w:szCs w:val="21"/>
              </w:rPr>
              <w:t> </w:t>
            </w:r>
            <w:r>
              <w:rPr>
                <w:rFonts w:ascii="宋体" w:hAnsi="宋体" w:cs="宋体" w:eastAsia="宋体" w:hint="default"/>
                <w:sz w:val="21"/>
                <w:szCs w:val="21"/>
              </w:rPr>
              <w:t>年第一次临时股东大会的议案》。</w:t>
            </w:r>
          </w:p>
        </w:tc>
        <w:tc>
          <w:tcPr>
            <w:tcW w:w="1620"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r>
    </w:tbl>
    <w:p>
      <w:pPr>
        <w:pStyle w:val="BodyText"/>
        <w:spacing w:line="275" w:lineRule="exact" w:before="0"/>
        <w:ind w:left="694" w:right="950"/>
        <w:jc w:val="left"/>
      </w:pPr>
      <w:r>
        <w:rPr/>
        <w:t>2、董事会对股东大会决议的执行情况</w:t>
      </w:r>
    </w:p>
    <w:p>
      <w:pPr>
        <w:pStyle w:val="BodyText"/>
        <w:spacing w:line="357" w:lineRule="auto" w:before="152"/>
        <w:ind w:left="214" w:right="950" w:firstLine="480"/>
        <w:jc w:val="left"/>
      </w:pPr>
      <w:r>
        <w:rPr/>
        <w:t>报告期内，本公司董事会严格按照公司章程和股东大会形成的决议，认真履行职责，落 实了2008年年度股东大会的各项决议。</w:t>
      </w:r>
    </w:p>
    <w:p>
      <w:pPr>
        <w:pStyle w:val="BodyText"/>
        <w:spacing w:line="357" w:lineRule="auto"/>
        <w:ind w:left="694" w:right="950"/>
        <w:jc w:val="left"/>
      </w:pPr>
      <w:r>
        <w:rPr/>
        <w:t>3、公司董事会审计委员会履职情况汇总报告 在此次年报审计过程中，审计委员会严格按照法律法规、《公司章程》、《公司审计委</w:t>
      </w:r>
    </w:p>
    <w:p>
      <w:pPr>
        <w:pStyle w:val="BodyText"/>
        <w:spacing w:line="357" w:lineRule="auto" w:before="36"/>
        <w:ind w:left="214" w:right="950"/>
        <w:jc w:val="left"/>
      </w:pPr>
      <w:r>
        <w:rPr/>
        <w:t>员会年报工作规程》履行自己的职能，形成了《审计委员会履职暨关于深圳鹏城会计师事务 所有限公司2008年度的审计工作总结报告》，具体内容如下：</w:t>
      </w:r>
    </w:p>
    <w:p>
      <w:pPr>
        <w:pStyle w:val="BodyText"/>
        <w:spacing w:line="240" w:lineRule="auto"/>
        <w:ind w:left="694" w:right="950"/>
        <w:jc w:val="left"/>
      </w:pPr>
      <w:r>
        <w:rPr/>
        <w:t>1）了解公司报告期内的基本情况，审阅公司编制的财务会计报表</w:t>
      </w:r>
    </w:p>
    <w:p>
      <w:pPr>
        <w:pStyle w:val="BodyText"/>
        <w:spacing w:line="357" w:lineRule="auto" w:before="152"/>
        <w:ind w:left="214" w:right="931" w:firstLine="480"/>
        <w:jc w:val="both"/>
      </w:pPr>
      <w:r>
        <w:rPr>
          <w:spacing w:val="-2"/>
        </w:rPr>
        <w:t>2010年3月10日，审计委员会召开了2010年第一次会议，会议听取了公司总经理对公司报</w:t>
      </w:r>
      <w:r>
        <w:rPr/>
        <w:t> 告期内生产经营情况和重大事项进展情况的全面汇报，审议了公司编制的2009年度财务会计 报表，认为：公司编制的财务会计报表的有关数据基本反映了公司截止2009年12月31日的财 务状况和2009年度的经营成果，并同意以此财务报表为基础开展2009年度的审计工作，同时 出具了相关的书面审阅意见。</w:t>
      </w:r>
    </w:p>
    <w:p>
      <w:pPr>
        <w:pStyle w:val="BodyText"/>
        <w:spacing w:line="357" w:lineRule="auto"/>
        <w:ind w:left="694" w:right="950"/>
        <w:jc w:val="left"/>
      </w:pPr>
      <w:r>
        <w:rPr/>
        <w:t>2）确定总体审计计划 在会计师事务所进场审计前，审计委员会与会计师事务所经过协商，确定了公司2009年</w:t>
      </w:r>
    </w:p>
    <w:p>
      <w:pPr>
        <w:pStyle w:val="BodyText"/>
        <w:spacing w:line="357" w:lineRule="auto"/>
        <w:ind w:left="694" w:right="7670" w:hanging="480"/>
        <w:jc w:val="left"/>
      </w:pPr>
      <w:r>
        <w:rPr/>
        <w:t>年度审计工作的时间安排。 3) 督促审计工作</w:t>
      </w:r>
    </w:p>
    <w:p>
      <w:pPr>
        <w:pStyle w:val="BodyText"/>
        <w:spacing w:line="357" w:lineRule="auto"/>
        <w:ind w:left="214" w:right="914" w:firstLine="480"/>
        <w:jc w:val="left"/>
      </w:pPr>
      <w:r>
        <w:rPr>
          <w:spacing w:val="-2"/>
        </w:rPr>
        <w:t>2010年3月15日，会计师事务所正式进场开始审计工作。在审计期间，审计委员会多次督</w:t>
      </w:r>
      <w:r>
        <w:rPr/>
        <w:t> 促会计师事务所按照审计时间安排完成审计工作，确保公司年度报告及相关文件按时披露。</w:t>
      </w:r>
    </w:p>
    <w:p>
      <w:pPr>
        <w:pStyle w:val="BodyText"/>
        <w:spacing w:line="240" w:lineRule="auto"/>
        <w:ind w:left="694" w:right="950"/>
        <w:jc w:val="left"/>
      </w:pPr>
      <w:r>
        <w:rPr/>
        <w:t>4）初步审计意见后审阅财务会计报表</w:t>
      </w:r>
    </w:p>
    <w:p>
      <w:pPr>
        <w:pStyle w:val="BodyText"/>
        <w:spacing w:line="357" w:lineRule="auto" w:before="152"/>
        <w:ind w:left="214" w:right="918" w:firstLine="480"/>
        <w:jc w:val="left"/>
      </w:pPr>
      <w:r>
        <w:rPr>
          <w:spacing w:val="-2"/>
        </w:rPr>
        <w:t>2010年4月10日，会计师事务所出具了财务会计报表的初步审计意见，审计委员会于2010</w:t>
      </w:r>
      <w:r>
        <w:rPr/>
        <w:t> 年4月13日召开了审计委员会2010年度第二次会议，审阅了经初步审计后的公司财务会计报 表，认为：该报表真实、准确、完整的反映了公司截至2009年12月31日的财务状况和2009年 度经营成果，并同意以此报表为基础制作2009年年度报告及摘要。同时要求会计师事务所按</w:t>
      </w:r>
    </w:p>
    <w:p>
      <w:pPr>
        <w:spacing w:after="0" w:line="357" w:lineRule="auto"/>
        <w:jc w:val="left"/>
        <w:sectPr>
          <w:pgSz w:w="11910" w:h="16840"/>
          <w:pgMar w:header="747" w:footer="669" w:top="980" w:bottom="860" w:left="920" w:right="200"/>
        </w:sectPr>
      </w:pPr>
    </w:p>
    <w:p>
      <w:pPr>
        <w:spacing w:line="240" w:lineRule="auto" w:before="7"/>
        <w:rPr>
          <w:rFonts w:ascii="宋体" w:hAnsi="宋体" w:cs="宋体" w:eastAsia="宋体" w:hint="default"/>
          <w:sz w:val="29"/>
          <w:szCs w:val="29"/>
        </w:rPr>
      </w:pPr>
    </w:p>
    <w:p>
      <w:pPr>
        <w:pStyle w:val="BodyText"/>
        <w:spacing w:line="357" w:lineRule="auto" w:before="26"/>
        <w:ind w:left="634" w:right="2970" w:hanging="480"/>
        <w:jc w:val="left"/>
      </w:pPr>
      <w:r>
        <w:rPr/>
        <w:t>照计划尽快完成审计工作，以保证公司如期披露2009年年度报告。 5）正式报告后的总结工作</w:t>
      </w:r>
    </w:p>
    <w:p>
      <w:pPr>
        <w:pStyle w:val="BodyText"/>
        <w:spacing w:line="357" w:lineRule="auto"/>
        <w:ind w:right="311" w:firstLine="480"/>
        <w:jc w:val="both"/>
      </w:pPr>
      <w:r>
        <w:rPr>
          <w:spacing w:val="-2"/>
        </w:rPr>
        <w:t>2010年4月23日，会计师事务所出具正式审计报告及其他相关文件。审计委员会向董事会</w:t>
      </w:r>
      <w:r>
        <w:rPr/>
        <w:t> 提交《审计委员会履职暨关于会计师事务所2009年度的审计工作总结报告》，认为：公司聘 请的深圳市鹏城会计师事务所有限公司在为公司提供审计服务的过程中，恪尽职守，遵守独 立、客观、公正的职业准则，较好地完成了2009年年度报告审计的各项工作。</w:t>
      </w:r>
    </w:p>
    <w:p>
      <w:pPr>
        <w:pStyle w:val="BodyText"/>
        <w:spacing w:line="357" w:lineRule="auto"/>
        <w:ind w:left="634" w:right="330"/>
        <w:jc w:val="left"/>
      </w:pPr>
      <w:r>
        <w:rPr/>
        <w:t>6）续聘会计师事务所的决议 鉴于深圳市鹏城会计师事务所能够按照新的审计准则的要求，严格执行相关审计规程和</w:t>
      </w:r>
    </w:p>
    <w:p>
      <w:pPr>
        <w:pStyle w:val="BodyText"/>
        <w:spacing w:line="357" w:lineRule="auto" w:before="36"/>
        <w:ind w:right="348"/>
        <w:jc w:val="both"/>
      </w:pPr>
      <w:r>
        <w:rPr/>
        <w:t>事务所质量控制制度，该所业务素质良好，恪尽职守，较好地完成了各项审计任务，决议向 董事会提请继续聘任该所为公司2010年度审计机构。</w:t>
      </w:r>
    </w:p>
    <w:p>
      <w:pPr>
        <w:pStyle w:val="BodyText"/>
        <w:spacing w:line="357" w:lineRule="auto"/>
        <w:ind w:left="634" w:right="330"/>
        <w:jc w:val="left"/>
      </w:pPr>
      <w:r>
        <w:rPr/>
        <w:t>4、董事会下设的薪酬委员会的履职情况汇总报告 董事会薪酬与考核委员会严格按照法律法规、《公司章程》履行自己的职能，对公司现</w:t>
      </w:r>
    </w:p>
    <w:p>
      <w:pPr>
        <w:pStyle w:val="BodyText"/>
        <w:spacing w:line="357" w:lineRule="auto"/>
        <w:ind w:right="348"/>
        <w:jc w:val="both"/>
      </w:pPr>
      <w:r>
        <w:rPr/>
        <w:t>任董事、监事和高级管理人员2009年度薪酬进行了审核，审核意见如下：公司董事、监事和 高级管理人员报酬决策程序符合规定；董事、监事和高级管理人员报酬发放标准符合薪酬体 系规定；公司2009年年度报告中所披露的董事、监事和高级管理人员薪酬真实、准确。</w:t>
      </w:r>
    </w:p>
    <w:p>
      <w:pPr>
        <w:pStyle w:val="BodyText"/>
        <w:spacing w:line="357" w:lineRule="auto"/>
        <w:ind w:right="311" w:firstLine="480"/>
        <w:jc w:val="right"/>
      </w:pPr>
      <w:r>
        <w:rPr>
          <w:spacing w:val="-3"/>
        </w:rPr>
        <w:t>5、独立董事对公司累计和当期对外担保情况、执行相关规定情况的专项说明及独立意见</w:t>
      </w:r>
      <w:r>
        <w:rPr/>
        <w:t> 我们基于独立判断的立场，对深圳大通实业股份有限公司对外担保情况及执行相关规定 情况进行了深入核查。经审查，报告期内，公司未为公司股东及其关联方、任何非法人单位</w:t>
      </w:r>
    </w:p>
    <w:p>
      <w:pPr>
        <w:pStyle w:val="BodyText"/>
        <w:spacing w:line="240" w:lineRule="auto"/>
        <w:ind w:right="0"/>
        <w:jc w:val="both"/>
      </w:pPr>
      <w:r>
        <w:rPr/>
        <w:t>或个人提供担保。</w:t>
      </w:r>
    </w:p>
    <w:p>
      <w:pPr>
        <w:pStyle w:val="BodyText"/>
        <w:spacing w:line="357" w:lineRule="auto" w:before="152"/>
        <w:ind w:left="634" w:right="810"/>
        <w:jc w:val="left"/>
      </w:pPr>
      <w:r>
        <w:rPr/>
        <w:t>（六）利润分配预案 经深圳鹏城会计师事务所审计确认，公司2009年度实现的归属于母公司的净利润为</w:t>
      </w:r>
    </w:p>
    <w:p>
      <w:pPr>
        <w:pStyle w:val="BodyText"/>
        <w:spacing w:line="357" w:lineRule="auto"/>
        <w:ind w:right="311"/>
        <w:jc w:val="both"/>
      </w:pPr>
      <w:r>
        <w:rPr>
          <w:spacing w:val="-2"/>
        </w:rPr>
        <w:t>21,564,136.77元，经董事会审议通过，公司本年度净利润用于弥补以前年度亏损，本年度不</w:t>
      </w:r>
      <w:r>
        <w:rPr>
          <w:spacing w:val="-110"/>
        </w:rPr>
        <w:t> </w:t>
      </w:r>
      <w:r>
        <w:rPr>
          <w:spacing w:val="-110"/>
        </w:rPr>
      </w:r>
      <w:r>
        <w:rPr/>
        <w:t>进行利润分配，也不进行资本公积金转增股本（股改方案中的资本公积向全体流通股定向转 增方案除外）。公司独立董事表示同意董事会作出该项预案，本方案需提交2009年年度股东 大会审议。</w:t>
      </w:r>
    </w:p>
    <w:p>
      <w:pPr>
        <w:pStyle w:val="BodyText"/>
        <w:spacing w:line="240" w:lineRule="auto"/>
        <w:ind w:left="634" w:right="115"/>
        <w:jc w:val="left"/>
      </w:pPr>
      <w:r>
        <w:rPr/>
        <w:t>公司前三年现金分红情况</w:t>
      </w:r>
    </w:p>
    <w:p>
      <w:pPr>
        <w:spacing w:before="156"/>
        <w:ind w:left="0" w:right="311" w:firstLine="0"/>
        <w:jc w:val="right"/>
        <w:rPr>
          <w:rFonts w:ascii="宋体" w:hAnsi="宋体" w:cs="宋体" w:eastAsia="宋体" w:hint="default"/>
          <w:sz w:val="21"/>
          <w:szCs w:val="21"/>
        </w:rPr>
      </w:pPr>
      <w:r>
        <w:rPr>
          <w:rFonts w:ascii="宋体" w:hAnsi="宋体" w:cs="宋体" w:eastAsia="宋体" w:hint="default"/>
          <w:sz w:val="21"/>
          <w:szCs w:val="21"/>
        </w:rPr>
        <w:t>单位：人民币元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768"/>
        <w:gridCol w:w="2016"/>
        <w:gridCol w:w="2015"/>
        <w:gridCol w:w="2015"/>
        <w:gridCol w:w="2015"/>
      </w:tblGrid>
      <w:tr>
        <w:trPr>
          <w:trHeight w:val="276" w:hRule="exact"/>
        </w:trPr>
        <w:tc>
          <w:tcPr>
            <w:tcW w:w="1768" w:type="dxa"/>
            <w:tcBorders>
              <w:top w:val="single" w:sz="4" w:space="0" w:color="000000"/>
              <w:left w:val="single" w:sz="4" w:space="0" w:color="000000"/>
              <w:bottom w:val="nil" w:sz="6" w:space="0" w:color="auto"/>
              <w:right w:val="single" w:sz="4" w:space="0" w:color="000000"/>
            </w:tcBorders>
          </w:tcPr>
          <w:p>
            <w:pPr/>
          </w:p>
        </w:tc>
        <w:tc>
          <w:tcPr>
            <w:tcW w:w="2016" w:type="dxa"/>
            <w:tcBorders>
              <w:top w:val="single" w:sz="4" w:space="0" w:color="000000"/>
              <w:left w:val="single" w:sz="4" w:space="0" w:color="000000"/>
              <w:bottom w:val="nil" w:sz="6" w:space="0" w:color="auto"/>
              <w:right w:val="single" w:sz="4" w:space="0" w:color="000000"/>
            </w:tcBorders>
          </w:tcPr>
          <w:p>
            <w:pPr/>
          </w:p>
        </w:tc>
        <w:tc>
          <w:tcPr>
            <w:tcW w:w="201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56"/>
              <w:jc w:val="right"/>
              <w:rPr>
                <w:rFonts w:ascii="宋体" w:hAnsi="宋体" w:cs="宋体" w:eastAsia="宋体" w:hint="default"/>
                <w:sz w:val="21"/>
                <w:szCs w:val="21"/>
              </w:rPr>
            </w:pPr>
            <w:r>
              <w:rPr>
                <w:rFonts w:ascii="宋体" w:hAnsi="宋体" w:cs="宋体" w:eastAsia="宋体" w:hint="default"/>
                <w:sz w:val="21"/>
                <w:szCs w:val="21"/>
              </w:rPr>
              <w:t>分红年度合并报表中</w:t>
            </w:r>
          </w:p>
        </w:tc>
        <w:tc>
          <w:tcPr>
            <w:tcW w:w="201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56"/>
              <w:jc w:val="right"/>
              <w:rPr>
                <w:rFonts w:ascii="宋体" w:hAnsi="宋体" w:cs="宋体" w:eastAsia="宋体" w:hint="default"/>
                <w:sz w:val="21"/>
                <w:szCs w:val="21"/>
              </w:rPr>
            </w:pPr>
            <w:r>
              <w:rPr>
                <w:rFonts w:ascii="宋体" w:hAnsi="宋体" w:cs="宋体" w:eastAsia="宋体" w:hint="default"/>
                <w:sz w:val="21"/>
                <w:szCs w:val="21"/>
              </w:rPr>
              <w:t>占合并报表中归属于</w:t>
            </w:r>
          </w:p>
        </w:tc>
        <w:tc>
          <w:tcPr>
            <w:tcW w:w="2015"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76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现金分红金额（含税</w:t>
            </w:r>
          </w:p>
        </w:tc>
        <w:tc>
          <w:tcPr>
            <w:tcW w:w="20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38" w:right="56"/>
              <w:jc w:val="right"/>
              <w:rPr>
                <w:rFonts w:ascii="宋体" w:hAnsi="宋体" w:cs="宋体" w:eastAsia="宋体" w:hint="default"/>
                <w:sz w:val="21"/>
                <w:szCs w:val="21"/>
              </w:rPr>
            </w:pPr>
            <w:r>
              <w:rPr>
                <w:rFonts w:ascii="宋体" w:hAnsi="宋体" w:cs="宋体" w:eastAsia="宋体" w:hint="default"/>
                <w:spacing w:val="-2"/>
                <w:sz w:val="21"/>
                <w:szCs w:val="21"/>
              </w:rPr>
              <w:t>）归属于上市公司股东</w:t>
            </w:r>
          </w:p>
        </w:tc>
        <w:tc>
          <w:tcPr>
            <w:tcW w:w="201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56"/>
              <w:jc w:val="right"/>
              <w:rPr>
                <w:rFonts w:ascii="宋体" w:hAnsi="宋体" w:cs="宋体" w:eastAsia="宋体" w:hint="default"/>
                <w:sz w:val="21"/>
                <w:szCs w:val="21"/>
              </w:rPr>
            </w:pPr>
            <w:r>
              <w:rPr>
                <w:rFonts w:ascii="宋体" w:hAnsi="宋体" w:cs="宋体" w:eastAsia="宋体" w:hint="default"/>
                <w:sz w:val="21"/>
                <w:szCs w:val="21"/>
              </w:rPr>
              <w:t>上市公司股东的净利</w:t>
            </w:r>
          </w:p>
        </w:tc>
        <w:tc>
          <w:tcPr>
            <w:tcW w:w="20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79" w:hRule="exact"/>
        </w:trPr>
        <w:tc>
          <w:tcPr>
            <w:tcW w:w="1768" w:type="dxa"/>
            <w:tcBorders>
              <w:top w:val="nil" w:sz="6" w:space="0" w:color="auto"/>
              <w:left w:val="single" w:sz="4" w:space="0" w:color="000000"/>
              <w:bottom w:val="single" w:sz="4" w:space="0" w:color="000000"/>
              <w:right w:val="single" w:sz="4" w:space="0" w:color="000000"/>
            </w:tcBorders>
          </w:tcPr>
          <w:p>
            <w:pPr/>
          </w:p>
        </w:tc>
        <w:tc>
          <w:tcPr>
            <w:tcW w:w="2016" w:type="dxa"/>
            <w:tcBorders>
              <w:top w:val="nil" w:sz="6" w:space="0" w:color="auto"/>
              <w:left w:val="single" w:sz="4" w:space="0" w:color="000000"/>
              <w:bottom w:val="single" w:sz="4" w:space="0" w:color="000000"/>
              <w:right w:val="single" w:sz="4" w:space="0" w:color="000000"/>
            </w:tcBorders>
          </w:tcPr>
          <w:p>
            <w:pPr/>
          </w:p>
        </w:tc>
        <w:tc>
          <w:tcPr>
            <w:tcW w:w="201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58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1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582" w:right="0"/>
              <w:jc w:val="left"/>
              <w:rPr>
                <w:rFonts w:ascii="宋体" w:hAnsi="宋体" w:cs="宋体" w:eastAsia="宋体" w:hint="default"/>
                <w:sz w:val="21"/>
                <w:szCs w:val="21"/>
              </w:rPr>
            </w:pPr>
            <w:r>
              <w:rPr>
                <w:rFonts w:ascii="宋体" w:hAnsi="宋体" w:cs="宋体" w:eastAsia="宋体" w:hint="default"/>
                <w:sz w:val="21"/>
                <w:szCs w:val="21"/>
              </w:rPr>
              <w:t>润的比率</w:t>
            </w:r>
          </w:p>
        </w:tc>
        <w:tc>
          <w:tcPr>
            <w:tcW w:w="2015" w:type="dxa"/>
            <w:tcBorders>
              <w:top w:val="nil" w:sz="6" w:space="0" w:color="auto"/>
              <w:left w:val="single" w:sz="4" w:space="0" w:color="000000"/>
              <w:bottom w:val="single" w:sz="4" w:space="0" w:color="000000"/>
              <w:right w:val="single" w:sz="4" w:space="0" w:color="000000"/>
            </w:tcBorders>
          </w:tcPr>
          <w:p>
            <w:pPr/>
          </w:p>
        </w:tc>
      </w:tr>
      <w:tr>
        <w:trPr>
          <w:trHeight w:val="28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188,595,506.14</w:t>
            </w:r>
            <w:r>
              <w:rPr>
                <w:rFonts w:ascii="Times New Roman"/>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-19,734,763.12</w:t>
            </w:r>
            <w:r>
              <w:rPr>
                <w:rFonts w:ascii="Times New Roman"/>
                <w:sz w:val="21"/>
              </w:rPr>
            </w:r>
          </w:p>
        </w:tc>
      </w:tr>
      <w:tr>
        <w:trPr>
          <w:trHeight w:val="283"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16,140,031.16</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-207,479,768.74</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68"/>
        <w:gridCol w:w="2016"/>
        <w:gridCol w:w="2015"/>
        <w:gridCol w:w="2015"/>
        <w:gridCol w:w="2015"/>
      </w:tblGrid>
      <w:tr>
        <w:trPr>
          <w:trHeight w:val="28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7" w:right="0"/>
              <w:jc w:val="left"/>
              <w:rPr>
                <w:rFonts w:ascii="Times New Roman" w:hAnsi="Times New Roman" w:cs="Times New Roman" w:eastAsia="Times New Roman" w:hint="default"/>
                <w:sz w:val="21"/>
                <w:szCs w:val="21"/>
              </w:rPr>
            </w:pPr>
            <w:r>
              <w:rPr>
                <w:rFonts w:ascii="Times New Roman"/>
                <w:sz w:val="21"/>
              </w:rPr>
              <w:t>-170,578,202.44</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8" w:right="0"/>
              <w:jc w:val="left"/>
              <w:rPr>
                <w:rFonts w:ascii="Times New Roman" w:hAnsi="Times New Roman" w:cs="Times New Roman" w:eastAsia="Times New Roman" w:hint="default"/>
                <w:sz w:val="21"/>
                <w:szCs w:val="21"/>
              </w:rPr>
            </w:pPr>
            <w:r>
              <w:rPr>
                <w:rFonts w:ascii="Times New Roman"/>
                <w:sz w:val="21"/>
              </w:rPr>
              <w:t>-223,619,799.90</w:t>
            </w:r>
          </w:p>
        </w:tc>
      </w:tr>
      <w:tr>
        <w:trPr>
          <w:trHeight w:val="283" w:hRule="exact"/>
        </w:trPr>
        <w:tc>
          <w:tcPr>
            <w:tcW w:w="5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81"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11"/>
        <w:rPr>
          <w:rFonts w:ascii="宋体" w:hAnsi="宋体" w:cs="宋体" w:eastAsia="宋体" w:hint="default"/>
          <w:sz w:val="15"/>
          <w:szCs w:val="15"/>
        </w:rPr>
      </w:pPr>
    </w:p>
    <w:p>
      <w:pPr>
        <w:pStyle w:val="BodyText"/>
        <w:spacing w:line="357" w:lineRule="auto" w:before="26"/>
        <w:ind w:left="634" w:right="330"/>
        <w:jc w:val="left"/>
      </w:pPr>
      <w:r>
        <w:rPr/>
        <w:t>（七）信息披露报刊情况 本报告期，公司信息披露指定的报刊为：《证券时报》、《中国证券报》；指定的网站</w:t>
      </w:r>
    </w:p>
    <w:p>
      <w:pPr>
        <w:pStyle w:val="BodyText"/>
        <w:spacing w:line="240" w:lineRule="auto"/>
        <w:ind w:right="115"/>
        <w:jc w:val="left"/>
      </w:pPr>
      <w:hyperlink r:id="rId9">
        <w:r>
          <w:rPr/>
          <w:t>为：巨潮资讯(www.cninfo.com.cn），未发生变更。</w:t>
        </w:r>
      </w:hyperlink>
    </w:p>
    <w:p>
      <w:pPr>
        <w:spacing w:after="0" w:line="240" w:lineRule="auto"/>
        <w:jc w:val="left"/>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pStyle w:val="Heading1"/>
        <w:tabs>
          <w:tab w:pos="1287" w:val="left" w:leader="none"/>
        </w:tabs>
        <w:spacing w:line="240" w:lineRule="auto"/>
        <w:ind w:left="2" w:right="0"/>
        <w:jc w:val="center"/>
        <w:rPr>
          <w:b w:val="0"/>
          <w:bCs w:val="0"/>
        </w:rPr>
      </w:pPr>
      <w:bookmarkStart w:name="_TOC_250003" w:id="9"/>
      <w:r>
        <w:rPr>
          <w:w w:val="95"/>
        </w:rPr>
        <w:t>第九章</w:t>
        <w:tab/>
      </w:r>
      <w:r>
        <w:rPr/>
        <w:t>监事会报告</w:t>
      </w:r>
      <w:bookmarkEnd w:id="9"/>
      <w:r>
        <w:rPr>
          <w:b w:val="0"/>
          <w:bCs w:val="0"/>
        </w:rPr>
      </w:r>
    </w:p>
    <w:p>
      <w:pPr>
        <w:spacing w:line="240" w:lineRule="auto" w:before="0"/>
        <w:rPr>
          <w:rFonts w:ascii="宋体" w:hAnsi="宋体" w:cs="宋体" w:eastAsia="宋体" w:hint="default"/>
          <w:b/>
          <w:bCs/>
          <w:sz w:val="35"/>
          <w:szCs w:val="35"/>
        </w:rPr>
      </w:pPr>
    </w:p>
    <w:p>
      <w:pPr>
        <w:pStyle w:val="BodyText"/>
        <w:spacing w:line="357" w:lineRule="auto" w:before="0"/>
        <w:ind w:left="634" w:right="3890"/>
        <w:jc w:val="left"/>
      </w:pPr>
      <w:r>
        <w:rPr/>
        <w:t>（一）报告期内监事会的会议情况 报告期内，公司监事会共召开6次会议，情况如下：</w:t>
      </w:r>
    </w:p>
    <w:p>
      <w:pPr>
        <w:pStyle w:val="BodyText"/>
        <w:spacing w:line="240" w:lineRule="auto"/>
        <w:ind w:left="634" w:right="0"/>
        <w:jc w:val="left"/>
      </w:pPr>
      <w:r>
        <w:rPr/>
        <w:t>1、2009年4月29日，公司召开了第六届监事会第五次会议，会议审议通过了以下议案：</w:t>
      </w:r>
    </w:p>
    <w:p>
      <w:pPr>
        <w:pStyle w:val="BodyText"/>
        <w:spacing w:line="240" w:lineRule="auto" w:before="152"/>
        <w:ind w:left="634" w:right="0"/>
        <w:jc w:val="left"/>
      </w:pPr>
      <w:r>
        <w:rPr/>
        <w:t>1）《公司2008年监事会工作报告》；</w:t>
      </w:r>
    </w:p>
    <w:p>
      <w:pPr>
        <w:pStyle w:val="BodyText"/>
        <w:spacing w:line="240" w:lineRule="auto" w:before="152"/>
        <w:ind w:left="634" w:right="0"/>
        <w:jc w:val="left"/>
      </w:pPr>
      <w:r>
        <w:rPr/>
        <w:t>2）《公司2008年度财务决算报告》；</w:t>
      </w:r>
    </w:p>
    <w:p>
      <w:pPr>
        <w:pStyle w:val="BodyText"/>
        <w:spacing w:line="240" w:lineRule="auto" w:before="152"/>
        <w:ind w:left="634" w:right="0"/>
        <w:jc w:val="left"/>
      </w:pPr>
      <w:r>
        <w:rPr/>
        <w:t>3）《2008年度利润分配预案》；</w:t>
      </w:r>
    </w:p>
    <w:p>
      <w:pPr>
        <w:pStyle w:val="BodyText"/>
        <w:spacing w:line="240" w:lineRule="auto" w:before="152"/>
        <w:ind w:left="634" w:right="0"/>
        <w:jc w:val="left"/>
      </w:pPr>
      <w:r>
        <w:rPr/>
        <w:t>4）《2008年度报告及其摘要》；</w:t>
      </w:r>
    </w:p>
    <w:p>
      <w:pPr>
        <w:pStyle w:val="BodyText"/>
        <w:spacing w:line="240" w:lineRule="auto" w:before="152"/>
        <w:ind w:left="634" w:right="0"/>
        <w:jc w:val="left"/>
      </w:pPr>
      <w:r>
        <w:rPr/>
        <w:t>5）《2009年第一季度报告》；</w:t>
      </w:r>
    </w:p>
    <w:p>
      <w:pPr>
        <w:pStyle w:val="BodyText"/>
        <w:spacing w:line="240" w:lineRule="auto" w:before="152"/>
        <w:ind w:left="634" w:right="0"/>
        <w:jc w:val="left"/>
      </w:pPr>
      <w:r>
        <w:rPr/>
        <w:t>6）《关于续聘会计师事务所的议案》；</w:t>
      </w:r>
    </w:p>
    <w:p>
      <w:pPr>
        <w:pStyle w:val="BodyText"/>
        <w:spacing w:line="240" w:lineRule="auto" w:before="152"/>
        <w:ind w:left="634" w:right="0"/>
        <w:jc w:val="left"/>
      </w:pPr>
      <w:r>
        <w:rPr/>
        <w:t>7）《关于提议召开公司2008年年度股东大会的议案》。</w:t>
      </w:r>
    </w:p>
    <w:p>
      <w:pPr>
        <w:pStyle w:val="BodyText"/>
        <w:spacing w:line="240" w:lineRule="auto" w:before="152"/>
        <w:ind w:left="634" w:right="0"/>
        <w:jc w:val="left"/>
      </w:pPr>
      <w:r>
        <w:rPr/>
        <w:t>2、公司第六届监事会第六次会议未能召开。</w:t>
      </w:r>
    </w:p>
    <w:p>
      <w:pPr>
        <w:pStyle w:val="BodyText"/>
        <w:spacing w:line="240" w:lineRule="auto" w:before="152"/>
        <w:ind w:left="634" w:right="0"/>
        <w:jc w:val="left"/>
      </w:pPr>
      <w:r>
        <w:rPr/>
        <w:t>3、2009年7月27日，公司召开了第六届监事会第七次会议，会议审议通过了《关于公司</w:t>
      </w:r>
    </w:p>
    <w:p>
      <w:pPr>
        <w:pStyle w:val="BodyText"/>
        <w:spacing w:line="240" w:lineRule="auto" w:before="154"/>
        <w:ind w:right="0"/>
        <w:jc w:val="left"/>
      </w:pPr>
      <w:r>
        <w:rPr/>
        <w:t>2009 年半年度报告及半年度报告摘要的议案》。</w:t>
      </w:r>
    </w:p>
    <w:p>
      <w:pPr>
        <w:pStyle w:val="BodyText"/>
        <w:spacing w:line="240" w:lineRule="auto" w:before="152"/>
        <w:ind w:left="634" w:right="0"/>
        <w:jc w:val="left"/>
      </w:pPr>
      <w:r>
        <w:rPr/>
        <w:t>4、2009年10月26日，公司召开了第六届监事会第八次会议，会议审议通过了《关于公司</w:t>
      </w:r>
    </w:p>
    <w:p>
      <w:pPr>
        <w:pStyle w:val="BodyText"/>
        <w:spacing w:line="240" w:lineRule="auto" w:before="152"/>
        <w:ind w:right="0"/>
        <w:jc w:val="left"/>
      </w:pPr>
      <w:r>
        <w:rPr/>
        <w:t>2009 年第三季度报告全文、正文及财务报告的议案》。</w:t>
      </w:r>
    </w:p>
    <w:p>
      <w:pPr>
        <w:pStyle w:val="BodyText"/>
        <w:spacing w:line="240" w:lineRule="auto" w:before="152"/>
        <w:ind w:left="634" w:right="0"/>
        <w:jc w:val="left"/>
      </w:pPr>
      <w:r>
        <w:rPr/>
        <w:t>5、2009年12月9日，公司召开了第六届监事会第九次会议，会议审议通过了以下议案：</w:t>
      </w:r>
    </w:p>
    <w:p>
      <w:pPr>
        <w:pStyle w:val="BodyText"/>
        <w:spacing w:line="240" w:lineRule="auto" w:before="152"/>
        <w:ind w:left="634" w:right="0"/>
        <w:jc w:val="left"/>
      </w:pPr>
      <w:r>
        <w:rPr/>
        <w:t>1）《关于监事会换届和提名第七届监事会股东代表监事候选人的议案》；</w:t>
      </w:r>
    </w:p>
    <w:p>
      <w:pPr>
        <w:pStyle w:val="BodyText"/>
        <w:spacing w:line="240" w:lineRule="auto" w:before="152"/>
        <w:ind w:left="634" w:right="0"/>
        <w:jc w:val="left"/>
      </w:pPr>
      <w:r>
        <w:rPr/>
        <w:t>2）《关于提议召开2009 年第一次临时股东大会的议案》。</w:t>
      </w:r>
    </w:p>
    <w:p>
      <w:pPr>
        <w:pStyle w:val="BodyText"/>
        <w:spacing w:line="357" w:lineRule="auto" w:before="152"/>
        <w:ind w:right="136" w:firstLine="480"/>
        <w:jc w:val="left"/>
      </w:pPr>
      <w:r>
        <w:rPr>
          <w:spacing w:val="-2"/>
        </w:rPr>
        <w:t>6、2009年12月30日，公司召开了第七届监事会第一次会议，会议审议通过了《关于选举</w:t>
      </w:r>
      <w:r>
        <w:rPr/>
        <w:t> 王立军先生为监事会召集人的议案》。</w:t>
      </w:r>
    </w:p>
    <w:p>
      <w:pPr>
        <w:pStyle w:val="BodyText"/>
        <w:spacing w:line="357" w:lineRule="auto"/>
        <w:ind w:left="634" w:right="0"/>
        <w:jc w:val="left"/>
      </w:pPr>
      <w:r>
        <w:rPr/>
        <w:t>（二）监事会的独立意见 2009年，公司监事会按照《公司法》、《证券法》及《公司章程》的有关规定，密切关</w:t>
      </w:r>
    </w:p>
    <w:p>
      <w:pPr>
        <w:pStyle w:val="BodyText"/>
        <w:spacing w:line="357" w:lineRule="auto"/>
        <w:ind w:left="634" w:right="139" w:hanging="480"/>
        <w:jc w:val="left"/>
      </w:pPr>
      <w:r>
        <w:rPr/>
        <w:t>注公司运作情况，对董事、高级管理人员履行职责的情况进行了监督。 1、公司依法运作情况 本公司监事会认为：董事会能够依法规范运作，认真执行了股东大会的决议，忠实履行</w:t>
      </w:r>
    </w:p>
    <w:p>
      <w:pPr>
        <w:pStyle w:val="BodyText"/>
        <w:spacing w:line="240" w:lineRule="auto"/>
        <w:ind w:right="0"/>
        <w:jc w:val="left"/>
      </w:pPr>
      <w:r>
        <w:rPr/>
        <w:t>了诚信义务，能够代表公司和股东的利益，董事会的各项决议符合《公司法》等法律法规和</w:t>
      </w:r>
    </w:p>
    <w:p>
      <w:pPr>
        <w:pStyle w:val="BodyText"/>
        <w:spacing w:line="357" w:lineRule="auto" w:before="152"/>
        <w:ind w:right="0"/>
        <w:jc w:val="left"/>
      </w:pPr>
      <w:r>
        <w:rPr/>
        <w:t>《公司章程》的要求。公司经营层严格执行了董事会的各项决议、生产经营状况保持稳定。</w:t>
      </w:r>
      <w:r>
        <w:rPr>
          <w:spacing w:val="-83"/>
        </w:rPr>
        <w:t> </w:t>
      </w:r>
      <w:r>
        <w:rPr>
          <w:spacing w:val="-83"/>
        </w:rPr>
      </w:r>
      <w:r>
        <w:rPr/>
        <w:t>公司董事、总经理及其他高级管理人员执行职务时无违反法律、法规、公司章程或损害公司</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利益的行为。</w:t>
      </w:r>
    </w:p>
    <w:p>
      <w:pPr>
        <w:pStyle w:val="BodyText"/>
        <w:spacing w:line="357" w:lineRule="auto" w:before="152"/>
        <w:ind w:left="634" w:right="0"/>
        <w:jc w:val="left"/>
      </w:pPr>
      <w:r>
        <w:rPr/>
        <w:t>2、检查公司财务情况 报告期内，监事会认真审阅了公司的财务报告、审计报告和其他会计资料，并认为：公</w:t>
      </w:r>
    </w:p>
    <w:p>
      <w:pPr>
        <w:pStyle w:val="BodyText"/>
        <w:spacing w:line="357" w:lineRule="auto"/>
        <w:ind w:left="153" w:right="148"/>
        <w:jc w:val="both"/>
      </w:pPr>
      <w:r>
        <w:rPr/>
        <w:t>司财务部门能够按照国家财政法规，及国家监管部门的有关规定运作；公司 2009</w:t>
      </w:r>
      <w:r>
        <w:rPr>
          <w:spacing w:val="16"/>
        </w:rPr>
        <w:t> </w:t>
      </w:r>
      <w:r>
        <w:rPr/>
        <w:t>年度报告</w:t>
      </w:r>
      <w:r>
        <w:rPr/>
        <w:t> 的编制和审议符合法律、法规、公司章程及相关制度的各项规定；深圳市鹏城会计师事务所</w:t>
      </w:r>
      <w:r>
        <w:rPr>
          <w:spacing w:val="-83"/>
        </w:rPr>
        <w:t> </w:t>
      </w:r>
      <w:r>
        <w:rPr>
          <w:spacing w:val="-83"/>
        </w:rPr>
      </w:r>
      <w:r>
        <w:rPr/>
        <w:t>有限公司对本公司2009</w:t>
      </w:r>
      <w:r>
        <w:rPr>
          <w:spacing w:val="7"/>
        </w:rPr>
        <w:t> </w:t>
      </w:r>
      <w:r>
        <w:rPr>
          <w:spacing w:val="-3"/>
        </w:rPr>
        <w:t>年度财务报告的审计意见符合实际，财务报告真实反映了公司的财务</w:t>
      </w:r>
      <w:r>
        <w:rPr/>
        <w:t> 状况和经营成果。</w:t>
      </w:r>
    </w:p>
    <w:p>
      <w:pPr>
        <w:pStyle w:val="BodyText"/>
        <w:spacing w:line="240" w:lineRule="auto"/>
        <w:ind w:left="633" w:right="0"/>
        <w:jc w:val="left"/>
      </w:pPr>
      <w:r>
        <w:rPr/>
        <w:t>3、公司无募集资金投资项目的情况。</w:t>
      </w:r>
    </w:p>
    <w:p>
      <w:pPr>
        <w:pStyle w:val="BodyText"/>
        <w:spacing w:line="357" w:lineRule="auto" w:before="154"/>
        <w:ind w:left="633" w:right="2691"/>
        <w:jc w:val="left"/>
      </w:pPr>
      <w:r>
        <w:rPr/>
        <w:t>4、报告期内，公司收购、出售资产情况及关联交易情况如下： 报告期内，公司无收购、出售资产情况。</w:t>
      </w:r>
    </w:p>
    <w:p>
      <w:pPr>
        <w:pStyle w:val="BodyText"/>
        <w:spacing w:line="240" w:lineRule="auto"/>
        <w:ind w:left="633" w:right="0"/>
        <w:jc w:val="left"/>
      </w:pPr>
      <w:r>
        <w:rPr/>
        <w:t>关联交易情况如下：</w:t>
      </w:r>
    </w:p>
    <w:p>
      <w:pPr>
        <w:pStyle w:val="BodyText"/>
        <w:spacing w:line="240" w:lineRule="auto" w:before="152"/>
        <w:ind w:left="633" w:right="0"/>
        <w:jc w:val="left"/>
      </w:pPr>
      <w:r>
        <w:rPr>
          <w:rFonts w:ascii="Times New Roman" w:hAnsi="Times New Roman" w:cs="Times New Roman" w:eastAsia="Times New Roman" w:hint="default"/>
        </w:rPr>
        <w:t>1</w:t>
      </w:r>
      <w:r>
        <w:rPr/>
        <w:t>）关联担保情况</w:t>
      </w:r>
    </w:p>
    <w:p>
      <w:pPr>
        <w:spacing w:line="240" w:lineRule="auto" w:before="4"/>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110"/>
        <w:gridCol w:w="1546"/>
        <w:gridCol w:w="1268"/>
        <w:gridCol w:w="1224"/>
        <w:gridCol w:w="1224"/>
        <w:gridCol w:w="3326"/>
      </w:tblGrid>
      <w:tr>
        <w:trPr>
          <w:trHeight w:val="589"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828"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4"/>
              <w:ind w:left="25"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36,370,842.28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结清贷款</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27"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3"/>
              <w:ind w:left="25"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兖州海情置业有</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2009.8.26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2011.8.25</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27"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3"/>
              <w:ind w:left="25"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青岛广顺房地产</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69,000,000.00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2009.3.31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2012.3.23</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ind w:right="75"/>
        <w:jc w:val="center"/>
        <w:rPr>
          <w:b w:val="0"/>
          <w:bCs w:val="0"/>
        </w:rPr>
      </w:pPr>
      <w:bookmarkStart w:name="_TOC_250002" w:id="10"/>
      <w:r>
        <w:rPr>
          <w:w w:val="95"/>
        </w:rPr>
        <w:t>第十章</w:t>
        <w:tab/>
      </w:r>
      <w:r>
        <w:rPr/>
        <w:t>重要事项</w:t>
      </w:r>
      <w:bookmarkEnd w:id="10"/>
      <w:r>
        <w:rPr>
          <w:b w:val="0"/>
          <w:bCs w:val="0"/>
        </w:rPr>
      </w:r>
    </w:p>
    <w:p>
      <w:pPr>
        <w:spacing w:line="240" w:lineRule="auto" w:before="0"/>
        <w:rPr>
          <w:rFonts w:ascii="宋体" w:hAnsi="宋体" w:cs="宋体" w:eastAsia="宋体" w:hint="default"/>
          <w:b/>
          <w:bCs/>
          <w:sz w:val="35"/>
          <w:szCs w:val="35"/>
        </w:rPr>
      </w:pPr>
    </w:p>
    <w:p>
      <w:pPr>
        <w:pStyle w:val="BodyText"/>
        <w:spacing w:line="357" w:lineRule="auto" w:before="0"/>
        <w:ind w:left="634" w:right="93"/>
        <w:jc w:val="left"/>
      </w:pPr>
      <w:r>
        <w:rPr/>
        <w:t>（一）公司重大诉讼、仲裁事项 </w:t>
      </w:r>
      <w:r>
        <w:rPr>
          <w:spacing w:val="-3"/>
        </w:rPr>
        <w:t>1、深大通为深圳市益生堂生物企业有限公司（以下简称“益生堂”）向上海浦东发展银</w:t>
      </w:r>
    </w:p>
    <w:p>
      <w:pPr>
        <w:pStyle w:val="BodyText"/>
        <w:spacing w:line="357" w:lineRule="auto"/>
        <w:ind w:left="153" w:right="229"/>
        <w:jc w:val="both"/>
      </w:pPr>
      <w:r>
        <w:rPr/>
        <w:t>行深圳红荔路支行（以下简称“浦发银行红荔路支行”）贷款2500万元提供担保，浦发银行</w:t>
      </w:r>
      <w:r>
        <w:rPr>
          <w:spacing w:val="-101"/>
        </w:rPr>
        <w:t> </w:t>
      </w:r>
      <w:r>
        <w:rPr>
          <w:spacing w:val="-101"/>
        </w:rPr>
      </w:r>
      <w:r>
        <w:rPr/>
        <w:t>红荔路支行在深圳市中级人民法院诉益生堂、深大通借款担保合同纠纷案涉及本金2500万元</w:t>
      </w:r>
      <w:r>
        <w:rPr>
          <w:spacing w:val="-96"/>
        </w:rPr>
        <w:t> </w:t>
      </w:r>
      <w:r>
        <w:rPr>
          <w:spacing w:val="-96"/>
        </w:rPr>
      </w:r>
      <w:r>
        <w:rPr/>
        <w:t>及利息324.6万元，已经法院立案并正在审理中。</w:t>
      </w:r>
    </w:p>
    <w:p>
      <w:pPr>
        <w:pStyle w:val="BodyText"/>
        <w:spacing w:line="357" w:lineRule="auto"/>
        <w:ind w:left="153" w:right="228" w:firstLine="480"/>
        <w:jc w:val="both"/>
      </w:pPr>
      <w:r>
        <w:rPr/>
        <w:t>2008年11月27日，亚星实业、深大通、浦发银行、文慧投资、港银投资及其他相关各方</w:t>
      </w:r>
      <w:r>
        <w:rPr>
          <w:spacing w:val="1"/>
        </w:rPr>
        <w:t> </w:t>
      </w:r>
      <w:r>
        <w:rPr/>
        <w:t>包括河南方正信息技术有限公司、深圳益生堂生物企业有限公司、深圳市益生堂药业有限公</w:t>
      </w:r>
      <w:r>
        <w:rPr>
          <w:spacing w:val="-83"/>
        </w:rPr>
        <w:t> </w:t>
      </w:r>
      <w:r>
        <w:rPr>
          <w:spacing w:val="-83"/>
        </w:rPr>
      </w:r>
      <w:r>
        <w:rPr>
          <w:spacing w:val="-2"/>
        </w:rPr>
        <w:t>司和创益生物科技有限公司签署了浦银深担保字（2008）第001号《协议书》，在满足约定条</w:t>
      </w:r>
      <w:r>
        <w:rPr>
          <w:spacing w:val="-115"/>
        </w:rPr>
        <w:t> </w:t>
      </w:r>
      <w:r>
        <w:rPr>
          <w:spacing w:val="-115"/>
        </w:rPr>
      </w:r>
      <w:r>
        <w:rPr/>
        <w:t>件下，浦发银行同意免除深大通2500</w:t>
      </w:r>
      <w:r>
        <w:rPr>
          <w:spacing w:val="-11"/>
        </w:rPr>
        <w:t> </w:t>
      </w:r>
      <w:r>
        <w:rPr>
          <w:spacing w:val="-3"/>
        </w:rPr>
        <w:t>万元的担保责任，并撤回相关诉讼。目前约定条件尚未</w:t>
      </w:r>
      <w:r>
        <w:rPr/>
        <w:t> 满足，浦发银行尚未撤回相关诉讼。</w:t>
      </w:r>
    </w:p>
    <w:p>
      <w:pPr>
        <w:pStyle w:val="BodyText"/>
        <w:spacing w:line="357" w:lineRule="auto"/>
        <w:ind w:left="153" w:right="131" w:firstLine="480"/>
        <w:jc w:val="left"/>
      </w:pPr>
      <w:r>
        <w:rPr>
          <w:spacing w:val="-3"/>
        </w:rPr>
        <w:t>2、本公司向中国农业银行深圳罗湖支行（以下简称“罗湖农行”）贷款5000万元，该项</w:t>
      </w:r>
      <w:r>
        <w:rPr/>
        <w:t> 借款分别于2005年1月20日到期2000万元，于2005年2月6日到期3000万元。公司于2006年2月 </w:t>
      </w:r>
      <w:r>
        <w:rPr>
          <w:spacing w:val="2"/>
        </w:rPr>
        <w:t>归还12万元，2006年12月归还3,509,157.72元，截止2006年12月31日，尚欠46,370,842.28</w:t>
      </w:r>
      <w:r>
        <w:rPr>
          <w:spacing w:val="-85"/>
        </w:rPr>
        <w:t> </w:t>
      </w:r>
      <w:r>
        <w:rPr>
          <w:spacing w:val="-85"/>
        </w:rPr>
      </w:r>
      <w:r>
        <w:rPr/>
        <w:t>元。罗湖农行在2006年4月18日申请要求深圳市中级人民法院强制执行（执行案号：【2006】 </w:t>
      </w:r>
      <w:r>
        <w:rPr>
          <w:spacing w:val="2"/>
        </w:rPr>
        <w:t>深中法执字第354、355号），后被广东省高级人民法院指定（【2007】粤高法执指字第411</w:t>
      </w:r>
      <w:r>
        <w:rPr>
          <w:spacing w:val="-79"/>
        </w:rPr>
        <w:t> </w:t>
      </w:r>
      <w:r>
        <w:rPr>
          <w:spacing w:val="-79"/>
        </w:rPr>
      </w:r>
      <w:r>
        <w:rPr/>
        <w:t>号）普宁市人民法院执行（执行案号为【2007】普法委执字第241、242号），责令深大通公</w:t>
      </w:r>
      <w:r>
        <w:rPr>
          <w:spacing w:val="-117"/>
        </w:rPr>
        <w:t> </w:t>
      </w:r>
      <w:r>
        <w:rPr>
          <w:spacing w:val="-117"/>
        </w:rPr>
      </w:r>
      <w:r>
        <w:rPr/>
        <w:t>司连同担保单位遵化新利能源开发有限公司履行5000万贷款偿还义务，执行标的为4988万元</w:t>
      </w:r>
      <w:r>
        <w:rPr/>
        <w:t> 及诉讼费为限。</w:t>
      </w:r>
    </w:p>
    <w:p>
      <w:pPr>
        <w:pStyle w:val="BodyText"/>
        <w:spacing w:line="357" w:lineRule="auto"/>
        <w:ind w:right="93" w:firstLine="480"/>
        <w:jc w:val="left"/>
      </w:pPr>
      <w:r>
        <w:rPr>
          <w:spacing w:val="-5"/>
        </w:rPr>
        <w:t>经过亚星实业、公司与罗湖农行的积极协商，</w:t>
      </w:r>
      <w:r>
        <w:rPr>
          <w:spacing w:val="-72"/>
        </w:rPr>
        <w:t> </w:t>
      </w:r>
      <w:r>
        <w:rPr>
          <w:spacing w:val="-8"/>
        </w:rPr>
        <w:t>2009年12月31日，公司与罗湖农行签订《债</w:t>
      </w:r>
      <w:r>
        <w:rPr/>
        <w:t> </w:t>
      </w:r>
      <w:r>
        <w:rPr>
          <w:spacing w:val="-3"/>
        </w:rPr>
        <w:t>务和解协议》，就本公司所欠罗湖农行债务46,370,842.28</w:t>
      </w:r>
      <w:r>
        <w:rPr>
          <w:spacing w:val="13"/>
        </w:rPr>
        <w:t> </w:t>
      </w:r>
      <w:r>
        <w:rPr/>
        <w:t>元本金及相应利息达成重组协议。</w:t>
      </w:r>
      <w:r>
        <w:rPr/>
        <w:t> 协议主要内容如下：本公司分三年偿还全部贷款本金；罗湖农行免除公司一次性减免公司所</w:t>
      </w:r>
      <w:r>
        <w:rPr>
          <w:spacing w:val="-83"/>
        </w:rPr>
        <w:t> </w:t>
      </w:r>
      <w:r>
        <w:rPr>
          <w:spacing w:val="-83"/>
        </w:rPr>
      </w:r>
      <w:r>
        <w:rPr/>
        <w:t>欠贷款形成的截至2008 年8 月1 日之前利息合计人民币10,566,266.22</w:t>
      </w:r>
      <w:r>
        <w:rPr>
          <w:spacing w:val="6"/>
        </w:rPr>
        <w:t> </w:t>
      </w:r>
      <w:r>
        <w:rPr>
          <w:spacing w:val="-10"/>
        </w:rPr>
        <w:t>元。目前，公司正在</w:t>
      </w:r>
      <w:r>
        <w:rPr/>
        <w:t> 与罗湖农行共同办理中止案件（案号：【2007】普法委执字第241、242号）的执行。</w:t>
      </w:r>
    </w:p>
    <w:p>
      <w:pPr>
        <w:pStyle w:val="BodyText"/>
        <w:spacing w:line="357" w:lineRule="auto"/>
        <w:ind w:left="634" w:right="216"/>
        <w:jc w:val="left"/>
      </w:pPr>
      <w:r>
        <w:rPr/>
        <w:t>（二）公司重大担保事项 </w:t>
      </w:r>
      <w:r>
        <w:rPr>
          <w:spacing w:val="-2"/>
        </w:rPr>
        <w:t>1、2007年11月26日，深大通与中联实业、亚星实业、深圳益生堂生物企业有限公司（以</w:t>
      </w:r>
    </w:p>
    <w:p>
      <w:pPr>
        <w:pStyle w:val="BodyText"/>
        <w:spacing w:line="348" w:lineRule="auto"/>
        <w:ind w:right="227"/>
        <w:jc w:val="both"/>
      </w:pPr>
      <w:r>
        <w:rPr/>
        <w:t>下简称</w:t>
      </w:r>
      <w:r>
        <w:rPr>
          <w:rFonts w:ascii="Times New Roman" w:hAnsi="Times New Roman" w:cs="Times New Roman" w:eastAsia="Times New Roman" w:hint="default"/>
        </w:rPr>
        <w:t>“</w:t>
      </w:r>
      <w:r>
        <w:rPr/>
        <w:t>益生堂</w:t>
      </w:r>
      <w:r>
        <w:rPr>
          <w:rFonts w:ascii="Times New Roman" w:hAnsi="Times New Roman" w:cs="Times New Roman" w:eastAsia="Times New Roman" w:hint="default"/>
        </w:rPr>
        <w:t>“</w:t>
      </w:r>
      <w:r>
        <w:rPr/>
        <w:t>）四方签订《和解协议书》，深大通潜在股东亚星实业承诺在其通过重组取</w:t>
      </w:r>
      <w:r>
        <w:rPr>
          <w:spacing w:val="-79"/>
        </w:rPr>
        <w:t> </w:t>
      </w:r>
      <w:r>
        <w:rPr/>
        <w:t>得深大通股份后按照和解协议书约定条件向中联实业承担债务清偿责任，作为对价，中联实</w:t>
      </w:r>
      <w:r>
        <w:rPr>
          <w:spacing w:val="-83"/>
        </w:rPr>
        <w:t> </w:t>
      </w:r>
      <w:r>
        <w:rPr>
          <w:spacing w:val="-83"/>
        </w:rPr>
      </w:r>
      <w:r>
        <w:rPr>
          <w:spacing w:val="-2"/>
        </w:rPr>
        <w:t>业应解除深大通反担保责任及相应的连带清偿责任。2008年3月，深圳市福田区人民法院出具</w:t>
      </w:r>
    </w:p>
    <w:p>
      <w:pPr>
        <w:spacing w:after="0" w:line="348"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4" w:right="0" w:hanging="480"/>
        <w:jc w:val="left"/>
      </w:pPr>
      <w:r>
        <w:rPr/>
        <w:t>了通知书，准许中联实业撤诉。 其后，协议各方又先后签署了《和解协议书之备忘录》、《补充备忘录》、《谅解备忘</w:t>
      </w:r>
    </w:p>
    <w:p>
      <w:pPr>
        <w:pStyle w:val="BodyText"/>
        <w:spacing w:line="240" w:lineRule="auto"/>
        <w:ind w:left="153" w:right="0"/>
        <w:jc w:val="left"/>
      </w:pPr>
      <w:r>
        <w:rPr/>
        <w:t>录》和《谅解补充备忘录》，将和解协议的期限延长到2010年6月30日。</w:t>
      </w:r>
    </w:p>
    <w:p>
      <w:pPr>
        <w:pStyle w:val="BodyText"/>
        <w:spacing w:line="357" w:lineRule="auto" w:before="152"/>
        <w:ind w:left="153" w:right="147" w:firstLine="480"/>
        <w:jc w:val="both"/>
      </w:pPr>
      <w:r>
        <w:rPr/>
        <w:t>2、2007</w:t>
      </w:r>
      <w:r>
        <w:rPr>
          <w:spacing w:val="3"/>
        </w:rPr>
        <w:t> </w:t>
      </w:r>
      <w:r>
        <w:rPr/>
        <w:t>年11月26日，亚星实业、深大通、益田集团三方签订《和解协议书》，亚星实</w:t>
      </w:r>
      <w:r>
        <w:rPr/>
        <w:t> 业承诺在其通过重组取得深大通股份后按照和解协议书约定条件向益田集团支付约定对价，</w:t>
      </w:r>
      <w:r>
        <w:rPr>
          <w:spacing w:val="-83"/>
        </w:rPr>
        <w:t> </w:t>
      </w:r>
      <w:r>
        <w:rPr>
          <w:spacing w:val="-83"/>
        </w:rPr>
      </w:r>
      <w:r>
        <w:rPr/>
        <w:t>益田集团解除深大通对其的反担保责任并放弃就代偿的5000万元借款向深大通追偿的权利。</w:t>
      </w:r>
      <w:r>
        <w:rPr>
          <w:spacing w:val="-85"/>
        </w:rPr>
        <w:t> </w:t>
      </w:r>
      <w:r>
        <w:rPr>
          <w:spacing w:val="-85"/>
        </w:rPr>
      </w:r>
      <w:r>
        <w:rPr>
          <w:spacing w:val="3"/>
        </w:rPr>
        <w:t>按和解协议约定益田集团已向法院申请撤诉。2008年5月16日，深圳市中级人民法院出具了</w:t>
      </w:r>
      <w:r>
        <w:rPr/>
      </w:r>
    </w:p>
    <w:p>
      <w:pPr>
        <w:pStyle w:val="BodyText"/>
        <w:spacing w:line="357" w:lineRule="auto"/>
        <w:ind w:left="634" w:right="0" w:hanging="480"/>
        <w:jc w:val="left"/>
      </w:pPr>
      <w:r>
        <w:rPr/>
        <w:t>（2007）深中法民四初字第162 号，准许益田集团撤诉。 其后，协议各方又先后补充签订了《补充协议书》、《补充协议书（二）》、《补充协</w:t>
      </w:r>
    </w:p>
    <w:p>
      <w:pPr>
        <w:pStyle w:val="BodyText"/>
        <w:spacing w:line="357" w:lineRule="auto"/>
        <w:ind w:right="0"/>
        <w:jc w:val="left"/>
      </w:pPr>
      <w:r>
        <w:rPr/>
        <w:t>议书（三）》、《补充协议书（四）》和《补充协议书（五）》，将和解协议的期限延长到</w:t>
      </w:r>
      <w:r>
        <w:rPr>
          <w:spacing w:val="-83"/>
        </w:rPr>
        <w:t> </w:t>
      </w:r>
      <w:r>
        <w:rPr>
          <w:spacing w:val="-83"/>
        </w:rPr>
      </w:r>
      <w:r>
        <w:rPr/>
        <w:t>2010年4月30日。</w:t>
      </w:r>
    </w:p>
    <w:p>
      <w:pPr>
        <w:pStyle w:val="BodyText"/>
        <w:spacing w:line="357" w:lineRule="auto"/>
        <w:ind w:left="634" w:right="5690"/>
        <w:jc w:val="left"/>
      </w:pPr>
      <w:r>
        <w:rPr/>
        <w:t>（三）破产重整相关事项 本年度公司无破产重整相关事项。</w:t>
      </w:r>
    </w:p>
    <w:p>
      <w:pPr>
        <w:pStyle w:val="BodyText"/>
        <w:spacing w:line="357" w:lineRule="auto"/>
        <w:ind w:right="0" w:firstLine="480"/>
        <w:jc w:val="left"/>
      </w:pPr>
      <w:r>
        <w:rPr/>
        <w:t>（四）报告期内，公司没有持有其他上市公司股权、参股商业银行、证券公司、保险公</w:t>
      </w:r>
      <w:r>
        <w:rPr>
          <w:spacing w:val="1"/>
        </w:rPr>
        <w:t> </w:t>
      </w:r>
      <w:r>
        <w:rPr/>
        <w:t>司、信托公司和期货公司等金融企业股权，以及参股拟上市公司等投资情况。</w:t>
      </w:r>
    </w:p>
    <w:p>
      <w:pPr>
        <w:pStyle w:val="BodyText"/>
        <w:spacing w:line="240" w:lineRule="auto"/>
        <w:ind w:left="634" w:right="0"/>
        <w:jc w:val="left"/>
      </w:pPr>
      <w:r>
        <w:rPr/>
        <w:t>（五）报告期内，公司没有出售资产、发行股份收购资产情况。</w:t>
      </w:r>
    </w:p>
    <w:p>
      <w:pPr>
        <w:pStyle w:val="BodyText"/>
        <w:spacing w:line="240" w:lineRule="auto" w:before="152"/>
        <w:ind w:left="634" w:right="0"/>
        <w:jc w:val="left"/>
      </w:pPr>
      <w:r>
        <w:rPr/>
        <w:t>（六）报告期内，公司没有实施股权激励计划。</w:t>
      </w:r>
    </w:p>
    <w:p>
      <w:pPr>
        <w:pStyle w:val="BodyText"/>
        <w:spacing w:line="240" w:lineRule="auto" w:before="152"/>
        <w:ind w:left="634" w:right="0"/>
        <w:jc w:val="left"/>
      </w:pPr>
      <w:r>
        <w:rPr/>
        <w:t>（七）报告期内发生的重大关联交易事项</w:t>
      </w:r>
    </w:p>
    <w:p>
      <w:pPr>
        <w:pStyle w:val="BodyText"/>
        <w:spacing w:line="240" w:lineRule="auto" w:before="152"/>
        <w:ind w:left="634" w:right="0"/>
        <w:jc w:val="left"/>
      </w:pPr>
      <w:r>
        <w:rPr>
          <w:rFonts w:ascii="Times New Roman" w:hAnsi="Times New Roman" w:cs="Times New Roman" w:eastAsia="Times New Roman" w:hint="default"/>
        </w:rPr>
        <w:t>1</w:t>
      </w:r>
      <w:r>
        <w:rPr/>
        <w:t>、关联担保情况</w:t>
      </w:r>
    </w:p>
    <w:p>
      <w:pPr>
        <w:spacing w:line="240" w:lineRule="auto" w:before="4"/>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110"/>
        <w:gridCol w:w="1546"/>
        <w:gridCol w:w="1268"/>
        <w:gridCol w:w="1224"/>
        <w:gridCol w:w="1224"/>
        <w:gridCol w:w="3326"/>
      </w:tblGrid>
      <w:tr>
        <w:trPr>
          <w:trHeight w:val="590"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827"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3"/>
              <w:ind w:left="25"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36,370,842.28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结清贷款</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27"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3"/>
              <w:ind w:left="25"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兖州海情置业有</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2009.8.26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2011.8.25</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28" w:hRule="exact"/>
        </w:trPr>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青岛亚星实</w:t>
            </w:r>
          </w:p>
          <w:p>
            <w:pPr>
              <w:pStyle w:val="TableParagraph"/>
              <w:spacing w:line="240" w:lineRule="auto" w:before="134"/>
              <w:ind w:left="25"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青岛广顺房地产</w:t>
            </w: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69,000,000.00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2009.3.31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2012.3.23</w:t>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75" w:lineRule="exact" w:before="0"/>
        <w:ind w:left="634" w:right="0"/>
        <w:jc w:val="left"/>
      </w:pPr>
      <w:r>
        <w:rPr/>
        <w:t>（八）重大合同及其履行情况</w:t>
      </w:r>
    </w:p>
    <w:p>
      <w:pPr>
        <w:pStyle w:val="BodyText"/>
        <w:spacing w:line="357" w:lineRule="auto" w:before="152"/>
        <w:ind w:right="0" w:firstLine="480"/>
        <w:jc w:val="left"/>
      </w:pPr>
      <w:r>
        <w:rPr>
          <w:spacing w:val="-3"/>
        </w:rPr>
        <w:t>1、报告期内，公司没有发生或以前期间发生但延续到报告期的重大托管、承包、租赁其</w:t>
      </w:r>
      <w:r>
        <w:rPr/>
        <w:t> 他公司资产或其他公司托管、承包、租赁公司资产的事项。</w:t>
      </w:r>
    </w:p>
    <w:p>
      <w:pPr>
        <w:pStyle w:val="BodyText"/>
        <w:spacing w:line="240" w:lineRule="auto"/>
        <w:ind w:left="634" w:right="0"/>
        <w:jc w:val="left"/>
      </w:pPr>
      <w:r>
        <w:rPr/>
        <w:t>2、公司报告期内，无新发生的重大担保事项。</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4" w:right="0"/>
        <w:jc w:val="left"/>
      </w:pPr>
      <w:r>
        <w:rPr/>
        <w:t>3、报告期内，公司无其他委托现金资产管理事项。</w:t>
      </w:r>
    </w:p>
    <w:p>
      <w:pPr>
        <w:pStyle w:val="BodyText"/>
        <w:spacing w:line="240" w:lineRule="auto" w:before="152"/>
        <w:ind w:left="634" w:right="0"/>
        <w:jc w:val="left"/>
      </w:pPr>
      <w:r>
        <w:rPr/>
        <w:t>4、其他重大合同</w:t>
      </w:r>
    </w:p>
    <w:p>
      <w:pPr>
        <w:pStyle w:val="BodyText"/>
        <w:spacing w:line="357" w:lineRule="auto" w:before="152"/>
        <w:ind w:right="151" w:firstLine="480"/>
        <w:jc w:val="both"/>
      </w:pPr>
      <w:r>
        <w:rPr>
          <w:spacing w:val="-3"/>
        </w:rPr>
        <w:t>1）公司控股公司青岛广顺房地产有限公司与中国工商银行青岛李沧二支行签订了总金额</w:t>
      </w:r>
      <w:r>
        <w:rPr/>
        <w:t> </w:t>
      </w:r>
      <w:r>
        <w:rPr>
          <w:spacing w:val="-2"/>
        </w:rPr>
        <w:t>为6900万元的借款合同，用于青岛广顺的房地产开发，贷款期限为3年，利率为基准利率上浮</w:t>
      </w:r>
      <w:r>
        <w:rPr>
          <w:spacing w:val="-118"/>
        </w:rPr>
        <w:t> </w:t>
      </w:r>
      <w:r>
        <w:rPr>
          <w:spacing w:val="-118"/>
        </w:rPr>
      </w:r>
      <w:r>
        <w:rPr>
          <w:spacing w:val="-2"/>
        </w:rPr>
        <w:t>10%。抵押物为青岛广顺的青房地权市字第20083671号土地使有权及该土地上的在建工程、青</w:t>
      </w:r>
      <w:r>
        <w:rPr>
          <w:spacing w:val="-110"/>
        </w:rPr>
        <w:t> </w:t>
      </w:r>
      <w:r>
        <w:rPr>
          <w:spacing w:val="-110"/>
        </w:rPr>
      </w:r>
      <w:r>
        <w:rPr/>
        <w:t>房地权市字第0083672号土地使用权、青房地权市字第20083673号土地使用权</w:t>
      </w:r>
    </w:p>
    <w:p>
      <w:pPr>
        <w:pStyle w:val="BodyText"/>
        <w:spacing w:line="240" w:lineRule="auto"/>
        <w:ind w:left="634" w:right="0"/>
        <w:jc w:val="left"/>
      </w:pPr>
      <w:r>
        <w:rPr>
          <w:spacing w:val="-6"/>
        </w:rPr>
        <w:t>2）公司与中国农业银行股份有限公司深圳罗湖支行（以下简称“罗湖农行”）于2009</w:t>
      </w:r>
      <w:r>
        <w:rPr>
          <w:spacing w:val="36"/>
        </w:rPr>
        <w:t> </w:t>
      </w:r>
      <w:r>
        <w:rPr/>
        <w:t>年</w:t>
      </w:r>
    </w:p>
    <w:p>
      <w:pPr>
        <w:pStyle w:val="BodyText"/>
        <w:spacing w:line="357" w:lineRule="auto" w:before="152"/>
        <w:ind w:left="153" w:right="148"/>
        <w:jc w:val="both"/>
      </w:pPr>
      <w:r>
        <w:rPr/>
        <w:t>12 月31 日签订《债务和解协议》，就本公司所欠罗湖农行债务46,370,842.28</w:t>
      </w:r>
      <w:r>
        <w:rPr>
          <w:spacing w:val="29"/>
        </w:rPr>
        <w:t> </w:t>
      </w:r>
      <w:r>
        <w:rPr/>
        <w:t>元本金及相</w:t>
      </w:r>
      <w:r>
        <w:rPr>
          <w:spacing w:val="1"/>
        </w:rPr>
        <w:t> </w:t>
      </w:r>
      <w:r>
        <w:rPr/>
        <w:t>应利息达成重组协议。协议主要内容如下：本公司分三年偿还全部贷款本金；罗湖农行免除</w:t>
      </w:r>
      <w:r>
        <w:rPr>
          <w:spacing w:val="-83"/>
        </w:rPr>
        <w:t> </w:t>
      </w:r>
      <w:r>
        <w:rPr>
          <w:spacing w:val="-83"/>
        </w:rPr>
      </w:r>
      <w:r>
        <w:rPr>
          <w:spacing w:val="39"/>
        </w:rPr>
        <w:t>公司一次性减免公司所欠贷款形成的截至</w:t>
      </w:r>
      <w:r>
        <w:rPr>
          <w:spacing w:val="-77"/>
        </w:rPr>
        <w:t> </w:t>
      </w:r>
      <w:r>
        <w:rPr/>
        <w:t>2008</w:t>
      </w:r>
      <w:r>
        <w:rPr>
          <w:spacing w:val="47"/>
        </w:rPr>
        <w:t> </w:t>
      </w:r>
      <w:r>
        <w:rPr/>
        <w:t>年</w:t>
      </w:r>
      <w:r>
        <w:rPr>
          <w:spacing w:val="-77"/>
        </w:rPr>
        <w:t> </w:t>
      </w:r>
      <w:r>
        <w:rPr/>
        <w:t>8</w:t>
      </w:r>
      <w:r>
        <w:rPr>
          <w:spacing w:val="46"/>
        </w:rPr>
        <w:t> </w:t>
      </w:r>
      <w:r>
        <w:rPr/>
        <w:t>月</w:t>
      </w:r>
      <w:r>
        <w:rPr>
          <w:spacing w:val="-77"/>
        </w:rPr>
        <w:t> </w:t>
      </w:r>
      <w:r>
        <w:rPr/>
        <w:t>1</w:t>
      </w:r>
      <w:r>
        <w:rPr>
          <w:spacing w:val="47"/>
        </w:rPr>
        <w:t> </w:t>
      </w:r>
      <w:r>
        <w:rPr>
          <w:spacing w:val="36"/>
        </w:rPr>
        <w:t>日之前利息合计人</w:t>
      </w:r>
      <w:r>
        <w:rPr>
          <w:spacing w:val="-75"/>
        </w:rPr>
        <w:t> </w:t>
      </w:r>
      <w:r>
        <w:rPr/>
        <w:t>民</w:t>
      </w:r>
      <w:r>
        <w:rPr>
          <w:spacing w:val="-76"/>
        </w:rPr>
        <w:t> </w:t>
      </w:r>
      <w:r>
        <w:rPr/>
        <w:t>币</w:t>
      </w:r>
      <w:r>
        <w:rPr/>
        <w:t> 10,566,266.22 元。</w:t>
      </w:r>
    </w:p>
    <w:p>
      <w:pPr>
        <w:pStyle w:val="BodyText"/>
        <w:spacing w:line="240" w:lineRule="auto"/>
        <w:ind w:left="634" w:right="0"/>
        <w:jc w:val="left"/>
      </w:pPr>
      <w:r>
        <w:rPr/>
        <w:t>5、公司或持股5%以上股东在报告期内或持续到报告期内的承诺事项</w:t>
      </w:r>
    </w:p>
    <w:p>
      <w:pPr>
        <w:pStyle w:val="BodyText"/>
        <w:spacing w:line="357" w:lineRule="auto" w:before="152"/>
        <w:ind w:right="151" w:firstLine="480"/>
        <w:jc w:val="both"/>
      </w:pPr>
      <w:r>
        <w:rPr>
          <w:spacing w:val="-3"/>
        </w:rPr>
        <w:t>1）禁售承诺：股权分置改革完成后所持深大通股份在获得上市流通权之日起三十六个月</w:t>
      </w:r>
      <w:r>
        <w:rPr/>
        <w:t> 内不上市交易或者转让。</w:t>
      </w:r>
    </w:p>
    <w:p>
      <w:pPr>
        <w:pStyle w:val="BodyText"/>
        <w:spacing w:line="357" w:lineRule="auto"/>
        <w:ind w:left="634" w:right="140"/>
        <w:jc w:val="left"/>
      </w:pPr>
      <w:r>
        <w:rPr/>
        <w:t>亚星实业严格履行承诺，未进行转让或交易。 </w:t>
      </w:r>
      <w:r>
        <w:rPr>
          <w:spacing w:val="-2"/>
        </w:rPr>
        <w:t>2)2008年4月22日公司2008年第一次临时股东大会通过的股权分置改革方案中，青岛亚星</w:t>
      </w:r>
    </w:p>
    <w:p>
      <w:pPr>
        <w:pStyle w:val="BodyText"/>
        <w:spacing w:line="240" w:lineRule="auto"/>
        <w:ind w:right="0"/>
        <w:jc w:val="left"/>
      </w:pPr>
      <w:r>
        <w:rPr/>
        <w:t>实业有限公司做出以下承诺：</w:t>
      </w:r>
    </w:p>
    <w:p>
      <w:pPr>
        <w:pStyle w:val="BodyText"/>
        <w:spacing w:line="240" w:lineRule="auto" w:before="152"/>
        <w:ind w:left="634" w:right="0"/>
        <w:jc w:val="left"/>
      </w:pPr>
      <w:r>
        <w:rPr/>
        <w:t>①追加对价安排：如果发生下述情况之一（以首次发生的情况为准），将追加送股一次</w:t>
      </w:r>
    </w:p>
    <w:p>
      <w:pPr>
        <w:pStyle w:val="BodyText"/>
        <w:spacing w:line="357" w:lineRule="auto" w:before="152"/>
        <w:ind w:left="634" w:right="0" w:hanging="480"/>
        <w:jc w:val="left"/>
      </w:pPr>
      <w:r>
        <w:rPr/>
        <w:t>（股份追送完成后，此承诺自动失效）： 亚星实业在向深大通赠与资产完成后的当年及其后两个会计年度（即2008年、2009年和</w:t>
      </w:r>
    </w:p>
    <w:p>
      <w:pPr>
        <w:pStyle w:val="BodyText"/>
        <w:spacing w:line="357" w:lineRule="auto"/>
        <w:ind w:left="634" w:right="0" w:hanging="480"/>
        <w:jc w:val="left"/>
      </w:pPr>
      <w:r>
        <w:rPr/>
        <w:t>2010年）的任一年度财务报告被出具除标准无保留意见之外的审计报告； 亚星实业在向深大通赠与资产完成后的当年及其后两个会计年度（即2008年、2009年和</w:t>
      </w:r>
    </w:p>
    <w:p>
      <w:pPr>
        <w:pStyle w:val="BodyText"/>
        <w:spacing w:line="357" w:lineRule="auto"/>
        <w:ind w:right="151"/>
        <w:jc w:val="both"/>
      </w:pPr>
      <w:r>
        <w:rPr>
          <w:spacing w:val="-5"/>
        </w:rPr>
        <w:t>2010年）净利润（归属母公司股东净利润，下同）未达到如下承诺标准：2008年度不低于1500</w:t>
      </w:r>
      <w:r>
        <w:rPr>
          <w:spacing w:val="-90"/>
        </w:rPr>
        <w:t> </w:t>
      </w:r>
      <w:r>
        <w:rPr>
          <w:spacing w:val="-90"/>
        </w:rPr>
      </w:r>
      <w:r>
        <w:rPr/>
        <w:t>万元、2009年度不低于2000万元、2010年度不低于2500万元。</w:t>
      </w:r>
    </w:p>
    <w:p>
      <w:pPr>
        <w:pStyle w:val="BodyText"/>
        <w:spacing w:line="357" w:lineRule="auto" w:before="36"/>
        <w:ind w:right="149" w:firstLine="480"/>
        <w:jc w:val="both"/>
      </w:pPr>
      <w:r>
        <w:rPr/>
        <w:t>当上述追加对价条件触发时，亚星实业将以股权分置改革方案实施股权登记日深大通流</w:t>
      </w:r>
      <w:r>
        <w:rPr>
          <w:spacing w:val="1"/>
        </w:rPr>
        <w:t> </w:t>
      </w:r>
      <w:r>
        <w:rPr/>
        <w:t>通股股份为基数，按照10:1的比例向追送股份股权登记日登记在册的所有无限售条件的流通</w:t>
      </w:r>
      <w:r>
        <w:rPr>
          <w:spacing w:val="-102"/>
        </w:rPr>
        <w:t> </w:t>
      </w:r>
      <w:r>
        <w:rPr>
          <w:spacing w:val="-102"/>
        </w:rPr>
      </w:r>
      <w:r>
        <w:rPr/>
        <w:t>股（不含亚星实业解除禁售后的股份）追送股份，追送股份共计2,201,100股。</w:t>
      </w:r>
    </w:p>
    <w:p>
      <w:pPr>
        <w:pStyle w:val="BodyText"/>
        <w:spacing w:line="357" w:lineRule="auto"/>
        <w:ind w:right="148" w:firstLine="480"/>
        <w:jc w:val="both"/>
      </w:pPr>
      <w:r>
        <w:rPr/>
        <w:t>深圳市鹏城会计师事务所已经为公司出具了标准无保留意见的审计报告，且审计报告显</w:t>
      </w:r>
      <w:r>
        <w:rPr>
          <w:spacing w:val="1"/>
        </w:rPr>
        <w:t> </w:t>
      </w:r>
      <w:r>
        <w:rPr/>
        <w:t>示公司2009年度净利润（归属母公司股东净利润）为2156.41万元，达到了承诺2009</w:t>
      </w:r>
      <w:r>
        <w:rPr>
          <w:spacing w:val="20"/>
        </w:rPr>
        <w:t> </w:t>
      </w:r>
      <w:r>
        <w:rPr/>
        <w:t>年度不</w:t>
      </w:r>
      <w:r>
        <w:rPr>
          <w:spacing w:val="-116"/>
        </w:rPr>
        <w:t> </w:t>
      </w:r>
      <w:r>
        <w:rPr>
          <w:spacing w:val="-116"/>
        </w:rPr>
      </w:r>
      <w:r>
        <w:rPr/>
        <w:t>低于2000万元的承诺。</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4" w:right="0"/>
        <w:jc w:val="left"/>
      </w:pPr>
      <w:r>
        <w:rPr/>
        <w:t>②以现金补足差额的业绩承诺 亚星实业承诺在向深大通赠与资产完成后的当年及其后两个会计年度（即2008年、2009</w:t>
      </w:r>
    </w:p>
    <w:p>
      <w:pPr>
        <w:pStyle w:val="BodyText"/>
        <w:spacing w:line="357" w:lineRule="auto"/>
        <w:ind w:left="153" w:right="148"/>
        <w:jc w:val="both"/>
      </w:pPr>
      <w:r>
        <w:rPr/>
        <w:t>年和2010年）内，深大通2008年净利润（归属母公司股东净利润，下同）不低于1500万元、</w:t>
      </w:r>
      <w:r>
        <w:rPr>
          <w:spacing w:val="-117"/>
        </w:rPr>
        <w:t> </w:t>
      </w:r>
      <w:r>
        <w:rPr>
          <w:spacing w:val="-117"/>
        </w:rPr>
      </w:r>
      <w:r>
        <w:rPr/>
        <w:t>2009年净利润不低于2000万元、2010年净利润不低于2500万元。当深大通在上述三个会计年</w:t>
      </w:r>
      <w:r>
        <w:rPr/>
        <w:t> 度的任一年度内未实现上述任一承诺时，亚星实业将在该年度的年度报告公布后20个交易日</w:t>
      </w:r>
      <w:r>
        <w:rPr>
          <w:spacing w:val="-82"/>
        </w:rPr>
        <w:t> </w:t>
      </w:r>
      <w:r>
        <w:rPr>
          <w:spacing w:val="-82"/>
        </w:rPr>
      </w:r>
      <w:r>
        <w:rPr/>
        <w:t>内以现金一次性补足盈利差额部分（若该年度盈利未达到上述承诺标准）。</w:t>
      </w:r>
    </w:p>
    <w:p>
      <w:pPr>
        <w:pStyle w:val="BodyText"/>
        <w:spacing w:line="357" w:lineRule="auto"/>
        <w:ind w:left="153" w:right="148" w:firstLine="480"/>
        <w:jc w:val="both"/>
      </w:pPr>
      <w:r>
        <w:rPr>
          <w:spacing w:val="3"/>
        </w:rPr>
        <w:t>深圳市鹏城会计师事务所为公司出具的标准无保留意见审计报告显示公司2009</w:t>
      </w:r>
      <w:r>
        <w:rPr>
          <w:spacing w:val="19"/>
        </w:rPr>
        <w:t> </w:t>
      </w:r>
      <w:r>
        <w:rPr>
          <w:spacing w:val="2"/>
        </w:rPr>
        <w:t>年度净</w:t>
      </w:r>
      <w:r>
        <w:rPr/>
        <w:t> 利润（归属母公司股东净利润）为2156.41万元，达到了承诺2009</w:t>
      </w:r>
      <w:r>
        <w:rPr>
          <w:spacing w:val="12"/>
        </w:rPr>
        <w:t> </w:t>
      </w:r>
      <w:r>
        <w:rPr/>
        <w:t>年度不低于2000万元的承</w:t>
      </w:r>
      <w:r>
        <w:rPr>
          <w:spacing w:val="-117"/>
        </w:rPr>
        <w:t> </w:t>
      </w:r>
      <w:r>
        <w:rPr>
          <w:spacing w:val="-117"/>
        </w:rPr>
      </w:r>
      <w:r>
        <w:rPr/>
        <w:t>诺。</w:t>
      </w:r>
    </w:p>
    <w:p>
      <w:pPr>
        <w:pStyle w:val="BodyText"/>
        <w:spacing w:line="357" w:lineRule="auto"/>
        <w:ind w:left="633" w:right="0"/>
        <w:jc w:val="left"/>
      </w:pPr>
      <w:r>
        <w:rPr/>
        <w:t>③提议向深大通注入亚星实业相关房地产开发业务资产的承诺 为解决亚星实业与深大通将来产生的同业竞争，亚星实业承诺在深大通相关股东会议通</w:t>
      </w:r>
    </w:p>
    <w:p>
      <w:pPr>
        <w:pStyle w:val="BodyText"/>
        <w:spacing w:line="357" w:lineRule="auto"/>
        <w:ind w:left="153" w:right="148"/>
        <w:jc w:val="both"/>
      </w:pPr>
      <w:r>
        <w:rPr/>
        <w:t>过股权分置改革方案且方正延中传媒有限公司将其所持深大通1000万股股份转让给亚星实业</w:t>
      </w:r>
      <w:r>
        <w:rPr>
          <w:spacing w:val="-101"/>
        </w:rPr>
        <w:t> </w:t>
      </w:r>
      <w:r>
        <w:rPr>
          <w:spacing w:val="-101"/>
        </w:rPr>
      </w:r>
      <w:r>
        <w:rPr/>
        <w:t>的过户手续办理完毕后三个月内，就与深大通可能产生同业竞争的全部相关资产以市场公允</w:t>
      </w:r>
      <w:r>
        <w:rPr>
          <w:spacing w:val="-83"/>
        </w:rPr>
        <w:t> </w:t>
      </w:r>
      <w:r>
        <w:rPr>
          <w:spacing w:val="-83"/>
        </w:rPr>
      </w:r>
      <w:r>
        <w:rPr/>
        <w:t>价格注入深大通事宜召开董事会议并提交深大通临时股东大会审议。</w:t>
      </w:r>
    </w:p>
    <w:p>
      <w:pPr>
        <w:pStyle w:val="BodyText"/>
        <w:spacing w:line="357" w:lineRule="auto"/>
        <w:ind w:left="153" w:right="148" w:firstLine="480"/>
        <w:jc w:val="both"/>
      </w:pPr>
      <w:r>
        <w:rPr>
          <w:spacing w:val="-2"/>
        </w:rPr>
        <w:t>亚星实业于2009年7月，向深大通董事会提出《关于公司发行股份购买资产具体方案的议</w:t>
      </w:r>
      <w:r>
        <w:rPr/>
        <w:t> 案》等将可能产生同业竞争的全部资产注入深大通的议案，并提议召开股东大会。公司董事</w:t>
      </w:r>
      <w:r>
        <w:rPr>
          <w:spacing w:val="-83"/>
        </w:rPr>
        <w:t> </w:t>
      </w:r>
      <w:r>
        <w:rPr>
          <w:spacing w:val="-83"/>
        </w:rPr>
      </w:r>
      <w:r>
        <w:rPr/>
        <w:t>会于2009年7月27日召开第六届第二十五次董事会审议该事项，未获通过。</w:t>
      </w:r>
    </w:p>
    <w:p>
      <w:pPr>
        <w:pStyle w:val="BodyText"/>
        <w:spacing w:line="357" w:lineRule="auto"/>
        <w:ind w:left="633" w:right="0"/>
        <w:jc w:val="left"/>
      </w:pPr>
      <w:r>
        <w:rPr/>
        <w:t>④向全体股东转增股本的承诺 在亚星实业将可能与深大通产生同业竞争的全部相关资产注入深大通且资产过户相关手</w:t>
      </w:r>
    </w:p>
    <w:p>
      <w:pPr>
        <w:pStyle w:val="BodyText"/>
        <w:spacing w:line="357" w:lineRule="auto"/>
        <w:ind w:left="153" w:right="147"/>
        <w:jc w:val="both"/>
      </w:pPr>
      <w:r>
        <w:rPr/>
        <w:t>续办理完毕后（指经中国证券监督管理委员会批准资产注入方案并办理完注入资产的过户手</w:t>
      </w:r>
      <w:r>
        <w:rPr>
          <w:spacing w:val="-83"/>
        </w:rPr>
        <w:t> </w:t>
      </w:r>
      <w:r>
        <w:rPr>
          <w:spacing w:val="-83"/>
        </w:rPr>
      </w:r>
      <w:r>
        <w:rPr/>
        <w:t>续），亚星实业将在深大通公布最近一期年度或半年度审计报告时提出向全体股东每10股转</w:t>
      </w:r>
      <w:r>
        <w:rPr>
          <w:spacing w:val="-82"/>
        </w:rPr>
        <w:t> </w:t>
      </w:r>
      <w:r>
        <w:rPr>
          <w:spacing w:val="-82"/>
        </w:rPr>
      </w:r>
      <w:r>
        <w:rPr>
          <w:spacing w:val="-2"/>
        </w:rPr>
        <w:t>增5股的议案；若相关手续（指经中国证券监督管理委员会批准资产注入方案并办理完注入资</w:t>
      </w:r>
      <w:r>
        <w:rPr/>
        <w:t> </w:t>
      </w:r>
      <w:r>
        <w:rPr>
          <w:spacing w:val="-2"/>
        </w:rPr>
        <w:t>产的过户手续）在该年度1月1日至6月30日前办理完毕，转增方案将在公布该年度的半年度审</w:t>
      </w:r>
      <w:r>
        <w:rPr>
          <w:spacing w:val="-116"/>
        </w:rPr>
        <w:t> </w:t>
      </w:r>
      <w:r>
        <w:rPr>
          <w:spacing w:val="-116"/>
        </w:rPr>
      </w:r>
      <w:r>
        <w:rPr/>
        <w:t>计报告时提出；若相关手续（指经中国证券监督管理委员会批准资产注入方案并办理完注入</w:t>
      </w:r>
      <w:r>
        <w:rPr>
          <w:spacing w:val="-83"/>
        </w:rPr>
        <w:t> </w:t>
      </w:r>
      <w:r>
        <w:rPr>
          <w:spacing w:val="-83"/>
        </w:rPr>
      </w:r>
      <w:r>
        <w:rPr/>
        <w:t>资产的过户手续）在该会计年度的7月1日至12月31日办理完毕，转增方案将在公布该年度的</w:t>
      </w:r>
      <w:r>
        <w:rPr/>
        <w:t> 年度审计报告时提出。亚星实业保证在深大通股东大会表决时对该议案投赞成票，保证在股</w:t>
      </w:r>
      <w:r>
        <w:rPr>
          <w:spacing w:val="-83"/>
        </w:rPr>
        <w:t> </w:t>
      </w:r>
      <w:r>
        <w:rPr>
          <w:spacing w:val="-83"/>
        </w:rPr>
      </w:r>
      <w:r>
        <w:rPr/>
        <w:t>东大会通过后10个工作日内实施。</w:t>
      </w:r>
    </w:p>
    <w:p>
      <w:pPr>
        <w:pStyle w:val="BodyText"/>
        <w:spacing w:line="357" w:lineRule="auto"/>
        <w:ind w:left="153" w:right="150" w:firstLine="480"/>
        <w:jc w:val="both"/>
      </w:pPr>
      <w:r>
        <w:rPr/>
        <w:t>本承诺实施的条件为在亚星实业将可能与深大通产生同业竞争的全部相关资产注入深大</w:t>
      </w:r>
      <w:r>
        <w:rPr>
          <w:spacing w:val="1"/>
        </w:rPr>
        <w:t> </w:t>
      </w:r>
      <w:r>
        <w:rPr/>
        <w:t>通且资产过户相关手续办理完毕后。目前，尚未达到向全体股东转增股本的条件。</w:t>
      </w:r>
    </w:p>
    <w:p>
      <w:pPr>
        <w:pStyle w:val="BodyText"/>
        <w:spacing w:line="240" w:lineRule="auto"/>
        <w:ind w:left="633" w:right="0"/>
        <w:jc w:val="left"/>
      </w:pPr>
      <w:r>
        <w:rPr/>
        <w:t>（九）公司恢复上市事宜</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3" w:right="227" w:firstLine="480"/>
        <w:jc w:val="both"/>
      </w:pPr>
      <w:r>
        <w:rPr>
          <w:spacing w:val="-2"/>
        </w:rPr>
        <w:t>1、2008年5月8日，公司向深圳证券交易所正式递交了公司股票恢复上市的申请，证券交</w:t>
      </w:r>
      <w:r>
        <w:rPr/>
        <w:t> </w:t>
      </w:r>
      <w:r>
        <w:rPr>
          <w:spacing w:val="-2"/>
        </w:rPr>
        <w:t>易所在2008年5月15日正式受理了公司恢复上市的申请，同时收到深圳交易所发来公司的公司</w:t>
      </w:r>
      <w:r>
        <w:rPr>
          <w:spacing w:val="-114"/>
        </w:rPr>
        <w:t> </w:t>
      </w:r>
      <w:r>
        <w:rPr>
          <w:spacing w:val="-114"/>
        </w:rPr>
      </w:r>
      <w:r>
        <w:rPr>
          <w:spacing w:val="-3"/>
        </w:rPr>
        <w:t>部问询函【2008】第44</w:t>
      </w:r>
      <w:r>
        <w:rPr>
          <w:spacing w:val="-41"/>
        </w:rPr>
        <w:t> </w:t>
      </w:r>
      <w:r>
        <w:rPr/>
        <w:t>号《关于对深圳大通实业股份有限公司的问询函》，要求我司补充相</w:t>
      </w:r>
      <w:r>
        <w:rPr/>
        <w:t> 关资料。根据《深圳证券交易所股票上市规则》(2006</w:t>
      </w:r>
      <w:r>
        <w:rPr>
          <w:spacing w:val="25"/>
        </w:rPr>
        <w:t> </w:t>
      </w:r>
      <w:r>
        <w:rPr/>
        <w:t>年修订本)14.2.13的有关规定，深圳</w:t>
      </w:r>
      <w:r>
        <w:rPr>
          <w:spacing w:val="-116"/>
        </w:rPr>
        <w:t> </w:t>
      </w:r>
      <w:r>
        <w:rPr>
          <w:spacing w:val="-116"/>
        </w:rPr>
      </w:r>
      <w:r>
        <w:rPr/>
        <w:t>证券交易所将在正式受理公司恢复上市申请后的三十个交易日内，作出是否核准公司股票恢</w:t>
      </w:r>
      <w:r>
        <w:rPr>
          <w:spacing w:val="-83"/>
        </w:rPr>
        <w:t> </w:t>
      </w:r>
      <w:r>
        <w:rPr>
          <w:spacing w:val="-83"/>
        </w:rPr>
      </w:r>
      <w:r>
        <w:rPr/>
        <w:t>复上市申请的决定，公司补充提供有关材料期间不计入上述核准期限内。</w:t>
      </w:r>
    </w:p>
    <w:p>
      <w:pPr>
        <w:pStyle w:val="BodyText"/>
        <w:spacing w:line="357" w:lineRule="auto"/>
        <w:ind w:left="153" w:right="228" w:firstLine="480"/>
        <w:jc w:val="both"/>
      </w:pPr>
      <w:r>
        <w:rPr/>
        <w:t>2、目前，公司正在根据深圳证券交易所2008年5月15日下发的问询函的要求积极推进恢 复上市工作。根据问询函的要求，公司需要提供中国证监会豁免要约收购批复涉及的股份完</w:t>
      </w:r>
      <w:r>
        <w:rPr>
          <w:spacing w:val="-83"/>
        </w:rPr>
        <w:t> </w:t>
      </w:r>
      <w:r>
        <w:rPr>
          <w:spacing w:val="-83"/>
        </w:rPr>
      </w:r>
      <w:r>
        <w:rPr/>
        <w:t>成登记过户到青岛亚星实业有限公司（以下简称“亚星实业”）名下的证明文件，即方正延</w:t>
      </w:r>
      <w:r>
        <w:rPr>
          <w:spacing w:val="-83"/>
        </w:rPr>
        <w:t> </w:t>
      </w:r>
      <w:r>
        <w:rPr>
          <w:spacing w:val="-83"/>
        </w:rPr>
      </w:r>
      <w:r>
        <w:rPr>
          <w:spacing w:val="-2"/>
        </w:rPr>
        <w:t>中传媒有限公司、上海文慧投资有限公司和上海港银投资管理有限公司分别按10：6.5的比例</w:t>
      </w:r>
      <w:r>
        <w:rPr>
          <w:spacing w:val="-116"/>
        </w:rPr>
        <w:t> </w:t>
      </w:r>
      <w:r>
        <w:rPr>
          <w:spacing w:val="-116"/>
        </w:rPr>
      </w:r>
      <w:r>
        <w:rPr>
          <w:spacing w:val="-2"/>
        </w:rPr>
        <w:t>向亚星实业赠送股份，合计赠送股份29,063,249股过户证明。由于自2009年4月28日取得证监</w:t>
      </w:r>
      <w:r>
        <w:rPr>
          <w:spacing w:val="-104"/>
        </w:rPr>
        <w:t> </w:t>
      </w:r>
      <w:r>
        <w:rPr>
          <w:spacing w:val="-104"/>
        </w:rPr>
      </w:r>
      <w:r>
        <w:rPr/>
        <w:t>会豁免要约收购义务的批复后，亚星实业至今尚未取得上述股份。因此，公司无法向深圳证</w:t>
      </w:r>
      <w:r>
        <w:rPr>
          <w:spacing w:val="-83"/>
        </w:rPr>
        <w:t> </w:t>
      </w:r>
      <w:r>
        <w:rPr>
          <w:spacing w:val="-83"/>
        </w:rPr>
      </w:r>
      <w:r>
        <w:rPr/>
        <w:t>券交易所提交恢复上市的补充文件，恢复上市工作尚无法有效推进。</w:t>
      </w:r>
    </w:p>
    <w:p>
      <w:pPr>
        <w:pStyle w:val="BodyText"/>
        <w:spacing w:line="357" w:lineRule="auto"/>
        <w:ind w:left="153" w:right="93" w:firstLine="480"/>
        <w:jc w:val="left"/>
      </w:pPr>
      <w:r>
        <w:rPr>
          <w:spacing w:val="-8"/>
        </w:rPr>
        <w:t>3、公司每月月初已在《中国证券报》、《证券时报》和巨潮资讯网</w:t>
      </w:r>
      <w:hyperlink r:id="rId9">
        <w:r>
          <w:rPr>
            <w:spacing w:val="-8"/>
          </w:rPr>
          <w:t>（www.cninfo.com.cn）</w:t>
        </w:r>
      </w:hyperlink>
      <w:r>
        <w:rPr>
          <w:spacing w:val="-1"/>
        </w:rPr>
        <w:t> </w:t>
      </w:r>
      <w:r>
        <w:rPr/>
        <w:t>上刊登了本公司股票恢复上市进展情况的公告。</w:t>
      </w:r>
    </w:p>
    <w:p>
      <w:pPr>
        <w:pStyle w:val="BodyText"/>
        <w:spacing w:line="357" w:lineRule="auto"/>
        <w:ind w:left="633" w:right="93"/>
        <w:jc w:val="left"/>
      </w:pPr>
      <w:r>
        <w:rPr/>
        <w:t>（十）聘任会计师事务所及支付报酬情况 报告期内，由公司第六届董事会第二十一次会议提议，公司2008年年度股东大会审议通</w:t>
      </w:r>
    </w:p>
    <w:p>
      <w:pPr>
        <w:pStyle w:val="BodyText"/>
        <w:spacing w:line="357" w:lineRule="auto"/>
        <w:ind w:left="153" w:right="93"/>
        <w:jc w:val="left"/>
      </w:pPr>
      <w:r>
        <w:rPr/>
        <w:t>过，续聘深圳市鹏城会计师事务所有限公司为公司的审计机构。报告期内支付审计费用30万</w:t>
      </w:r>
      <w:r>
        <w:rPr>
          <w:spacing w:val="-82"/>
        </w:rPr>
        <w:t> </w:t>
      </w:r>
      <w:r>
        <w:rPr>
          <w:spacing w:val="-82"/>
        </w:rPr>
      </w:r>
      <w:r>
        <w:rPr/>
        <w:t>元，该所已连续为公司服务9年。</w:t>
      </w:r>
    </w:p>
    <w:p>
      <w:pPr>
        <w:pStyle w:val="BodyText"/>
        <w:spacing w:line="357" w:lineRule="auto"/>
        <w:ind w:left="153" w:right="230" w:firstLine="480"/>
        <w:jc w:val="both"/>
      </w:pPr>
      <w:r>
        <w:rPr/>
        <w:t>（十一）上市公司及其董事、监事、高级管理人员、公司股东、实际控制人处罚及整改</w:t>
      </w:r>
      <w:r>
        <w:rPr>
          <w:spacing w:val="1"/>
        </w:rPr>
        <w:t> </w:t>
      </w:r>
      <w:r>
        <w:rPr/>
        <w:t>情况</w:t>
      </w:r>
    </w:p>
    <w:p>
      <w:pPr>
        <w:pStyle w:val="BodyText"/>
        <w:spacing w:line="357" w:lineRule="auto"/>
        <w:ind w:left="153" w:right="228" w:firstLine="480"/>
        <w:jc w:val="both"/>
      </w:pPr>
      <w:r>
        <w:rPr/>
        <w:t>2009年8月18日，中国证券监督管理委员会深圳监管局向公司下发了深证局发[2009]310 号《关于责令深圳大通实业股份有限公司整改的通知》，整改意见及整改情况详见本报告第</w:t>
      </w:r>
      <w:r>
        <w:rPr>
          <w:spacing w:val="-83"/>
        </w:rPr>
        <w:t> </w:t>
      </w:r>
      <w:r>
        <w:rPr>
          <w:spacing w:val="-83"/>
        </w:rPr>
      </w:r>
      <w:r>
        <w:rPr/>
        <w:t>六章（二）。</w:t>
      </w:r>
    </w:p>
    <w:p>
      <w:pPr>
        <w:pStyle w:val="BodyText"/>
        <w:spacing w:line="357" w:lineRule="auto" w:before="36"/>
        <w:ind w:left="153" w:right="230" w:firstLine="480"/>
        <w:jc w:val="both"/>
      </w:pPr>
      <w:r>
        <w:rPr/>
        <w:t>除上述整改通知外，公司及其董事、监事、高级管理人员、公司股东、实际控制人未受</w:t>
      </w:r>
      <w:r>
        <w:rPr>
          <w:spacing w:val="1"/>
        </w:rPr>
        <w:t> </w:t>
      </w:r>
      <w:r>
        <w:rPr/>
        <w:t>中国证监会的其他稽查、行政处罚、通报批评及证券交易所的公开谴责。</w:t>
      </w:r>
    </w:p>
    <w:p>
      <w:pPr>
        <w:pStyle w:val="BodyText"/>
        <w:spacing w:line="357" w:lineRule="auto"/>
        <w:ind w:left="633" w:right="4691"/>
        <w:jc w:val="left"/>
      </w:pPr>
      <w:r>
        <w:rPr/>
        <w:t>（十二）其他重大事项的说明 1、报告期内，公司无证券投资及相关事项。</w:t>
      </w:r>
    </w:p>
    <w:p>
      <w:pPr>
        <w:pStyle w:val="BodyText"/>
        <w:spacing w:line="357" w:lineRule="auto"/>
        <w:ind w:right="100" w:firstLine="480"/>
        <w:jc w:val="left"/>
      </w:pPr>
      <w:r>
        <w:rPr>
          <w:spacing w:val="-5"/>
        </w:rPr>
        <w:t>2、2009年12月25日，公司2009年第一次临时股东大会进行了董事会和监事会的换届选举，</w:t>
      </w:r>
      <w:r>
        <w:rPr/>
        <w:t> </w:t>
      </w:r>
      <w:r>
        <w:rPr>
          <w:spacing w:val="-5"/>
        </w:rPr>
        <w:t>潜在控股股东青岛亚星实业有限公司（以下简称“亚星实业”）推荐的2名非独立董事许亚楠、</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213" w:right="227"/>
        <w:jc w:val="both"/>
      </w:pPr>
      <w:r>
        <w:rPr>
          <w:spacing w:val="-2"/>
        </w:rPr>
        <w:t>张庆文和2名监事王立军、张国华当选。2009年12月30日，亚星实业推举的董事许亚楠当选了</w:t>
      </w:r>
      <w:r>
        <w:rPr>
          <w:spacing w:val="-114"/>
        </w:rPr>
        <w:t> </w:t>
      </w:r>
      <w:r>
        <w:rPr>
          <w:spacing w:val="-114"/>
        </w:rPr>
      </w:r>
      <w:r>
        <w:rPr>
          <w:spacing w:val="3"/>
        </w:rPr>
        <w:t>公司第七届董事会董事长，亚星实业推举的监事王立军当选了公司的监事会主席。2010年1</w:t>
      </w:r>
      <w:r>
        <w:rPr>
          <w:spacing w:val="-89"/>
        </w:rPr>
        <w:t> </w:t>
      </w:r>
      <w:r>
        <w:rPr>
          <w:spacing w:val="-89"/>
        </w:rPr>
      </w:r>
      <w:r>
        <w:rPr/>
        <w:t>月28日，公司召开了2010年第二次临时股东大会，亚星实业推荐的非独立董事孙登义当选。</w:t>
      </w:r>
      <w:r>
        <w:rPr>
          <w:spacing w:val="-103"/>
        </w:rPr>
        <w:t> </w:t>
      </w:r>
      <w:r>
        <w:rPr>
          <w:spacing w:val="-103"/>
        </w:rPr>
      </w:r>
      <w:r>
        <w:rPr/>
        <w:t>公司董事会7名董事（3名独立董事、4名非独立董事）中，亚星实业推荐了3名非独立董事许</w:t>
      </w:r>
      <w:r>
        <w:rPr>
          <w:spacing w:val="-96"/>
        </w:rPr>
        <w:t> </w:t>
      </w:r>
      <w:r>
        <w:rPr>
          <w:spacing w:val="-96"/>
        </w:rPr>
      </w:r>
      <w:r>
        <w:rPr>
          <w:spacing w:val="-2"/>
        </w:rPr>
        <w:t>亚楠、张庆文、孙登义。公司3名监事（2名股东代表监事、1名职工监事）中，亚星实业推荐</w:t>
      </w:r>
      <w:r>
        <w:rPr/>
        <w:t> 了2名股东代表监事王立军、张国华。至此，亚星实业实现了对公司的实际控制。</w:t>
      </w:r>
    </w:p>
    <w:p>
      <w:pPr>
        <w:pStyle w:val="BodyText"/>
        <w:spacing w:line="240" w:lineRule="auto"/>
        <w:ind w:left="693" w:right="91"/>
        <w:jc w:val="left"/>
      </w:pPr>
      <w:r>
        <w:rPr/>
        <w:t>由于亚星实业的实际控制人为姜剑先生，公司的实际控制人由北京新奥特集团有限公司</w:t>
      </w:r>
    </w:p>
    <w:p>
      <w:pPr>
        <w:pStyle w:val="BodyText"/>
        <w:spacing w:line="357" w:lineRule="auto" w:before="152"/>
        <w:ind w:left="693" w:right="91" w:hanging="480"/>
        <w:jc w:val="left"/>
      </w:pPr>
      <w:r>
        <w:rPr/>
        <w:t>（方正延中传媒有限公司的实际控制人）变更为姜剑先生。 3、公司于2009年4月30日公布了《深圳大通实业股份有限公司股权分置改革方案实施公</w:t>
      </w:r>
    </w:p>
    <w:p>
      <w:pPr>
        <w:pStyle w:val="BodyText"/>
        <w:spacing w:line="357" w:lineRule="auto"/>
        <w:ind w:left="213" w:right="148"/>
        <w:jc w:val="both"/>
      </w:pPr>
      <w:r>
        <w:rPr/>
        <w:t>告》。根据公告内容，公司股票简称从2009年5月4日起由“S*ST大通”变更为“*ST大通”， 股票代码保持不变。</w:t>
      </w:r>
    </w:p>
    <w:p>
      <w:pPr>
        <w:pStyle w:val="BodyText"/>
        <w:spacing w:line="357" w:lineRule="auto"/>
        <w:ind w:left="693" w:right="91"/>
        <w:jc w:val="left"/>
      </w:pPr>
      <w:r>
        <w:rPr/>
        <w:t>4、公司接待调研及采访情况 报告期内，公司未接待行业研究员、基金经理、记者的采访或咨询。在中小投资者咨询</w:t>
      </w:r>
    </w:p>
    <w:p>
      <w:pPr>
        <w:pStyle w:val="BodyText"/>
        <w:spacing w:line="357" w:lineRule="auto"/>
        <w:ind w:left="213" w:right="228"/>
        <w:jc w:val="both"/>
      </w:pPr>
      <w:r>
        <w:rPr/>
        <w:t>时，公司及相关信息披露义务人严格遵循《上市公司公平信息指引》的有关规定，未有实行</w:t>
      </w:r>
      <w:r>
        <w:rPr>
          <w:spacing w:val="-83"/>
        </w:rPr>
        <w:t> </w:t>
      </w:r>
      <w:r>
        <w:rPr>
          <w:spacing w:val="-83"/>
        </w:rPr>
      </w:r>
      <w:r>
        <w:rPr/>
        <w:t>差别对待政策，未有选择地、私下地提前向特定对象披露、透露或泄露非公开信息的情形。</w:t>
      </w:r>
    </w:p>
    <w:p>
      <w:pPr>
        <w:pStyle w:val="BodyText"/>
        <w:spacing w:line="240" w:lineRule="auto"/>
        <w:ind w:left="693" w:right="91"/>
        <w:jc w:val="left"/>
      </w:pPr>
      <w:r>
        <w:rPr/>
        <w:t>5、报告期内信息披露索引</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056"/>
        <w:gridCol w:w="1752"/>
        <w:gridCol w:w="2820"/>
        <w:gridCol w:w="1490"/>
        <w:gridCol w:w="2736"/>
      </w:tblGrid>
      <w:tr>
        <w:trPr>
          <w:trHeight w:val="28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1" w:right="0"/>
              <w:jc w:val="left"/>
              <w:rPr>
                <w:rFonts w:ascii="宋体" w:hAnsi="宋体" w:cs="宋体" w:eastAsia="宋体" w:hint="default"/>
                <w:sz w:val="21"/>
                <w:szCs w:val="21"/>
              </w:rPr>
            </w:pPr>
            <w:r>
              <w:rPr>
                <w:rFonts w:ascii="宋体" w:hAnsi="宋体" w:cs="宋体" w:eastAsia="宋体" w:hint="default"/>
                <w:sz w:val="21"/>
                <w:szCs w:val="21"/>
              </w:rPr>
              <w:t>公告日期</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披露报刊</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2009-001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2009年1月16日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关于公司恢复股票上市进展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情况的提示性公告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2009-002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2009年1月20日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第六届董事会第二十次会议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2009-004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2009年1月23日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股权分置改革进展的提示性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2009-005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2009年2月6日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股权分置改革进展的提示性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2009-006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2009年2月6日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关于公司恢复股票上市进展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情况的提示性公告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2009-007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7"/>
              <w:jc w:val="right"/>
              <w:rPr>
                <w:rFonts w:ascii="宋体" w:hAnsi="宋体" w:cs="宋体" w:eastAsia="宋体" w:hint="default"/>
                <w:sz w:val="21"/>
                <w:szCs w:val="21"/>
              </w:rPr>
            </w:pPr>
            <w:r>
              <w:rPr>
                <w:rFonts w:ascii="宋体" w:hAnsi="宋体" w:cs="宋体" w:eastAsia="宋体" w:hint="default"/>
                <w:spacing w:val="-1"/>
                <w:sz w:val="21"/>
                <w:szCs w:val="21"/>
              </w:rPr>
              <w:t>2009年2月12日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深圳大通实业股份有限公司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关于收购要约豁免补正材料 延期公告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2009-008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2009年3月5日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股权分置改革进展的提示性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2009-009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2009年3月5日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关于公司恢复股票上市进展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情况的提示性公告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2009-010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8"/>
              <w:jc w:val="right"/>
              <w:rPr>
                <w:rFonts w:ascii="宋体" w:hAnsi="宋体" w:cs="宋体" w:eastAsia="宋体" w:hint="default"/>
                <w:sz w:val="21"/>
                <w:szCs w:val="21"/>
              </w:rPr>
            </w:pPr>
            <w:r>
              <w:rPr>
                <w:rFonts w:ascii="宋体" w:hAnsi="宋体" w:cs="宋体" w:eastAsia="宋体" w:hint="default"/>
                <w:spacing w:val="-1"/>
                <w:sz w:val="21"/>
                <w:szCs w:val="21"/>
              </w:rPr>
              <w:t>2009年3月7日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关于证监会受理亚星实业收</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购本公司股份报告书及要约 豁免材料的提示性公告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2009-011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2009年4月2日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关于更换恢复上市推荐人的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bl>
    <w:p>
      <w:pPr>
        <w:spacing w:after="0" w:line="240" w:lineRule="auto"/>
        <w:jc w:val="center"/>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056"/>
        <w:gridCol w:w="1752"/>
        <w:gridCol w:w="2820"/>
        <w:gridCol w:w="1490"/>
        <w:gridCol w:w="2736"/>
      </w:tblGrid>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2009-012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2009年4月4日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股权分置改革进展的提示性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2009-013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2009年4月4日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关于公司恢复股票上市进展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情况的提示性公告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2009-014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2009年4月8日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关于控股子公司青岛广顺房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地产有限公司的贷款公告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2009-015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关于变更股权分置改革保荐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机构的公告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2009-016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关于控股子公司股权变更的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2009-018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获得豁免要约收购义务批复 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2009-019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收购报告书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137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2009-020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05"/>
              <w:jc w:val="left"/>
              <w:rPr>
                <w:rFonts w:ascii="宋体" w:hAnsi="宋体" w:cs="宋体" w:eastAsia="宋体" w:hint="default"/>
                <w:sz w:val="21"/>
                <w:szCs w:val="21"/>
              </w:rPr>
            </w:pPr>
            <w:r>
              <w:rPr>
                <w:rFonts w:ascii="宋体" w:hAnsi="宋体" w:cs="宋体" w:eastAsia="宋体" w:hint="default"/>
                <w:sz w:val="21"/>
                <w:szCs w:val="21"/>
              </w:rPr>
              <w:t>深圳市天生人和经济信息</w:t>
            </w:r>
          </w:p>
          <w:p>
            <w:pPr>
              <w:pStyle w:val="TableParagraph"/>
              <w:spacing w:line="237" w:lineRule="auto" w:before="1"/>
              <w:ind w:left="103" w:right="185"/>
              <w:jc w:val="both"/>
              <w:rPr>
                <w:rFonts w:ascii="宋体" w:hAnsi="宋体" w:cs="宋体" w:eastAsia="宋体" w:hint="default"/>
                <w:sz w:val="21"/>
                <w:szCs w:val="21"/>
              </w:rPr>
            </w:pPr>
            <w:r>
              <w:rPr>
                <w:rFonts w:ascii="宋体" w:hAnsi="宋体" w:cs="宋体" w:eastAsia="宋体" w:hint="default"/>
                <w:sz w:val="21"/>
                <w:szCs w:val="21"/>
              </w:rPr>
              <w:t>咨询有限公司关于青岛亚星 实业有限公司收购深圳大通 实业股份有限公司之财务顾 问报告（修订稿）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0"/>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德衡律师集团事务所关于</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《深圳大通实业股份有限公 司收购报告书》之法律意见 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320" w:right="215"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hyperlink r:id="rId9">
              <w:r>
                <w:rPr>
                  <w:rFonts w:ascii="宋体"/>
                  <w:sz w:val="21"/>
                </w:rPr>
                <w:t>http://www.cninfo.com.cn</w:t>
              </w:r>
            </w:hyperlink>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德衡律师集团事务所关于</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《深圳大通实业股份有限公 司收购报告书》之补充法律 意见书（一）</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320" w:right="215"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hyperlink r:id="rId9">
              <w:r>
                <w:rPr>
                  <w:rFonts w:ascii="宋体"/>
                  <w:sz w:val="21"/>
                </w:rPr>
                <w:t>http://www.cninfo.com.cn</w:t>
              </w:r>
            </w:hyperlink>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德衡律师集团事务所关于</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《深圳大通实业股份有限公 司收购报告书》之补充法律 意见书（二）</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320" w:right="215"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hyperlink r:id="rId9">
              <w:r>
                <w:rPr>
                  <w:rFonts w:ascii="宋体"/>
                  <w:sz w:val="21"/>
                </w:rPr>
                <w:t>http://www.cninfo.com.cn</w:t>
              </w:r>
            </w:hyperlink>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德衡律师集团事务所关于</w:t>
            </w:r>
          </w:p>
          <w:p>
            <w:pPr>
              <w:pStyle w:val="TableParagraph"/>
              <w:spacing w:line="272" w:lineRule="exact" w:before="26"/>
              <w:ind w:left="103" w:right="185"/>
              <w:jc w:val="both"/>
              <w:rPr>
                <w:rFonts w:ascii="宋体" w:hAnsi="宋体" w:cs="宋体" w:eastAsia="宋体" w:hint="default"/>
                <w:sz w:val="21"/>
                <w:szCs w:val="21"/>
              </w:rPr>
            </w:pPr>
            <w:r>
              <w:rPr>
                <w:rFonts w:ascii="宋体" w:hAnsi="宋体" w:cs="宋体" w:eastAsia="宋体" w:hint="default"/>
                <w:sz w:val="21"/>
                <w:szCs w:val="21"/>
              </w:rPr>
              <w:t>《深圳大通实业股份有限公 司收购报告书》之补充法律 意见书（三）</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320" w:right="215"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2009-021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股份转让过户完成的公告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2009-022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第六届第二十一次董事会会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议决议公告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2009-023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第六届监事会第五次会议决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2009-024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
                <w:sz w:val="21"/>
                <w:szCs w:val="21"/>
              </w:rPr>
              <w:t> </w:t>
            </w:r>
            <w:r>
              <w:rPr>
                <w:rFonts w:ascii="宋体" w:hAnsi="宋体" w:cs="宋体" w:eastAsia="宋体" w:hint="default"/>
                <w:sz w:val="21"/>
                <w:szCs w:val="21"/>
              </w:rPr>
              <w:t>年年度报告摘要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2009-026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股权分置改革实施公告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8"/>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2008年年度报告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2008 年12 月31</w:t>
            </w:r>
            <w:r>
              <w:rPr>
                <w:rFonts w:ascii="宋体" w:hAnsi="宋体" w:cs="宋体" w:eastAsia="宋体" w:hint="default"/>
                <w:spacing w:val="-6"/>
                <w:sz w:val="21"/>
                <w:szCs w:val="21"/>
              </w:rPr>
              <w:t> </w:t>
            </w:r>
            <w:r>
              <w:rPr>
                <w:rFonts w:ascii="宋体" w:hAnsi="宋体" w:cs="宋体" w:eastAsia="宋体" w:hint="default"/>
                <w:sz w:val="21"/>
                <w:szCs w:val="21"/>
              </w:rPr>
              <w:t>日财务报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表审计报告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bl>
    <w:p>
      <w:pPr>
        <w:spacing w:after="0" w:line="240" w:lineRule="auto"/>
        <w:jc w:val="center"/>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056"/>
        <w:gridCol w:w="1752"/>
        <w:gridCol w:w="2820"/>
        <w:gridCol w:w="1490"/>
        <w:gridCol w:w="2736"/>
      </w:tblGrid>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内部控制自我评价报告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关于深圳大通实业股份有限</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公司关联方占用上市公司资 金情况的专项审核报告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5"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年报资料外部单位内幕知情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人表</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2009年4月30日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年第一季度季度报告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2009-027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9"/>
              <w:jc w:val="right"/>
              <w:rPr>
                <w:rFonts w:ascii="宋体" w:hAnsi="宋体" w:cs="宋体" w:eastAsia="宋体" w:hint="default"/>
                <w:sz w:val="21"/>
                <w:szCs w:val="21"/>
              </w:rPr>
            </w:pPr>
            <w:r>
              <w:rPr>
                <w:rFonts w:ascii="宋体" w:hAnsi="宋体" w:cs="宋体" w:eastAsia="宋体" w:hint="default"/>
                <w:spacing w:val="-1"/>
                <w:sz w:val="21"/>
                <w:szCs w:val="21"/>
              </w:rPr>
              <w:t>2009年5月4日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股改实施变更简称的公告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2009-028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2009年5月14日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关于公司恢复股票上市进展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情况的提示性公告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2009-029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6"/>
              <w:jc w:val="right"/>
              <w:rPr>
                <w:rFonts w:ascii="宋体" w:hAnsi="宋体" w:cs="宋体" w:eastAsia="宋体" w:hint="default"/>
                <w:sz w:val="21"/>
                <w:szCs w:val="21"/>
              </w:rPr>
            </w:pPr>
            <w:r>
              <w:rPr>
                <w:rFonts w:ascii="宋体" w:hAnsi="宋体" w:cs="宋体" w:eastAsia="宋体" w:hint="default"/>
                <w:spacing w:val="-1"/>
                <w:sz w:val="21"/>
                <w:szCs w:val="21"/>
              </w:rPr>
              <w:t>2009年5月16日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2008年年度报告补充公告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2009年5月16日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
                <w:sz w:val="21"/>
                <w:szCs w:val="21"/>
              </w:rPr>
              <w:t> </w:t>
            </w:r>
            <w:r>
              <w:rPr>
                <w:rFonts w:ascii="宋体" w:hAnsi="宋体" w:cs="宋体" w:eastAsia="宋体" w:hint="default"/>
                <w:spacing w:val="-3"/>
                <w:sz w:val="21"/>
                <w:szCs w:val="21"/>
              </w:rPr>
              <w:t>年年度报告摘要（修订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2009年5月16日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2008年年度报告（修订稿）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2009年5月19日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关于公司证券事务代表辞职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2009年5月19日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第六届第二十二次董事会决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2009-033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8"/>
              <w:jc w:val="right"/>
              <w:rPr>
                <w:rFonts w:ascii="宋体" w:hAnsi="宋体" w:cs="宋体" w:eastAsia="宋体" w:hint="default"/>
                <w:sz w:val="21"/>
                <w:szCs w:val="21"/>
              </w:rPr>
            </w:pPr>
            <w:r>
              <w:rPr>
                <w:rFonts w:ascii="宋体" w:hAnsi="宋体" w:cs="宋体" w:eastAsia="宋体" w:hint="default"/>
                <w:spacing w:val="-1"/>
                <w:sz w:val="21"/>
                <w:szCs w:val="21"/>
              </w:rPr>
              <w:t>2009年6月2日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豁免要约收购本公司的实施 进展公告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2009年6月5日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关于公司恢复股票上市进展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情况的提示性公告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2009年6月9日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第六届第二十三次董事会决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2009年6月9日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 2008</w:t>
            </w:r>
            <w:r>
              <w:rPr>
                <w:rFonts w:ascii="宋体" w:hAnsi="宋体" w:cs="宋体" w:eastAsia="宋体" w:hint="default"/>
                <w:spacing w:val="-2"/>
                <w:sz w:val="21"/>
                <w:szCs w:val="21"/>
              </w:rPr>
              <w:t> </w:t>
            </w:r>
            <w:r>
              <w:rPr>
                <w:rFonts w:ascii="宋体" w:hAnsi="宋体" w:cs="宋体" w:eastAsia="宋体" w:hint="default"/>
                <w:sz w:val="21"/>
                <w:szCs w:val="21"/>
              </w:rPr>
              <w:t>年年度股东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大会的通知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2009年6月16日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关于股东股份被司法冻结、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轮侯冻结的公告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2009年6月19日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关于公司恢复上市进展情况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2009-039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2009年6月30日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
                <w:sz w:val="21"/>
                <w:szCs w:val="21"/>
              </w:rPr>
              <w:t> </w:t>
            </w:r>
            <w:r>
              <w:rPr>
                <w:rFonts w:ascii="宋体" w:hAnsi="宋体" w:cs="宋体" w:eastAsia="宋体" w:hint="default"/>
                <w:sz w:val="21"/>
                <w:szCs w:val="21"/>
              </w:rPr>
              <w:t>年年度股东大会决议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87"/>
              <w:jc w:val="right"/>
              <w:rPr>
                <w:rFonts w:ascii="宋体" w:hAnsi="宋体" w:cs="宋体" w:eastAsia="宋体" w:hint="default"/>
                <w:sz w:val="21"/>
                <w:szCs w:val="21"/>
              </w:rPr>
            </w:pPr>
            <w:r>
              <w:rPr>
                <w:rFonts w:ascii="宋体" w:hAnsi="宋体" w:cs="宋体" w:eastAsia="宋体" w:hint="default"/>
                <w:spacing w:val="-1"/>
                <w:sz w:val="21"/>
                <w:szCs w:val="21"/>
              </w:rPr>
              <w:t>2009年6月30日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北京君合律师事务所关于深</w:t>
            </w:r>
          </w:p>
          <w:p>
            <w:pPr>
              <w:pStyle w:val="TableParagraph"/>
              <w:spacing w:line="272" w:lineRule="exact" w:before="26"/>
              <w:ind w:left="103" w:right="290"/>
              <w:jc w:val="left"/>
              <w:rPr>
                <w:rFonts w:ascii="宋体" w:hAnsi="宋体" w:cs="宋体" w:eastAsia="宋体" w:hint="default"/>
                <w:sz w:val="21"/>
                <w:szCs w:val="21"/>
              </w:rPr>
            </w:pPr>
            <w:r>
              <w:rPr>
                <w:rFonts w:ascii="宋体" w:hAnsi="宋体" w:cs="宋体" w:eastAsia="宋体" w:hint="default"/>
                <w:sz w:val="21"/>
                <w:szCs w:val="21"/>
              </w:rPr>
              <w:t>圳大通实业股份有限公司 2008</w:t>
            </w:r>
            <w:r>
              <w:rPr>
                <w:rFonts w:ascii="宋体" w:hAnsi="宋体" w:cs="宋体" w:eastAsia="宋体" w:hint="default"/>
                <w:spacing w:val="-2"/>
                <w:sz w:val="21"/>
                <w:szCs w:val="21"/>
              </w:rPr>
              <w:t> </w:t>
            </w:r>
            <w:r>
              <w:rPr>
                <w:rFonts w:ascii="宋体" w:hAnsi="宋体" w:cs="宋体" w:eastAsia="宋体" w:hint="default"/>
                <w:sz w:val="21"/>
                <w:szCs w:val="21"/>
              </w:rPr>
              <w:t>年年度股东大会的法</w:t>
            </w:r>
            <w:r>
              <w:rPr>
                <w:rFonts w:ascii="宋体" w:hAnsi="宋体" w:cs="宋体" w:eastAsia="宋体" w:hint="default"/>
                <w:sz w:val="21"/>
                <w:szCs w:val="21"/>
              </w:rPr>
              <w:t> 律意见书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320" w:right="215"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hyperlink r:id="rId9">
              <w:r>
                <w:rPr>
                  <w:rFonts w:ascii="宋体"/>
                  <w:sz w:val="21"/>
                </w:rPr>
                <w:t>http://www.cninfo.com.cn</w:t>
              </w:r>
            </w:hyperlink>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2009-040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38"/>
              <w:jc w:val="right"/>
              <w:rPr>
                <w:rFonts w:ascii="宋体" w:hAnsi="宋体" w:cs="宋体" w:eastAsia="宋体" w:hint="default"/>
                <w:sz w:val="21"/>
                <w:szCs w:val="21"/>
              </w:rPr>
            </w:pPr>
            <w:r>
              <w:rPr>
                <w:rFonts w:ascii="宋体" w:hAnsi="宋体" w:cs="宋体" w:eastAsia="宋体" w:hint="default"/>
                <w:spacing w:val="-1"/>
                <w:sz w:val="21"/>
                <w:szCs w:val="21"/>
              </w:rPr>
              <w:t>2009年7月8日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豁免要约收购本公司的实施 进展公告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2009-041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8"/>
              <w:jc w:val="right"/>
              <w:rPr>
                <w:rFonts w:ascii="宋体" w:hAnsi="宋体" w:cs="宋体" w:eastAsia="宋体" w:hint="default"/>
                <w:sz w:val="21"/>
                <w:szCs w:val="21"/>
              </w:rPr>
            </w:pPr>
            <w:r>
              <w:rPr>
                <w:rFonts w:ascii="宋体" w:hAnsi="宋体" w:cs="宋体" w:eastAsia="宋体" w:hint="default"/>
                <w:spacing w:val="-1"/>
                <w:sz w:val="21"/>
                <w:szCs w:val="21"/>
              </w:rPr>
              <w:t>2009年7月8日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关于公司恢复上市进展情况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2009-042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7"/>
              <w:jc w:val="right"/>
              <w:rPr>
                <w:rFonts w:ascii="宋体" w:hAnsi="宋体" w:cs="宋体" w:eastAsia="宋体" w:hint="default"/>
                <w:sz w:val="21"/>
                <w:szCs w:val="21"/>
              </w:rPr>
            </w:pPr>
            <w:r>
              <w:rPr>
                <w:rFonts w:ascii="宋体" w:hAnsi="宋体" w:cs="宋体" w:eastAsia="宋体" w:hint="default"/>
                <w:spacing w:val="-1"/>
                <w:sz w:val="21"/>
                <w:szCs w:val="21"/>
              </w:rPr>
              <w:t>2009年7月28日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第六届第二十四次董事会决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28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7"/>
              <w:jc w:val="right"/>
              <w:rPr>
                <w:rFonts w:ascii="宋体" w:hAnsi="宋体" w:cs="宋体" w:eastAsia="宋体" w:hint="default"/>
                <w:sz w:val="21"/>
                <w:szCs w:val="21"/>
              </w:rPr>
            </w:pPr>
            <w:r>
              <w:rPr>
                <w:rFonts w:ascii="宋体" w:hAnsi="宋体" w:cs="宋体" w:eastAsia="宋体" w:hint="default"/>
                <w:spacing w:val="-1"/>
                <w:sz w:val="21"/>
                <w:szCs w:val="21"/>
              </w:rPr>
              <w:t>2009年7月28日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2009年半年度报告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left"/>
              <w:rPr>
                <w:rFonts w:ascii="宋体" w:hAnsi="宋体" w:cs="宋体" w:eastAsia="宋体" w:hint="default"/>
                <w:sz w:val="21"/>
                <w:szCs w:val="21"/>
              </w:rPr>
            </w:pPr>
            <w:r>
              <w:rPr>
                <w:rFonts w:ascii="宋体" w:hAnsi="宋体" w:cs="宋体" w:eastAsia="宋体" w:hint="default"/>
                <w:sz w:val="21"/>
                <w:szCs w:val="21"/>
              </w:rPr>
              <w:t>中国证券报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hyperlink r:id="rId9">
              <w:r>
                <w:rPr>
                  <w:rFonts w:ascii="宋体"/>
                  <w:sz w:val="21"/>
                </w:rPr>
                <w:t>http://www.cninfo.com.cn</w:t>
              </w:r>
            </w:hyperlink>
          </w:p>
        </w:tc>
      </w:tr>
    </w:tbl>
    <w:p>
      <w:pPr>
        <w:spacing w:after="0" w:line="240" w:lineRule="exact"/>
        <w:jc w:val="center"/>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056"/>
        <w:gridCol w:w="1752"/>
        <w:gridCol w:w="2820"/>
        <w:gridCol w:w="1490"/>
        <w:gridCol w:w="2736"/>
      </w:tblGrid>
      <w:tr>
        <w:trPr>
          <w:trHeight w:val="282"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282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2009年7月28日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年半年度报告摘要</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2009年7月28日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 年6 月30</w:t>
            </w:r>
            <w:r>
              <w:rPr>
                <w:rFonts w:ascii="宋体" w:hAnsi="宋体" w:cs="宋体" w:eastAsia="宋体" w:hint="default"/>
                <w:spacing w:val="-4"/>
                <w:sz w:val="21"/>
                <w:szCs w:val="21"/>
              </w:rPr>
              <w:t> </w:t>
            </w:r>
            <w:r>
              <w:rPr>
                <w:rFonts w:ascii="宋体" w:hAnsi="宋体" w:cs="宋体" w:eastAsia="宋体" w:hint="default"/>
                <w:sz w:val="21"/>
                <w:szCs w:val="21"/>
              </w:rPr>
              <w:t>日财务报表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审计报告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2009年7月28日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半年报资料内幕信息知情人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2009-043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2009年7月29日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第六届第二十五次董事会决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2009-044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2009年8月5日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关于公司恢复上市进展情况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2009-045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2009年8月5日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豁免要约收购本公司的实施 进展公告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2009-046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2009年8月5日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关于股东股份被司法冻结、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轮侯冻结的公告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2009-047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2009年8月25日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关于公司收到深圳证监局整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改通知的公告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2009-048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2009年9月4日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豁免要约收购本公司的实施 进展公告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2009-049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2009年9月4日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关于公司恢复上市进展情况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2009-050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2009年9月16日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关于股东股份被司法冻结、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轮侯冻结的公告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2009-051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2009年10月10日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豁免要约收购本公司的实施 进展公告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2009-052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2009年10月10日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关于公司恢复上市进展情况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2009-053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2009年10月15日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2009年第三季度业绩预告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2009-055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2009年10月28日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第六届第二十六次董事会决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2009-056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2009年10月28日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第六届监事会第八次会议决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2009年10月28日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年第三季度季度报告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2009年10月28日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2009-057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2009年11月5日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豁免要约收购本公司的实施 进展公告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2009-058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2009年11月5日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关于公司恢复上市进展情况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sz w:val="21"/>
              </w:rPr>
              <w:t>2009-059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2009年12月4日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关于青岛亚星实业有限公司</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豁免要约收购本公司的实施 进展公告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4"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2009-060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2009年12月4日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关于公司恢复上市进展情况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bl>
    <w:p>
      <w:pPr>
        <w:spacing w:after="0" w:line="240" w:lineRule="auto"/>
        <w:jc w:val="center"/>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056"/>
        <w:gridCol w:w="1752"/>
        <w:gridCol w:w="2820"/>
        <w:gridCol w:w="1490"/>
        <w:gridCol w:w="2736"/>
      </w:tblGrid>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2009-061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2009年12月10日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第六届第二十七次董事会决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2009-062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2009年12月10日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第六届第九次监事会决议公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2009-063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2009年12月10日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 2009</w:t>
            </w:r>
            <w:r>
              <w:rPr>
                <w:rFonts w:ascii="宋体" w:hAnsi="宋体" w:cs="宋体" w:eastAsia="宋体" w:hint="default"/>
                <w:spacing w:val="-2"/>
                <w:sz w:val="21"/>
                <w:szCs w:val="21"/>
              </w:rPr>
              <w:t> </w:t>
            </w:r>
            <w:r>
              <w:rPr>
                <w:rFonts w:ascii="宋体" w:hAnsi="宋体" w:cs="宋体" w:eastAsia="宋体" w:hint="default"/>
                <w:sz w:val="21"/>
                <w:szCs w:val="21"/>
              </w:rPr>
              <w:t>年第一次临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时股东大会的通知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2009年12月10日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宋体" w:hAnsi="宋体" w:cs="宋体" w:eastAsia="宋体" w:hint="default"/>
                <w:sz w:val="21"/>
                <w:szCs w:val="21"/>
              </w:rPr>
            </w:pPr>
            <w:r>
              <w:rPr>
                <w:rFonts w:ascii="宋体" w:hAnsi="宋体" w:cs="宋体" w:eastAsia="宋体" w:hint="default"/>
                <w:sz w:val="21"/>
                <w:szCs w:val="21"/>
              </w:rPr>
              <w:t>独立董事提名人声明</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2009年12月10日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独立董事候选人声明（舒强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兴）</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2009年12月10日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3"/>
              <w:jc w:val="left"/>
              <w:rPr>
                <w:rFonts w:ascii="宋体" w:hAnsi="宋体" w:cs="宋体" w:eastAsia="宋体" w:hint="default"/>
                <w:sz w:val="21"/>
                <w:szCs w:val="21"/>
              </w:rPr>
            </w:pPr>
            <w:r>
              <w:rPr>
                <w:rFonts w:ascii="宋体" w:hAnsi="宋体" w:cs="宋体" w:eastAsia="宋体" w:hint="default"/>
                <w:spacing w:val="-2"/>
                <w:sz w:val="21"/>
                <w:szCs w:val="21"/>
              </w:rPr>
              <w:t>独立董事候选人声明（王洪）</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2009年12月10日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独立董事候选人声明（齐二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石）</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2009-64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2009年12月26日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
                <w:sz w:val="21"/>
                <w:szCs w:val="21"/>
              </w:rPr>
              <w:t> </w:t>
            </w:r>
            <w:r>
              <w:rPr>
                <w:rFonts w:ascii="宋体" w:hAnsi="宋体" w:cs="宋体" w:eastAsia="宋体" w:hint="default"/>
                <w:sz w:val="21"/>
                <w:szCs w:val="21"/>
              </w:rPr>
              <w:t>年第一次临时股东大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会决议公告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2009年12月26日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关于深圳大通实业股份有限</w:t>
            </w:r>
          </w:p>
          <w:p>
            <w:pPr>
              <w:pStyle w:val="TableParagraph"/>
              <w:spacing w:line="272" w:lineRule="exact" w:before="26"/>
              <w:ind w:left="103" w:right="185"/>
              <w:jc w:val="left"/>
              <w:rPr>
                <w:rFonts w:ascii="宋体" w:hAnsi="宋体" w:cs="宋体" w:eastAsia="宋体" w:hint="default"/>
                <w:sz w:val="21"/>
                <w:szCs w:val="21"/>
              </w:rPr>
            </w:pPr>
            <w:r>
              <w:rPr>
                <w:rFonts w:ascii="宋体" w:hAnsi="宋体" w:cs="宋体" w:eastAsia="宋体" w:hint="default"/>
                <w:sz w:val="21"/>
                <w:szCs w:val="21"/>
              </w:rPr>
              <w:t>公司二○○九年第一次临时 股东大会的法律意见书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0" w:right="215" w:hanging="106"/>
              <w:jc w:val="left"/>
              <w:rPr>
                <w:rFonts w:ascii="宋体" w:hAnsi="宋体" w:cs="宋体" w:eastAsia="宋体" w:hint="default"/>
                <w:sz w:val="21"/>
                <w:szCs w:val="21"/>
              </w:rPr>
            </w:pPr>
            <w:r>
              <w:rPr>
                <w:rFonts w:ascii="宋体" w:hAnsi="宋体" w:cs="宋体" w:eastAsia="宋体" w:hint="default"/>
                <w:sz w:val="21"/>
                <w:szCs w:val="21"/>
              </w:rPr>
              <w:t>中国证券报 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hyperlink r:id="rId9">
              <w:r>
                <w:rPr>
                  <w:rFonts w:ascii="宋体"/>
                  <w:sz w:val="21"/>
                </w:rPr>
                <w:t>http://www.cninfo.com.cn</w:t>
              </w:r>
            </w:hyperlink>
          </w:p>
        </w:tc>
      </w:tr>
      <w:tr>
        <w:trPr>
          <w:trHeight w:val="55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2009-065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2009年12月31日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第七届董事会第一次会议决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r>
        <w:trPr>
          <w:trHeight w:val="55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2009-066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2009年12月31日</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第七届监事会第一次会议决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议公告</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hyperlink r:id="rId9">
              <w:r>
                <w:rPr>
                  <w:rFonts w:ascii="宋体"/>
                  <w:sz w:val="21"/>
                </w:rPr>
                <w:t>http://www.cninfo.com.cn</w:t>
              </w:r>
            </w:hyperlink>
          </w:p>
        </w:tc>
      </w:tr>
    </w:tbl>
    <w:p>
      <w:pPr>
        <w:spacing w:after="0" w:line="240" w:lineRule="auto"/>
        <w:jc w:val="center"/>
        <w:rPr>
          <w:rFonts w:ascii="宋体" w:hAnsi="宋体" w:cs="宋体" w:eastAsia="宋体" w:hint="default"/>
          <w:sz w:val="21"/>
          <w:szCs w:val="21"/>
        </w:rPr>
        <w:sectPr>
          <w:pgSz w:w="11910" w:h="16840"/>
          <w:pgMar w:header="747" w:footer="669" w:top="980" w:bottom="860" w:left="920" w:right="900"/>
        </w:sectPr>
      </w:pPr>
    </w:p>
    <w:p>
      <w:pPr>
        <w:spacing w:line="240" w:lineRule="auto" w:before="0"/>
        <w:rPr>
          <w:rFonts w:ascii="Times New Roman" w:hAnsi="Times New Roman" w:cs="Times New Roman" w:eastAsia="Times New Roman" w:hint="default"/>
          <w:sz w:val="20"/>
          <w:szCs w:val="20"/>
        </w:rPr>
      </w:pPr>
    </w:p>
    <w:p>
      <w:pPr>
        <w:pStyle w:val="Heading1"/>
        <w:tabs>
          <w:tab w:pos="1606" w:val="left" w:leader="none"/>
        </w:tabs>
        <w:spacing w:line="240" w:lineRule="auto" w:before="168"/>
        <w:ind w:right="56"/>
        <w:jc w:val="center"/>
        <w:rPr>
          <w:b w:val="0"/>
          <w:bCs w:val="0"/>
        </w:rPr>
      </w:pPr>
      <w:bookmarkStart w:name="_TOC_250001" w:id="11"/>
      <w:r>
        <w:rPr>
          <w:w w:val="95"/>
        </w:rPr>
        <w:t>第十一章</w:t>
        <w:tab/>
      </w:r>
      <w:r>
        <w:rPr/>
        <w:t>财务会计报告</w:t>
      </w:r>
      <w:bookmarkEnd w:id="11"/>
      <w:r>
        <w:rPr>
          <w:b w:val="0"/>
          <w:bCs w:val="0"/>
        </w:rPr>
      </w:r>
    </w:p>
    <w:p>
      <w:pPr>
        <w:spacing w:line="240" w:lineRule="auto" w:before="0"/>
        <w:rPr>
          <w:rFonts w:ascii="宋体" w:hAnsi="宋体" w:cs="宋体" w:eastAsia="宋体" w:hint="default"/>
          <w:b/>
          <w:bCs/>
          <w:sz w:val="35"/>
          <w:szCs w:val="35"/>
        </w:rPr>
      </w:pPr>
    </w:p>
    <w:p>
      <w:pPr>
        <w:pStyle w:val="BodyText"/>
        <w:spacing w:line="357" w:lineRule="auto" w:before="0"/>
        <w:ind w:left="153" w:right="209" w:firstLine="480"/>
        <w:jc w:val="left"/>
      </w:pPr>
      <w:r>
        <w:rPr/>
        <w:t>公司年度财务报告已经深圳市鹏城会计师事务所有限公司注册会计师杨盛巧、管盛春审</w:t>
      </w:r>
      <w:r>
        <w:rPr>
          <w:spacing w:val="1"/>
        </w:rPr>
        <w:t> </w:t>
      </w:r>
      <w:r>
        <w:rPr/>
        <w:t>计，并出具了标准无保留意见的审计报告。</w:t>
      </w:r>
    </w:p>
    <w:p>
      <w:pPr>
        <w:pStyle w:val="BodyText"/>
        <w:spacing w:line="240" w:lineRule="auto"/>
        <w:ind w:left="633" w:right="209"/>
        <w:jc w:val="left"/>
      </w:pPr>
      <w:r>
        <w:rPr/>
        <w:t>（一）审计报告</w:t>
      </w:r>
    </w:p>
    <w:p>
      <w:pPr>
        <w:spacing w:line="240" w:lineRule="auto" w:before="10"/>
        <w:rPr>
          <w:rFonts w:ascii="宋体" w:hAnsi="宋体" w:cs="宋体" w:eastAsia="宋体" w:hint="default"/>
          <w:sz w:val="21"/>
          <w:szCs w:val="21"/>
        </w:rPr>
      </w:pPr>
    </w:p>
    <w:p>
      <w:pPr>
        <w:pStyle w:val="Heading2"/>
        <w:spacing w:line="240" w:lineRule="auto"/>
        <w:ind w:right="55"/>
        <w:jc w:val="center"/>
      </w:pPr>
      <w:r>
        <w:rPr/>
        <w:t>审 计 报</w:t>
      </w:r>
      <w:r>
        <w:rPr>
          <w:spacing w:val="-1"/>
        </w:rPr>
        <w:t> </w:t>
      </w:r>
      <w:r>
        <w:rPr/>
        <w:t>告</w:t>
      </w:r>
    </w:p>
    <w:p>
      <w:pPr>
        <w:spacing w:line="240" w:lineRule="auto" w:before="5"/>
        <w:rPr>
          <w:rFonts w:ascii="黑体" w:hAnsi="黑体" w:cs="黑体" w:eastAsia="黑体" w:hint="default"/>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深鹏所股审字</w:t>
      </w:r>
      <w:r>
        <w:rPr>
          <w:rFonts w:ascii="Times New Roman" w:hAnsi="Times New Roman" w:cs="Times New Roman" w:eastAsia="Times New Roman" w:hint="default"/>
          <w:sz w:val="18"/>
          <w:szCs w:val="18"/>
        </w:rPr>
        <w:t>[2010]000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line="240" w:lineRule="auto" w:before="6"/>
        <w:rPr>
          <w:rFonts w:ascii="宋体" w:hAnsi="宋体" w:cs="宋体" w:eastAsia="宋体" w:hint="default"/>
          <w:sz w:val="20"/>
          <w:szCs w:val="20"/>
        </w:rPr>
      </w:pPr>
    </w:p>
    <w:p>
      <w:pPr>
        <w:spacing w:line="453" w:lineRule="auto" w:before="0"/>
        <w:ind w:left="573" w:right="209"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深圳大通实业股份有限公司全体股东： 我们审计了后附的深圳大通实业股份有限公司（以下简称深圳大通实业公司）财务报表，包括</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2009</w:t>
      </w:r>
    </w:p>
    <w:p>
      <w:pPr>
        <w:spacing w:line="429" w:lineRule="auto" w:before="22"/>
        <w:ind w:left="153" w:right="20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日公司及合并的资产负债表，</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年度公司及合并的利润表、现金流量表和所有者权益变动表 以及财务报表附注。</w:t>
      </w:r>
    </w:p>
    <w:p>
      <w:pPr>
        <w:spacing w:before="79"/>
        <w:ind w:left="576" w:right="209"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9"/>
        <w:rPr>
          <w:rFonts w:ascii="黑体" w:hAnsi="黑体" w:cs="黑体" w:eastAsia="黑体" w:hint="default"/>
          <w:b/>
          <w:bCs/>
          <w:sz w:val="18"/>
          <w:szCs w:val="18"/>
        </w:rPr>
      </w:pPr>
    </w:p>
    <w:p>
      <w:pPr>
        <w:spacing w:line="429" w:lineRule="auto" w:before="0"/>
        <w:ind w:left="153" w:right="104" w:firstLine="419"/>
        <w:jc w:val="both"/>
        <w:rPr>
          <w:rFonts w:ascii="宋体" w:hAnsi="宋体" w:cs="宋体" w:eastAsia="宋体" w:hint="default"/>
          <w:sz w:val="21"/>
          <w:szCs w:val="21"/>
        </w:rPr>
      </w:pPr>
      <w:r>
        <w:rPr>
          <w:rFonts w:ascii="宋体" w:hAnsi="宋体" w:cs="宋体" w:eastAsia="宋体" w:hint="default"/>
          <w:spacing w:val="-1"/>
          <w:sz w:val="21"/>
          <w:szCs w:val="21"/>
        </w:rPr>
        <w:t>按照企业会计准则规定编制财务报表是深圳大通实业公司管理层的责任。这种责任包括：（</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）设计、</w:t>
      </w:r>
      <w:r>
        <w:rPr>
          <w:rFonts w:ascii="宋体" w:hAnsi="宋体" w:cs="宋体" w:eastAsia="宋体" w:hint="default"/>
          <w:sz w:val="21"/>
          <w:szCs w:val="21"/>
        </w:rPr>
        <w:t> </w:t>
      </w:r>
      <w:r>
        <w:rPr>
          <w:rFonts w:ascii="宋体" w:hAnsi="宋体" w:cs="宋体" w:eastAsia="宋体" w:hint="default"/>
          <w:spacing w:val="-5"/>
          <w:sz w:val="21"/>
          <w:szCs w:val="21"/>
        </w:rPr>
        <w:t>实施和维护与财务报表编制相关的内部控制，以使财务报表不存在由于舞弊或错误而导致的重大错报；（</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pacing w:val="-97"/>
          <w:sz w:val="21"/>
          <w:szCs w:val="21"/>
        </w:rPr>
        <w:t> </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before="45"/>
        <w:ind w:left="576" w:right="209"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10"/>
        <w:rPr>
          <w:rFonts w:ascii="黑体" w:hAnsi="黑体" w:cs="黑体" w:eastAsia="黑体" w:hint="default"/>
          <w:b/>
          <w:bCs/>
          <w:sz w:val="18"/>
          <w:szCs w:val="18"/>
        </w:rPr>
      </w:pPr>
    </w:p>
    <w:p>
      <w:pPr>
        <w:spacing w:line="453" w:lineRule="auto" w:before="0"/>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我们的责任是在实施审计工作的基础上对财务报表发表审计意见。我们按照中国注册会计师审计准则</w:t>
      </w:r>
      <w:r>
        <w:rPr>
          <w:rFonts w:ascii="宋体" w:hAnsi="宋体" w:cs="宋体" w:eastAsia="宋体" w:hint="default"/>
          <w:sz w:val="21"/>
          <w:szCs w:val="21"/>
        </w:rPr>
        <w:t> </w:t>
      </w:r>
      <w:r>
        <w:rPr>
          <w:rFonts w:ascii="宋体" w:hAnsi="宋体" w:cs="宋体" w:eastAsia="宋体" w:hint="default"/>
          <w:spacing w:val="-1"/>
          <w:sz w:val="21"/>
          <w:szCs w:val="21"/>
        </w:rPr>
        <w:t>的规定执行了审计工作。中国注册会计师审计准则要求我们遵守职业道德规范，计划和实施审计工作以对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财务报表是否不存在重大错报获取合理保证。</w:t>
      </w:r>
    </w:p>
    <w:p>
      <w:pPr>
        <w:spacing w:line="453" w:lineRule="auto" w:before="59"/>
        <w:ind w:left="153" w:right="102"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rFonts w:ascii="宋体" w:hAnsi="宋体" w:cs="宋体" w:eastAsia="宋体" w:hint="default"/>
          <w:spacing w:val="-3"/>
          <w:sz w:val="21"/>
          <w:szCs w:val="21"/>
        </w:rPr>
        <w:t>考虑与财务报表编制相关的内部控制，以设计恰当的审计程序，但目的并非对内部控制的有效性发表意见。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审计工作还包括评价管理层选用会计政策的恰当性和作出会计估计的合理性，以及评价财务报表的总体列</w:t>
      </w:r>
      <w:r>
        <w:rPr>
          <w:rFonts w:ascii="宋体" w:hAnsi="宋体" w:cs="宋体" w:eastAsia="宋体" w:hint="default"/>
          <w:sz w:val="21"/>
          <w:szCs w:val="21"/>
        </w:rPr>
        <w:t> 报。</w:t>
      </w:r>
    </w:p>
    <w:p>
      <w:pPr>
        <w:spacing w:before="58"/>
        <w:ind w:left="573" w:right="209"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10"/>
        <w:rPr>
          <w:rFonts w:ascii="宋体" w:hAnsi="宋体" w:cs="宋体" w:eastAsia="宋体" w:hint="default"/>
          <w:sz w:val="18"/>
          <w:szCs w:val="18"/>
        </w:rPr>
      </w:pPr>
    </w:p>
    <w:p>
      <w:pPr>
        <w:spacing w:before="0"/>
        <w:ind w:left="576" w:right="209"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747" w:footer="669" w:top="980" w:bottom="860" w:left="980" w:right="920"/>
        </w:sect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8"/>
          <w:szCs w:val="28"/>
        </w:rPr>
      </w:pPr>
    </w:p>
    <w:p>
      <w:pPr>
        <w:spacing w:line="441" w:lineRule="auto" w:before="35"/>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我们认为，深圳大通实业公司财务报表已经按照企业会计准则规定编制，在所有重大方面公允反映了</w:t>
      </w:r>
      <w:r>
        <w:rPr>
          <w:rFonts w:ascii="宋体" w:hAnsi="宋体" w:cs="宋体" w:eastAsia="宋体" w:hint="default"/>
          <w:sz w:val="21"/>
          <w:szCs w:val="21"/>
        </w:rPr>
        <w:t> 深圳大通实业公司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日公司及合并的财务状况以及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年度公司及合并的经营成果和现金 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869" w:val="left" w:leader="none"/>
          <w:tab w:pos="8289" w:val="left" w:leader="none"/>
        </w:tabs>
        <w:spacing w:line="331" w:lineRule="auto" w:before="140"/>
        <w:ind w:left="1187" w:right="602" w:hanging="1002"/>
        <w:jc w:val="left"/>
        <w:rPr>
          <w:rFonts w:ascii="宋体" w:hAnsi="宋体" w:cs="宋体" w:eastAsia="宋体" w:hint="default"/>
          <w:sz w:val="21"/>
          <w:szCs w:val="21"/>
        </w:rPr>
      </w:pPr>
      <w:r>
        <w:rPr>
          <w:rFonts w:ascii="宋体" w:hAnsi="宋体" w:cs="宋体" w:eastAsia="宋体" w:hint="default"/>
          <w:sz w:val="21"/>
          <w:szCs w:val="21"/>
        </w:rPr>
        <w:t>深圳市鹏城会计师事务所有限公司</w:t>
        <w:tab/>
        <w:t>中国注册会计师 中国 </w:t>
      </w:r>
      <w:r>
        <w:rPr>
          <w:rFonts w:ascii="Wingdings" w:hAnsi="Wingdings" w:cs="Wingdings" w:eastAsia="Wingdings" w:hint="default"/>
          <w:sz w:val="21"/>
          <w:szCs w:val="21"/>
        </w:rPr>
        <w:t></w:t>
      </w:r>
      <w:r>
        <w:rPr>
          <w:rFonts w:ascii="Wingdings" w:hAnsi="Wingdings" w:cs="Wingdings" w:eastAsia="Wingdings" w:hint="default"/>
          <w:spacing w:val="-166"/>
          <w:sz w:val="21"/>
          <w:szCs w:val="21"/>
        </w:rPr>
        <w:t></w:t>
      </w:r>
      <w:r>
        <w:rPr>
          <w:rFonts w:ascii="Times New Roman" w:hAnsi="Times New Roman" w:cs="Times New Roman" w:eastAsia="Times New Roman" w:hint="default"/>
          <w:spacing w:val="-166"/>
          <w:sz w:val="21"/>
          <w:szCs w:val="21"/>
        </w:rPr>
      </w:r>
      <w:r>
        <w:rPr>
          <w:rFonts w:ascii="宋体" w:hAnsi="宋体" w:cs="宋体" w:eastAsia="宋体" w:hint="default"/>
          <w:sz w:val="21"/>
          <w:szCs w:val="21"/>
        </w:rPr>
        <w:t>深圳</w:t>
        <w:tab/>
        <w:tab/>
        <w:t>杨盛巧</w:t>
      </w:r>
    </w:p>
    <w:p>
      <w:pPr>
        <w:spacing w:line="240" w:lineRule="auto" w:before="2"/>
        <w:rPr>
          <w:rFonts w:ascii="宋体" w:hAnsi="宋体" w:cs="宋体" w:eastAsia="宋体" w:hint="default"/>
          <w:sz w:val="29"/>
          <w:szCs w:val="29"/>
        </w:rPr>
      </w:pPr>
    </w:p>
    <w:p>
      <w:pPr>
        <w:spacing w:before="0"/>
        <w:ind w:left="0" w:right="602" w:firstLine="0"/>
        <w:jc w:val="right"/>
        <w:rPr>
          <w:rFonts w:ascii="宋体" w:hAnsi="宋体" w:cs="宋体" w:eastAsia="宋体" w:hint="default"/>
          <w:sz w:val="21"/>
          <w:szCs w:val="21"/>
        </w:rPr>
      </w:pPr>
      <w:r>
        <w:rPr>
          <w:rFonts w:ascii="宋体" w:hAnsi="宋体" w:cs="宋体" w:eastAsia="宋体" w:hint="default"/>
          <w:sz w:val="21"/>
          <w:szCs w:val="21"/>
        </w:rPr>
        <w:t>中国注册会计师</w:t>
      </w:r>
    </w:p>
    <w:p>
      <w:pPr>
        <w:tabs>
          <w:tab w:pos="8289" w:val="left" w:leader="none"/>
        </w:tabs>
        <w:spacing w:before="105"/>
        <w:ind w:left="94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t>管盛春</w:t>
      </w:r>
    </w:p>
    <w:p>
      <w:pPr>
        <w:spacing w:after="0"/>
        <w:jc w:val="left"/>
        <w:rPr>
          <w:rFonts w:ascii="宋体" w:hAnsi="宋体" w:cs="宋体" w:eastAsia="宋体" w:hint="default"/>
          <w:sz w:val="21"/>
          <w:szCs w:val="21"/>
        </w:rPr>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4" w:right="7770"/>
        <w:jc w:val="left"/>
      </w:pPr>
      <w:r>
        <w:rPr/>
        <w:t>（二）财务报表 1、资产负债表</w:t>
      </w:r>
    </w:p>
    <w:p>
      <w:pPr>
        <w:tabs>
          <w:tab w:pos="5403" w:val="left" w:leader="none"/>
          <w:tab w:pos="8919" w:val="left" w:leader="none"/>
        </w:tabs>
        <w:spacing w:before="79"/>
        <w:ind w:left="154" w:right="115" w:firstLine="0"/>
        <w:jc w:val="left"/>
        <w:rPr>
          <w:rFonts w:ascii="宋体" w:hAnsi="宋体" w:cs="宋体" w:eastAsia="宋体" w:hint="default"/>
          <w:sz w:val="21"/>
          <w:szCs w:val="21"/>
        </w:rPr>
      </w:pPr>
      <w:r>
        <w:rPr>
          <w:rFonts w:ascii="宋体" w:hAnsi="宋体" w:cs="宋体" w:eastAsia="宋体" w:hint="default"/>
          <w:sz w:val="21"/>
          <w:szCs w:val="21"/>
        </w:rPr>
        <w:t>编制单位：深圳大通实业股份有限公司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t>单位：元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62" w:hRule="exact"/>
        </w:trPr>
        <w:tc>
          <w:tcPr>
            <w:tcW w:w="25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62" w:hRule="exact"/>
        </w:trPr>
        <w:tc>
          <w:tcPr>
            <w:tcW w:w="2548"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144,800,392.95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19,719.59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32,530,614.74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56,213.56</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59,300.00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4,967,905.96</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3,373,668.80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38,520.06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10,430,603.32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87,404.24</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327,140,703.69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258,037,804.47</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23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475,374,065.44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58,239.65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305,966,928.49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143,617.80</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208,562,237.00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208,562,237.00</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412,422.38</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21"/>
                <w:szCs w:val="21"/>
              </w:rPr>
            </w:pPr>
            <w:r>
              <w:rPr>
                <w:rFonts w:ascii="Times New Roman"/>
                <w:spacing w:val="-1"/>
                <w:sz w:val="21"/>
              </w:rPr>
              <w:t>236,527.71</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467,236.25</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21"/>
                <w:szCs w:val="21"/>
              </w:rPr>
            </w:pPr>
            <w:r>
              <w:rPr>
                <w:rFonts w:ascii="Times New Roman"/>
                <w:spacing w:val="-1"/>
                <w:sz w:val="21"/>
              </w:rPr>
              <w:t>308,134.78</w:t>
            </w:r>
            <w:r>
              <w:rPr>
                <w:rFonts w:ascii="Times New Roman"/>
                <w:sz w:val="21"/>
              </w:rPr>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507,127.85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1,173,372.16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1,173,372.16</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919,550.23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208,798,764.71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1,640,608.41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210,043,743.94</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476,293,615.67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208,857,004.36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307,607,536.90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210,187,361.74</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46,370,842.28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46,370,842.28</w:t>
            </w:r>
          </w:p>
        </w:tc>
      </w:tr>
      <w:tr>
        <w:trPr>
          <w:trHeight w:val="361"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13"/>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77,876,431.31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8,215,291.21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8,215,291.21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8,215,291.21</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29,743,802.05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875,431.15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875,431.15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875,431.15</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413"/>
              <w:jc w:val="right"/>
              <w:rPr>
                <w:rFonts w:ascii="宋体" w:hAnsi="宋体" w:cs="宋体" w:eastAsia="宋体" w:hint="default"/>
                <w:sz w:val="21"/>
                <w:szCs w:val="21"/>
              </w:rPr>
            </w:pPr>
            <w:r>
              <w:rPr>
                <w:rFonts w:ascii="宋体" w:hAnsi="宋体" w:cs="宋体" w:eastAsia="宋体" w:hint="default"/>
                <w:spacing w:val="-1"/>
                <w:sz w:val="21"/>
                <w:szCs w:val="21"/>
              </w:rPr>
              <w:t>卖出回购金融资产款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1,812.43</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1,812.43</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24,068,917.25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11,075,553.02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11,343,563.15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11,074,883.02</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11,984,750.28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11,984,750.28</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206,029.02</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21"/>
                <w:szCs w:val="21"/>
              </w:rPr>
            </w:pPr>
            <w:r>
              <w:rPr>
                <w:rFonts w:ascii="Times New Roman"/>
                <w:spacing w:val="-1"/>
                <w:sz w:val="21"/>
              </w:rPr>
              <w:t>206,029.02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206,029.02</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21"/>
                <w:szCs w:val="21"/>
              </w:rPr>
            </w:pPr>
            <w:r>
              <w:rPr>
                <w:rFonts w:ascii="Times New Roman"/>
                <w:spacing w:val="-1"/>
                <w:sz w:val="21"/>
              </w:rPr>
              <w:t>206,029.02</w:t>
            </w:r>
            <w:r>
              <w:rPr>
                <w:rFonts w:ascii="Times New Roman"/>
                <w:sz w:val="21"/>
              </w:rPr>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61,736,355.84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42,913,383.84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98,134,441.67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26,953,149.59</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23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203,633,347.90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73,285,688.24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177,132,161.19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105,680,376.55</w:t>
            </w:r>
          </w:p>
        </w:tc>
      </w:tr>
      <w:tr>
        <w:trPr>
          <w:trHeight w:val="361"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118,370,842.28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26,370,842.28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118,370,842.28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26,370,842.28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322,004,190.18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99,656,530.52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177,132,161.19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105,680,376.55</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96,227,998.00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96,227,998.00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90,486,000.00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90,486,000.00</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20,857,045.81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20,857,045.81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26,599,043.81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26,599,043.81</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5,887,067.95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5,887,067.95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5,887,067.95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5,887,067.95</w:t>
            </w:r>
          </w:p>
        </w:tc>
      </w:tr>
      <w:tr>
        <w:trPr>
          <w:trHeight w:val="361"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1,829,373.65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21"/>
                <w:szCs w:val="21"/>
              </w:rPr>
            </w:pPr>
            <w:r>
              <w:rPr>
                <w:rFonts w:ascii="Times New Roman"/>
                <w:spacing w:val="-1"/>
                <w:sz w:val="21"/>
              </w:rPr>
              <w:t>-13,771,637.92</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-19,734,763.12</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-18,465,126.57</w:t>
            </w:r>
            <w:r>
              <w:rPr>
                <w:rFonts w:ascii="Times New Roman"/>
                <w:sz w:val="21"/>
              </w:rPr>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3"/>
              <w:jc w:val="left"/>
              <w:rPr>
                <w:rFonts w:ascii="宋体" w:hAnsi="宋体" w:cs="宋体" w:eastAsia="宋体" w:hint="default"/>
                <w:sz w:val="21"/>
                <w:szCs w:val="21"/>
              </w:rPr>
            </w:pPr>
            <w:r>
              <w:rPr>
                <w:rFonts w:ascii="宋体" w:hAnsi="宋体" w:cs="宋体" w:eastAsia="宋体" w:hint="default"/>
                <w:sz w:val="21"/>
                <w:szCs w:val="21"/>
              </w:rPr>
              <w:t>归属于母公司所有者权益 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124,801,485.41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109,200,473.84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103,237,348.64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104,506,985.19</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29,487,940.08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27,238,027.07</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154,289,425.49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109,200,473.84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130,475,375.71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104,506,985.19</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476,293,615.67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208,857,004.36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307,607,536.90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210,187,361.74</w:t>
            </w:r>
          </w:p>
        </w:tc>
      </w:tr>
    </w:tbl>
    <w:p>
      <w:pPr>
        <w:pStyle w:val="BodyText"/>
        <w:spacing w:line="275" w:lineRule="exact" w:before="0"/>
        <w:ind w:left="634" w:right="115"/>
        <w:jc w:val="left"/>
      </w:pPr>
      <w:r>
        <w:rPr/>
        <w:t>2、利润表</w:t>
      </w:r>
    </w:p>
    <w:p>
      <w:pPr>
        <w:tabs>
          <w:tab w:pos="5508" w:val="left" w:leader="none"/>
          <w:tab w:pos="8883" w:val="left" w:leader="none"/>
        </w:tabs>
        <w:spacing w:before="198"/>
        <w:ind w:left="154" w:right="115" w:firstLine="0"/>
        <w:jc w:val="left"/>
        <w:rPr>
          <w:rFonts w:ascii="宋体" w:hAnsi="宋体" w:cs="宋体" w:eastAsia="宋体" w:hint="default"/>
          <w:sz w:val="21"/>
          <w:szCs w:val="21"/>
        </w:rPr>
      </w:pPr>
      <w:r>
        <w:rPr>
          <w:rFonts w:ascii="宋体" w:hAnsi="宋体" w:cs="宋体" w:eastAsia="宋体" w:hint="default"/>
          <w:sz w:val="21"/>
          <w:szCs w:val="21"/>
        </w:rPr>
        <w:t>编制单位：深圳大通实业股份有限公司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tab/>
        <w:t>单位：元</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62" w:hRule="exact"/>
        </w:trPr>
        <w:tc>
          <w:tcPr>
            <w:tcW w:w="25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2" w:hRule="exact"/>
        </w:trPr>
        <w:tc>
          <w:tcPr>
            <w:tcW w:w="2548"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110,043,571.90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110,043,571.90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3"/>
              <w:jc w:val="right"/>
              <w:rPr>
                <w:rFonts w:ascii="宋体" w:hAnsi="宋体" w:cs="宋体" w:eastAsia="宋体" w:hint="default"/>
                <w:sz w:val="21"/>
                <w:szCs w:val="21"/>
              </w:rPr>
            </w:pPr>
            <w:r>
              <w:rPr>
                <w:rFonts w:ascii="宋体" w:hAnsi="宋体" w:cs="宋体" w:eastAsia="宋体" w:hint="default"/>
                <w:spacing w:val="-1"/>
                <w:sz w:val="21"/>
                <w:szCs w:val="21"/>
              </w:rPr>
              <w:t>手续费及佣金收入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85,270,543.98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4,699,405.41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9,003,665.21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85" w:right="0"/>
              <w:jc w:val="left"/>
              <w:rPr>
                <w:rFonts w:ascii="Times New Roman" w:hAnsi="Times New Roman" w:cs="Times New Roman" w:eastAsia="Times New Roman" w:hint="default"/>
                <w:sz w:val="21"/>
                <w:szCs w:val="21"/>
              </w:rPr>
            </w:pPr>
            <w:r>
              <w:rPr>
                <w:rFonts w:ascii="Times New Roman"/>
                <w:sz w:val="21"/>
              </w:rPr>
              <w:t>7,578,731.01</w:t>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70,124,034.22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3"/>
              <w:jc w:val="right"/>
              <w:rPr>
                <w:rFonts w:ascii="宋体" w:hAnsi="宋体" w:cs="宋体" w:eastAsia="宋体" w:hint="default"/>
                <w:sz w:val="21"/>
                <w:szCs w:val="21"/>
              </w:rPr>
            </w:pPr>
            <w:r>
              <w:rPr>
                <w:rFonts w:ascii="宋体" w:hAnsi="宋体" w:cs="宋体" w:eastAsia="宋体" w:hint="default"/>
                <w:spacing w:val="-1"/>
                <w:sz w:val="21"/>
                <w:szCs w:val="21"/>
              </w:rPr>
              <w:t>手续费及佣金支出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653"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24.00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5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7,169,500.82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54"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6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65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1,160,171.73</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13,475.00</w:t>
            </w:r>
          </w:p>
        </w:tc>
        <w:tc>
          <w:tcPr>
            <w:tcW w:w="1820"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65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4,194,037.45</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1,989,097.61</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4,973,986.40</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3,541,069.10</w:t>
            </w:r>
          </w:p>
        </w:tc>
      </w:tr>
      <w:tr>
        <w:trPr>
          <w:trHeight w:val="36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65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2,524,447.72</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2,710,307.80</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4,006,203.81</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4,027,661.93</w:t>
            </w:r>
          </w:p>
        </w:tc>
      </w:tr>
      <w:tr>
        <w:trPr>
          <w:trHeight w:val="36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65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98,352.04</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10,000.00</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635" w:hRule="exact"/>
        </w:trPr>
        <w:tc>
          <w:tcPr>
            <w:tcW w:w="4368" w:type="dxa"/>
            <w:gridSpan w:val="2"/>
            <w:tcBorders>
              <w:top w:val="nil" w:sz="6" w:space="0" w:color="auto"/>
              <w:left w:val="nil" w:sz="6" w:space="0" w:color="auto"/>
              <w:bottom w:val="single" w:sz="4" w:space="0" w:color="000000"/>
              <w:right w:val="nil" w:sz="6" w:space="0" w:color="auto"/>
            </w:tcBorders>
          </w:tcPr>
          <w:p>
            <w:pPr>
              <w:pStyle w:val="TableParagraph"/>
              <w:spacing w:line="274" w:lineRule="exact" w:before="10"/>
              <w:ind w:left="238"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27"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nil" w:sz="6" w:space="0" w:color="auto"/>
              <w:left w:val="nil" w:sz="6" w:space="0" w:color="auto"/>
              <w:bottom w:val="single" w:sz="4" w:space="0" w:color="000000"/>
              <w:right w:val="nil" w:sz="6" w:space="0" w:color="auto"/>
            </w:tcBorders>
          </w:tcPr>
          <w:p>
            <w:pPr/>
          </w:p>
        </w:tc>
        <w:tc>
          <w:tcPr>
            <w:tcW w:w="1820" w:type="dxa"/>
            <w:tcBorders>
              <w:top w:val="nil" w:sz="6" w:space="0" w:color="auto"/>
              <w:left w:val="nil" w:sz="6" w:space="0" w:color="auto"/>
              <w:bottom w:val="single" w:sz="4" w:space="0" w:color="000000"/>
              <w:right w:val="nil" w:sz="6" w:space="0" w:color="auto"/>
            </w:tcBorders>
          </w:tcPr>
          <w:p>
            <w:pPr/>
          </w:p>
        </w:tc>
      </w:tr>
      <w:tr>
        <w:trPr>
          <w:trHeight w:val="635"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72" w:lineRule="exact" w:before="33"/>
              <w:ind w:left="27" w:right="1742" w:firstLine="631"/>
              <w:jc w:val="left"/>
              <w:rPr>
                <w:rFonts w:ascii="宋体" w:hAnsi="宋体" w:cs="宋体" w:eastAsia="宋体" w:hint="default"/>
                <w:sz w:val="21"/>
                <w:szCs w:val="21"/>
              </w:rPr>
            </w:pPr>
            <w:r>
              <w:rPr>
                <w:rFonts w:ascii="宋体" w:hAnsi="宋体" w:cs="宋体" w:eastAsia="宋体" w:hint="default"/>
                <w:spacing w:val="-19"/>
                <w:sz w:val="21"/>
                <w:szCs w:val="21"/>
              </w:rPr>
              <w:t>投资收益（损失以“</w:t>
            </w:r>
            <w:r>
              <w:rPr>
                <w:rFonts w:ascii="Times New Roman" w:hAnsi="Times New Roman" w:cs="Times New Roman" w:eastAsia="Times New Roman" w:hint="default"/>
                <w:spacing w:val="-19"/>
                <w:sz w:val="21"/>
                <w:szCs w:val="21"/>
              </w:rPr>
              <w:t>-</w:t>
            </w:r>
            <w:r>
              <w:rPr>
                <w:rFonts w:ascii="宋体" w:hAnsi="宋体" w:cs="宋体" w:eastAsia="宋体" w:hint="default"/>
                <w:spacing w:val="-19"/>
                <w:sz w:val="21"/>
                <w:szCs w:val="21"/>
              </w:rPr>
              <w:t>”</w:t>
            </w:r>
            <w:r>
              <w:rPr>
                <w:rFonts w:ascii="宋体" w:hAnsi="宋体" w:cs="宋体" w:eastAsia="宋体" w:hint="default"/>
                <w:sz w:val="21"/>
                <w:szCs w:val="21"/>
              </w:rPr>
              <w:t> 号填列）</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nil" w:sz="6" w:space="0" w:color="auto"/>
              <w:bottom w:val="single" w:sz="4" w:space="0" w:color="000000"/>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
        </w:tc>
      </w:tr>
      <w:tr>
        <w:trPr>
          <w:trHeight w:val="635"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72" w:lineRule="exact" w:before="33"/>
              <w:ind w:left="27" w:right="1847" w:firstLine="841"/>
              <w:jc w:val="left"/>
              <w:rPr>
                <w:rFonts w:ascii="宋体" w:hAnsi="宋体" w:cs="宋体" w:eastAsia="宋体" w:hint="default"/>
                <w:sz w:val="21"/>
                <w:szCs w:val="21"/>
              </w:rPr>
            </w:pPr>
            <w:r>
              <w:rPr>
                <w:rFonts w:ascii="宋体" w:hAnsi="宋体" w:cs="宋体" w:eastAsia="宋体" w:hint="default"/>
                <w:spacing w:val="-4"/>
                <w:sz w:val="21"/>
                <w:szCs w:val="21"/>
              </w:rPr>
              <w:t>其中：对联营企业</w:t>
            </w:r>
            <w:r>
              <w:rPr>
                <w:rFonts w:ascii="宋体" w:hAnsi="宋体" w:cs="宋体" w:eastAsia="宋体" w:hint="default"/>
                <w:sz w:val="21"/>
                <w:szCs w:val="21"/>
              </w:rPr>
              <w:t> 和合营企业的投资收益</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nil" w:sz="6" w:space="0" w:color="auto"/>
              <w:bottom w:val="single" w:sz="4" w:space="0" w:color="000000"/>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
        </w:tc>
      </w:tr>
      <w:tr>
        <w:trPr>
          <w:trHeight w:val="634"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72" w:lineRule="exact" w:before="33"/>
              <w:ind w:left="27" w:right="1748" w:firstLine="421"/>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 号填列）</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nil" w:sz="6" w:space="0" w:color="auto"/>
              <w:bottom w:val="single" w:sz="4" w:space="0" w:color="000000"/>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
        </w:tc>
      </w:tr>
      <w:tr>
        <w:trPr>
          <w:trHeight w:val="635"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37" w:lineRule="exact" w:before="5"/>
              <w:ind w:left="27"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133" w:val="left" w:leader="none"/>
              </w:tabs>
              <w:spacing w:line="312" w:lineRule="exact"/>
              <w:ind w:left="2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24,773,027.92</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-4,699,405.41</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-9,003,665.21</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-7,578,731.01</w:t>
            </w:r>
          </w:p>
        </w:tc>
      </w:tr>
      <w:tr>
        <w:trPr>
          <w:trHeight w:val="362" w:hRule="exact"/>
        </w:trPr>
        <w:tc>
          <w:tcPr>
            <w:tcW w:w="254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3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4"/>
              <w:jc w:val="right"/>
              <w:rPr>
                <w:rFonts w:ascii="Times New Roman" w:hAnsi="Times New Roman" w:cs="Times New Roman" w:eastAsia="Times New Roman" w:hint="default"/>
                <w:sz w:val="21"/>
                <w:szCs w:val="21"/>
              </w:rPr>
            </w:pPr>
            <w:r>
              <w:rPr>
                <w:rFonts w:ascii="Times New Roman"/>
                <w:spacing w:val="-1"/>
                <w:sz w:val="21"/>
              </w:rPr>
              <w:t>10,566,546.44</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6"/>
              <w:jc w:val="right"/>
              <w:rPr>
                <w:rFonts w:ascii="Times New Roman" w:hAnsi="Times New Roman" w:cs="Times New Roman" w:eastAsia="Times New Roman" w:hint="default"/>
                <w:sz w:val="21"/>
                <w:szCs w:val="21"/>
              </w:rPr>
            </w:pPr>
            <w:r>
              <w:rPr>
                <w:rFonts w:ascii="Times New Roman"/>
                <w:spacing w:val="-1"/>
                <w:sz w:val="21"/>
              </w:rPr>
              <w:t>10,566,266.22</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6"/>
              <w:jc w:val="right"/>
              <w:rPr>
                <w:rFonts w:ascii="Times New Roman" w:hAnsi="Times New Roman" w:cs="Times New Roman" w:eastAsia="Times New Roman" w:hint="default"/>
                <w:sz w:val="21"/>
                <w:szCs w:val="21"/>
              </w:rPr>
            </w:pPr>
            <w:r>
              <w:rPr>
                <w:rFonts w:ascii="Times New Roman"/>
                <w:spacing w:val="-1"/>
                <w:sz w:val="21"/>
              </w:rPr>
              <w:t>208,578,842.94</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5"/>
              <w:jc w:val="right"/>
              <w:rPr>
                <w:rFonts w:ascii="Times New Roman" w:hAnsi="Times New Roman" w:cs="Times New Roman" w:eastAsia="Times New Roman" w:hint="default"/>
                <w:sz w:val="21"/>
                <w:szCs w:val="21"/>
              </w:rPr>
            </w:pPr>
            <w:r>
              <w:rPr>
                <w:rFonts w:ascii="Times New Roman"/>
                <w:spacing w:val="-1"/>
                <w:sz w:val="21"/>
              </w:rPr>
              <w:t>208,578,842.94</w:t>
            </w:r>
          </w:p>
        </w:tc>
      </w:tr>
      <w:tr>
        <w:trPr>
          <w:trHeight w:val="36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3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4.53</w:t>
            </w:r>
          </w:p>
        </w:tc>
        <w:tc>
          <w:tcPr>
            <w:tcW w:w="1820" w:type="dxa"/>
            <w:tcBorders>
              <w:top w:val="single" w:sz="4" w:space="0" w:color="000000"/>
              <w:left w:val="nil" w:sz="6" w:space="0" w:color="auto"/>
              <w:bottom w:val="single" w:sz="4" w:space="0" w:color="000000"/>
              <w:right w:val="nil" w:sz="6" w:space="0" w:color="auto"/>
            </w:tcBorders>
          </w:tcPr>
          <w:p>
            <w:pP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12,308,341.38</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4"/>
              <w:jc w:val="right"/>
              <w:rPr>
                <w:rFonts w:ascii="Times New Roman" w:hAnsi="Times New Roman" w:cs="Times New Roman" w:eastAsia="Times New Roman" w:hint="default"/>
                <w:sz w:val="21"/>
                <w:szCs w:val="21"/>
              </w:rPr>
            </w:pPr>
            <w:r>
              <w:rPr>
                <w:rFonts w:ascii="Times New Roman"/>
                <w:spacing w:val="-1"/>
                <w:sz w:val="21"/>
              </w:rPr>
              <w:t>12,308,341.38</w:t>
            </w:r>
          </w:p>
        </w:tc>
      </w:tr>
      <w:tr>
        <w:trPr>
          <w:trHeight w:val="635"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74" w:lineRule="exact" w:before="5"/>
              <w:ind w:left="448"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820" w:type="dxa"/>
            <w:tcBorders>
              <w:top w:val="single" w:sz="4" w:space="0" w:color="000000"/>
              <w:left w:val="nil" w:sz="6" w:space="0" w:color="auto"/>
              <w:bottom w:val="single" w:sz="4" w:space="0" w:color="000000"/>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
        </w:tc>
        <w:tc>
          <w:tcPr>
            <w:tcW w:w="1819" w:type="dxa"/>
            <w:tcBorders>
              <w:top w:val="single" w:sz="4" w:space="0" w:color="000000"/>
              <w:left w:val="nil" w:sz="6" w:space="0" w:color="auto"/>
              <w:bottom w:val="single" w:sz="4" w:space="0" w:color="000000"/>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
        </w:tc>
      </w:tr>
      <w:tr>
        <w:trPr>
          <w:trHeight w:val="635" w:hRule="exact"/>
        </w:trPr>
        <w:tc>
          <w:tcPr>
            <w:tcW w:w="4368" w:type="dxa"/>
            <w:gridSpan w:val="2"/>
            <w:tcBorders>
              <w:top w:val="nil" w:sz="6" w:space="0" w:color="auto"/>
              <w:left w:val="nil" w:sz="6" w:space="0" w:color="auto"/>
              <w:bottom w:val="single" w:sz="4" w:space="0" w:color="000000"/>
              <w:right w:val="nil" w:sz="6" w:space="0" w:color="auto"/>
            </w:tcBorders>
          </w:tcPr>
          <w:p>
            <w:pPr>
              <w:pStyle w:val="TableParagraph"/>
              <w:spacing w:line="229" w:lineRule="exact" w:before="10"/>
              <w:ind w:left="27"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tabs>
                <w:tab w:pos="3133" w:val="left" w:leader="none"/>
              </w:tabs>
              <w:spacing w:line="336" w:lineRule="exact"/>
              <w:ind w:left="27"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35,339,569.83</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5,866,860.81</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187,266,836.35</w:t>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188,691,770.55</w:t>
            </w:r>
          </w:p>
        </w:tc>
      </w:tr>
      <w:tr>
        <w:trPr>
          <w:trHeight w:val="362"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tabs>
                <w:tab w:pos="3140" w:val="left" w:leader="none"/>
              </w:tabs>
              <w:spacing w:line="240" w:lineRule="auto" w:before="5"/>
              <w:ind w:left="238"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减：所得税费用</w:t>
              <w:tab/>
            </w:r>
            <w:r>
              <w:rPr>
                <w:rFonts w:ascii="Times New Roman" w:hAnsi="Times New Roman" w:cs="Times New Roman" w:eastAsia="Times New Roman" w:hint="default"/>
                <w:spacing w:val="-2"/>
                <w:sz w:val="21"/>
                <w:szCs w:val="21"/>
              </w:rPr>
              <w:t>11,525,520.05</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1"/>
                <w:szCs w:val="21"/>
              </w:rPr>
            </w:pPr>
            <w:r>
              <w:rPr>
                <w:rFonts w:ascii="Times New Roman"/>
                <w:spacing w:val="-1"/>
                <w:sz w:val="21"/>
              </w:rPr>
              <w:t>1,173,372.16</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-1,173,372.16</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-1,173,372.16</w:t>
            </w:r>
          </w:p>
        </w:tc>
      </w:tr>
      <w:tr>
        <w:trPr>
          <w:trHeight w:val="635"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37" w:lineRule="exact" w:before="5"/>
              <w:ind w:left="27"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133" w:val="left" w:leader="none"/>
              </w:tabs>
              <w:spacing w:line="312" w:lineRule="exact"/>
              <w:ind w:left="2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23,814,049.78</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4,693,488.65</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188,440,208.51</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189,865,142.71</w:t>
            </w:r>
          </w:p>
        </w:tc>
      </w:tr>
      <w:tr>
        <w:trPr>
          <w:trHeight w:val="635"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29" w:lineRule="exact" w:before="5"/>
              <w:ind w:left="448"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3133" w:val="left" w:leader="none"/>
              </w:tabs>
              <w:spacing w:line="320" w:lineRule="exact"/>
              <w:ind w:left="2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的净利润</w:t>
              <w:tab/>
            </w:r>
            <w:r>
              <w:rPr>
                <w:rFonts w:ascii="Times New Roman" w:hAnsi="Times New Roman" w:cs="Times New Roman" w:eastAsia="Times New Roman" w:hint="default"/>
                <w:sz w:val="21"/>
                <w:szCs w:val="21"/>
              </w:rPr>
              <w:t>21,564,136.77</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4,693,488.65</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188,595,506.14</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189,865,142.71</w:t>
            </w:r>
          </w:p>
        </w:tc>
      </w:tr>
      <w:tr>
        <w:trPr>
          <w:trHeight w:val="362"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tabs>
                <w:tab w:pos="3237" w:val="left" w:leader="none"/>
              </w:tabs>
              <w:spacing w:line="240" w:lineRule="auto" w:before="5"/>
              <w:ind w:left="448"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少数股东损益</w:t>
              <w:tab/>
            </w:r>
            <w:r>
              <w:rPr>
                <w:rFonts w:ascii="Times New Roman" w:hAnsi="Times New Roman" w:cs="Times New Roman" w:eastAsia="Times New Roman" w:hint="default"/>
                <w:spacing w:val="-1"/>
                <w:sz w:val="21"/>
                <w:szCs w:val="21"/>
              </w:rPr>
              <w:t>2,249,913.01</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-155,297.63</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62"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20" w:type="dxa"/>
            <w:tcBorders>
              <w:top w:val="single" w:sz="4" w:space="0" w:color="000000"/>
              <w:left w:val="nil" w:sz="6" w:space="0" w:color="auto"/>
              <w:bottom w:val="single" w:sz="4" w:space="0" w:color="000000"/>
              <w:right w:val="nil" w:sz="6" w:space="0" w:color="auto"/>
            </w:tcBorders>
          </w:tcPr>
          <w:p>
            <w:pPr/>
          </w:p>
        </w:tc>
        <w:tc>
          <w:tcPr>
            <w:tcW w:w="1819" w:type="dxa"/>
            <w:tcBorders>
              <w:top w:val="single" w:sz="4" w:space="0" w:color="000000"/>
              <w:left w:val="nil" w:sz="6" w:space="0" w:color="auto"/>
              <w:bottom w:val="single" w:sz="4" w:space="0" w:color="000000"/>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tabs>
                <w:tab w:pos="4339" w:val="right" w:leader="none"/>
              </w:tabs>
              <w:spacing w:line="240" w:lineRule="auto" w:before="5"/>
              <w:ind w:left="4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ab/>
              <w:t>0.22</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1"/>
                <w:szCs w:val="21"/>
              </w:rPr>
            </w:pPr>
            <w:r>
              <w:rPr>
                <w:rFonts w:ascii="Times New Roman"/>
                <w:spacing w:val="-1"/>
                <w:sz w:val="21"/>
              </w:rPr>
              <w:t>0.05</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2.08</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2.10</w:t>
            </w:r>
          </w:p>
        </w:tc>
      </w:tr>
      <w:tr>
        <w:trPr>
          <w:trHeight w:val="362"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tabs>
                <w:tab w:pos="4339" w:val="right" w:leader="none"/>
              </w:tabs>
              <w:spacing w:line="240" w:lineRule="auto" w:before="5"/>
              <w:ind w:left="4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ab/>
              <w:t>0.22</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7"/>
              <w:jc w:val="right"/>
              <w:rPr>
                <w:rFonts w:ascii="Times New Roman" w:hAnsi="Times New Roman" w:cs="Times New Roman" w:eastAsia="Times New Roman" w:hint="default"/>
                <w:sz w:val="21"/>
                <w:szCs w:val="21"/>
              </w:rPr>
            </w:pPr>
            <w:r>
              <w:rPr>
                <w:rFonts w:ascii="Times New Roman"/>
                <w:spacing w:val="-1"/>
                <w:sz w:val="21"/>
              </w:rPr>
              <w:t>0.05</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2.08</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6"/>
              <w:jc w:val="right"/>
              <w:rPr>
                <w:rFonts w:ascii="Times New Roman" w:hAnsi="Times New Roman" w:cs="Times New Roman" w:eastAsia="Times New Roman" w:hint="default"/>
                <w:sz w:val="21"/>
                <w:szCs w:val="21"/>
              </w:rPr>
            </w:pPr>
            <w:r>
              <w:rPr>
                <w:rFonts w:ascii="Times New Roman"/>
                <w:spacing w:val="-1"/>
                <w:sz w:val="21"/>
              </w:rPr>
              <w:t>2.10</w:t>
            </w:r>
          </w:p>
        </w:tc>
      </w:tr>
      <w:tr>
        <w:trPr>
          <w:trHeight w:val="362"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left="27"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820" w:type="dxa"/>
            <w:tcBorders>
              <w:top w:val="single" w:sz="4" w:space="0" w:color="000000"/>
              <w:left w:val="nil" w:sz="6" w:space="0" w:color="auto"/>
              <w:bottom w:val="single" w:sz="4" w:space="0" w:color="000000"/>
              <w:right w:val="nil" w:sz="6" w:space="0" w:color="auto"/>
            </w:tcBorders>
          </w:tcPr>
          <w:p>
            <w:pPr/>
          </w:p>
        </w:tc>
        <w:tc>
          <w:tcPr>
            <w:tcW w:w="1819" w:type="dxa"/>
            <w:tcBorders>
              <w:top w:val="single" w:sz="4" w:space="0" w:color="000000"/>
              <w:left w:val="nil" w:sz="6" w:space="0" w:color="auto"/>
              <w:bottom w:val="single" w:sz="4" w:space="0" w:color="000000"/>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tabs>
                <w:tab w:pos="3133" w:val="left" w:leader="none"/>
              </w:tabs>
              <w:spacing w:line="240" w:lineRule="auto" w:before="5"/>
              <w:ind w:left="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八、综合收益总额</w:t>
              <w:tab/>
            </w:r>
            <w:r>
              <w:rPr>
                <w:rFonts w:ascii="Times New Roman" w:hAnsi="Times New Roman" w:cs="Times New Roman" w:eastAsia="Times New Roman" w:hint="default"/>
                <w:sz w:val="21"/>
                <w:szCs w:val="21"/>
              </w:rPr>
              <w:t>23,814,049.78</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4,693,488.65</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188,440,208.51</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5"/>
              <w:jc w:val="right"/>
              <w:rPr>
                <w:rFonts w:ascii="Times New Roman" w:hAnsi="Times New Roman" w:cs="Times New Roman" w:eastAsia="Times New Roman" w:hint="default"/>
                <w:sz w:val="21"/>
                <w:szCs w:val="21"/>
              </w:rPr>
            </w:pPr>
            <w:r>
              <w:rPr>
                <w:rFonts w:ascii="Times New Roman"/>
                <w:spacing w:val="-1"/>
                <w:sz w:val="21"/>
              </w:rPr>
              <w:t>189,865,142.71</w:t>
            </w:r>
          </w:p>
        </w:tc>
      </w:tr>
      <w:tr>
        <w:trPr>
          <w:trHeight w:val="634"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29" w:lineRule="exact" w:before="5"/>
              <w:ind w:left="448"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3133" w:val="left" w:leader="none"/>
              </w:tabs>
              <w:spacing w:line="320" w:lineRule="exact"/>
              <w:ind w:left="2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的综合收益总额</w:t>
              <w:tab/>
            </w:r>
            <w:r>
              <w:rPr>
                <w:rFonts w:ascii="Times New Roman" w:hAnsi="Times New Roman" w:cs="Times New Roman" w:eastAsia="Times New Roman" w:hint="default"/>
                <w:sz w:val="21"/>
                <w:szCs w:val="21"/>
              </w:rPr>
              <w:t>21,564,136.77</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4,693,488.65</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188,595,506.14</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189,865,142.71</w:t>
            </w:r>
          </w:p>
        </w:tc>
      </w:tr>
      <w:tr>
        <w:trPr>
          <w:trHeight w:val="636" w:hRule="exact"/>
        </w:trPr>
        <w:tc>
          <w:tcPr>
            <w:tcW w:w="4368" w:type="dxa"/>
            <w:gridSpan w:val="2"/>
            <w:tcBorders>
              <w:top w:val="single" w:sz="4" w:space="0" w:color="000000"/>
              <w:left w:val="nil" w:sz="6" w:space="0" w:color="auto"/>
              <w:bottom w:val="single" w:sz="4" w:space="0" w:color="000000"/>
              <w:right w:val="nil" w:sz="6" w:space="0" w:color="auto"/>
            </w:tcBorders>
          </w:tcPr>
          <w:p>
            <w:pPr>
              <w:pStyle w:val="TableParagraph"/>
              <w:spacing w:line="229" w:lineRule="exact" w:before="5"/>
              <w:ind w:left="448"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tabs>
                <w:tab w:pos="3237" w:val="left" w:leader="none"/>
              </w:tabs>
              <w:spacing w:line="320" w:lineRule="exact"/>
              <w:ind w:left="27"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合收益总额</w:t>
              <w:tab/>
            </w:r>
            <w:r>
              <w:rPr>
                <w:rFonts w:ascii="Times New Roman" w:hAnsi="Times New Roman" w:cs="Times New Roman" w:eastAsia="Times New Roman" w:hint="default"/>
                <w:sz w:val="21"/>
                <w:szCs w:val="21"/>
              </w:rPr>
              <w:t>2,249,913.01</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0.00</w:t>
            </w: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-155,297.63</w:t>
            </w: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0.00</w:t>
            </w:r>
          </w:p>
        </w:tc>
      </w:tr>
    </w:tbl>
    <w:p>
      <w:pPr>
        <w:pStyle w:val="BodyText"/>
        <w:spacing w:line="270" w:lineRule="exact" w:before="0"/>
        <w:ind w:left="634" w:right="115"/>
        <w:jc w:val="left"/>
      </w:pPr>
      <w:r>
        <w:rPr/>
        <w:pict>
          <v:group style="position:absolute;margin-left:183.839996pt;margin-top:-585.119995pt;width:.5pt;height:585.15pt;mso-position-horizontal-relative:page;mso-position-vertical-relative:paragraph;z-index:-495424" coordorigin="3677,-11702" coordsize="10,11703">
            <v:group style="position:absolute;left:3682;top:-11698;width:2;height:353" coordorigin="3682,-11698" coordsize="2,353">
              <v:shape style="position:absolute;left:3682;top:-11698;width:2;height:353" coordorigin="3682,-11698" coordsize="0,353" path="m3682,-11698l3682,-11345e" filled="false" stroked="true" strokeweight=".47998pt" strokecolor="#000000">
                <v:path arrowok="t"/>
              </v:shape>
            </v:group>
            <v:group style="position:absolute;left:3682;top:-11335;width:2;height:353" coordorigin="3682,-11335" coordsize="2,353">
              <v:shape style="position:absolute;left:3682;top:-11335;width:2;height:353" coordorigin="3682,-11335" coordsize="0,353" path="m3682,-11335l3682,-10982e" filled="false" stroked="true" strokeweight=".47998pt" strokecolor="#000000">
                <v:path arrowok="t"/>
              </v:shape>
            </v:group>
            <v:group style="position:absolute;left:3682;top:-10973;width:2;height:353" coordorigin="3682,-10973" coordsize="2,353">
              <v:shape style="position:absolute;left:3682;top:-10973;width:2;height:353" coordorigin="3682,-10973" coordsize="0,353" path="m3682,-10973l3682,-10620e" filled="false" stroked="true" strokeweight=".47998pt" strokecolor="#000000">
                <v:path arrowok="t"/>
              </v:shape>
            </v:group>
            <v:group style="position:absolute;left:3682;top:-10610;width:2;height:353" coordorigin="3682,-10610" coordsize="2,353">
              <v:shape style="position:absolute;left:3682;top:-10610;width:2;height:353" coordorigin="3682,-10610" coordsize="0,353" path="m3682,-10610l3682,-10258e" filled="false" stroked="true" strokeweight=".47998pt" strokecolor="#000000">
                <v:path arrowok="t"/>
              </v:shape>
            </v:group>
            <v:group style="position:absolute;left:3682;top:-10248;width:2;height:626" coordorigin="3682,-10248" coordsize="2,626">
              <v:shape style="position:absolute;left:3682;top:-10248;width:2;height:626" coordorigin="3682,-10248" coordsize="0,626" path="m3682,-10248l3682,-9623e" filled="false" stroked="true" strokeweight=".47998pt" strokecolor="#000000">
                <v:path arrowok="t"/>
              </v:shape>
            </v:group>
            <v:group style="position:absolute;left:3682;top:-9613;width:2;height:626" coordorigin="3682,-9613" coordsize="2,626">
              <v:shape style="position:absolute;left:3682;top:-9613;width:2;height:626" coordorigin="3682,-9613" coordsize="0,626" path="m3682,-9613l3682,-8988e" filled="false" stroked="true" strokeweight=".47998pt" strokecolor="#000000">
                <v:path arrowok="t"/>
              </v:shape>
            </v:group>
            <v:group style="position:absolute;left:3682;top:-8978;width:2;height:626" coordorigin="3682,-8978" coordsize="2,626">
              <v:shape style="position:absolute;left:3682;top:-8978;width:2;height:626" coordorigin="3682,-8978" coordsize="0,626" path="m3682,-8978l3682,-8353e" filled="false" stroked="true" strokeweight=".47998pt" strokecolor="#000000">
                <v:path arrowok="t"/>
              </v:shape>
            </v:group>
            <v:group style="position:absolute;left:3682;top:-8344;width:2;height:624" coordorigin="3682,-8344" coordsize="2,624">
              <v:shape style="position:absolute;left:3682;top:-8344;width:2;height:624" coordorigin="3682,-8344" coordsize="0,624" path="m3682,-8344l3682,-7720e" filled="false" stroked="true" strokeweight=".47998pt" strokecolor="#000000">
                <v:path arrowok="t"/>
              </v:shape>
            </v:group>
            <v:group style="position:absolute;left:3682;top:-7710;width:2;height:626" coordorigin="3682,-7710" coordsize="2,626">
              <v:shape style="position:absolute;left:3682;top:-7710;width:2;height:626" coordorigin="3682,-7710" coordsize="0,626" path="m3682,-7710l3682,-7085e" filled="false" stroked="true" strokeweight=".47998pt" strokecolor="#000000">
                <v:path arrowok="t"/>
              </v:shape>
            </v:group>
            <v:group style="position:absolute;left:3682;top:-7075;width:2;height:353" coordorigin="3682,-7075" coordsize="2,353">
              <v:shape style="position:absolute;left:3682;top:-7075;width:2;height:353" coordorigin="3682,-7075" coordsize="0,353" path="m3682,-7075l3682,-6722e" filled="false" stroked="true" strokeweight=".47998pt" strokecolor="#000000">
                <v:path arrowok="t"/>
              </v:shape>
            </v:group>
            <v:group style="position:absolute;left:3682;top:-6713;width:2;height:353" coordorigin="3682,-6713" coordsize="2,353">
              <v:shape style="position:absolute;left:3682;top:-6713;width:2;height:353" coordorigin="3682,-6713" coordsize="0,353" path="m3682,-6713l3682,-6360e" filled="false" stroked="true" strokeweight=".47998pt" strokecolor="#000000">
                <v:path arrowok="t"/>
              </v:shape>
            </v:group>
            <v:group style="position:absolute;left:3682;top:-6350;width:2;height:626" coordorigin="3682,-6350" coordsize="2,626">
              <v:shape style="position:absolute;left:3682;top:-6350;width:2;height:626" coordorigin="3682,-6350" coordsize="0,626" path="m3682,-6350l3682,-5725e" filled="false" stroked="true" strokeweight=".47998pt" strokecolor="#000000">
                <v:path arrowok="t"/>
              </v:shape>
            </v:group>
            <v:group style="position:absolute;left:3682;top:-5716;width:2;height:626" coordorigin="3682,-5716" coordsize="2,626">
              <v:shape style="position:absolute;left:3682;top:-5716;width:2;height:626" coordorigin="3682,-5716" coordsize="0,626" path="m3682,-5716l3682,-5090e" filled="false" stroked="true" strokeweight=".47998pt" strokecolor="#000000">
                <v:path arrowok="t"/>
              </v:shape>
            </v:group>
            <v:group style="position:absolute;left:3682;top:-5081;width:2;height:353" coordorigin="3682,-5081" coordsize="2,353">
              <v:shape style="position:absolute;left:3682;top:-5081;width:2;height:353" coordorigin="3682,-5081" coordsize="0,353" path="m3682,-5081l3682,-4728e" filled="false" stroked="true" strokeweight=".47998pt" strokecolor="#000000">
                <v:path arrowok="t"/>
              </v:shape>
            </v:group>
            <v:group style="position:absolute;left:3682;top:-4718;width:2;height:626" coordorigin="3682,-4718" coordsize="2,626">
              <v:shape style="position:absolute;left:3682;top:-4718;width:2;height:626" coordorigin="3682,-4718" coordsize="0,626" path="m3682,-4718l3682,-4093e" filled="false" stroked="true" strokeweight=".47998pt" strokecolor="#000000">
                <v:path arrowok="t"/>
              </v:shape>
            </v:group>
            <v:group style="position:absolute;left:3682;top:-4084;width:2;height:626" coordorigin="3682,-4084" coordsize="2,626">
              <v:shape style="position:absolute;left:3682;top:-4084;width:2;height:626" coordorigin="3682,-4084" coordsize="0,626" path="m3682,-4084l3682,-3458e" filled="false" stroked="true" strokeweight=".47998pt" strokecolor="#000000">
                <v:path arrowok="t"/>
              </v:shape>
            </v:group>
            <v:group style="position:absolute;left:3682;top:-3449;width:2;height:353" coordorigin="3682,-3449" coordsize="2,353">
              <v:shape style="position:absolute;left:3682;top:-3449;width:2;height:353" coordorigin="3682,-3449" coordsize="0,353" path="m3682,-3449l3682,-3096e" filled="false" stroked="true" strokeweight=".47998pt" strokecolor="#000000">
                <v:path arrowok="t"/>
              </v:shape>
            </v:group>
            <v:group style="position:absolute;left:3682;top:-3086;width:2;height:353" coordorigin="3682,-3086" coordsize="2,353">
              <v:shape style="position:absolute;left:3682;top:-3086;width:2;height:353" coordorigin="3682,-3086" coordsize="0,353" path="m3682,-3086l3682,-2734e" filled="false" stroked="true" strokeweight=".47998pt" strokecolor="#000000">
                <v:path arrowok="t"/>
              </v:shape>
            </v:group>
            <v:group style="position:absolute;left:3682;top:-2724;width:2;height:353" coordorigin="3682,-2724" coordsize="2,353">
              <v:shape style="position:absolute;left:3682;top:-2724;width:2;height:353" coordorigin="3682,-2724" coordsize="0,353" path="m3682,-2724l3682,-2371e" filled="false" stroked="true" strokeweight=".47998pt" strokecolor="#000000">
                <v:path arrowok="t"/>
              </v:shape>
            </v:group>
            <v:group style="position:absolute;left:3682;top:-2362;width:2;height:353" coordorigin="3682,-2362" coordsize="2,353">
              <v:shape style="position:absolute;left:3682;top:-2362;width:2;height:353" coordorigin="3682,-2362" coordsize="0,353" path="m3682,-2362l3682,-2009e" filled="false" stroked="true" strokeweight=".47998pt" strokecolor="#000000">
                <v:path arrowok="t"/>
              </v:shape>
            </v:group>
            <v:group style="position:absolute;left:3682;top:-1999;width:2;height:353" coordorigin="3682,-1999" coordsize="2,353">
              <v:shape style="position:absolute;left:3682;top:-1999;width:2;height:353" coordorigin="3682,-1999" coordsize="0,353" path="m3682,-1999l3682,-1646e" filled="false" stroked="true" strokeweight=".47998pt" strokecolor="#000000">
                <v:path arrowok="t"/>
              </v:shape>
            </v:group>
            <v:group style="position:absolute;left:3682;top:-1637;width:2;height:353" coordorigin="3682,-1637" coordsize="2,353">
              <v:shape style="position:absolute;left:3682;top:-1637;width:2;height:353" coordorigin="3682,-1637" coordsize="0,353" path="m3682,-1637l3682,-1284e" filled="false" stroked="true" strokeweight=".47998pt" strokecolor="#000000">
                <v:path arrowok="t"/>
              </v:shape>
            </v:group>
            <v:group style="position:absolute;left:3682;top:-1274;width:2;height:624" coordorigin="3682,-1274" coordsize="2,624">
              <v:shape style="position:absolute;left:3682;top:-1274;width:2;height:624" coordorigin="3682,-1274" coordsize="0,624" path="m3682,-1274l3682,-650e" filled="false" stroked="true" strokeweight=".47998pt" strokecolor="#000000">
                <v:path arrowok="t"/>
              </v:shape>
            </v:group>
            <v:group style="position:absolute;left:3682;top:-641;width:2;height:636" coordorigin="3682,-641" coordsize="2,636">
              <v:shape style="position:absolute;left:3682;top:-641;width:2;height:636" coordorigin="3682,-641" coordsize="0,636" path="m3682,-641l3682,-5e" filled="false" stroked="true" strokeweight=".47998pt" strokecolor="#000000">
                <v:path arrowok="t"/>
              </v:shape>
            </v:group>
            <w10:wrap type="none"/>
          </v:group>
        </w:pict>
      </w:r>
      <w:r>
        <w:rPr/>
        <w:pict>
          <v:group style="position:absolute;margin-left:274.859985pt;margin-top:-585.119995pt;width:.5pt;height:585.15pt;mso-position-horizontal-relative:page;mso-position-vertical-relative:paragraph;z-index:-495400" coordorigin="5497,-11702" coordsize="10,11703">
            <v:group style="position:absolute;left:5502;top:-11698;width:2;height:353" coordorigin="5502,-11698" coordsize="2,353">
              <v:shape style="position:absolute;left:5502;top:-11698;width:2;height:353" coordorigin="5502,-11698" coordsize="0,353" path="m5502,-11698l5502,-11345e" filled="false" stroked="true" strokeweight=".47998pt" strokecolor="#000000">
                <v:path arrowok="t"/>
              </v:shape>
            </v:group>
            <v:group style="position:absolute;left:5502;top:-11335;width:2;height:353" coordorigin="5502,-11335" coordsize="2,353">
              <v:shape style="position:absolute;left:5502;top:-11335;width:2;height:353" coordorigin="5502,-11335" coordsize="0,353" path="m5502,-11335l5502,-10982e" filled="false" stroked="true" strokeweight=".47998pt" strokecolor="#000000">
                <v:path arrowok="t"/>
              </v:shape>
            </v:group>
            <v:group style="position:absolute;left:5502;top:-10973;width:2;height:353" coordorigin="5502,-10973" coordsize="2,353">
              <v:shape style="position:absolute;left:5502;top:-10973;width:2;height:353" coordorigin="5502,-10973" coordsize="0,353" path="m5502,-10973l5502,-10620e" filled="false" stroked="true" strokeweight=".47998pt" strokecolor="#000000">
                <v:path arrowok="t"/>
              </v:shape>
            </v:group>
            <v:group style="position:absolute;left:5502;top:-10610;width:2;height:353" coordorigin="5502,-10610" coordsize="2,353">
              <v:shape style="position:absolute;left:5502;top:-10610;width:2;height:353" coordorigin="5502,-10610" coordsize="0,353" path="m5502,-10610l5502,-10258e" filled="false" stroked="true" strokeweight=".47998pt" strokecolor="#000000">
                <v:path arrowok="t"/>
              </v:shape>
            </v:group>
            <v:group style="position:absolute;left:5502;top:-10248;width:2;height:626" coordorigin="5502,-10248" coordsize="2,626">
              <v:shape style="position:absolute;left:5502;top:-10248;width:2;height:626" coordorigin="5502,-10248" coordsize="0,626" path="m5502,-10248l5502,-9623e" filled="false" stroked="true" strokeweight=".47998pt" strokecolor="#000000">
                <v:path arrowok="t"/>
              </v:shape>
            </v:group>
            <v:group style="position:absolute;left:5502;top:-9613;width:2;height:626" coordorigin="5502,-9613" coordsize="2,626">
              <v:shape style="position:absolute;left:5502;top:-9613;width:2;height:626" coordorigin="5502,-9613" coordsize="0,626" path="m5502,-9613l5502,-8988e" filled="false" stroked="true" strokeweight=".47998pt" strokecolor="#000000">
                <v:path arrowok="t"/>
              </v:shape>
            </v:group>
            <v:group style="position:absolute;left:5502;top:-8978;width:2;height:626" coordorigin="5502,-8978" coordsize="2,626">
              <v:shape style="position:absolute;left:5502;top:-8978;width:2;height:626" coordorigin="5502,-8978" coordsize="0,626" path="m5502,-8978l5502,-8353e" filled="false" stroked="true" strokeweight=".47998pt" strokecolor="#000000">
                <v:path arrowok="t"/>
              </v:shape>
            </v:group>
            <v:group style="position:absolute;left:5502;top:-8344;width:2;height:624" coordorigin="5502,-8344" coordsize="2,624">
              <v:shape style="position:absolute;left:5502;top:-8344;width:2;height:624" coordorigin="5502,-8344" coordsize="0,624" path="m5502,-8344l5502,-7720e" filled="false" stroked="true" strokeweight=".47998pt" strokecolor="#000000">
                <v:path arrowok="t"/>
              </v:shape>
            </v:group>
            <v:group style="position:absolute;left:5502;top:-7710;width:2;height:626" coordorigin="5502,-7710" coordsize="2,626">
              <v:shape style="position:absolute;left:5502;top:-7710;width:2;height:626" coordorigin="5502,-7710" coordsize="0,626" path="m5502,-7710l5502,-7085e" filled="false" stroked="true" strokeweight=".47998pt" strokecolor="#000000">
                <v:path arrowok="t"/>
              </v:shape>
            </v:group>
            <v:group style="position:absolute;left:5502;top:-7075;width:2;height:353" coordorigin="5502,-7075" coordsize="2,353">
              <v:shape style="position:absolute;left:5502;top:-7075;width:2;height:353" coordorigin="5502,-7075" coordsize="0,353" path="m5502,-7075l5502,-6722e" filled="false" stroked="true" strokeweight=".47998pt" strokecolor="#000000">
                <v:path arrowok="t"/>
              </v:shape>
            </v:group>
            <v:group style="position:absolute;left:5502;top:-6713;width:2;height:353" coordorigin="5502,-6713" coordsize="2,353">
              <v:shape style="position:absolute;left:5502;top:-6713;width:2;height:353" coordorigin="5502,-6713" coordsize="0,353" path="m5502,-6713l5502,-6360e" filled="false" stroked="true" strokeweight=".47998pt" strokecolor="#000000">
                <v:path arrowok="t"/>
              </v:shape>
            </v:group>
            <v:group style="position:absolute;left:5502;top:-6350;width:2;height:626" coordorigin="5502,-6350" coordsize="2,626">
              <v:shape style="position:absolute;left:5502;top:-6350;width:2;height:626" coordorigin="5502,-6350" coordsize="0,626" path="m5502,-6350l5502,-5725e" filled="false" stroked="true" strokeweight=".47998pt" strokecolor="#000000">
                <v:path arrowok="t"/>
              </v:shape>
            </v:group>
            <v:group style="position:absolute;left:5502;top:-5716;width:2;height:626" coordorigin="5502,-5716" coordsize="2,626">
              <v:shape style="position:absolute;left:5502;top:-5716;width:2;height:626" coordorigin="5502,-5716" coordsize="0,626" path="m5502,-5716l5502,-5090e" filled="false" stroked="true" strokeweight=".47998pt" strokecolor="#000000">
                <v:path arrowok="t"/>
              </v:shape>
            </v:group>
            <v:group style="position:absolute;left:5502;top:-5081;width:2;height:353" coordorigin="5502,-5081" coordsize="2,353">
              <v:shape style="position:absolute;left:5502;top:-5081;width:2;height:353" coordorigin="5502,-5081" coordsize="0,353" path="m5502,-5081l5502,-4728e" filled="false" stroked="true" strokeweight=".47998pt" strokecolor="#000000">
                <v:path arrowok="t"/>
              </v:shape>
            </v:group>
            <v:group style="position:absolute;left:5502;top:-4718;width:2;height:626" coordorigin="5502,-4718" coordsize="2,626">
              <v:shape style="position:absolute;left:5502;top:-4718;width:2;height:626" coordorigin="5502,-4718" coordsize="0,626" path="m5502,-4718l5502,-4093e" filled="false" stroked="true" strokeweight=".47998pt" strokecolor="#000000">
                <v:path arrowok="t"/>
              </v:shape>
            </v:group>
            <v:group style="position:absolute;left:5502;top:-4084;width:2;height:626" coordorigin="5502,-4084" coordsize="2,626">
              <v:shape style="position:absolute;left:5502;top:-4084;width:2;height:626" coordorigin="5502,-4084" coordsize="0,626" path="m5502,-4084l5502,-3458e" filled="false" stroked="true" strokeweight=".47998pt" strokecolor="#000000">
                <v:path arrowok="t"/>
              </v:shape>
            </v:group>
            <v:group style="position:absolute;left:5502;top:-3449;width:2;height:353" coordorigin="5502,-3449" coordsize="2,353">
              <v:shape style="position:absolute;left:5502;top:-3449;width:2;height:353" coordorigin="5502,-3449" coordsize="0,353" path="m5502,-3449l5502,-3096e" filled="false" stroked="true" strokeweight=".47998pt" strokecolor="#000000">
                <v:path arrowok="t"/>
              </v:shape>
            </v:group>
            <v:group style="position:absolute;left:5502;top:-3086;width:2;height:353" coordorigin="5502,-3086" coordsize="2,353">
              <v:shape style="position:absolute;left:5502;top:-3086;width:2;height:353" coordorigin="5502,-3086" coordsize="0,353" path="m5502,-3086l5502,-2734e" filled="false" stroked="true" strokeweight=".47998pt" strokecolor="#000000">
                <v:path arrowok="t"/>
              </v:shape>
            </v:group>
            <v:group style="position:absolute;left:5502;top:-2724;width:2;height:353" coordorigin="5502,-2724" coordsize="2,353">
              <v:shape style="position:absolute;left:5502;top:-2724;width:2;height:353" coordorigin="5502,-2724" coordsize="0,353" path="m5502,-2724l5502,-2371e" filled="false" stroked="true" strokeweight=".47998pt" strokecolor="#000000">
                <v:path arrowok="t"/>
              </v:shape>
            </v:group>
            <v:group style="position:absolute;left:5502;top:-2362;width:2;height:353" coordorigin="5502,-2362" coordsize="2,353">
              <v:shape style="position:absolute;left:5502;top:-2362;width:2;height:353" coordorigin="5502,-2362" coordsize="0,353" path="m5502,-2362l5502,-2009e" filled="false" stroked="true" strokeweight=".47998pt" strokecolor="#000000">
                <v:path arrowok="t"/>
              </v:shape>
            </v:group>
            <v:group style="position:absolute;left:5502;top:-1999;width:2;height:353" coordorigin="5502,-1999" coordsize="2,353">
              <v:shape style="position:absolute;left:5502;top:-1999;width:2;height:353" coordorigin="5502,-1999" coordsize="0,353" path="m5502,-1999l5502,-1646e" filled="false" stroked="true" strokeweight=".47998pt" strokecolor="#000000">
                <v:path arrowok="t"/>
              </v:shape>
            </v:group>
            <v:group style="position:absolute;left:5502;top:-1637;width:2;height:353" coordorigin="5502,-1637" coordsize="2,353">
              <v:shape style="position:absolute;left:5502;top:-1637;width:2;height:353" coordorigin="5502,-1637" coordsize="0,353" path="m5502,-1637l5502,-1284e" filled="false" stroked="true" strokeweight=".47998pt" strokecolor="#000000">
                <v:path arrowok="t"/>
              </v:shape>
            </v:group>
            <v:group style="position:absolute;left:5502;top:-1274;width:2;height:624" coordorigin="5502,-1274" coordsize="2,624">
              <v:shape style="position:absolute;left:5502;top:-1274;width:2;height:624" coordorigin="5502,-1274" coordsize="0,624" path="m5502,-1274l5502,-650e" filled="false" stroked="true" strokeweight=".47998pt" strokecolor="#000000">
                <v:path arrowok="t"/>
              </v:shape>
            </v:group>
            <v:group style="position:absolute;left:5502;top:-641;width:2;height:636" coordorigin="5502,-641" coordsize="2,636">
              <v:shape style="position:absolute;left:5502;top:-641;width:2;height:636" coordorigin="5502,-641" coordsize="0,636" path="m5502,-641l5502,-5e" filled="false" stroked="true" strokeweight=".47998pt" strokecolor="#000000">
                <v:path arrowok="t"/>
              </v:shape>
            </v:group>
            <w10:wrap type="none"/>
          </v:group>
        </w:pict>
      </w:r>
      <w:r>
        <w:rPr/>
        <w:pict>
          <v:group style="position:absolute;margin-left:365.880005pt;margin-top:-585.119995pt;width:.5pt;height:585.15pt;mso-position-horizontal-relative:page;mso-position-vertical-relative:paragraph;z-index:-495376" coordorigin="7318,-11702" coordsize="10,11703">
            <v:group style="position:absolute;left:7322;top:-11698;width:2;height:353" coordorigin="7322,-11698" coordsize="2,353">
              <v:shape style="position:absolute;left:7322;top:-11698;width:2;height:353" coordorigin="7322,-11698" coordsize="0,353" path="m7322,-11698l7322,-11345e" filled="false" stroked="true" strokeweight=".48001pt" strokecolor="#000000">
                <v:path arrowok="t"/>
              </v:shape>
            </v:group>
            <v:group style="position:absolute;left:7322;top:-11335;width:2;height:353" coordorigin="7322,-11335" coordsize="2,353">
              <v:shape style="position:absolute;left:7322;top:-11335;width:2;height:353" coordorigin="7322,-11335" coordsize="0,353" path="m7322,-11335l7322,-10982e" filled="false" stroked="true" strokeweight=".48001pt" strokecolor="#000000">
                <v:path arrowok="t"/>
              </v:shape>
            </v:group>
            <v:group style="position:absolute;left:7322;top:-10973;width:2;height:353" coordorigin="7322,-10973" coordsize="2,353">
              <v:shape style="position:absolute;left:7322;top:-10973;width:2;height:353" coordorigin="7322,-10973" coordsize="0,353" path="m7322,-10973l7322,-10620e" filled="false" stroked="true" strokeweight=".48001pt" strokecolor="#000000">
                <v:path arrowok="t"/>
              </v:shape>
            </v:group>
            <v:group style="position:absolute;left:7322;top:-10610;width:2;height:353" coordorigin="7322,-10610" coordsize="2,353">
              <v:shape style="position:absolute;left:7322;top:-10610;width:2;height:353" coordorigin="7322,-10610" coordsize="0,353" path="m7322,-10610l7322,-10258e" filled="false" stroked="true" strokeweight=".48001pt" strokecolor="#000000">
                <v:path arrowok="t"/>
              </v:shape>
            </v:group>
            <v:group style="position:absolute;left:7322;top:-10248;width:2;height:626" coordorigin="7322,-10248" coordsize="2,626">
              <v:shape style="position:absolute;left:7322;top:-10248;width:2;height:626" coordorigin="7322,-10248" coordsize="0,626" path="m7322,-10248l7322,-9623e" filled="false" stroked="true" strokeweight=".48001pt" strokecolor="#000000">
                <v:path arrowok="t"/>
              </v:shape>
            </v:group>
            <v:group style="position:absolute;left:7322;top:-9613;width:2;height:626" coordorigin="7322,-9613" coordsize="2,626">
              <v:shape style="position:absolute;left:7322;top:-9613;width:2;height:626" coordorigin="7322,-9613" coordsize="0,626" path="m7322,-9613l7322,-8988e" filled="false" stroked="true" strokeweight=".48001pt" strokecolor="#000000">
                <v:path arrowok="t"/>
              </v:shape>
            </v:group>
            <v:group style="position:absolute;left:7322;top:-8978;width:2;height:626" coordorigin="7322,-8978" coordsize="2,626">
              <v:shape style="position:absolute;left:7322;top:-8978;width:2;height:626" coordorigin="7322,-8978" coordsize="0,626" path="m7322,-8978l7322,-8353e" filled="false" stroked="true" strokeweight=".48001pt" strokecolor="#000000">
                <v:path arrowok="t"/>
              </v:shape>
            </v:group>
            <v:group style="position:absolute;left:7322;top:-8344;width:2;height:624" coordorigin="7322,-8344" coordsize="2,624">
              <v:shape style="position:absolute;left:7322;top:-8344;width:2;height:624" coordorigin="7322,-8344" coordsize="0,624" path="m7322,-8344l7322,-7720e" filled="false" stroked="true" strokeweight=".48001pt" strokecolor="#000000">
                <v:path arrowok="t"/>
              </v:shape>
            </v:group>
            <v:group style="position:absolute;left:7322;top:-7710;width:2;height:626" coordorigin="7322,-7710" coordsize="2,626">
              <v:shape style="position:absolute;left:7322;top:-7710;width:2;height:626" coordorigin="7322,-7710" coordsize="0,626" path="m7322,-7710l7322,-7085e" filled="false" stroked="true" strokeweight=".48001pt" strokecolor="#000000">
                <v:path arrowok="t"/>
              </v:shape>
            </v:group>
            <v:group style="position:absolute;left:7322;top:-7075;width:2;height:353" coordorigin="7322,-7075" coordsize="2,353">
              <v:shape style="position:absolute;left:7322;top:-7075;width:2;height:353" coordorigin="7322,-7075" coordsize="0,353" path="m7322,-7075l7322,-6722e" filled="false" stroked="true" strokeweight=".48001pt" strokecolor="#000000">
                <v:path arrowok="t"/>
              </v:shape>
            </v:group>
            <v:group style="position:absolute;left:7322;top:-6713;width:2;height:353" coordorigin="7322,-6713" coordsize="2,353">
              <v:shape style="position:absolute;left:7322;top:-6713;width:2;height:353" coordorigin="7322,-6713" coordsize="0,353" path="m7322,-6713l7322,-6360e" filled="false" stroked="true" strokeweight=".48001pt" strokecolor="#000000">
                <v:path arrowok="t"/>
              </v:shape>
            </v:group>
            <v:group style="position:absolute;left:7322;top:-6350;width:2;height:626" coordorigin="7322,-6350" coordsize="2,626">
              <v:shape style="position:absolute;left:7322;top:-6350;width:2;height:626" coordorigin="7322,-6350" coordsize="0,626" path="m7322,-6350l7322,-5725e" filled="false" stroked="true" strokeweight=".48001pt" strokecolor="#000000">
                <v:path arrowok="t"/>
              </v:shape>
            </v:group>
            <v:group style="position:absolute;left:7322;top:-5716;width:2;height:626" coordorigin="7322,-5716" coordsize="2,626">
              <v:shape style="position:absolute;left:7322;top:-5716;width:2;height:626" coordorigin="7322,-5716" coordsize="0,626" path="m7322,-5716l7322,-5090e" filled="false" stroked="true" strokeweight=".48001pt" strokecolor="#000000">
                <v:path arrowok="t"/>
              </v:shape>
            </v:group>
            <v:group style="position:absolute;left:7322;top:-5081;width:2;height:353" coordorigin="7322,-5081" coordsize="2,353">
              <v:shape style="position:absolute;left:7322;top:-5081;width:2;height:353" coordorigin="7322,-5081" coordsize="0,353" path="m7322,-5081l7322,-4728e" filled="false" stroked="true" strokeweight=".48001pt" strokecolor="#000000">
                <v:path arrowok="t"/>
              </v:shape>
            </v:group>
            <v:group style="position:absolute;left:7322;top:-4718;width:2;height:626" coordorigin="7322,-4718" coordsize="2,626">
              <v:shape style="position:absolute;left:7322;top:-4718;width:2;height:626" coordorigin="7322,-4718" coordsize="0,626" path="m7322,-4718l7322,-4093e" filled="false" stroked="true" strokeweight=".48001pt" strokecolor="#000000">
                <v:path arrowok="t"/>
              </v:shape>
            </v:group>
            <v:group style="position:absolute;left:7322;top:-4084;width:2;height:626" coordorigin="7322,-4084" coordsize="2,626">
              <v:shape style="position:absolute;left:7322;top:-4084;width:2;height:626" coordorigin="7322,-4084" coordsize="0,626" path="m7322,-4084l7322,-3458e" filled="false" stroked="true" strokeweight=".48001pt" strokecolor="#000000">
                <v:path arrowok="t"/>
              </v:shape>
            </v:group>
            <v:group style="position:absolute;left:7322;top:-3449;width:2;height:353" coordorigin="7322,-3449" coordsize="2,353">
              <v:shape style="position:absolute;left:7322;top:-3449;width:2;height:353" coordorigin="7322,-3449" coordsize="0,353" path="m7322,-3449l7322,-3096e" filled="false" stroked="true" strokeweight=".48001pt" strokecolor="#000000">
                <v:path arrowok="t"/>
              </v:shape>
            </v:group>
            <v:group style="position:absolute;left:7322;top:-3086;width:2;height:353" coordorigin="7322,-3086" coordsize="2,353">
              <v:shape style="position:absolute;left:7322;top:-3086;width:2;height:353" coordorigin="7322,-3086" coordsize="0,353" path="m7322,-3086l7322,-2734e" filled="false" stroked="true" strokeweight=".48001pt" strokecolor="#000000">
                <v:path arrowok="t"/>
              </v:shape>
            </v:group>
            <v:group style="position:absolute;left:7322;top:-2724;width:2;height:353" coordorigin="7322,-2724" coordsize="2,353">
              <v:shape style="position:absolute;left:7322;top:-2724;width:2;height:353" coordorigin="7322,-2724" coordsize="0,353" path="m7322,-2724l7322,-2371e" filled="false" stroked="true" strokeweight=".48001pt" strokecolor="#000000">
                <v:path arrowok="t"/>
              </v:shape>
            </v:group>
            <v:group style="position:absolute;left:7322;top:-2362;width:2;height:353" coordorigin="7322,-2362" coordsize="2,353">
              <v:shape style="position:absolute;left:7322;top:-2362;width:2;height:353" coordorigin="7322,-2362" coordsize="0,353" path="m7322,-2362l7322,-2009e" filled="false" stroked="true" strokeweight=".48001pt" strokecolor="#000000">
                <v:path arrowok="t"/>
              </v:shape>
            </v:group>
            <v:group style="position:absolute;left:7322;top:-1999;width:2;height:353" coordorigin="7322,-1999" coordsize="2,353">
              <v:shape style="position:absolute;left:7322;top:-1999;width:2;height:353" coordorigin="7322,-1999" coordsize="0,353" path="m7322,-1999l7322,-1646e" filled="false" stroked="true" strokeweight=".48001pt" strokecolor="#000000">
                <v:path arrowok="t"/>
              </v:shape>
            </v:group>
            <v:group style="position:absolute;left:7322;top:-1637;width:2;height:353" coordorigin="7322,-1637" coordsize="2,353">
              <v:shape style="position:absolute;left:7322;top:-1637;width:2;height:353" coordorigin="7322,-1637" coordsize="0,353" path="m7322,-1637l7322,-1284e" filled="false" stroked="true" strokeweight=".48001pt" strokecolor="#000000">
                <v:path arrowok="t"/>
              </v:shape>
            </v:group>
            <v:group style="position:absolute;left:7322;top:-1274;width:2;height:624" coordorigin="7322,-1274" coordsize="2,624">
              <v:shape style="position:absolute;left:7322;top:-1274;width:2;height:624" coordorigin="7322,-1274" coordsize="0,624" path="m7322,-1274l7322,-650e" filled="false" stroked="true" strokeweight=".48001pt" strokecolor="#000000">
                <v:path arrowok="t"/>
              </v:shape>
            </v:group>
            <v:group style="position:absolute;left:7322;top:-641;width:2;height:636" coordorigin="7322,-641" coordsize="2,636">
              <v:shape style="position:absolute;left:7322;top:-641;width:2;height:636" coordorigin="7322,-641" coordsize="0,636" path="m7322,-641l7322,-5e" filled="false" stroked="true" strokeweight=".48001pt" strokecolor="#000000">
                <v:path arrowok="t"/>
              </v:shape>
            </v:group>
            <w10:wrap type="none"/>
          </v:group>
        </w:pict>
      </w:r>
      <w:r>
        <w:rPr/>
        <w:pict>
          <v:group style="position:absolute;margin-left:456.839996pt;margin-top:-585.119995pt;width:.5pt;height:585.15pt;mso-position-horizontal-relative:page;mso-position-vertical-relative:paragraph;z-index:-495352" coordorigin="9137,-11702" coordsize="10,11703">
            <v:group style="position:absolute;left:9142;top:-11698;width:2;height:353" coordorigin="9142,-11698" coordsize="2,353">
              <v:shape style="position:absolute;left:9142;top:-11698;width:2;height:353" coordorigin="9142,-11698" coordsize="0,353" path="m9142,-11698l9142,-11345e" filled="false" stroked="true" strokeweight=".48001pt" strokecolor="#000000">
                <v:path arrowok="t"/>
              </v:shape>
            </v:group>
            <v:group style="position:absolute;left:9142;top:-11335;width:2;height:353" coordorigin="9142,-11335" coordsize="2,353">
              <v:shape style="position:absolute;left:9142;top:-11335;width:2;height:353" coordorigin="9142,-11335" coordsize="0,353" path="m9142,-11335l9142,-10982e" filled="false" stroked="true" strokeweight=".48001pt" strokecolor="#000000">
                <v:path arrowok="t"/>
              </v:shape>
            </v:group>
            <v:group style="position:absolute;left:9142;top:-10973;width:2;height:353" coordorigin="9142,-10973" coordsize="2,353">
              <v:shape style="position:absolute;left:9142;top:-10973;width:2;height:353" coordorigin="9142,-10973" coordsize="0,353" path="m9142,-10973l9142,-10620e" filled="false" stroked="true" strokeweight=".48001pt" strokecolor="#000000">
                <v:path arrowok="t"/>
              </v:shape>
            </v:group>
            <v:group style="position:absolute;left:9142;top:-10610;width:2;height:353" coordorigin="9142,-10610" coordsize="2,353">
              <v:shape style="position:absolute;left:9142;top:-10610;width:2;height:353" coordorigin="9142,-10610" coordsize="0,353" path="m9142,-10610l9142,-10258e" filled="false" stroked="true" strokeweight=".48001pt" strokecolor="#000000">
                <v:path arrowok="t"/>
              </v:shape>
            </v:group>
            <v:group style="position:absolute;left:9142;top:-10248;width:2;height:626" coordorigin="9142,-10248" coordsize="2,626">
              <v:shape style="position:absolute;left:9142;top:-10248;width:2;height:626" coordorigin="9142,-10248" coordsize="0,626" path="m9142,-10248l9142,-9623e" filled="false" stroked="true" strokeweight=".48001pt" strokecolor="#000000">
                <v:path arrowok="t"/>
              </v:shape>
            </v:group>
            <v:group style="position:absolute;left:9142;top:-9613;width:2;height:626" coordorigin="9142,-9613" coordsize="2,626">
              <v:shape style="position:absolute;left:9142;top:-9613;width:2;height:626" coordorigin="9142,-9613" coordsize="0,626" path="m9142,-9613l9142,-8988e" filled="false" stroked="true" strokeweight=".48001pt" strokecolor="#000000">
                <v:path arrowok="t"/>
              </v:shape>
            </v:group>
            <v:group style="position:absolute;left:9142;top:-8978;width:2;height:626" coordorigin="9142,-8978" coordsize="2,626">
              <v:shape style="position:absolute;left:9142;top:-8978;width:2;height:626" coordorigin="9142,-8978" coordsize="0,626" path="m9142,-8978l9142,-8353e" filled="false" stroked="true" strokeweight=".48001pt" strokecolor="#000000">
                <v:path arrowok="t"/>
              </v:shape>
            </v:group>
            <v:group style="position:absolute;left:9142;top:-8344;width:2;height:624" coordorigin="9142,-8344" coordsize="2,624">
              <v:shape style="position:absolute;left:9142;top:-8344;width:2;height:624" coordorigin="9142,-8344" coordsize="0,624" path="m9142,-8344l9142,-7720e" filled="false" stroked="true" strokeweight=".48001pt" strokecolor="#000000">
                <v:path arrowok="t"/>
              </v:shape>
            </v:group>
            <v:group style="position:absolute;left:9142;top:-7710;width:2;height:626" coordorigin="9142,-7710" coordsize="2,626">
              <v:shape style="position:absolute;left:9142;top:-7710;width:2;height:626" coordorigin="9142,-7710" coordsize="0,626" path="m9142,-7710l9142,-7085e" filled="false" stroked="true" strokeweight=".48001pt" strokecolor="#000000">
                <v:path arrowok="t"/>
              </v:shape>
            </v:group>
            <v:group style="position:absolute;left:9142;top:-7075;width:2;height:353" coordorigin="9142,-7075" coordsize="2,353">
              <v:shape style="position:absolute;left:9142;top:-7075;width:2;height:353" coordorigin="9142,-7075" coordsize="0,353" path="m9142,-7075l9142,-6722e" filled="false" stroked="true" strokeweight=".48001pt" strokecolor="#000000">
                <v:path arrowok="t"/>
              </v:shape>
            </v:group>
            <v:group style="position:absolute;left:9142;top:-6713;width:2;height:353" coordorigin="9142,-6713" coordsize="2,353">
              <v:shape style="position:absolute;left:9142;top:-6713;width:2;height:353" coordorigin="9142,-6713" coordsize="0,353" path="m9142,-6713l9142,-6360e" filled="false" stroked="true" strokeweight=".48001pt" strokecolor="#000000">
                <v:path arrowok="t"/>
              </v:shape>
            </v:group>
            <v:group style="position:absolute;left:9142;top:-6350;width:2;height:626" coordorigin="9142,-6350" coordsize="2,626">
              <v:shape style="position:absolute;left:9142;top:-6350;width:2;height:626" coordorigin="9142,-6350" coordsize="0,626" path="m9142,-6350l9142,-5725e" filled="false" stroked="true" strokeweight=".48001pt" strokecolor="#000000">
                <v:path arrowok="t"/>
              </v:shape>
            </v:group>
            <v:group style="position:absolute;left:9142;top:-5716;width:2;height:626" coordorigin="9142,-5716" coordsize="2,626">
              <v:shape style="position:absolute;left:9142;top:-5716;width:2;height:626" coordorigin="9142,-5716" coordsize="0,626" path="m9142,-5716l9142,-5090e" filled="false" stroked="true" strokeweight=".48001pt" strokecolor="#000000">
                <v:path arrowok="t"/>
              </v:shape>
            </v:group>
            <v:group style="position:absolute;left:9142;top:-5081;width:2;height:353" coordorigin="9142,-5081" coordsize="2,353">
              <v:shape style="position:absolute;left:9142;top:-5081;width:2;height:353" coordorigin="9142,-5081" coordsize="0,353" path="m9142,-5081l9142,-4728e" filled="false" stroked="true" strokeweight=".48001pt" strokecolor="#000000">
                <v:path arrowok="t"/>
              </v:shape>
            </v:group>
            <v:group style="position:absolute;left:9142;top:-4718;width:2;height:626" coordorigin="9142,-4718" coordsize="2,626">
              <v:shape style="position:absolute;left:9142;top:-4718;width:2;height:626" coordorigin="9142,-4718" coordsize="0,626" path="m9142,-4718l9142,-4093e" filled="false" stroked="true" strokeweight=".48001pt" strokecolor="#000000">
                <v:path arrowok="t"/>
              </v:shape>
            </v:group>
            <v:group style="position:absolute;left:9142;top:-4084;width:2;height:626" coordorigin="9142,-4084" coordsize="2,626">
              <v:shape style="position:absolute;left:9142;top:-4084;width:2;height:626" coordorigin="9142,-4084" coordsize="0,626" path="m9142,-4084l9142,-3458e" filled="false" stroked="true" strokeweight=".48001pt" strokecolor="#000000">
                <v:path arrowok="t"/>
              </v:shape>
            </v:group>
            <v:group style="position:absolute;left:9142;top:-3449;width:2;height:353" coordorigin="9142,-3449" coordsize="2,353">
              <v:shape style="position:absolute;left:9142;top:-3449;width:2;height:353" coordorigin="9142,-3449" coordsize="0,353" path="m9142,-3449l9142,-3096e" filled="false" stroked="true" strokeweight=".48001pt" strokecolor="#000000">
                <v:path arrowok="t"/>
              </v:shape>
            </v:group>
            <v:group style="position:absolute;left:9142;top:-3086;width:2;height:353" coordorigin="9142,-3086" coordsize="2,353">
              <v:shape style="position:absolute;left:9142;top:-3086;width:2;height:353" coordorigin="9142,-3086" coordsize="0,353" path="m9142,-3086l9142,-2734e" filled="false" stroked="true" strokeweight=".48001pt" strokecolor="#000000">
                <v:path arrowok="t"/>
              </v:shape>
            </v:group>
            <v:group style="position:absolute;left:9142;top:-2724;width:2;height:353" coordorigin="9142,-2724" coordsize="2,353">
              <v:shape style="position:absolute;left:9142;top:-2724;width:2;height:353" coordorigin="9142,-2724" coordsize="0,353" path="m9142,-2724l9142,-2371e" filled="false" stroked="true" strokeweight=".48001pt" strokecolor="#000000">
                <v:path arrowok="t"/>
              </v:shape>
            </v:group>
            <v:group style="position:absolute;left:9142;top:-2362;width:2;height:353" coordorigin="9142,-2362" coordsize="2,353">
              <v:shape style="position:absolute;left:9142;top:-2362;width:2;height:353" coordorigin="9142,-2362" coordsize="0,353" path="m9142,-2362l9142,-2009e" filled="false" stroked="true" strokeweight=".48001pt" strokecolor="#000000">
                <v:path arrowok="t"/>
              </v:shape>
            </v:group>
            <v:group style="position:absolute;left:9142;top:-1999;width:2;height:353" coordorigin="9142,-1999" coordsize="2,353">
              <v:shape style="position:absolute;left:9142;top:-1999;width:2;height:353" coordorigin="9142,-1999" coordsize="0,353" path="m9142,-1999l9142,-1646e" filled="false" stroked="true" strokeweight=".48001pt" strokecolor="#000000">
                <v:path arrowok="t"/>
              </v:shape>
            </v:group>
            <v:group style="position:absolute;left:9142;top:-1637;width:2;height:353" coordorigin="9142,-1637" coordsize="2,353">
              <v:shape style="position:absolute;left:9142;top:-1637;width:2;height:353" coordorigin="9142,-1637" coordsize="0,353" path="m9142,-1637l9142,-1284e" filled="false" stroked="true" strokeweight=".48001pt" strokecolor="#000000">
                <v:path arrowok="t"/>
              </v:shape>
            </v:group>
            <v:group style="position:absolute;left:9142;top:-1274;width:2;height:624" coordorigin="9142,-1274" coordsize="2,624">
              <v:shape style="position:absolute;left:9142;top:-1274;width:2;height:624" coordorigin="9142,-1274" coordsize="0,624" path="m9142,-1274l9142,-650e" filled="false" stroked="true" strokeweight=".48001pt" strokecolor="#000000">
                <v:path arrowok="t"/>
              </v:shape>
            </v:group>
            <v:group style="position:absolute;left:9142;top:-641;width:2;height:636" coordorigin="9142,-641" coordsize="2,636">
              <v:shape style="position:absolute;left:9142;top:-641;width:2;height:636" coordorigin="9142,-641" coordsize="0,636" path="m9142,-641l9142,-5e" filled="false" stroked="true" strokeweight=".48001pt" strokecolor="#000000">
                <v:path arrowok="t"/>
              </v:shape>
            </v:group>
            <w10:wrap type="none"/>
          </v:group>
        </w:pict>
      </w:r>
      <w:r>
        <w:rPr/>
        <w:pict>
          <v:group style="position:absolute;margin-left:56.700005pt;margin-top:-585.360046pt;width:.1pt;height:585.15pt;mso-position-horizontal-relative:page;mso-position-vertical-relative:paragraph;z-index:-495328" coordorigin="1134,-11707" coordsize="2,11703">
            <v:shape style="position:absolute;left:1134;top:-11707;width:2;height:11703" coordorigin="1134,-11707" coordsize="0,11703" path="m1134,-11707l1134,-5e" filled="false" stroked="true" strokeweight=".48001pt" strokecolor="#000000">
              <v:path arrowok="t"/>
            </v:shape>
            <w10:wrap type="none"/>
          </v:group>
        </w:pict>
      </w:r>
      <w:r>
        <w:rPr/>
        <w:pict>
          <v:group style="position:absolute;margin-left:548.099976pt;margin-top:-585.360046pt;width:.1pt;height:585.15pt;mso-position-horizontal-relative:page;mso-position-vertical-relative:paragraph;z-index:-495304" coordorigin="10962,-11707" coordsize="2,11703">
            <v:shape style="position:absolute;left:10962;top:-11707;width:2;height:11703" coordorigin="10962,-11707" coordsize="0,11703" path="m10962,-11707l10962,-5e" filled="false" stroked="true" strokeweight=".47998pt" strokecolor="#000000">
              <v:path arrowok="t"/>
            </v:shape>
            <w10:wrap type="none"/>
          </v:group>
        </w:pict>
      </w:r>
      <w:r>
        <w:rPr/>
        <w:t>3、现金流量表</w:t>
      </w:r>
    </w:p>
    <w:p>
      <w:pPr>
        <w:tabs>
          <w:tab w:pos="5593" w:val="left" w:leader="none"/>
          <w:tab w:pos="8970" w:val="left" w:leader="none"/>
        </w:tabs>
        <w:spacing w:before="197"/>
        <w:ind w:left="154" w:right="115" w:firstLine="0"/>
        <w:jc w:val="left"/>
        <w:rPr>
          <w:rFonts w:ascii="宋体" w:hAnsi="宋体" w:cs="宋体" w:eastAsia="宋体" w:hint="default"/>
          <w:sz w:val="21"/>
          <w:szCs w:val="21"/>
        </w:rPr>
      </w:pPr>
      <w:r>
        <w:rPr>
          <w:rFonts w:ascii="宋体" w:hAnsi="宋体" w:cs="宋体" w:eastAsia="宋体" w:hint="default"/>
          <w:spacing w:val="-2"/>
          <w:sz w:val="21"/>
          <w:szCs w:val="21"/>
        </w:rPr>
        <w:t>编制单位：深圳大通实业股份有限公司</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tab/>
      </w:r>
      <w:r>
        <w:rPr>
          <w:rFonts w:ascii="宋体" w:hAnsi="宋体" w:cs="宋体" w:eastAsia="宋体" w:hint="default"/>
          <w:spacing w:val="-5"/>
          <w:sz w:val="21"/>
          <w:szCs w:val="21"/>
        </w:rPr>
        <w:t>单位：元</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62" w:hRule="exact"/>
        </w:trPr>
        <w:tc>
          <w:tcPr>
            <w:tcW w:w="25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2" w:hRule="exact"/>
        </w:trPr>
        <w:tc>
          <w:tcPr>
            <w:tcW w:w="2548"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63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量：</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w:t>
            </w:r>
            <w:r>
              <w:rPr>
                <w:rFonts w:ascii="宋体" w:hAnsi="宋体" w:cs="宋体" w:eastAsia="宋体" w:hint="default"/>
                <w:sz w:val="21"/>
                <w:szCs w:val="21"/>
              </w:rPr>
              <w:t> 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138,911,942.80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客户存款和同业存放 款项净增加额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443"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向其他金融机构拆入 资金净增加额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收到原保险合同保费 取得的现金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443"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3" w:firstLine="421"/>
              <w:jc w:val="left"/>
              <w:rPr>
                <w:rFonts w:ascii="宋体" w:hAnsi="宋体" w:cs="宋体" w:eastAsia="宋体" w:hint="default"/>
                <w:sz w:val="21"/>
                <w:szCs w:val="21"/>
              </w:rPr>
            </w:pPr>
            <w:r>
              <w:rPr>
                <w:rFonts w:ascii="宋体" w:hAnsi="宋体" w:cs="宋体" w:eastAsia="宋体" w:hint="default"/>
                <w:sz w:val="21"/>
                <w:szCs w:val="21"/>
              </w:rPr>
              <w:t>保户储金及投资款净 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3" w:firstLine="421"/>
              <w:jc w:val="left"/>
              <w:rPr>
                <w:rFonts w:ascii="宋体" w:hAnsi="宋体" w:cs="宋体" w:eastAsia="宋体" w:hint="default"/>
                <w:sz w:val="21"/>
                <w:szCs w:val="21"/>
              </w:rPr>
            </w:pPr>
            <w:r>
              <w:rPr>
                <w:rFonts w:ascii="宋体" w:hAnsi="宋体" w:cs="宋体" w:eastAsia="宋体" w:hint="default"/>
                <w:sz w:val="21"/>
                <w:szCs w:val="21"/>
              </w:rPr>
              <w:t>处置交易性金融资产 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w:t>
            </w:r>
            <w:r>
              <w:rPr>
                <w:rFonts w:ascii="宋体" w:hAnsi="宋体" w:cs="宋体" w:eastAsia="宋体" w:hint="default"/>
                <w:sz w:val="21"/>
                <w:szCs w:val="21"/>
              </w:rPr>
              <w:t> 金的现金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443"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收到其他与经营活动 有关的现金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665,326.87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446,984.29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40,601,820.73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1,410,845.32</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65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139,577,269.67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446,984.29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40,601,820.73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1,410,845.32</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w:t>
            </w:r>
            <w:r>
              <w:rPr>
                <w:rFonts w:ascii="宋体" w:hAnsi="宋体" w:cs="宋体" w:eastAsia="宋体" w:hint="default"/>
                <w:sz w:val="21"/>
                <w:szCs w:val="21"/>
              </w:rPr>
              <w:t> 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64,153,743.90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5,719,349.90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443"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存放中央银行和同业 款项净增加额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203" w:firstLine="421"/>
              <w:jc w:val="left"/>
              <w:rPr>
                <w:rFonts w:ascii="宋体" w:hAnsi="宋体" w:cs="宋体" w:eastAsia="宋体" w:hint="default"/>
                <w:sz w:val="21"/>
                <w:szCs w:val="21"/>
              </w:rPr>
            </w:pPr>
            <w:r>
              <w:rPr>
                <w:rFonts w:ascii="宋体" w:hAnsi="宋体" w:cs="宋体" w:eastAsia="宋体" w:hint="default"/>
                <w:sz w:val="21"/>
                <w:szCs w:val="21"/>
              </w:rPr>
              <w:t>支付原保险合同赔付 款项的现金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w:t>
            </w:r>
            <w:r>
              <w:rPr>
                <w:rFonts w:ascii="宋体" w:hAnsi="宋体" w:cs="宋体" w:eastAsia="宋体" w:hint="default"/>
                <w:sz w:val="21"/>
                <w:szCs w:val="21"/>
              </w:rPr>
              <w:t> 金的现金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3"/>
              <w:jc w:val="right"/>
              <w:rPr>
                <w:rFonts w:ascii="宋体" w:hAnsi="宋体" w:cs="宋体" w:eastAsia="宋体" w:hint="default"/>
                <w:sz w:val="21"/>
                <w:szCs w:val="21"/>
              </w:rPr>
            </w:pPr>
            <w:r>
              <w:rPr>
                <w:rFonts w:ascii="宋体" w:hAnsi="宋体" w:cs="宋体" w:eastAsia="宋体" w:hint="default"/>
                <w:spacing w:val="-1"/>
                <w:sz w:val="21"/>
                <w:szCs w:val="21"/>
              </w:rPr>
              <w:t>支付保单红利的现金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3" w:firstLine="421"/>
              <w:jc w:val="left"/>
              <w:rPr>
                <w:rFonts w:ascii="宋体" w:hAnsi="宋体" w:cs="宋体" w:eastAsia="宋体" w:hint="default"/>
                <w:sz w:val="21"/>
                <w:szCs w:val="21"/>
              </w:rPr>
            </w:pPr>
            <w:r>
              <w:rPr>
                <w:rFonts w:ascii="宋体" w:hAnsi="宋体" w:cs="宋体" w:eastAsia="宋体" w:hint="default"/>
                <w:sz w:val="21"/>
                <w:szCs w:val="21"/>
              </w:rPr>
              <w:t>支付给职工以及为职 工支付的现金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849,178.80</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276,193.11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1,082,460.61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838,677.35</w:t>
            </w:r>
            <w:r>
              <w:rPr>
                <w:rFonts w:ascii="Times New Roman"/>
                <w:sz w:val="21"/>
              </w:rPr>
            </w: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spacing w:val="-1"/>
                <w:sz w:val="21"/>
              </w:rPr>
              <w:t>6,968,366.22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12,592.54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1"/>
                <w:sz w:val="21"/>
              </w:rPr>
              <w:t>715,104.02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1"/>
                <w:szCs w:val="21"/>
              </w:rPr>
            </w:pPr>
            <w:r>
              <w:rPr>
                <w:rFonts w:ascii="Times New Roman"/>
                <w:spacing w:val="-2"/>
                <w:sz w:val="21"/>
              </w:rPr>
              <w:t>89,958.11</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支付其他与经营活动 有关的现金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47,273,785.54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194,692.61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10,713,718.92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628,242.74</w:t>
            </w:r>
          </w:p>
        </w:tc>
      </w:tr>
      <w:tr>
        <w:trPr>
          <w:trHeight w:val="33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3"/>
              <w:jc w:val="right"/>
              <w:rPr>
                <w:rFonts w:ascii="宋体" w:hAnsi="宋体" w:cs="宋体" w:eastAsia="宋体" w:hint="default"/>
                <w:sz w:val="21"/>
                <w:szCs w:val="21"/>
              </w:rPr>
            </w:pPr>
            <w:r>
              <w:rPr>
                <w:rFonts w:ascii="宋体" w:hAnsi="宋体" w:cs="宋体" w:eastAsia="宋体" w:hint="default"/>
                <w:spacing w:val="-1"/>
                <w:sz w:val="21"/>
                <w:szCs w:val="21"/>
              </w:rPr>
              <w:t>经营活动现金流出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21"/>
                <w:szCs w:val="21"/>
              </w:rPr>
            </w:pPr>
            <w:r>
              <w:rPr>
                <w:rFonts w:ascii="Times New Roman"/>
                <w:spacing w:val="-1"/>
                <w:sz w:val="21"/>
              </w:rPr>
              <w:t>119,245,074.46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21"/>
                <w:szCs w:val="21"/>
              </w:rPr>
            </w:pPr>
            <w:r>
              <w:rPr>
                <w:rFonts w:ascii="Times New Roman"/>
                <w:spacing w:val="-1"/>
                <w:sz w:val="21"/>
              </w:rPr>
              <w:t>483,478.26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21"/>
                <w:szCs w:val="21"/>
              </w:rPr>
            </w:pPr>
            <w:r>
              <w:rPr>
                <w:rFonts w:ascii="Times New Roman"/>
                <w:spacing w:val="-1"/>
                <w:sz w:val="21"/>
              </w:rPr>
              <w:t>18,230,633.45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21"/>
                <w:szCs w:val="21"/>
              </w:rPr>
            </w:pPr>
            <w:r>
              <w:rPr>
                <w:rFonts w:ascii="Times New Roman"/>
                <w:spacing w:val="-1"/>
                <w:sz w:val="21"/>
              </w:rPr>
              <w:t>1,556,878.20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841"/>
              <w:jc w:val="left"/>
              <w:rPr>
                <w:rFonts w:ascii="宋体" w:hAnsi="宋体" w:cs="宋体" w:eastAsia="宋体" w:hint="default"/>
                <w:sz w:val="21"/>
                <w:szCs w:val="21"/>
              </w:rPr>
            </w:pPr>
            <w:r>
              <w:rPr>
                <w:rFonts w:ascii="宋体" w:hAnsi="宋体" w:cs="宋体" w:eastAsia="宋体" w:hint="default"/>
                <w:sz w:val="21"/>
                <w:szCs w:val="21"/>
              </w:rPr>
              <w:t>经营活动产生的 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20,332,195.21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875" w:right="0"/>
              <w:jc w:val="left"/>
              <w:rPr>
                <w:rFonts w:ascii="Times New Roman" w:hAnsi="Times New Roman" w:cs="Times New Roman" w:eastAsia="Times New Roman" w:hint="default"/>
                <w:sz w:val="21"/>
                <w:szCs w:val="21"/>
              </w:rPr>
            </w:pPr>
            <w:r>
              <w:rPr>
                <w:rFonts w:ascii="Times New Roman"/>
                <w:sz w:val="21"/>
              </w:rPr>
              <w:t>-36,493.97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22,371,187.28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772" w:right="0"/>
              <w:jc w:val="left"/>
              <w:rPr>
                <w:rFonts w:ascii="Times New Roman" w:hAnsi="Times New Roman" w:cs="Times New Roman" w:eastAsia="Times New Roman" w:hint="default"/>
                <w:sz w:val="21"/>
                <w:szCs w:val="21"/>
              </w:rPr>
            </w:pPr>
            <w:r>
              <w:rPr>
                <w:rFonts w:ascii="Times New Roman"/>
                <w:sz w:val="21"/>
              </w:rPr>
              <w:t>-146,032.88</w:t>
            </w: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量：</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443"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9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w:t>
            </w:r>
            <w:r>
              <w:rPr>
                <w:rFonts w:ascii="宋体" w:hAnsi="宋体" w:cs="宋体" w:eastAsia="宋体" w:hint="default"/>
                <w:sz w:val="21"/>
                <w:szCs w:val="21"/>
              </w:rPr>
              <w:t> 产和其他长期资产收回的 现金净额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处置子公司及其他营 业单位收到的现金净额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收到其他与投资活动 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65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90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w:t>
            </w:r>
            <w:r>
              <w:rPr>
                <w:rFonts w:ascii="宋体" w:hAnsi="宋体" w:cs="宋体" w:eastAsia="宋体" w:hint="default"/>
                <w:sz w:val="21"/>
                <w:szCs w:val="21"/>
              </w:rPr>
              <w:t> 产和其他长期资产支付的 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62,417.00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28,400.00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取得子公司及其他营 业单位支付的现金净额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-9,985,581.02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支付其他与投资活动 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65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62,417.00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-9,957,181.02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3" w:firstLine="841"/>
              <w:jc w:val="left"/>
              <w:rPr>
                <w:rFonts w:ascii="宋体" w:hAnsi="宋体" w:cs="宋体" w:eastAsia="宋体" w:hint="default"/>
                <w:sz w:val="21"/>
                <w:szCs w:val="21"/>
              </w:rPr>
            </w:pPr>
            <w:r>
              <w:rPr>
                <w:rFonts w:ascii="宋体" w:hAnsi="宋体" w:cs="宋体" w:eastAsia="宋体" w:hint="default"/>
                <w:sz w:val="21"/>
                <w:szCs w:val="21"/>
              </w:rPr>
              <w:t>投资活动产生的 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-62,417.00</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9,957,181.02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 w:firstLine="211"/>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w:t>
            </w:r>
            <w:r>
              <w:rPr>
                <w:rFonts w:ascii="宋体" w:hAnsi="宋体" w:cs="宋体" w:eastAsia="宋体" w:hint="default"/>
                <w:sz w:val="21"/>
                <w:szCs w:val="21"/>
              </w:rPr>
              <w:t> 流量：</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w:t>
            </w:r>
            <w:r>
              <w:rPr>
                <w:rFonts w:ascii="宋体" w:hAnsi="宋体" w:cs="宋体" w:eastAsia="宋体" w:hint="default"/>
                <w:sz w:val="21"/>
                <w:szCs w:val="21"/>
              </w:rPr>
              <w:t> 股东投资收到的现金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92,000,000.00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收到其他与筹资活动 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653"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92,000,000.00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w:t>
            </w:r>
            <w:r>
              <w:rPr>
                <w:rFonts w:ascii="宋体" w:hAnsi="宋体" w:cs="宋体" w:eastAsia="宋体" w:hint="default"/>
                <w:sz w:val="21"/>
                <w:szCs w:val="21"/>
              </w:rPr>
              <w:t> 数股东的股利、利润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3" w:firstLine="421"/>
              <w:jc w:val="left"/>
              <w:rPr>
                <w:rFonts w:ascii="宋体" w:hAnsi="宋体" w:cs="宋体" w:eastAsia="宋体" w:hint="default"/>
                <w:sz w:val="21"/>
                <w:szCs w:val="21"/>
              </w:rPr>
            </w:pPr>
            <w:r>
              <w:rPr>
                <w:rFonts w:ascii="宋体" w:hAnsi="宋体" w:cs="宋体" w:eastAsia="宋体" w:hint="default"/>
                <w:sz w:val="21"/>
                <w:szCs w:val="21"/>
              </w:rPr>
              <w:t>支付其他与筹资活动 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
              <w:ind w:left="653"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3" w:firstLine="841"/>
              <w:jc w:val="left"/>
              <w:rPr>
                <w:rFonts w:ascii="宋体" w:hAnsi="宋体" w:cs="宋体" w:eastAsia="宋体" w:hint="default"/>
                <w:sz w:val="21"/>
                <w:szCs w:val="21"/>
              </w:rPr>
            </w:pPr>
            <w:r>
              <w:rPr>
                <w:rFonts w:ascii="宋体" w:hAnsi="宋体" w:cs="宋体" w:eastAsia="宋体" w:hint="default"/>
                <w:sz w:val="21"/>
                <w:szCs w:val="21"/>
              </w:rPr>
              <w:t>筹资活动产生的 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92,000,000.00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2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等价物的影响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112,269,778.21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-36,493.97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32,328,368.30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-146,032.88</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firstLine="421"/>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w:t>
            </w:r>
            <w:r>
              <w:rPr>
                <w:rFonts w:ascii="宋体" w:hAnsi="宋体" w:cs="宋体" w:eastAsia="宋体" w:hint="default"/>
                <w:sz w:val="21"/>
                <w:szCs w:val="21"/>
              </w:rPr>
              <w:t> 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32,530,614.74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56,213.56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202,246.44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202,246.44</w:t>
            </w:r>
          </w:p>
        </w:tc>
      </w:tr>
      <w:tr>
        <w:trPr>
          <w:trHeight w:val="635"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22" w:right="2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144,800,392.95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19,719.59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32,530,614.74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56,213.56</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669" w:top="980" w:bottom="860" w:left="980" w:right="820"/>
        </w:sectPr>
      </w:pPr>
    </w:p>
    <w:p>
      <w:pPr>
        <w:spacing w:line="240" w:lineRule="auto" w:before="1"/>
        <w:rPr>
          <w:rFonts w:ascii="Times New Roman" w:hAnsi="Times New Roman" w:cs="Times New Roman" w:eastAsia="Times New Roman" w:hint="default"/>
          <w:sz w:val="29"/>
          <w:szCs w:val="29"/>
        </w:rPr>
      </w:pPr>
    </w:p>
    <w:p>
      <w:pPr>
        <w:pStyle w:val="BodyText"/>
        <w:spacing w:line="240" w:lineRule="auto" w:before="26"/>
        <w:ind w:left="633" w:right="0"/>
        <w:jc w:val="left"/>
      </w:pPr>
      <w:r>
        <w:rPr/>
        <w:t>4、合并所有者权益变动表</w:t>
      </w:r>
    </w:p>
    <w:p>
      <w:pPr>
        <w:tabs>
          <w:tab w:pos="7713" w:val="left" w:leader="none"/>
          <w:tab w:pos="12978" w:val="left" w:leader="none"/>
        </w:tabs>
        <w:spacing w:before="165"/>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402" w:hRule="exact"/>
        </w:trPr>
        <w:tc>
          <w:tcPr>
            <w:tcW w:w="2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210" w:type="dxa"/>
            <w:vMerge/>
            <w:tcBorders>
              <w:left w:val="single" w:sz="4" w:space="0" w:color="000000"/>
              <w:right w:val="single" w:sz="4" w:space="0" w:color="000000"/>
            </w:tcBorders>
          </w:tcPr>
          <w:p>
            <w:pPr/>
          </w:p>
        </w:tc>
        <w:tc>
          <w:tcPr>
            <w:tcW w:w="4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2210"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5"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6"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6" w:right="3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6"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6"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90,486,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26,599,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043.81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67.95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-53,283</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,504.49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27,238,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027.07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96,926,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634.34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90,486,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26,599,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043.81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67.95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-207,47</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9,768.7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-84,507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,656.98</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33,548,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741.37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33,548,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741.37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90,486,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26,599,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043.81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67.95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-19,734</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,763.12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27,238,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027.07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5,375.7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90,486,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26,599,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043.81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67.95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-207,47</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9,768.7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-84,507</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,656.98</w:t>
            </w: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5,741,9</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98.00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-5,741,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998.00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21,564,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136.77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2,249,9</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13.01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23,814,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049.78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6,264.2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27,238,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027.07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4,291.3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21,564,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136.77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2,249,9</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13.01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23,814,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049.78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6,264.2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27,238,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027.07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4,291.3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2"/>
          <w:footerReference w:type="default" r:id="rId13"/>
          <w:pgSz w:w="16840" w:h="11910" w:orient="landscape"/>
          <w:pgMar w:header="877" w:footer="938" w:top="1100" w:bottom="1120" w:left="980" w:right="900"/>
          <w:pgNumType w:start="59"/>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102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21,564,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136.77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2,249,9</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13.01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23,814,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049.78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6,264.2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27,238,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027.07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181,43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4,291.3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5,741,9</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98.00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-5,741,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998.00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5,741,9</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98.00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-5,741,</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998.00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998.00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20,857,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045.81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67.95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1,829,3</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73.65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29,487,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940.08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154,28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9,425.4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90,486,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26,599,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043.81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67.95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-53,283</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,504.49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27,238,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027.07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96,926,</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634.34</w:t>
            </w:r>
          </w:p>
        </w:tc>
      </w:tr>
    </w:tbl>
    <w:p>
      <w:pPr>
        <w:pStyle w:val="BodyText"/>
        <w:spacing w:line="240" w:lineRule="auto" w:before="40"/>
        <w:ind w:left="633" w:right="0"/>
        <w:jc w:val="left"/>
      </w:pPr>
      <w:r>
        <w:rPr/>
        <w:t>5、母公司所有者权益变动表</w:t>
      </w:r>
    </w:p>
    <w:p>
      <w:pPr>
        <w:tabs>
          <w:tab w:pos="7713" w:val="left" w:leader="none"/>
          <w:tab w:pos="12978" w:val="left" w:leader="none"/>
        </w:tabs>
        <w:spacing w:before="165"/>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编制单位：深圳大通实业股份有限公司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402" w:hRule="exact"/>
        </w:trPr>
        <w:tc>
          <w:tcPr>
            <w:tcW w:w="2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026" w:hRule="exact"/>
        </w:trPr>
        <w:tc>
          <w:tcPr>
            <w:tcW w:w="2210" w:type="dxa"/>
            <w:vMerge/>
            <w:tcBorders>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5"/>
              <w:ind w:left="203"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2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2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5"/>
              <w:ind w:left="203"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2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2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90,486,00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26,599,04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3.81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-52,013,8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67.94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70,958,24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90,486,00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26,599,04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3.81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-207,479,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768.74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-84,507,6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56.98</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33,548,74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1.37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33,548,74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1.37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90,486,00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26,599,04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3.81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-18,465,1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26.57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104,506,9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85.19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90,486,00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26,599,04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3.81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-207,479,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768.74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-84,507,6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56.98</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5,741,998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-5,741,99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4,693,488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155,465,9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155,465,9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00.80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4,693,488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155,465,9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155,465,9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00.80</w:t>
            </w: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4,693,488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155,465,9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155,465,9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00.80</w:t>
            </w: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5,741,998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-5,741,99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5,741,998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-5,741,99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96,227,99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20,857,04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5.81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-13,771,6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109,200,4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73.84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90,486,00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26,599,04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3.81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-52,013,8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67.94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70,958,24</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3.82</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7" w:footer="938" w:top="1100" w:bottom="1120" w:left="980" w:right="900"/>
        </w:sectPr>
      </w:pPr>
    </w:p>
    <w:p>
      <w:pPr>
        <w:spacing w:line="240" w:lineRule="auto" w:before="0"/>
        <w:rPr>
          <w:rFonts w:ascii="Times New Roman" w:hAnsi="Times New Roman" w:cs="Times New Roman" w:eastAsia="Times New Roman" w:hint="default"/>
          <w:sz w:val="20"/>
          <w:szCs w:val="20"/>
        </w:rPr>
      </w:pPr>
    </w:p>
    <w:p>
      <w:pPr>
        <w:pStyle w:val="Heading2"/>
        <w:spacing w:line="379" w:lineRule="auto" w:before="144"/>
        <w:ind w:left="3051" w:right="3109"/>
        <w:jc w:val="center"/>
      </w:pPr>
      <w:r>
        <w:rPr>
          <w:spacing w:val="-1"/>
        </w:rPr>
        <w:t>深圳大通实业股份有限公司</w:t>
      </w:r>
      <w:r>
        <w:rPr>
          <w:spacing w:val="-1"/>
          <w:w w:val="100"/>
        </w:rPr>
        <w:t> </w:t>
      </w:r>
      <w:r>
        <w:rPr/>
        <w:t>财务报表附注</w:t>
      </w:r>
    </w:p>
    <w:p>
      <w:pPr>
        <w:spacing w:before="201"/>
        <w:ind w:left="0" w:right="57"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26"/>
        <w:ind w:right="209"/>
        <w:jc w:val="left"/>
      </w:pPr>
      <w:r>
        <w:rPr/>
        <w:t>一、公司基本情况</w:t>
      </w:r>
    </w:p>
    <w:p>
      <w:pPr>
        <w:spacing w:line="240" w:lineRule="auto" w:before="7"/>
        <w:rPr>
          <w:rFonts w:ascii="宋体" w:hAnsi="宋体" w:cs="宋体" w:eastAsia="宋体" w:hint="default"/>
          <w:sz w:val="26"/>
          <w:szCs w:val="26"/>
        </w:rPr>
      </w:pPr>
    </w:p>
    <w:p>
      <w:pPr>
        <w:spacing w:line="453" w:lineRule="auto" w:before="0"/>
        <w:ind w:left="633" w:right="5256" w:hanging="60"/>
        <w:jc w:val="left"/>
        <w:rPr>
          <w:rFonts w:ascii="宋体" w:hAnsi="宋体" w:cs="宋体" w:eastAsia="宋体" w:hint="default"/>
          <w:sz w:val="21"/>
          <w:szCs w:val="21"/>
        </w:rPr>
      </w:pPr>
      <w:r>
        <w:rPr>
          <w:rFonts w:ascii="宋体" w:hAnsi="宋体" w:cs="宋体" w:eastAsia="宋体" w:hint="default"/>
          <w:sz w:val="21"/>
          <w:szCs w:val="21"/>
        </w:rPr>
        <w:t>（一）公司概况 公司名称：深圳大通实业股份有限公司 注册地址：深圳市华侨城东部工业区</w:t>
      </w:r>
    </w:p>
    <w:p>
      <w:pPr>
        <w:spacing w:line="412" w:lineRule="auto" w:before="37"/>
        <w:ind w:left="633" w:right="5256" w:firstLine="0"/>
        <w:jc w:val="left"/>
        <w:rPr>
          <w:rFonts w:ascii="宋体" w:hAnsi="宋体" w:cs="宋体" w:eastAsia="宋体" w:hint="default"/>
          <w:sz w:val="21"/>
          <w:szCs w:val="21"/>
        </w:rPr>
      </w:pPr>
      <w:r>
        <w:rPr>
          <w:rFonts w:ascii="宋体" w:hAnsi="宋体" w:cs="宋体" w:eastAsia="宋体" w:hint="default"/>
          <w:sz w:val="21"/>
          <w:szCs w:val="21"/>
        </w:rPr>
        <w:t>注册资本：</w:t>
      </w:r>
      <w:r>
        <w:rPr>
          <w:rFonts w:ascii="Times New Roman" w:hAnsi="Times New Roman" w:cs="Times New Roman" w:eastAsia="Times New Roman" w:hint="default"/>
          <w:sz w:val="21"/>
          <w:szCs w:val="21"/>
        </w:rPr>
        <w:t>96,227,998.00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 企业法人营业执照注册号：</w:t>
      </w:r>
      <w:r>
        <w:rPr>
          <w:rFonts w:ascii="Times New Roman" w:hAnsi="Times New Roman" w:cs="Times New Roman" w:eastAsia="Times New Roman" w:hint="default"/>
          <w:sz w:val="21"/>
          <w:szCs w:val="21"/>
        </w:rPr>
        <w:t>440301104515702 </w:t>
      </w:r>
      <w:r>
        <w:rPr>
          <w:rFonts w:ascii="宋体" w:hAnsi="宋体" w:cs="宋体" w:eastAsia="宋体" w:hint="default"/>
          <w:sz w:val="21"/>
          <w:szCs w:val="21"/>
        </w:rPr>
        <w:t>企业法定代表人：许亚楠</w:t>
      </w:r>
    </w:p>
    <w:p>
      <w:pPr>
        <w:spacing w:line="436" w:lineRule="auto" w:before="114"/>
        <w:ind w:left="153" w:right="105" w:firstLine="420"/>
        <w:jc w:val="left"/>
        <w:rPr>
          <w:rFonts w:ascii="宋体" w:hAnsi="宋体" w:cs="宋体" w:eastAsia="宋体" w:hint="default"/>
          <w:sz w:val="21"/>
          <w:szCs w:val="21"/>
        </w:rPr>
      </w:pPr>
      <w:r>
        <w:rPr>
          <w:rFonts w:ascii="宋体" w:hAnsi="宋体" w:cs="宋体" w:eastAsia="宋体" w:hint="default"/>
          <w:spacing w:val="2"/>
          <w:sz w:val="21"/>
          <w:szCs w:val="21"/>
        </w:rPr>
        <w:t>经营</w:t>
      </w:r>
      <w:r>
        <w:rPr>
          <w:rFonts w:ascii="宋体" w:hAnsi="宋体" w:cs="宋体" w:eastAsia="宋体" w:hint="default"/>
          <w:spacing w:val="1"/>
          <w:sz w:val="21"/>
          <w:szCs w:val="21"/>
        </w:rPr>
        <w:t>范</w:t>
      </w:r>
      <w:r>
        <w:rPr>
          <w:rFonts w:ascii="宋体" w:hAnsi="宋体" w:cs="宋体" w:eastAsia="宋体" w:hint="default"/>
          <w:spacing w:val="2"/>
          <w:sz w:val="21"/>
          <w:szCs w:val="21"/>
        </w:rPr>
        <w:t>围</w:t>
      </w:r>
      <w:r>
        <w:rPr>
          <w:rFonts w:ascii="宋体" w:hAnsi="宋体" w:cs="宋体" w:eastAsia="宋体" w:hint="default"/>
          <w:spacing w:val="1"/>
          <w:sz w:val="21"/>
          <w:szCs w:val="21"/>
        </w:rPr>
        <w:t>：</w:t>
      </w:r>
      <w:r>
        <w:rPr>
          <w:rFonts w:ascii="宋体" w:hAnsi="宋体" w:cs="宋体" w:eastAsia="宋体" w:hint="default"/>
          <w:spacing w:val="2"/>
          <w:sz w:val="21"/>
          <w:szCs w:val="21"/>
        </w:rPr>
        <w:t>房地</w:t>
      </w:r>
      <w:r>
        <w:rPr>
          <w:rFonts w:ascii="宋体" w:hAnsi="宋体" w:cs="宋体" w:eastAsia="宋体" w:hint="default"/>
          <w:spacing w:val="1"/>
          <w:sz w:val="21"/>
          <w:szCs w:val="21"/>
        </w:rPr>
        <w:t>产</w:t>
      </w:r>
      <w:r>
        <w:rPr>
          <w:rFonts w:ascii="宋体" w:hAnsi="宋体" w:cs="宋体" w:eastAsia="宋体" w:hint="default"/>
          <w:spacing w:val="2"/>
          <w:sz w:val="21"/>
          <w:szCs w:val="21"/>
        </w:rPr>
        <w:t>开</w:t>
      </w:r>
      <w:r>
        <w:rPr>
          <w:rFonts w:ascii="宋体" w:hAnsi="宋体" w:cs="宋体" w:eastAsia="宋体" w:hint="default"/>
          <w:spacing w:val="1"/>
          <w:sz w:val="21"/>
          <w:szCs w:val="21"/>
        </w:rPr>
        <w:t>发</w:t>
      </w:r>
      <w:r>
        <w:rPr>
          <w:rFonts w:ascii="宋体" w:hAnsi="宋体" w:cs="宋体" w:eastAsia="宋体" w:hint="default"/>
          <w:spacing w:val="2"/>
          <w:sz w:val="21"/>
          <w:szCs w:val="21"/>
        </w:rPr>
        <w:t>，经</w:t>
      </w:r>
      <w:r>
        <w:rPr>
          <w:rFonts w:ascii="宋体" w:hAnsi="宋体" w:cs="宋体" w:eastAsia="宋体" w:hint="default"/>
          <w:spacing w:val="1"/>
          <w:sz w:val="21"/>
          <w:szCs w:val="21"/>
        </w:rPr>
        <w:t>营</w:t>
      </w:r>
      <w:r>
        <w:rPr>
          <w:rFonts w:ascii="宋体" w:hAnsi="宋体" w:cs="宋体" w:eastAsia="宋体" w:hint="default"/>
          <w:spacing w:val="2"/>
          <w:sz w:val="21"/>
          <w:szCs w:val="21"/>
        </w:rPr>
        <w:t>；</w:t>
      </w:r>
      <w:r>
        <w:rPr>
          <w:rFonts w:ascii="宋体" w:hAnsi="宋体" w:cs="宋体" w:eastAsia="宋体" w:hint="default"/>
          <w:spacing w:val="1"/>
          <w:sz w:val="21"/>
          <w:szCs w:val="21"/>
        </w:rPr>
        <w:t>国</w:t>
      </w:r>
      <w:r>
        <w:rPr>
          <w:rFonts w:ascii="宋体" w:hAnsi="宋体" w:cs="宋体" w:eastAsia="宋体" w:hint="default"/>
          <w:spacing w:val="2"/>
          <w:sz w:val="21"/>
          <w:szCs w:val="21"/>
        </w:rPr>
        <w:t>内贸</w:t>
      </w:r>
      <w:r>
        <w:rPr>
          <w:rFonts w:ascii="宋体" w:hAnsi="宋体" w:cs="宋体" w:eastAsia="宋体" w:hint="default"/>
          <w:spacing w:val="1"/>
          <w:sz w:val="21"/>
          <w:szCs w:val="21"/>
        </w:rPr>
        <w:t>易</w:t>
      </w:r>
      <w:r>
        <w:rPr>
          <w:rFonts w:ascii="宋体" w:hAnsi="宋体" w:cs="宋体" w:eastAsia="宋体" w:hint="default"/>
          <w:spacing w:val="2"/>
          <w:sz w:val="21"/>
          <w:szCs w:val="21"/>
        </w:rPr>
        <w:t>（</w:t>
      </w:r>
      <w:r>
        <w:rPr>
          <w:rFonts w:ascii="宋体" w:hAnsi="宋体" w:cs="宋体" w:eastAsia="宋体" w:hint="default"/>
          <w:spacing w:val="1"/>
          <w:sz w:val="21"/>
          <w:szCs w:val="21"/>
        </w:rPr>
        <w:t>不</w:t>
      </w:r>
      <w:r>
        <w:rPr>
          <w:rFonts w:ascii="宋体" w:hAnsi="宋体" w:cs="宋体" w:eastAsia="宋体" w:hint="default"/>
          <w:spacing w:val="2"/>
          <w:sz w:val="21"/>
          <w:szCs w:val="21"/>
        </w:rPr>
        <w:t>含专</w:t>
      </w:r>
      <w:r>
        <w:rPr>
          <w:rFonts w:ascii="宋体" w:hAnsi="宋体" w:cs="宋体" w:eastAsia="宋体" w:hint="default"/>
          <w:spacing w:val="1"/>
          <w:sz w:val="21"/>
          <w:szCs w:val="21"/>
        </w:rPr>
        <w:t>营</w:t>
      </w:r>
      <w:r>
        <w:rPr>
          <w:rFonts w:ascii="宋体" w:hAnsi="宋体" w:cs="宋体" w:eastAsia="宋体" w:hint="default"/>
          <w:spacing w:val="2"/>
          <w:sz w:val="21"/>
          <w:szCs w:val="21"/>
        </w:rPr>
        <w:t>、</w:t>
      </w:r>
      <w:r>
        <w:rPr>
          <w:rFonts w:ascii="宋体" w:hAnsi="宋体" w:cs="宋体" w:eastAsia="宋体" w:hint="default"/>
          <w:spacing w:val="1"/>
          <w:sz w:val="21"/>
          <w:szCs w:val="21"/>
        </w:rPr>
        <w:t>专</w:t>
      </w:r>
      <w:r>
        <w:rPr>
          <w:rFonts w:ascii="宋体" w:hAnsi="宋体" w:cs="宋体" w:eastAsia="宋体" w:hint="default"/>
          <w:spacing w:val="2"/>
          <w:sz w:val="21"/>
          <w:szCs w:val="21"/>
        </w:rPr>
        <w:t>控、</w:t>
      </w:r>
      <w:r>
        <w:rPr>
          <w:rFonts w:ascii="宋体" w:hAnsi="宋体" w:cs="宋体" w:eastAsia="宋体" w:hint="default"/>
          <w:spacing w:val="1"/>
          <w:sz w:val="21"/>
          <w:szCs w:val="21"/>
        </w:rPr>
        <w:t>专</w:t>
      </w:r>
      <w:r>
        <w:rPr>
          <w:rFonts w:ascii="宋体" w:hAnsi="宋体" w:cs="宋体" w:eastAsia="宋体" w:hint="default"/>
          <w:spacing w:val="2"/>
          <w:sz w:val="21"/>
          <w:szCs w:val="21"/>
        </w:rPr>
        <w:t>卖</w:t>
      </w:r>
      <w:r>
        <w:rPr>
          <w:rFonts w:ascii="宋体" w:hAnsi="宋体" w:cs="宋体" w:eastAsia="宋体" w:hint="default"/>
          <w:spacing w:val="1"/>
          <w:sz w:val="21"/>
          <w:szCs w:val="21"/>
        </w:rPr>
        <w:t>商</w:t>
      </w:r>
      <w:r>
        <w:rPr>
          <w:rFonts w:ascii="宋体" w:hAnsi="宋体" w:cs="宋体" w:eastAsia="宋体" w:hint="default"/>
          <w:spacing w:val="2"/>
          <w:sz w:val="21"/>
          <w:szCs w:val="21"/>
        </w:rPr>
        <w:t>品</w:t>
      </w:r>
      <w:r>
        <w:rPr>
          <w:rFonts w:ascii="宋体" w:hAnsi="宋体" w:cs="宋体" w:eastAsia="宋体" w:hint="default"/>
          <w:spacing w:val="-104"/>
          <w:sz w:val="21"/>
          <w:szCs w:val="21"/>
        </w:rPr>
        <w:t>）</w:t>
      </w:r>
      <w:r>
        <w:rPr>
          <w:rFonts w:ascii="宋体" w:hAnsi="宋体" w:cs="宋体" w:eastAsia="宋体" w:hint="default"/>
          <w:spacing w:val="2"/>
          <w:sz w:val="21"/>
          <w:szCs w:val="21"/>
        </w:rPr>
        <w:t>；兴</w:t>
      </w:r>
      <w:r>
        <w:rPr>
          <w:rFonts w:ascii="宋体" w:hAnsi="宋体" w:cs="宋体" w:eastAsia="宋体" w:hint="default"/>
          <w:spacing w:val="1"/>
          <w:sz w:val="21"/>
          <w:szCs w:val="21"/>
        </w:rPr>
        <w:t>办实</w:t>
      </w:r>
      <w:r>
        <w:rPr>
          <w:rFonts w:ascii="宋体" w:hAnsi="宋体" w:cs="宋体" w:eastAsia="宋体" w:hint="default"/>
          <w:spacing w:val="2"/>
          <w:sz w:val="21"/>
          <w:szCs w:val="21"/>
        </w:rPr>
        <w:t>业（</w:t>
      </w:r>
      <w:r>
        <w:rPr>
          <w:rFonts w:ascii="宋体" w:hAnsi="宋体" w:cs="宋体" w:eastAsia="宋体" w:hint="default"/>
          <w:spacing w:val="1"/>
          <w:sz w:val="21"/>
          <w:szCs w:val="21"/>
        </w:rPr>
        <w:t>具</w:t>
      </w:r>
      <w:r>
        <w:rPr>
          <w:rFonts w:ascii="宋体" w:hAnsi="宋体" w:cs="宋体" w:eastAsia="宋体" w:hint="default"/>
          <w:spacing w:val="2"/>
          <w:sz w:val="21"/>
          <w:szCs w:val="21"/>
        </w:rPr>
        <w:t>体</w:t>
      </w:r>
      <w:r>
        <w:rPr>
          <w:rFonts w:ascii="宋体" w:hAnsi="宋体" w:cs="宋体" w:eastAsia="宋体" w:hint="default"/>
          <w:spacing w:val="1"/>
          <w:sz w:val="21"/>
          <w:szCs w:val="21"/>
        </w:rPr>
        <w:t>项</w:t>
      </w:r>
      <w:r>
        <w:rPr>
          <w:rFonts w:ascii="宋体" w:hAnsi="宋体" w:cs="宋体" w:eastAsia="宋体" w:hint="default"/>
          <w:spacing w:val="2"/>
          <w:sz w:val="21"/>
          <w:szCs w:val="21"/>
        </w:rPr>
        <w:t>目另行</w:t>
      </w:r>
      <w:r>
        <w:rPr>
          <w:rFonts w:ascii="宋体" w:hAnsi="宋体" w:cs="宋体" w:eastAsia="宋体" w:hint="default"/>
          <w:spacing w:val="2"/>
          <w:sz w:val="21"/>
          <w:szCs w:val="21"/>
        </w:rPr>
        <w:t> </w:t>
      </w:r>
      <w:r>
        <w:rPr>
          <w:rFonts w:ascii="宋体" w:hAnsi="宋体" w:cs="宋体" w:eastAsia="宋体" w:hint="default"/>
          <w:sz w:val="21"/>
          <w:szCs w:val="21"/>
        </w:rPr>
        <w:t>申报</w:t>
      </w:r>
      <w:r>
        <w:rPr>
          <w:rFonts w:ascii="宋体" w:hAnsi="宋体" w:cs="宋体" w:eastAsia="宋体" w:hint="default"/>
          <w:spacing w:val="-105"/>
          <w:sz w:val="21"/>
          <w:szCs w:val="21"/>
        </w:rPr>
        <w:t>）</w:t>
      </w:r>
      <w:r>
        <w:rPr>
          <w:rFonts w:ascii="宋体" w:hAnsi="宋体" w:cs="宋体" w:eastAsia="宋体" w:hint="default"/>
          <w:spacing w:val="-76"/>
          <w:sz w:val="21"/>
          <w:szCs w:val="21"/>
        </w:rPr>
        <w:t>，</w:t>
      </w:r>
      <w:r>
        <w:rPr>
          <w:rFonts w:ascii="宋体" w:hAnsi="宋体" w:cs="宋体" w:eastAsia="宋体" w:hint="default"/>
          <w:sz w:val="21"/>
          <w:szCs w:val="21"/>
        </w:rPr>
        <w:t>计算机软硬件开发及销售</w:t>
      </w:r>
      <w:r>
        <w:rPr>
          <w:rFonts w:ascii="宋体" w:hAnsi="宋体" w:cs="宋体" w:eastAsia="宋体" w:hint="default"/>
          <w:spacing w:val="-76"/>
          <w:sz w:val="21"/>
          <w:szCs w:val="21"/>
        </w:rPr>
        <w:t>，</w:t>
      </w:r>
      <w:r>
        <w:rPr>
          <w:rFonts w:ascii="宋体" w:hAnsi="宋体" w:cs="宋体" w:eastAsia="宋体" w:hint="default"/>
          <w:sz w:val="21"/>
          <w:szCs w:val="21"/>
        </w:rPr>
        <w:t>经营进出口业</w:t>
      </w:r>
      <w:r>
        <w:rPr>
          <w:rFonts w:ascii="宋体" w:hAnsi="宋体" w:cs="宋体" w:eastAsia="宋体" w:hint="default"/>
          <w:spacing w:val="-76"/>
          <w:sz w:val="21"/>
          <w:szCs w:val="21"/>
        </w:rPr>
        <w:t>务</w:t>
      </w:r>
      <w:r>
        <w:rPr>
          <w:rFonts w:ascii="宋体" w:hAnsi="宋体" w:cs="宋体" w:eastAsia="宋体" w:hint="default"/>
          <w:sz w:val="21"/>
          <w:szCs w:val="21"/>
        </w:rPr>
        <w:t>（具体按照深贸管准证字第</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z w:val="21"/>
          <w:szCs w:val="21"/>
        </w:rPr>
        <w:t>0</w:t>
      </w:r>
      <w:r>
        <w:rPr>
          <w:rFonts w:ascii="宋体" w:hAnsi="宋体" w:cs="宋体" w:eastAsia="宋体" w:hint="default"/>
          <w:sz w:val="21"/>
          <w:szCs w:val="21"/>
        </w:rPr>
        <w:t>号资格证</w:t>
      </w:r>
      <w:r>
        <w:rPr>
          <w:rFonts w:ascii="宋体" w:hAnsi="宋体" w:cs="宋体" w:eastAsia="宋体" w:hint="default"/>
          <w:spacing w:val="-2"/>
          <w:sz w:val="21"/>
          <w:szCs w:val="21"/>
        </w:rPr>
        <w:t>书</w:t>
      </w:r>
      <w:r>
        <w:rPr>
          <w:rFonts w:ascii="宋体" w:hAnsi="宋体" w:cs="宋体" w:eastAsia="宋体" w:hint="default"/>
          <w:sz w:val="21"/>
          <w:szCs w:val="21"/>
        </w:rPr>
        <w:t>办理</w:t>
      </w:r>
      <w:r>
        <w:rPr>
          <w:rFonts w:ascii="宋体" w:hAnsi="宋体" w:cs="宋体" w:eastAsia="宋体" w:hint="default"/>
          <w:spacing w:val="-76"/>
          <w:sz w:val="21"/>
          <w:szCs w:val="21"/>
        </w:rPr>
        <w:t>）</w:t>
      </w:r>
      <w:r>
        <w:rPr>
          <w:rFonts w:ascii="宋体" w:hAnsi="宋体" w:cs="宋体" w:eastAsia="宋体" w:hint="default"/>
          <w:sz w:val="21"/>
          <w:szCs w:val="21"/>
        </w:rPr>
        <w:t>。</w:t>
      </w:r>
    </w:p>
    <w:p>
      <w:pPr>
        <w:spacing w:line="463" w:lineRule="auto" w:before="58"/>
        <w:ind w:left="573" w:right="209" w:firstLine="0"/>
        <w:jc w:val="left"/>
        <w:rPr>
          <w:rFonts w:ascii="宋体" w:hAnsi="宋体" w:cs="宋体" w:eastAsia="宋体" w:hint="default"/>
          <w:sz w:val="21"/>
          <w:szCs w:val="21"/>
        </w:rPr>
      </w:pPr>
      <w:r>
        <w:rPr>
          <w:rFonts w:ascii="宋体" w:hAnsi="宋体" w:cs="宋体" w:eastAsia="宋体" w:hint="default"/>
          <w:sz w:val="21"/>
          <w:szCs w:val="21"/>
        </w:rPr>
        <w:t>（二）公司历史沿革 深圳大通实业股份有限公司（以下简称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）前身为大通实业</w:t>
      </w:r>
      <w:r>
        <w:rPr>
          <w:rFonts w:ascii="Times New Roman" w:hAnsi="Times New Roman" w:cs="Times New Roman" w:eastAsia="Times New Roman" w:hint="default"/>
          <w:sz w:val="21"/>
          <w:szCs w:val="21"/>
        </w:rPr>
        <w:t>(</w:t>
      </w:r>
      <w:r>
        <w:rPr>
          <w:rFonts w:ascii="宋体" w:hAnsi="宋体" w:cs="宋体" w:eastAsia="宋体" w:hint="default"/>
          <w:sz w:val="21"/>
          <w:szCs w:val="21"/>
        </w:rPr>
        <w:t>深圳</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有限公司，经深圳市人民政</w:t>
      </w:r>
    </w:p>
    <w:p>
      <w:pPr>
        <w:spacing w:line="275" w:lineRule="exact" w:before="0"/>
        <w:ind w:left="153" w:right="102" w:firstLine="0"/>
        <w:jc w:val="left"/>
        <w:rPr>
          <w:rFonts w:ascii="宋体" w:hAnsi="宋体" w:cs="宋体" w:eastAsia="宋体" w:hint="default"/>
          <w:sz w:val="21"/>
          <w:szCs w:val="21"/>
        </w:rPr>
      </w:pPr>
      <w:r>
        <w:rPr>
          <w:rFonts w:ascii="宋体" w:hAnsi="宋体" w:cs="宋体" w:eastAsia="宋体" w:hint="default"/>
          <w:sz w:val="21"/>
          <w:szCs w:val="21"/>
        </w:rPr>
        <w:t>府</w:t>
      </w:r>
      <w:r>
        <w:rPr>
          <w:rFonts w:ascii="Times New Roman" w:hAnsi="Times New Roman" w:cs="Times New Roman" w:eastAsia="Times New Roman" w:hint="default"/>
          <w:sz w:val="21"/>
          <w:szCs w:val="21"/>
        </w:rPr>
        <w:t>“</w:t>
      </w:r>
      <w:r>
        <w:rPr>
          <w:rFonts w:ascii="宋体" w:hAnsi="宋体" w:cs="宋体" w:eastAsia="宋体" w:hint="default"/>
          <w:sz w:val="21"/>
          <w:szCs w:val="21"/>
        </w:rPr>
        <w:t>深府外复</w:t>
      </w:r>
      <w:r>
        <w:rPr>
          <w:rFonts w:ascii="Times New Roman" w:hAnsi="Times New Roman" w:cs="Times New Roman" w:eastAsia="Times New Roman" w:hint="default"/>
          <w:sz w:val="21"/>
          <w:szCs w:val="21"/>
        </w:rPr>
        <w:t>(1990)686</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文批准，于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日由广东华侨投资公司、香港益通电子有限公司、深</w:t>
      </w:r>
    </w:p>
    <w:p>
      <w:pPr>
        <w:spacing w:line="240" w:lineRule="auto" w:before="3"/>
        <w:rPr>
          <w:rFonts w:ascii="宋体" w:hAnsi="宋体" w:cs="宋体" w:eastAsia="宋体" w:hint="default"/>
          <w:sz w:val="15"/>
          <w:szCs w:val="1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圳新通阳电子元件工业有限公司、运通电子</w:t>
      </w:r>
      <w:r>
        <w:rPr>
          <w:rFonts w:ascii="Times New Roman" w:hAnsi="Times New Roman" w:cs="Times New Roman" w:eastAsia="Times New Roman" w:hint="default"/>
          <w:sz w:val="21"/>
          <w:szCs w:val="21"/>
        </w:rPr>
        <w:t>(</w:t>
      </w:r>
      <w:r>
        <w:rPr>
          <w:rFonts w:ascii="宋体" w:hAnsi="宋体" w:cs="宋体" w:eastAsia="宋体" w:hint="default"/>
          <w:sz w:val="21"/>
          <w:szCs w:val="21"/>
        </w:rPr>
        <w:t>深圳</w:t>
      </w:r>
      <w:r>
        <w:rPr>
          <w:rFonts w:ascii="Times New Roman" w:hAnsi="Times New Roman" w:cs="Times New Roman" w:eastAsia="Times New Roman" w:hint="default"/>
          <w:sz w:val="21"/>
          <w:szCs w:val="21"/>
        </w:rPr>
        <w:t>)</w:t>
      </w:r>
      <w:r>
        <w:rPr>
          <w:rFonts w:ascii="宋体" w:hAnsi="宋体" w:cs="宋体" w:eastAsia="宋体" w:hint="default"/>
          <w:sz w:val="21"/>
          <w:szCs w:val="21"/>
        </w:rPr>
        <w:t>实业有限公司、香港威利马电器有限公司共同发起设立。</w:t>
      </w:r>
    </w:p>
    <w:p>
      <w:pPr>
        <w:spacing w:line="240" w:lineRule="auto" w:before="3"/>
        <w:rPr>
          <w:rFonts w:ascii="宋体" w:hAnsi="宋体" w:cs="宋体" w:eastAsia="宋体" w:hint="default"/>
          <w:sz w:val="15"/>
          <w:szCs w:val="15"/>
        </w:rPr>
      </w:pPr>
    </w:p>
    <w:p>
      <w:pPr>
        <w:spacing w:before="0"/>
        <w:ind w:left="153" w:right="10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日经深圳证券管理办公室以深证办复（</w:t>
      </w:r>
      <w:r>
        <w:rPr>
          <w:rFonts w:ascii="Times New Roman" w:hAnsi="Times New Roman" w:cs="Times New Roman" w:eastAsia="Times New Roman" w:hint="default"/>
          <w:sz w:val="21"/>
          <w:szCs w:val="21"/>
        </w:rPr>
        <w:t>1993</w:t>
      </w:r>
      <w:r>
        <w:rPr>
          <w:rFonts w:ascii="宋体" w:hAnsi="宋体" w:cs="宋体" w:eastAsia="宋体" w:hint="default"/>
          <w:sz w:val="21"/>
          <w:szCs w:val="21"/>
        </w:rPr>
        <w:t>）第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147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号文批准，公司发行面值</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A</w:t>
      </w:r>
    </w:p>
    <w:p>
      <w:pPr>
        <w:spacing w:line="240" w:lineRule="auto" w:before="5"/>
        <w:rPr>
          <w:rFonts w:ascii="Times New Roman" w:hAnsi="Times New Roman" w:cs="Times New Roman" w:eastAsia="Times New Roman" w:hint="default"/>
          <w:sz w:val="17"/>
          <w:szCs w:val="17"/>
        </w:rPr>
      </w:pPr>
    </w:p>
    <w:p>
      <w:pPr>
        <w:spacing w:before="0"/>
        <w:ind w:left="154" w:right="102" w:firstLine="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4,302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万股，外资法人股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2,538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日在深圳证券交易所上市。经</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年送红股配</w:t>
      </w:r>
    </w:p>
    <w:p>
      <w:pPr>
        <w:spacing w:line="240" w:lineRule="auto" w:before="3"/>
        <w:rPr>
          <w:rFonts w:ascii="宋体" w:hAnsi="宋体" w:cs="宋体" w:eastAsia="宋体" w:hint="default"/>
          <w:sz w:val="15"/>
          <w:szCs w:val="15"/>
        </w:rPr>
      </w:pPr>
    </w:p>
    <w:p>
      <w:pPr>
        <w:spacing w:before="0"/>
        <w:ind w:left="153" w:right="102" w:firstLine="0"/>
        <w:jc w:val="left"/>
        <w:rPr>
          <w:rFonts w:ascii="宋体" w:hAnsi="宋体" w:cs="宋体" w:eastAsia="宋体" w:hint="default"/>
          <w:sz w:val="21"/>
          <w:szCs w:val="21"/>
        </w:rPr>
      </w:pPr>
      <w:r>
        <w:rPr>
          <w:rFonts w:ascii="宋体" w:hAnsi="宋体" w:cs="宋体" w:eastAsia="宋体" w:hint="default"/>
          <w:spacing w:val="-4"/>
          <w:sz w:val="21"/>
          <w:szCs w:val="21"/>
        </w:rPr>
        <w:t>送新股，</w:t>
      </w:r>
      <w:r>
        <w:rPr>
          <w:rFonts w:ascii="Times New Roman" w:hAnsi="Times New Roman" w:cs="Times New Roman" w:eastAsia="Times New Roman" w:hint="default"/>
          <w:spacing w:val="-4"/>
          <w:sz w:val="21"/>
          <w:szCs w:val="21"/>
        </w:rPr>
        <w:t>1998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年资本公积转增股本后，截至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日本公司股本已增至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9,048.6</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万元。据本公司</w:t>
      </w:r>
    </w:p>
    <w:p>
      <w:pPr>
        <w:spacing w:line="240" w:lineRule="auto" w:before="3"/>
        <w:rPr>
          <w:rFonts w:ascii="宋体" w:hAnsi="宋体" w:cs="宋体" w:eastAsia="宋体" w:hint="default"/>
          <w:sz w:val="15"/>
          <w:szCs w:val="15"/>
        </w:rPr>
      </w:pPr>
    </w:p>
    <w:p>
      <w:pPr>
        <w:spacing w:before="0"/>
        <w:ind w:left="153" w:right="10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年第一次临时股东大会通过的《资产赠与、资本公积金定向转增股本暨股权分置改革方案的议案》和</w:t>
      </w:r>
    </w:p>
    <w:p>
      <w:pPr>
        <w:spacing w:line="240" w:lineRule="auto" w:before="4"/>
        <w:rPr>
          <w:rFonts w:ascii="宋体" w:hAnsi="宋体" w:cs="宋体" w:eastAsia="宋体" w:hint="default"/>
          <w:sz w:val="15"/>
          <w:szCs w:val="15"/>
        </w:rPr>
      </w:pPr>
    </w:p>
    <w:p>
      <w:pPr>
        <w:spacing w:before="0"/>
        <w:ind w:left="153" w:right="102" w:firstLine="0"/>
        <w:jc w:val="left"/>
        <w:rPr>
          <w:rFonts w:ascii="宋体" w:hAnsi="宋体" w:cs="宋体" w:eastAsia="宋体" w:hint="default"/>
          <w:sz w:val="21"/>
          <w:szCs w:val="21"/>
        </w:rPr>
      </w:pPr>
      <w:r>
        <w:rPr>
          <w:rFonts w:ascii="宋体" w:hAnsi="宋体" w:cs="宋体" w:eastAsia="宋体" w:hint="default"/>
          <w:sz w:val="21"/>
          <w:szCs w:val="21"/>
        </w:rPr>
        <w:t>修改后的章程规定，本公司以现有总股本</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90,486,000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股中</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19,140,000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股的流通股为基数，以截止</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p>
      <w:pPr>
        <w:spacing w:line="240" w:lineRule="auto" w:before="3"/>
        <w:rPr>
          <w:rFonts w:ascii="宋体" w:hAnsi="宋体" w:cs="宋体" w:eastAsia="宋体" w:hint="default"/>
          <w:sz w:val="15"/>
          <w:szCs w:val="15"/>
        </w:rPr>
      </w:pPr>
    </w:p>
    <w:p>
      <w:pPr>
        <w:spacing w:before="0"/>
        <w:ind w:left="153" w:right="102"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日经审计的资本公积金向股改实施股份变更登记日登记在册的公司全体流通股股东每</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股定向转</w:t>
      </w:r>
    </w:p>
    <w:p>
      <w:pPr>
        <w:spacing w:line="240" w:lineRule="auto" w:before="3"/>
        <w:rPr>
          <w:rFonts w:ascii="宋体" w:hAnsi="宋体" w:cs="宋体" w:eastAsia="宋体" w:hint="default"/>
          <w:sz w:val="15"/>
          <w:szCs w:val="15"/>
        </w:rPr>
      </w:pPr>
    </w:p>
    <w:p>
      <w:pPr>
        <w:spacing w:before="0"/>
        <w:ind w:left="154" w:right="102" w:firstLine="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股；本公司增加注册资本人民币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5,741,998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元，均由资本公积转增股本，截至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w:t>
      </w:r>
    </w:p>
    <w:p>
      <w:pPr>
        <w:spacing w:line="240" w:lineRule="auto" w:before="4"/>
        <w:rPr>
          <w:rFonts w:ascii="宋体" w:hAnsi="宋体" w:cs="宋体" w:eastAsia="宋体" w:hint="default"/>
          <w:sz w:val="15"/>
          <w:szCs w:val="15"/>
        </w:rPr>
      </w:pPr>
    </w:p>
    <w:p>
      <w:pPr>
        <w:spacing w:line="444" w:lineRule="auto" w:before="0"/>
        <w:ind w:left="574" w:right="209" w:hanging="420"/>
        <w:jc w:val="left"/>
        <w:rPr>
          <w:rFonts w:ascii="宋体" w:hAnsi="宋体" w:cs="宋体" w:eastAsia="宋体" w:hint="default"/>
          <w:sz w:val="21"/>
          <w:szCs w:val="21"/>
        </w:rPr>
      </w:pPr>
      <w:r>
        <w:rPr>
          <w:rFonts w:ascii="宋体" w:hAnsi="宋体" w:cs="宋体" w:eastAsia="宋体" w:hint="default"/>
          <w:sz w:val="21"/>
          <w:szCs w:val="21"/>
        </w:rPr>
        <w:t>司注册资本为人民币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96,227,998 </w:t>
      </w:r>
      <w:r>
        <w:rPr>
          <w:rFonts w:ascii="宋体" w:hAnsi="宋体" w:cs="宋体" w:eastAsia="宋体" w:hint="default"/>
          <w:sz w:val="21"/>
          <w:szCs w:val="21"/>
        </w:rPr>
        <w:t>元。 </w:t>
      </w:r>
      <w:r>
        <w:rPr>
          <w:rFonts w:ascii="宋体" w:hAnsi="宋体" w:cs="宋体" w:eastAsia="宋体" w:hint="default"/>
          <w:spacing w:val="-1"/>
          <w:sz w:val="21"/>
          <w:szCs w:val="21"/>
        </w:rPr>
        <w:t>由于公司</w:t>
      </w:r>
      <w:r>
        <w:rPr>
          <w:rFonts w:ascii="Times New Roman" w:hAnsi="Times New Roman" w:cs="Times New Roman" w:eastAsia="Times New Roman" w:hint="default"/>
          <w:spacing w:val="-1"/>
          <w:sz w:val="21"/>
          <w:szCs w:val="21"/>
        </w:rPr>
        <w:t>2004</w:t>
      </w:r>
      <w:r>
        <w:rPr>
          <w:rFonts w:ascii="宋体" w:hAnsi="宋体" w:cs="宋体" w:eastAsia="宋体" w:hint="default"/>
          <w:spacing w:val="-1"/>
          <w:sz w:val="21"/>
          <w:szCs w:val="21"/>
        </w:rPr>
        <w:t>年度、</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年度净利润均为负值，根据深交所相关规定，股票自</w:t>
      </w:r>
      <w:r>
        <w:rPr>
          <w:rFonts w:ascii="Times New Roman" w:hAnsi="Times New Roman" w:cs="Times New Roman" w:eastAsia="Times New Roman" w:hint="default"/>
          <w:spacing w:val="-1"/>
          <w:sz w:val="21"/>
          <w:szCs w:val="21"/>
        </w:rPr>
        <w:t>2006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日起实行退</w:t>
      </w:r>
    </w:p>
    <w:p>
      <w:pPr>
        <w:spacing w:after="0" w:line="444" w:lineRule="auto"/>
        <w:jc w:val="left"/>
        <w:rPr>
          <w:rFonts w:ascii="宋体" w:hAnsi="宋体" w:cs="宋体" w:eastAsia="宋体" w:hint="default"/>
          <w:sz w:val="21"/>
          <w:szCs w:val="21"/>
        </w:rPr>
        <w:sectPr>
          <w:headerReference w:type="default" r:id="rId14"/>
          <w:footerReference w:type="default" r:id="rId15"/>
          <w:pgSz w:w="11910" w:h="16840"/>
          <w:pgMar w:header="877" w:footer="941" w:top="1100" w:bottom="1140" w:left="980" w:right="920"/>
          <w:pgNumType w:start="64"/>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12" w:lineRule="auto" w:before="35"/>
        <w:ind w:left="153" w:right="149" w:firstLine="0"/>
        <w:jc w:val="both"/>
        <w:rPr>
          <w:rFonts w:ascii="宋体" w:hAnsi="宋体" w:cs="宋体" w:eastAsia="宋体" w:hint="default"/>
          <w:sz w:val="21"/>
          <w:szCs w:val="21"/>
        </w:rPr>
      </w:pPr>
      <w:r>
        <w:rPr>
          <w:rFonts w:ascii="宋体" w:hAnsi="宋体" w:cs="宋体" w:eastAsia="宋体" w:hint="default"/>
          <w:spacing w:val="-1"/>
          <w:sz w:val="21"/>
          <w:szCs w:val="21"/>
        </w:rPr>
        <w:t>市风险警示的特别处理，股票简称由</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深大通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变更为</w:t>
      </w:r>
      <w:r>
        <w:rPr>
          <w:rFonts w:ascii="Times New Roman" w:hAnsi="Times New Roman" w:cs="Times New Roman" w:eastAsia="Times New Roman" w:hint="default"/>
          <w:spacing w:val="-1"/>
          <w:sz w:val="21"/>
          <w:szCs w:val="21"/>
        </w:rPr>
        <w:t>“*ST</w:t>
      </w:r>
      <w:r>
        <w:rPr>
          <w:rFonts w:ascii="宋体" w:hAnsi="宋体" w:cs="宋体" w:eastAsia="宋体" w:hint="default"/>
          <w:spacing w:val="-1"/>
          <w:sz w:val="21"/>
          <w:szCs w:val="21"/>
        </w:rPr>
        <w:t>大通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。股票交易日涨跌幅限制变为</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％；因公司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Times New Roman" w:hAnsi="Times New Roman" w:cs="Times New Roman" w:eastAsia="Times New Roman" w:hint="default"/>
          <w:spacing w:val="-1"/>
          <w:sz w:val="21"/>
          <w:szCs w:val="21"/>
        </w:rPr>
        <w:t>2004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2006</w:t>
      </w:r>
      <w:r>
        <w:rPr>
          <w:rFonts w:ascii="宋体" w:hAnsi="宋体" w:cs="宋体" w:eastAsia="宋体" w:hint="default"/>
          <w:spacing w:val="-1"/>
          <w:sz w:val="21"/>
          <w:szCs w:val="21"/>
        </w:rPr>
        <w:t>年连续三年亏损，根据中国证监会颁布的《亏损上市公司暂停上市和终止上市实施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办法（修订）》及《深圳证券交易所股票上市规则》</w:t>
      </w:r>
      <w:r>
        <w:rPr>
          <w:rFonts w:ascii="Times New Roman" w:hAnsi="Times New Roman" w:cs="Times New Roman" w:eastAsia="Times New Roman" w:hint="default"/>
          <w:spacing w:val="-3"/>
          <w:sz w:val="21"/>
          <w:szCs w:val="21"/>
        </w:rPr>
        <w:t>14.1.1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14.1.2</w:t>
      </w:r>
      <w:r>
        <w:rPr>
          <w:rFonts w:ascii="宋体" w:hAnsi="宋体" w:cs="宋体" w:eastAsia="宋体" w:hint="default"/>
          <w:spacing w:val="-3"/>
          <w:sz w:val="21"/>
          <w:szCs w:val="21"/>
        </w:rPr>
        <w:t>的规定，深圳证券交易所深圳上</w:t>
      </w:r>
      <w:r>
        <w:rPr>
          <w:rFonts w:ascii="Times New Roman" w:hAnsi="Times New Roman" w:cs="Times New Roman" w:eastAsia="Times New Roman" w:hint="default"/>
          <w:spacing w:val="-3"/>
          <w:sz w:val="21"/>
          <w:szCs w:val="21"/>
        </w:rPr>
        <w:t>[2007]71</w:t>
      </w:r>
      <w:r>
        <w:rPr>
          <w:rFonts w:ascii="Times New Roman" w:hAnsi="Times New Roman" w:cs="Times New Roman" w:eastAsia="Times New Roman" w:hint="default"/>
          <w:sz w:val="21"/>
          <w:szCs w:val="21"/>
        </w:rPr>
        <w:t> </w:t>
      </w:r>
      <w:r>
        <w:rPr>
          <w:rFonts w:ascii="宋体" w:hAnsi="宋体" w:cs="宋体" w:eastAsia="宋体" w:hint="default"/>
          <w:sz w:val="21"/>
          <w:szCs w:val="21"/>
        </w:rPr>
        <w:t>号《关于深圳大通实业股份有限公司暂停上市的决定》，决定公司股票自</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日起暂停上市。</w:t>
      </w:r>
    </w:p>
    <w:p>
      <w:pPr>
        <w:spacing w:before="80"/>
        <w:ind w:left="573" w:right="0" w:firstLine="0"/>
        <w:jc w:val="left"/>
        <w:rPr>
          <w:rFonts w:ascii="宋体" w:hAnsi="宋体" w:cs="宋体" w:eastAsia="宋体" w:hint="default"/>
          <w:sz w:val="21"/>
          <w:szCs w:val="21"/>
        </w:rPr>
      </w:pPr>
      <w:r>
        <w:rPr>
          <w:rFonts w:ascii="宋体" w:hAnsi="宋体" w:cs="宋体" w:eastAsia="宋体" w:hint="default"/>
          <w:sz w:val="21"/>
          <w:szCs w:val="21"/>
        </w:rPr>
        <w:t>（三）财务报告的批准报出者和财务报告批准报出日</w:t>
      </w:r>
    </w:p>
    <w:p>
      <w:pPr>
        <w:spacing w:line="240" w:lineRule="auto" w:before="5"/>
        <w:rPr>
          <w:rFonts w:ascii="宋体" w:hAnsi="宋体" w:cs="宋体" w:eastAsia="宋体" w:hint="default"/>
          <w:sz w:val="20"/>
          <w:szCs w:val="2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本公司财务报告已经本公司于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日召开的董事会会议批准对外报出。</w:t>
      </w:r>
    </w:p>
    <w:p>
      <w:pPr>
        <w:pStyle w:val="BodyText"/>
        <w:spacing w:line="240" w:lineRule="auto" w:before="95"/>
        <w:ind w:right="0"/>
        <w:jc w:val="both"/>
      </w:pPr>
      <w:r>
        <w:rPr/>
        <w:t>二、公司主要会计政策、会计估计和前期差错</w:t>
      </w:r>
    </w:p>
    <w:p>
      <w:pPr>
        <w:spacing w:line="240" w:lineRule="auto" w:before="6"/>
        <w:rPr>
          <w:rFonts w:ascii="宋体" w:hAnsi="宋体" w:cs="宋体" w:eastAsia="宋体" w:hint="default"/>
          <w:sz w:val="23"/>
          <w:szCs w:val="23"/>
        </w:rPr>
      </w:pPr>
    </w:p>
    <w:p>
      <w:pPr>
        <w:spacing w:line="446" w:lineRule="auto" w:before="0"/>
        <w:ind w:left="574"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、财务报表的编制基础 </w:t>
      </w:r>
      <w:r>
        <w:rPr>
          <w:rFonts w:ascii="宋体" w:hAnsi="宋体" w:cs="宋体" w:eastAsia="宋体" w:hint="default"/>
          <w:spacing w:val="-1"/>
          <w:sz w:val="21"/>
          <w:szCs w:val="21"/>
        </w:rPr>
        <w:t>本公司以持续经营为基础，根据实际发生的交易和事项，按照《企业会计准则――基本准则》和其他</w:t>
      </w:r>
    </w:p>
    <w:p>
      <w:pPr>
        <w:spacing w:before="45"/>
        <w:ind w:left="154" w:right="0" w:firstLine="0"/>
        <w:jc w:val="both"/>
        <w:rPr>
          <w:rFonts w:ascii="宋体" w:hAnsi="宋体" w:cs="宋体" w:eastAsia="宋体" w:hint="default"/>
          <w:sz w:val="21"/>
          <w:szCs w:val="21"/>
        </w:rPr>
      </w:pPr>
      <w:r>
        <w:rPr>
          <w:rFonts w:ascii="宋体" w:hAnsi="宋体" w:cs="宋体" w:eastAsia="宋体" w:hint="default"/>
          <w:sz w:val="21"/>
          <w:szCs w:val="21"/>
        </w:rPr>
        <w:t>各项会计准则的规定进行确认和计量，在此基础上编制财务报表。</w:t>
      </w:r>
    </w:p>
    <w:p>
      <w:pPr>
        <w:spacing w:line="240" w:lineRule="auto" w:before="2"/>
        <w:rPr>
          <w:rFonts w:ascii="宋体" w:hAnsi="宋体" w:cs="宋体" w:eastAsia="宋体" w:hint="default"/>
          <w:sz w:val="20"/>
          <w:szCs w:val="20"/>
        </w:rPr>
      </w:pPr>
    </w:p>
    <w:p>
      <w:pPr>
        <w:spacing w:line="446" w:lineRule="auto" w:before="0"/>
        <w:ind w:left="574" w:right="137" w:hanging="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、遵循企业会计准则的声明 </w:t>
      </w:r>
      <w:r>
        <w:rPr>
          <w:rFonts w:ascii="宋体" w:hAnsi="宋体" w:cs="宋体" w:eastAsia="宋体" w:hint="default"/>
          <w:spacing w:val="-2"/>
          <w:sz w:val="21"/>
          <w:szCs w:val="21"/>
        </w:rPr>
        <w:t>本公司基于上述编制基础编制的财务报表符合企业会计准则的要求，真实、完整地反映了本公司</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z w:val="21"/>
          <w:szCs w:val="21"/>
        </w:rPr>
      </w:r>
    </w:p>
    <w:p>
      <w:pPr>
        <w:spacing w:before="9"/>
        <w:ind w:left="154"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年度经营成果和现金流量等有关信息。</w:t>
      </w:r>
    </w:p>
    <w:p>
      <w:pPr>
        <w:spacing w:line="240" w:lineRule="auto" w:before="13"/>
        <w:rPr>
          <w:rFonts w:ascii="宋体" w:hAnsi="宋体" w:cs="宋体" w:eastAsia="宋体" w:hint="default"/>
          <w:sz w:val="18"/>
          <w:szCs w:val="18"/>
        </w:rPr>
      </w:pPr>
    </w:p>
    <w:p>
      <w:pPr>
        <w:spacing w:before="0"/>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、会计期间</w:t>
      </w:r>
    </w:p>
    <w:p>
      <w:pPr>
        <w:spacing w:line="240" w:lineRule="auto" w:before="2"/>
        <w:rPr>
          <w:rFonts w:ascii="宋体" w:hAnsi="宋体" w:cs="宋体" w:eastAsia="宋体" w:hint="default"/>
          <w:sz w:val="19"/>
          <w:szCs w:val="19"/>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13"/>
        <w:rPr>
          <w:rFonts w:ascii="宋体" w:hAnsi="宋体" w:cs="宋体" w:eastAsia="宋体" w:hint="default"/>
          <w:sz w:val="18"/>
          <w:szCs w:val="18"/>
        </w:rPr>
      </w:pPr>
    </w:p>
    <w:p>
      <w:pPr>
        <w:spacing w:line="446" w:lineRule="auto" w:before="0"/>
        <w:ind w:left="574" w:right="704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、记账本位币 以人民币为记账本位币。</w:t>
      </w:r>
    </w:p>
    <w:p>
      <w:pPr>
        <w:spacing w:line="446" w:lineRule="auto" w:before="83"/>
        <w:ind w:left="574"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、同一控制下和非同一控制下企业合并的会计处理方法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、同一控制下的企业合并：在企业合并中取得的资产和负债，按照合并日在被合并方的账面价值计</w:t>
      </w:r>
    </w:p>
    <w:p>
      <w:pPr>
        <w:spacing w:line="436" w:lineRule="auto" w:before="8"/>
        <w:ind w:left="154" w:right="128" w:firstLine="0"/>
        <w:jc w:val="both"/>
        <w:rPr>
          <w:rFonts w:ascii="宋体" w:hAnsi="宋体" w:cs="宋体" w:eastAsia="宋体" w:hint="default"/>
          <w:sz w:val="21"/>
          <w:szCs w:val="21"/>
        </w:rPr>
      </w:pPr>
      <w:r>
        <w:rPr>
          <w:rFonts w:ascii="宋体" w:hAnsi="宋体" w:cs="宋体" w:eastAsia="宋体" w:hint="default"/>
          <w:sz w:val="21"/>
          <w:szCs w:val="21"/>
        </w:rPr>
        <w:t>量。取得的净资产账面价值与支付的合并对价账面价值（或发行股份面值总额）的差额，调整资本公积； </w:t>
      </w:r>
      <w:r>
        <w:rPr>
          <w:rFonts w:ascii="宋体" w:hAnsi="宋体" w:cs="宋体" w:eastAsia="宋体" w:hint="default"/>
          <w:spacing w:val="-1"/>
          <w:sz w:val="21"/>
          <w:szCs w:val="21"/>
        </w:rPr>
        <w:t>资本公积不足冲减的，调整留存收益。为进行企业合并发生的各项直接相关费用，包括为进行企业合并而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支付的审计费用、评估费用、法律服务费用等，于发生时计入当期损益。企业合并形成母子公司关系的， </w:t>
      </w:r>
      <w:r>
        <w:rPr>
          <w:rFonts w:ascii="宋体" w:hAnsi="宋体" w:cs="宋体" w:eastAsia="宋体" w:hint="default"/>
          <w:spacing w:val="-1"/>
          <w:sz w:val="21"/>
          <w:szCs w:val="21"/>
        </w:rPr>
        <w:t>母公司编制合并日的合并资产负债表、合并利润表和合并现金流量表。合并资产负债表中被合并方的各项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资产、负债，按其账面价值计量。因被合并方采用的会计政策与合并方不一致，按照本准则规定进行调整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的，以调整后的账面价值计量。合并利润表包括参与合并各方自合并当期期初至合并日所发生的收入、费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用和利润。被合并方在合并前实现的净利润，在合并利润表中单列项目反映。合并现金流量表包括参与合</w:t>
      </w:r>
    </w:p>
    <w:p>
      <w:pPr>
        <w:spacing w:after="0" w:line="436" w:lineRule="auto"/>
        <w:jc w:val="both"/>
        <w:rPr>
          <w:rFonts w:ascii="宋体" w:hAnsi="宋体" w:cs="宋体" w:eastAsia="宋体" w:hint="default"/>
          <w:sz w:val="21"/>
          <w:szCs w:val="21"/>
        </w:rPr>
        <w:sectPr>
          <w:pgSz w:w="11910" w:h="16840"/>
          <w:pgMar w:header="877" w:footer="941" w:top="1100" w:bottom="114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并各方自合并当期期初至合并日的现金流量。</w:t>
      </w:r>
    </w:p>
    <w:p>
      <w:pPr>
        <w:spacing w:line="240" w:lineRule="auto" w:before="2"/>
        <w:rPr>
          <w:rFonts w:ascii="宋体" w:hAnsi="宋体" w:cs="宋体" w:eastAsia="宋体" w:hint="default"/>
          <w:sz w:val="20"/>
          <w:szCs w:val="20"/>
        </w:rPr>
      </w:pPr>
    </w:p>
    <w:p>
      <w:pPr>
        <w:spacing w:line="434" w:lineRule="auto" w:before="0"/>
        <w:ind w:left="153" w:right="18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、非同一控制下的企业合并：在购买日为取得对被购买方的控制权而付出的资产、发生或承担的负 </w:t>
      </w:r>
      <w:r>
        <w:rPr>
          <w:rFonts w:ascii="宋体" w:hAnsi="宋体" w:cs="宋体" w:eastAsia="宋体" w:hint="default"/>
          <w:spacing w:val="-1"/>
          <w:sz w:val="21"/>
          <w:szCs w:val="21"/>
        </w:rPr>
        <w:t>债以及发行的权益性证券的公允价值加上各项直接相关费用为合并成本。在购买日对作为企业合并对价付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出的资产、发生或承担的负债按照公允价值计量，公允价值与其账面价值的差额，计入当期损益。对合并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成本大于合并中取得的被购买方可辨认净资产公允价值份额的差额，确认为商誉。对合并成本小于合并中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取得的被购买方可辨认净资产公允价值份额的时，对取得的被购买方各项可辨认资产、负债及或有负债的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公允价值以及合并成本的计量进行复核；经复核后合并成本仍小于合并中取得的被购买方可辨认净资产公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允价值份额的，其差额计入当期损益。企业合并形成母子公司关系的，母公司编制购买日的合并资产负债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表，因企业合并取得的被购买方各项可辨认资产、负债及或有负债以公允价值列示。</w:t>
      </w:r>
    </w:p>
    <w:p>
      <w:pPr>
        <w:spacing w:before="94"/>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、合并财务报表的编制方法</w:t>
      </w:r>
    </w:p>
    <w:p>
      <w:pPr>
        <w:spacing w:line="240" w:lineRule="auto" w:before="12"/>
        <w:rPr>
          <w:rFonts w:ascii="宋体" w:hAnsi="宋体" w:cs="宋体" w:eastAsia="宋体" w:hint="default"/>
          <w:sz w:val="15"/>
          <w:szCs w:val="15"/>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2"/>
        <w:rPr>
          <w:rFonts w:ascii="宋体" w:hAnsi="宋体" w:cs="宋体" w:eastAsia="宋体" w:hint="default"/>
          <w:sz w:val="19"/>
          <w:szCs w:val="19"/>
        </w:rPr>
      </w:pPr>
    </w:p>
    <w:p>
      <w:pPr>
        <w:spacing w:line="429" w:lineRule="auto" w:before="0"/>
        <w:ind w:left="154" w:right="18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、合并财务报表的合并范围以控制为基础予以确定。合并财务报表以本公司和纳入合并财务报表范 </w:t>
      </w:r>
      <w:r>
        <w:rPr>
          <w:rFonts w:ascii="宋体" w:hAnsi="宋体" w:cs="宋体" w:eastAsia="宋体" w:hint="default"/>
          <w:spacing w:val="-1"/>
          <w:sz w:val="21"/>
          <w:szCs w:val="21"/>
        </w:rPr>
        <w:t>围的各子公司的财务报表及其他有关资料为合并依据，按照权益法调整对子公司的长期股权投资，将本公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司和纳入合并财务报表范围的各子公司之间的投资、交易及往来等全部抵销，并计算少数股东损益及少数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股东权益后合并编制而成。</w:t>
      </w:r>
    </w:p>
    <w:p>
      <w:pPr>
        <w:spacing w:line="396" w:lineRule="auto" w:before="79"/>
        <w:ind w:left="154" w:right="104"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、合并时，如纳入合并范围的子公司与本公司会计政策不一致，按本公司执行的会计政策对其进行调</w:t>
      </w:r>
      <w:r>
        <w:rPr>
          <w:rFonts w:ascii="宋体" w:hAnsi="宋体" w:cs="宋体" w:eastAsia="宋体" w:hint="default"/>
          <w:sz w:val="21"/>
          <w:szCs w:val="21"/>
        </w:rPr>
        <w:t> 整后合并。</w:t>
      </w:r>
    </w:p>
    <w:p>
      <w:pPr>
        <w:spacing w:line="396" w:lineRule="auto" w:before="109"/>
        <w:ind w:left="154" w:right="103"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、对于同一控制下企业合并取得的子公司，视同该企业合并于合并当期的期初已经发生，从合并当期</w:t>
      </w:r>
      <w:r>
        <w:rPr>
          <w:rFonts w:ascii="宋体" w:hAnsi="宋体" w:cs="宋体" w:eastAsia="宋体" w:hint="default"/>
          <w:sz w:val="21"/>
          <w:szCs w:val="21"/>
        </w:rPr>
        <w:t> 的期初起将其资产、负债、经营成果和现金流量纳入合并财务报表。</w:t>
      </w:r>
    </w:p>
    <w:p>
      <w:pPr>
        <w:spacing w:line="396" w:lineRule="auto" w:before="108"/>
        <w:ind w:left="154" w:right="240" w:firstLine="406"/>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、同一控制下的企业合并事项的，被重组方合并前的净损益应计入非经常性损益，并在申报财务报 表中单独列示。</w:t>
      </w:r>
    </w:p>
    <w:p>
      <w:pPr>
        <w:spacing w:line="396" w:lineRule="auto" w:before="108"/>
        <w:ind w:left="154" w:right="104"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E</w:t>
      </w:r>
      <w:r>
        <w:rPr>
          <w:rFonts w:ascii="宋体" w:hAnsi="宋体" w:cs="宋体" w:eastAsia="宋体" w:hint="default"/>
          <w:spacing w:val="-2"/>
          <w:sz w:val="21"/>
          <w:szCs w:val="21"/>
        </w:rPr>
        <w:t>、重组属于同一公司控制权人下的非企业合并事项，但被重组方重组前一个会计年度末的资产总额或</w:t>
      </w:r>
      <w:r>
        <w:rPr>
          <w:rFonts w:ascii="宋体" w:hAnsi="宋体" w:cs="宋体" w:eastAsia="宋体" w:hint="default"/>
          <w:sz w:val="21"/>
          <w:szCs w:val="21"/>
        </w:rPr>
        <w:t> 前一个会计年度的营业收入或利润总额达到或超过重组前重组方相应项目</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的，从合并当期的期初起编 制备考利润表。</w:t>
      </w:r>
    </w:p>
    <w:p>
      <w:pPr>
        <w:spacing w:line="412" w:lineRule="auto" w:before="128"/>
        <w:ind w:left="154" w:right="18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宋体" w:hAnsi="宋体" w:cs="宋体" w:eastAsia="宋体" w:hint="default"/>
          <w:sz w:val="21"/>
          <w:szCs w:val="21"/>
        </w:rPr>
        <w:t>、对于因非同一控制下企业合并取得的子公司，在编制合并报表时，以购买日可辨认净资产公允价</w:t>
      </w:r>
      <w:r>
        <w:rPr>
          <w:rFonts w:ascii="宋体" w:hAnsi="宋体" w:cs="宋体" w:eastAsia="宋体" w:hint="default"/>
          <w:spacing w:val="1"/>
          <w:sz w:val="21"/>
          <w:szCs w:val="21"/>
        </w:rPr>
        <w:t> </w:t>
      </w:r>
      <w:r>
        <w:rPr>
          <w:rFonts w:ascii="宋体" w:hAnsi="宋体" w:cs="宋体" w:eastAsia="宋体" w:hint="default"/>
          <w:sz w:val="21"/>
          <w:szCs w:val="21"/>
        </w:rPr>
        <w:t>值为基础对个别财务报表进行调整。</w:t>
      </w:r>
    </w:p>
    <w:p>
      <w:pPr>
        <w:spacing w:after="0" w:line="412" w:lineRule="auto"/>
        <w:jc w:val="both"/>
        <w:rPr>
          <w:rFonts w:ascii="宋体" w:hAnsi="宋体" w:cs="宋体" w:eastAsia="宋体" w:hint="default"/>
          <w:sz w:val="21"/>
          <w:szCs w:val="21"/>
        </w:rPr>
        <w:sectPr>
          <w:pgSz w:w="11910" w:h="16840"/>
          <w:pgMar w:header="877" w:footer="941" w:top="1100" w:bottom="1140" w:left="980" w:right="9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12" w:lineRule="auto" w:before="35"/>
        <w:ind w:left="154"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）对同一子公司的股权在连续两个会计年度买入再卖出，或卖出再买入的应披露相关的会计处理</w:t>
      </w:r>
      <w:r>
        <w:rPr>
          <w:rFonts w:ascii="宋体" w:hAnsi="宋体" w:cs="宋体" w:eastAsia="宋体" w:hint="default"/>
          <w:spacing w:val="2"/>
          <w:sz w:val="21"/>
          <w:szCs w:val="21"/>
        </w:rPr>
        <w:t> </w:t>
      </w:r>
      <w:r>
        <w:rPr>
          <w:rFonts w:ascii="宋体" w:hAnsi="宋体" w:cs="宋体" w:eastAsia="宋体" w:hint="default"/>
          <w:sz w:val="21"/>
          <w:szCs w:val="21"/>
        </w:rPr>
        <w:t>方法。</w:t>
      </w:r>
    </w:p>
    <w:p>
      <w:pPr>
        <w:spacing w:before="114"/>
        <w:ind w:left="574"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3"/>
        <w:rPr>
          <w:rFonts w:ascii="宋体" w:hAnsi="宋体" w:cs="宋体" w:eastAsia="宋体" w:hint="default"/>
          <w:sz w:val="20"/>
          <w:szCs w:val="20"/>
        </w:rPr>
      </w:pPr>
    </w:p>
    <w:p>
      <w:pPr>
        <w:spacing w:line="446" w:lineRule="auto" w:before="0"/>
        <w:ind w:left="574" w:right="431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、现金及现金等价物的确定标准 现金是指本公司的库存现金以及随时用于支付的存款。</w:t>
      </w:r>
    </w:p>
    <w:p>
      <w:pPr>
        <w:spacing w:line="436" w:lineRule="auto" w:before="84"/>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现金等价物为本公司持有的期限短（一般是指从购买日起三个月内到期）、流动性强、易于转换为已</w:t>
      </w:r>
      <w:r>
        <w:rPr>
          <w:rFonts w:ascii="宋体" w:hAnsi="宋体" w:cs="宋体" w:eastAsia="宋体" w:hint="default"/>
          <w:spacing w:val="2"/>
          <w:sz w:val="21"/>
          <w:szCs w:val="21"/>
        </w:rPr>
        <w:t> </w:t>
      </w:r>
      <w:r>
        <w:rPr>
          <w:rFonts w:ascii="宋体" w:hAnsi="宋体" w:cs="宋体" w:eastAsia="宋体" w:hint="default"/>
          <w:sz w:val="21"/>
          <w:szCs w:val="21"/>
        </w:rPr>
        <w:t>知金额现金且价值变动风险很小的投资。</w:t>
      </w:r>
    </w:p>
    <w:p>
      <w:pPr>
        <w:spacing w:line="424" w:lineRule="auto" w:before="91"/>
        <w:ind w:left="574" w:right="6726" w:hanging="1"/>
        <w:jc w:val="left"/>
        <w:rPr>
          <w:rFonts w:ascii="新宋体" w:hAnsi="新宋体" w:cs="新宋体" w:eastAsia="新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、外币业务和外币报表折算 </w:t>
      </w:r>
      <w:r>
        <w:rPr>
          <w:rFonts w:ascii="Times New Roman" w:hAnsi="Times New Roman" w:cs="Times New Roman" w:eastAsia="Times New Roman" w:hint="default"/>
          <w:sz w:val="21"/>
          <w:szCs w:val="21"/>
        </w:rPr>
        <w:t>A</w:t>
      </w:r>
      <w:r>
        <w:rPr>
          <w:rFonts w:ascii="新宋体" w:hAnsi="新宋体" w:cs="新宋体" w:eastAsia="新宋体" w:hint="default"/>
          <w:sz w:val="21"/>
          <w:szCs w:val="21"/>
        </w:rPr>
        <w:t>、外币业务核算方法</w:t>
      </w:r>
    </w:p>
    <w:p>
      <w:pPr>
        <w:spacing w:line="436" w:lineRule="auto" w:before="16"/>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本公司外币交易均按交易发生日的即期近似汇率折算为记账本位币。该即期近似汇率指交易发生日当</w:t>
      </w:r>
      <w:r>
        <w:rPr>
          <w:rFonts w:ascii="宋体" w:hAnsi="宋体" w:cs="宋体" w:eastAsia="宋体" w:hint="default"/>
          <w:sz w:val="21"/>
          <w:szCs w:val="21"/>
        </w:rPr>
        <w:t> 月月初的汇率。</w:t>
      </w:r>
    </w:p>
    <w:p>
      <w:pPr>
        <w:spacing w:before="53"/>
        <w:ind w:left="574"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在资产负债表日，按照下列规定对外币货币性项目和外币非货币性项目进行处理：</w:t>
      </w:r>
    </w:p>
    <w:p>
      <w:pPr>
        <w:spacing w:line="240" w:lineRule="auto" w:before="3"/>
        <w:rPr>
          <w:rFonts w:ascii="宋体" w:hAnsi="宋体" w:cs="宋体" w:eastAsia="宋体" w:hint="default"/>
          <w:sz w:val="17"/>
          <w:szCs w:val="17"/>
        </w:rPr>
      </w:pPr>
    </w:p>
    <w:p>
      <w:pPr>
        <w:spacing w:line="412" w:lineRule="auto" w:before="0"/>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、外币货币性项目，采用资产负债表日即期汇率折算。因资产负债表日即期汇率与初始确认时或前</w:t>
      </w:r>
      <w:r>
        <w:rPr>
          <w:rFonts w:ascii="宋体" w:hAnsi="宋体" w:cs="宋体" w:eastAsia="宋体" w:hint="default"/>
          <w:spacing w:val="2"/>
          <w:sz w:val="21"/>
          <w:szCs w:val="21"/>
        </w:rPr>
        <w:t> </w:t>
      </w:r>
      <w:r>
        <w:rPr>
          <w:rFonts w:ascii="宋体" w:hAnsi="宋体" w:cs="宋体" w:eastAsia="宋体" w:hint="default"/>
          <w:sz w:val="21"/>
          <w:szCs w:val="21"/>
        </w:rPr>
        <w:t>一资产负债表日即期汇率不同而产生的汇兑差额，计入当期损益。</w:t>
      </w:r>
    </w:p>
    <w:p>
      <w:pPr>
        <w:spacing w:line="412" w:lineRule="auto" w:before="74"/>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spacing w:val="2"/>
          <w:sz w:val="21"/>
          <w:szCs w:val="21"/>
        </w:rPr>
        <w:t> </w:t>
      </w:r>
      <w:r>
        <w:rPr>
          <w:rFonts w:ascii="宋体" w:hAnsi="宋体" w:cs="宋体" w:eastAsia="宋体" w:hint="default"/>
          <w:sz w:val="21"/>
          <w:szCs w:val="21"/>
        </w:rPr>
        <w:t>金额。</w:t>
      </w:r>
    </w:p>
    <w:p>
      <w:pPr>
        <w:spacing w:line="412" w:lineRule="auto" w:before="73"/>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spacing w:val="2"/>
          <w:sz w:val="21"/>
          <w:szCs w:val="21"/>
        </w:rPr>
        <w:t> </w:t>
      </w:r>
      <w:r>
        <w:rPr>
          <w:rFonts w:ascii="宋体" w:hAnsi="宋体" w:cs="宋体" w:eastAsia="宋体" w:hint="default"/>
          <w:sz w:val="21"/>
          <w:szCs w:val="21"/>
        </w:rPr>
        <w:t>币金额与原记账本位币金额的差额，作为公允价值变动处理，计入当期损益。</w:t>
      </w:r>
    </w:p>
    <w:p>
      <w:pPr>
        <w:spacing w:line="446" w:lineRule="auto" w:before="74"/>
        <w:ind w:left="574" w:right="41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、外币财务报表的折算方法 公司对境外经营的财务报表进行折算时，遵循下列规定：</w:t>
      </w:r>
    </w:p>
    <w:p>
      <w:pPr>
        <w:spacing w:line="412" w:lineRule="auto" w:before="84"/>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、资产负债表中的资产和负债项目，采用资产负债表日的即期汇率折算，所有者权益项目除“未分</w:t>
      </w:r>
      <w:r>
        <w:rPr>
          <w:rFonts w:ascii="宋体" w:hAnsi="宋体" w:cs="宋体" w:eastAsia="宋体" w:hint="default"/>
          <w:spacing w:val="2"/>
          <w:sz w:val="21"/>
          <w:szCs w:val="21"/>
        </w:rPr>
        <w:t> </w:t>
      </w:r>
      <w:r>
        <w:rPr>
          <w:rFonts w:ascii="宋体" w:hAnsi="宋体" w:cs="宋体" w:eastAsia="宋体" w:hint="default"/>
          <w:sz w:val="21"/>
          <w:szCs w:val="21"/>
        </w:rPr>
        <w:t>配利润”项目外，其他项目采用发生时的即期近似汇率折算。</w:t>
      </w:r>
    </w:p>
    <w:p>
      <w:pPr>
        <w:spacing w:line="458" w:lineRule="auto" w:before="114"/>
        <w:ind w:left="574" w:right="53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 按照上述方法折算产生的外币财务报表折算差额，在资产负债表中所有者权益项目下单独列示。 </w:t>
      </w:r>
      <w:r>
        <w:rPr>
          <w:rFonts w:ascii="Times New Roman" w:hAnsi="Times New Roman" w:cs="Times New Roman" w:eastAsia="Times New Roman" w:hint="default"/>
          <w:sz w:val="21"/>
          <w:szCs w:val="21"/>
        </w:rPr>
        <w:t>9</w:t>
      </w:r>
      <w:r>
        <w:rPr>
          <w:rFonts w:ascii="宋体" w:hAnsi="宋体" w:cs="宋体" w:eastAsia="宋体" w:hint="default"/>
          <w:sz w:val="21"/>
          <w:szCs w:val="21"/>
        </w:rPr>
        <w:t>、金融工具</w:t>
      </w:r>
    </w:p>
    <w:p>
      <w:pPr>
        <w:spacing w:before="39"/>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、金融资产的分类：</w:t>
      </w:r>
    </w:p>
    <w:p>
      <w:pPr>
        <w:spacing w:after="0"/>
        <w:jc w:val="left"/>
        <w:rPr>
          <w:rFonts w:ascii="宋体" w:hAnsi="宋体" w:cs="宋体" w:eastAsia="宋体" w:hint="default"/>
          <w:sz w:val="21"/>
          <w:szCs w:val="21"/>
        </w:rPr>
        <w:sectPr>
          <w:pgSz w:w="11910" w:h="16840"/>
          <w:pgMar w:header="877" w:footer="941" w:top="1100" w:bottom="114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36" w:lineRule="auto" w:before="35"/>
        <w:ind w:left="153" w:right="147" w:firstLine="420"/>
        <w:jc w:val="both"/>
        <w:rPr>
          <w:rFonts w:ascii="宋体" w:hAnsi="宋体" w:cs="宋体" w:eastAsia="宋体" w:hint="default"/>
          <w:sz w:val="21"/>
          <w:szCs w:val="21"/>
        </w:rPr>
      </w:pPr>
      <w:r>
        <w:rPr>
          <w:rFonts w:ascii="宋体" w:hAnsi="宋体" w:cs="宋体" w:eastAsia="宋体" w:hint="default"/>
          <w:spacing w:val="-1"/>
          <w:sz w:val="21"/>
          <w:szCs w:val="21"/>
        </w:rPr>
        <w:t>金融资产分为以公允价值计量且其变动计入当期损益的金融资产（包括交易性金融资产和指定为以公</w:t>
      </w:r>
      <w:r>
        <w:rPr>
          <w:rFonts w:ascii="宋体" w:hAnsi="宋体" w:cs="宋体" w:eastAsia="宋体" w:hint="default"/>
          <w:sz w:val="21"/>
          <w:szCs w:val="21"/>
        </w:rPr>
        <w:t> </w:t>
      </w:r>
      <w:r>
        <w:rPr>
          <w:rFonts w:ascii="宋体" w:hAnsi="宋体" w:cs="宋体" w:eastAsia="宋体" w:hint="default"/>
          <w:spacing w:val="-1"/>
          <w:sz w:val="21"/>
          <w:szCs w:val="21"/>
        </w:rPr>
        <w:t>允价值计量且其变动计入当期损益的金融资产）、持有至到期投资、贷款和应收款项、可供出售金融资产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等四类。</w:t>
      </w:r>
    </w:p>
    <w:p>
      <w:pPr>
        <w:spacing w:line="444" w:lineRule="auto" w:before="93"/>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、金融资产的计量： </w:t>
      </w:r>
      <w:r>
        <w:rPr>
          <w:rFonts w:ascii="Times New Roman" w:hAnsi="Times New Roman" w:cs="Times New Roman" w:eastAsia="Times New Roman" w:hint="default"/>
          <w:sz w:val="21"/>
          <w:szCs w:val="21"/>
        </w:rPr>
        <w:t>a</w:t>
      </w:r>
      <w:r>
        <w:rPr>
          <w:rFonts w:ascii="宋体" w:hAnsi="宋体" w:cs="宋体" w:eastAsia="宋体" w:hint="default"/>
          <w:sz w:val="21"/>
          <w:szCs w:val="21"/>
        </w:rPr>
        <w:t>、初始确认金融资产按照公允价值计量。对于以公允价值计量且其变动计入当期损益的金融资产，</w:t>
      </w:r>
    </w:p>
    <w:p>
      <w:pPr>
        <w:spacing w:before="13"/>
        <w:ind w:left="154" w:right="0" w:firstLine="0"/>
        <w:jc w:val="left"/>
        <w:rPr>
          <w:rFonts w:ascii="宋体" w:hAnsi="宋体" w:cs="宋体" w:eastAsia="宋体" w:hint="default"/>
          <w:sz w:val="21"/>
          <w:szCs w:val="21"/>
        </w:rPr>
      </w:pPr>
      <w:r>
        <w:rPr>
          <w:rFonts w:ascii="宋体" w:hAnsi="宋体" w:cs="宋体" w:eastAsia="宋体" w:hint="default"/>
          <w:sz w:val="21"/>
          <w:szCs w:val="21"/>
        </w:rPr>
        <w:t>相关交易费用直接计入当期损益；对于其他类别的金融资产，相关交易费用计入初始确认金额。</w:t>
      </w:r>
    </w:p>
    <w:p>
      <w:pPr>
        <w:spacing w:line="240" w:lineRule="auto" w:before="2"/>
        <w:rPr>
          <w:rFonts w:ascii="宋体" w:hAnsi="宋体" w:cs="宋体" w:eastAsia="宋体" w:hint="default"/>
          <w:sz w:val="20"/>
          <w:szCs w:val="20"/>
        </w:rPr>
      </w:pPr>
    </w:p>
    <w:p>
      <w:pPr>
        <w:spacing w:line="415" w:lineRule="auto" w:before="0"/>
        <w:ind w:left="154" w:right="14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spacing w:val="2"/>
          <w:sz w:val="21"/>
          <w:szCs w:val="21"/>
        </w:rPr>
        <w:t> </w:t>
      </w:r>
      <w:r>
        <w:rPr>
          <w:rFonts w:ascii="宋体" w:hAnsi="宋体" w:cs="宋体" w:eastAsia="宋体" w:hint="default"/>
          <w:sz w:val="21"/>
          <w:szCs w:val="21"/>
        </w:rPr>
        <w:t>费用。但是，下列情况除外：</w:t>
      </w:r>
    </w:p>
    <w:p>
      <w:pPr>
        <w:spacing w:before="112"/>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持有至到期投资以及贷款和应收款项，采用实际利率法，按摊余成本计量。</w:t>
      </w:r>
    </w:p>
    <w:p>
      <w:pPr>
        <w:spacing w:line="240" w:lineRule="auto" w:before="13"/>
        <w:rPr>
          <w:rFonts w:ascii="宋体" w:hAnsi="宋体" w:cs="宋体" w:eastAsia="宋体" w:hint="default"/>
          <w:sz w:val="18"/>
          <w:szCs w:val="18"/>
        </w:rPr>
      </w:pPr>
    </w:p>
    <w:p>
      <w:pPr>
        <w:spacing w:line="412" w:lineRule="auto" w:before="0"/>
        <w:ind w:left="153" w:right="15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在活跃市场中没有报价且其公允价值不能可靠计量的权益工具投资，以及与该权益工具挂钩并须通</w:t>
      </w:r>
      <w:r>
        <w:rPr>
          <w:rFonts w:ascii="宋体" w:hAnsi="宋体" w:cs="宋体" w:eastAsia="宋体" w:hint="default"/>
          <w:sz w:val="21"/>
          <w:szCs w:val="21"/>
        </w:rPr>
        <w:t> 过交付该权益工具结算的衍生金融资产，按照成本计量。</w:t>
      </w:r>
    </w:p>
    <w:p>
      <w:pPr>
        <w:spacing w:line="446" w:lineRule="auto" w:before="114"/>
        <w:ind w:left="574" w:right="13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、金融资产公允价值的确定： </w:t>
      </w: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 </w:t>
      </w: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、金融资产不存在活跃市场的，采用估值技术确定公允价值。采用估值技术得出的结果，反映估值</w:t>
      </w:r>
    </w:p>
    <w:p>
      <w:pPr>
        <w:spacing w:before="11"/>
        <w:ind w:left="154" w:right="0" w:firstLine="0"/>
        <w:jc w:val="left"/>
        <w:rPr>
          <w:rFonts w:ascii="宋体" w:hAnsi="宋体" w:cs="宋体" w:eastAsia="宋体" w:hint="default"/>
          <w:sz w:val="21"/>
          <w:szCs w:val="21"/>
        </w:rPr>
      </w:pPr>
      <w:r>
        <w:rPr>
          <w:rFonts w:ascii="宋体" w:hAnsi="宋体" w:cs="宋体" w:eastAsia="宋体" w:hint="default"/>
          <w:sz w:val="21"/>
          <w:szCs w:val="21"/>
        </w:rPr>
        <w:t>日在公平交易中可能采用的交易价格。</w:t>
      </w:r>
    </w:p>
    <w:p>
      <w:pPr>
        <w:spacing w:line="240" w:lineRule="auto" w:before="2"/>
        <w:rPr>
          <w:rFonts w:ascii="宋体" w:hAnsi="宋体" w:cs="宋体" w:eastAsia="宋体" w:hint="default"/>
          <w:sz w:val="20"/>
          <w:szCs w:val="20"/>
        </w:rPr>
      </w:pPr>
    </w:p>
    <w:p>
      <w:pPr>
        <w:spacing w:line="446" w:lineRule="auto" w:before="0"/>
        <w:ind w:left="574"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、金融资产转移： 本公司于将金融资产所有权上几乎所有的风险和报酬转移给转入方或已放弃对该金融资产的控制时，</w:t>
      </w:r>
    </w:p>
    <w:p>
      <w:pPr>
        <w:spacing w:before="45"/>
        <w:ind w:left="154" w:right="0" w:firstLine="0"/>
        <w:jc w:val="left"/>
        <w:rPr>
          <w:rFonts w:ascii="宋体" w:hAnsi="宋体" w:cs="宋体" w:eastAsia="宋体" w:hint="default"/>
          <w:sz w:val="21"/>
          <w:szCs w:val="21"/>
        </w:rPr>
      </w:pPr>
      <w:r>
        <w:rPr>
          <w:rFonts w:ascii="宋体" w:hAnsi="宋体" w:cs="宋体" w:eastAsia="宋体" w:hint="default"/>
          <w:sz w:val="21"/>
          <w:szCs w:val="21"/>
        </w:rPr>
        <w:t>终止确认该金融资产。</w:t>
      </w:r>
    </w:p>
    <w:p>
      <w:pPr>
        <w:spacing w:line="240" w:lineRule="auto" w:before="3"/>
        <w:rPr>
          <w:rFonts w:ascii="宋体" w:hAnsi="宋体" w:cs="宋体" w:eastAsia="宋体" w:hint="default"/>
          <w:sz w:val="20"/>
          <w:szCs w:val="20"/>
        </w:rPr>
      </w:pPr>
    </w:p>
    <w:p>
      <w:pPr>
        <w:spacing w:line="444" w:lineRule="auto" w:before="0"/>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、金融资产减值： </w:t>
      </w:r>
      <w:r>
        <w:rPr>
          <w:rFonts w:ascii="宋体" w:hAnsi="宋体" w:cs="宋体" w:eastAsia="宋体" w:hint="default"/>
          <w:spacing w:val="3"/>
          <w:sz w:val="21"/>
          <w:szCs w:val="21"/>
        </w:rPr>
        <w:t>在资产负债表日对以公允价值计量且其变动计入当期损益的金融资产以外的金融资产的账面价值进</w:t>
      </w:r>
    </w:p>
    <w:p>
      <w:pPr>
        <w:spacing w:line="439" w:lineRule="auto" w:before="46"/>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行检查，有客观证据表明该金融资产发生减值的，计提减值准备。金融资产发生减值的客观证据，包括下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列各项：</w:t>
      </w:r>
    </w:p>
    <w:p>
      <w:pPr>
        <w:spacing w:line="446" w:lineRule="auto" w:before="91"/>
        <w:ind w:left="574" w:right="21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w:t>
      </w:r>
    </w:p>
    <w:p>
      <w:pPr>
        <w:spacing w:after="0" w:line="446" w:lineRule="auto"/>
        <w:jc w:val="left"/>
        <w:rPr>
          <w:rFonts w:ascii="宋体" w:hAnsi="宋体" w:cs="宋体" w:eastAsia="宋体" w:hint="default"/>
          <w:sz w:val="21"/>
          <w:szCs w:val="21"/>
        </w:rPr>
        <w:sectPr>
          <w:pgSz w:w="11910" w:h="16840"/>
          <w:pgMar w:header="877" w:footer="941" w:top="1100" w:bottom="114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35"/>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 </w:t>
      </w:r>
      <w:r>
        <w:rPr>
          <w:rFonts w:ascii="Times New Roman" w:hAnsi="Times New Roman" w:cs="Times New Roman" w:eastAsia="Times New Roman" w:hint="default"/>
          <w:spacing w:val="-3"/>
          <w:sz w:val="21"/>
          <w:szCs w:val="21"/>
        </w:rPr>
        <w:t>f</w:t>
      </w:r>
      <w:r>
        <w:rPr>
          <w:rFonts w:ascii="宋体" w:hAnsi="宋体" w:cs="宋体" w:eastAsia="宋体" w:hint="default"/>
          <w:spacing w:val="-3"/>
          <w:sz w:val="21"/>
          <w:szCs w:val="21"/>
        </w:rPr>
        <w:t>、债务人经营所处的技术、市场、经济和法律环境等发生重大不利变化，使本公司可能无法收回投资</w:t>
      </w:r>
    </w:p>
    <w:p>
      <w:pPr>
        <w:spacing w:before="13"/>
        <w:ind w:left="234" w:right="115" w:firstLine="0"/>
        <w:jc w:val="left"/>
        <w:rPr>
          <w:rFonts w:ascii="宋体" w:hAnsi="宋体" w:cs="宋体" w:eastAsia="宋体" w:hint="default"/>
          <w:sz w:val="21"/>
          <w:szCs w:val="21"/>
        </w:rPr>
      </w:pPr>
      <w:r>
        <w:rPr>
          <w:rFonts w:ascii="宋体" w:hAnsi="宋体" w:cs="宋体" w:eastAsia="宋体" w:hint="default"/>
          <w:sz w:val="21"/>
          <w:szCs w:val="21"/>
        </w:rPr>
        <w:t>成本；</w:t>
      </w:r>
    </w:p>
    <w:p>
      <w:pPr>
        <w:spacing w:line="240" w:lineRule="auto" w:before="2"/>
        <w:rPr>
          <w:rFonts w:ascii="宋体" w:hAnsi="宋体" w:cs="宋体" w:eastAsia="宋体" w:hint="default"/>
          <w:sz w:val="20"/>
          <w:szCs w:val="20"/>
        </w:rPr>
      </w:pPr>
    </w:p>
    <w:p>
      <w:pPr>
        <w:spacing w:line="412" w:lineRule="auto" w:before="0"/>
        <w:ind w:left="234" w:right="2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宋体" w:hAnsi="宋体" w:cs="宋体" w:eastAsia="宋体" w:hint="default"/>
          <w:sz w:val="21"/>
          <w:szCs w:val="21"/>
        </w:rPr>
        <w:t>、无法辨认一组金融资产中的某项资产的现金流量是否已经减少，但根据公开的数据对其进行总体</w:t>
      </w:r>
      <w:r>
        <w:rPr>
          <w:rFonts w:ascii="宋体" w:hAnsi="宋体" w:cs="宋体" w:eastAsia="宋体" w:hint="default"/>
          <w:spacing w:val="2"/>
          <w:sz w:val="21"/>
          <w:szCs w:val="21"/>
        </w:rPr>
        <w:t> </w:t>
      </w:r>
      <w:r>
        <w:rPr>
          <w:rFonts w:ascii="宋体" w:hAnsi="宋体" w:cs="宋体" w:eastAsia="宋体" w:hint="default"/>
          <w:sz w:val="21"/>
          <w:szCs w:val="21"/>
        </w:rPr>
        <w:t>评价后发现，该组金融资产自初始确认以来的预计未来现金流量确已减少且可计量；</w:t>
      </w:r>
    </w:p>
    <w:p>
      <w:pPr>
        <w:spacing w:line="446" w:lineRule="auto" w:before="114"/>
        <w:ind w:left="654" w:right="4286"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、权益工具投资的公允价值发生严重或非暂时性下跌； </w:t>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 </w:t>
      </w:r>
      <w:r>
        <w:rPr>
          <w:rFonts w:ascii="Times New Roman" w:hAnsi="Times New Roman" w:cs="Times New Roman" w:eastAsia="Times New Roman" w:hint="default"/>
          <w:sz w:val="21"/>
          <w:szCs w:val="21"/>
        </w:rPr>
        <w:t>F</w:t>
      </w:r>
      <w:r>
        <w:rPr>
          <w:rFonts w:ascii="宋体" w:hAnsi="宋体" w:cs="宋体" w:eastAsia="宋体" w:hint="default"/>
          <w:sz w:val="21"/>
          <w:szCs w:val="21"/>
        </w:rPr>
        <w:t>、金融资产减值损失的计量：</w:t>
      </w:r>
    </w:p>
    <w:p>
      <w:pPr>
        <w:spacing w:line="444" w:lineRule="auto" w:before="49"/>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p>
    <w:p>
      <w:pPr>
        <w:spacing w:before="13"/>
        <w:ind w:left="234" w:right="115"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2"/>
        <w:rPr>
          <w:rFonts w:ascii="宋体" w:hAnsi="宋体" w:cs="宋体" w:eastAsia="宋体" w:hint="default"/>
          <w:sz w:val="20"/>
          <w:szCs w:val="20"/>
        </w:rPr>
      </w:pPr>
    </w:p>
    <w:p>
      <w:pPr>
        <w:spacing w:line="432" w:lineRule="auto" w:before="0"/>
        <w:ind w:left="234" w:right="22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spacing w:val="2"/>
          <w:sz w:val="21"/>
          <w:szCs w:val="21"/>
        </w:rPr>
        <w:t> </w:t>
      </w:r>
      <w:r>
        <w:rPr>
          <w:rFonts w:ascii="宋体" w:hAnsi="宋体" w:cs="宋体" w:eastAsia="宋体" w:hint="default"/>
          <w:spacing w:val="-1"/>
          <w:sz w:val="21"/>
          <w:szCs w:val="21"/>
        </w:rPr>
        <w:t>金流量现值低于其账面价值的差额，确认减值损失，计提坏账准备；单项金额不重大，经测试未减值的应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收款项，采用账龄分析法，按应收款项的账龄和规定的提取比例确认减值损失，计提坏账准备；单项金额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不重大但按信用风险特征组合法组合后风险较大的应收款项，单独进行测试，并计提个别坏账准备。经单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独测试未减值的应收款项，采用账龄分析法，按应收款项的账龄和规定的提取比例确认减值损失。</w:t>
      </w:r>
    </w:p>
    <w:p>
      <w:pPr>
        <w:spacing w:line="412" w:lineRule="auto" w:before="96"/>
        <w:ind w:left="234" w:right="2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、可供出售的金融资产减值的判断：若该项金融资产公允价值出现持续下降，且其下降属于非暂时</w:t>
      </w:r>
      <w:r>
        <w:rPr>
          <w:rFonts w:ascii="宋体" w:hAnsi="宋体" w:cs="宋体" w:eastAsia="宋体" w:hint="default"/>
          <w:spacing w:val="2"/>
          <w:sz w:val="21"/>
          <w:szCs w:val="21"/>
        </w:rPr>
        <w:t> </w:t>
      </w:r>
      <w:r>
        <w:rPr>
          <w:rFonts w:ascii="宋体" w:hAnsi="宋体" w:cs="宋体" w:eastAsia="宋体" w:hint="default"/>
          <w:sz w:val="21"/>
          <w:szCs w:val="21"/>
        </w:rPr>
        <w:t>性的，则可认定该项金融资产发生了减值。</w:t>
      </w:r>
    </w:p>
    <w:p>
      <w:pPr>
        <w:spacing w:before="112"/>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、应收款项</w:t>
      </w:r>
    </w:p>
    <w:p>
      <w:pPr>
        <w:spacing w:line="240" w:lineRule="auto" w:before="0"/>
        <w:rPr>
          <w:rFonts w:ascii="宋体" w:hAnsi="宋体" w:cs="宋体" w:eastAsia="宋体" w:hint="default"/>
          <w:sz w:val="16"/>
          <w:szCs w:val="16"/>
        </w:rPr>
      </w:pPr>
    </w:p>
    <w:p>
      <w:pPr>
        <w:spacing w:before="0"/>
        <w:ind w:left="65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）单项金额重大的应收款项坏账准备的确认标准、计提方法：</w:t>
      </w:r>
    </w:p>
    <w:tbl>
      <w:tblPr>
        <w:tblW w:w="0" w:type="auto"/>
        <w:jc w:val="left"/>
        <w:tblInd w:w="106" w:type="dxa"/>
        <w:tblLayout w:type="fixed"/>
        <w:tblCellMar>
          <w:top w:w="0" w:type="dxa"/>
          <w:left w:w="0" w:type="dxa"/>
          <w:bottom w:w="0" w:type="dxa"/>
          <w:right w:w="0" w:type="dxa"/>
        </w:tblCellMar>
        <w:tblLook w:val="01E0"/>
      </w:tblPr>
      <w:tblGrid>
        <w:gridCol w:w="4800"/>
        <w:gridCol w:w="5069"/>
      </w:tblGrid>
      <w:tr>
        <w:trPr>
          <w:trHeight w:val="589"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50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元以上的应收账款</w:t>
            </w:r>
          </w:p>
        </w:tc>
      </w:tr>
      <w:tr>
        <w:trPr>
          <w:trHeight w:val="658" w:hRule="exact"/>
        </w:trPr>
        <w:tc>
          <w:tcPr>
            <w:tcW w:w="4800"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5069"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单项金额重大的，单独进行减值测试，根据其未来现</w:t>
            </w:r>
          </w:p>
        </w:tc>
      </w:tr>
      <w:tr>
        <w:trPr>
          <w:trHeight w:val="500" w:hRule="exact"/>
        </w:trPr>
        <w:tc>
          <w:tcPr>
            <w:tcW w:w="4800" w:type="dxa"/>
            <w:tcBorders>
              <w:top w:val="nil" w:sz="6" w:space="0" w:color="auto"/>
              <w:left w:val="nil" w:sz="6" w:space="0" w:color="auto"/>
              <w:bottom w:val="nil" w:sz="6" w:space="0" w:color="auto"/>
              <w:right w:val="single" w:sz="4" w:space="0" w:color="000000"/>
            </w:tcBorders>
          </w:tcPr>
          <w:p>
            <w:pPr/>
          </w:p>
        </w:tc>
        <w:tc>
          <w:tcPr>
            <w:tcW w:w="5069" w:type="dxa"/>
            <w:tcBorders>
              <w:top w:val="nil" w:sz="6" w:space="0" w:color="auto"/>
              <w:left w:val="single" w:sz="4" w:space="0" w:color="000000"/>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21"/>
                <w:szCs w:val="21"/>
              </w:rPr>
            </w:pPr>
            <w:r>
              <w:rPr>
                <w:rFonts w:ascii="宋体" w:hAnsi="宋体" w:cs="宋体" w:eastAsia="宋体" w:hint="default"/>
                <w:sz w:val="21"/>
                <w:szCs w:val="21"/>
              </w:rPr>
              <w:t>金流量现值低于其账面价值的差额，确认减值损失，</w:t>
            </w:r>
          </w:p>
        </w:tc>
      </w:tr>
      <w:tr>
        <w:trPr>
          <w:trHeight w:val="501" w:hRule="exact"/>
        </w:trPr>
        <w:tc>
          <w:tcPr>
            <w:tcW w:w="4800" w:type="dxa"/>
            <w:tcBorders>
              <w:top w:val="nil" w:sz="6" w:space="0" w:color="auto"/>
              <w:left w:val="nil" w:sz="6" w:space="0" w:color="auto"/>
              <w:bottom w:val="nil" w:sz="6" w:space="0" w:color="auto"/>
              <w:right w:val="single" w:sz="4" w:space="0" w:color="000000"/>
            </w:tcBorders>
          </w:tcPr>
          <w:p>
            <w:pPr/>
          </w:p>
        </w:tc>
        <w:tc>
          <w:tcPr>
            <w:tcW w:w="5069"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经单独测试未减值的应收款项，采用账龄分析法，按</w:t>
            </w:r>
          </w:p>
        </w:tc>
      </w:tr>
      <w:tr>
        <w:trPr>
          <w:trHeight w:val="432" w:hRule="exact"/>
        </w:trPr>
        <w:tc>
          <w:tcPr>
            <w:tcW w:w="4800" w:type="dxa"/>
            <w:tcBorders>
              <w:top w:val="nil" w:sz="6" w:space="0" w:color="auto"/>
              <w:left w:val="nil" w:sz="6" w:space="0" w:color="auto"/>
              <w:bottom w:val="single" w:sz="4" w:space="0" w:color="000000"/>
              <w:right w:val="single" w:sz="4" w:space="0" w:color="000000"/>
            </w:tcBorders>
          </w:tcPr>
          <w:p>
            <w:pPr/>
          </w:p>
        </w:tc>
        <w:tc>
          <w:tcPr>
            <w:tcW w:w="5069" w:type="dxa"/>
            <w:tcBorders>
              <w:top w:val="nil" w:sz="6" w:space="0" w:color="auto"/>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应收款项的账龄和规定的提取比例确认减值损失。</w:t>
            </w:r>
          </w:p>
        </w:tc>
      </w:tr>
    </w:tbl>
    <w:p>
      <w:pPr>
        <w:spacing w:after="0" w:line="240" w:lineRule="auto"/>
        <w:jc w:val="left"/>
        <w:rPr>
          <w:rFonts w:ascii="宋体" w:hAnsi="宋体" w:cs="宋体" w:eastAsia="宋体" w:hint="default"/>
          <w:sz w:val="21"/>
          <w:szCs w:val="21"/>
        </w:rPr>
        <w:sectPr>
          <w:pgSz w:w="11910" w:h="16840"/>
          <w:pgMar w:header="877" w:footer="941" w:top="1100" w:bottom="1140" w:left="90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12" w:lineRule="auto" w:before="35"/>
        <w:ind w:left="234" w:right="115" w:firstLine="420"/>
        <w:jc w:val="left"/>
        <w:rPr>
          <w:rFonts w:ascii="宋体" w:hAnsi="宋体" w:cs="宋体" w:eastAsia="宋体" w:hint="default"/>
          <w:sz w:val="21"/>
          <w:szCs w:val="21"/>
        </w:rPr>
      </w:pPr>
      <w:r>
        <w:rPr/>
        <w:pict>
          <v:group style="position:absolute;margin-left:51.059978pt;margin-top:42.093952pt;width:492.85pt;height:30pt;mso-position-horizontal-relative:page;mso-position-vertical-relative:paragraph;z-index:-495232" coordorigin="1021,842" coordsize="9857,600">
            <v:group style="position:absolute;left:1026;top:847;width:3800;height:2" coordorigin="1026,847" coordsize="3800,2">
              <v:shape style="position:absolute;left:1026;top:847;width:3800;height:2" coordorigin="1026,847" coordsize="3800,0" path="m1026,847l4825,847e" filled="false" stroked="true" strokeweight=".47998pt" strokecolor="#000000">
                <v:path arrowok="t"/>
              </v:shape>
            </v:group>
            <v:group style="position:absolute;left:4825;top:847;width:6048;height:2" coordorigin="4825,847" coordsize="6048,2">
              <v:shape style="position:absolute;left:4825;top:847;width:6048;height:2" coordorigin="4825,847" coordsize="6048,0" path="m4825,847l10873,847e" filled="false" stroked="true" strokeweight=".48pt" strokecolor="#000000">
                <v:path arrowok="t"/>
              </v:shape>
            </v:group>
            <v:group style="position:absolute;left:4820;top:851;width:2;height:581" coordorigin="4820,851" coordsize="2,581">
              <v:shape style="position:absolute;left:4820;top:851;width:2;height:581" coordorigin="4820,851" coordsize="0,581" path="m4820,851l4820,1432e" filled="false" stroked="true" strokeweight=".48001pt" strokecolor="#000000">
                <v:path arrowok="t"/>
              </v:shape>
            </v:group>
            <v:group style="position:absolute;left:1026;top:1437;width:3800;height:2" coordorigin="1026,1437" coordsize="3800,2">
              <v:shape style="position:absolute;left:1026;top:1437;width:3800;height:2" coordorigin="1026,1437" coordsize="3800,0" path="m1026,1437l4825,1437e" filled="false" stroked="true" strokeweight=".48004pt" strokecolor="#000000">
                <v:path arrowok="t"/>
              </v:shape>
            </v:group>
            <v:group style="position:absolute;left:4825;top:1437;width:6048;height:2" coordorigin="4825,1437" coordsize="6048,2">
              <v:shape style="position:absolute;left:4825;top:1437;width:6048;height:2" coordorigin="4825,1437" coordsize="6048,0" path="m4825,1437l10873,1437e" filled="false" stroked="true" strokeweight=".48pt" strokecolor="#000000">
                <v:path arrowok="t"/>
              </v:shape>
              <v:shape style="position:absolute;left:1134;top:1150;width:27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xbxContent>
                </v:textbox>
                <w10:wrap type="none"/>
              </v:shape>
              <v:shape style="position:absolute;left:4928;top:1150;width:3782;height:222" type="#_x0000_t202" filled="false" stroked="false">
                <v:textbox inset="0,0,0,0">
                  <w:txbxContent>
                    <w:p>
                      <w:pPr>
                        <w:spacing w:line="22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账龄超过三年且金额不超过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xbxContent>
                </v:textbox>
                <w10:wrap type="none"/>
              </v:shape>
            </v:group>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）单项金额不重大但按信用风险特征组合后该组合的风险较大的应收款项坏账准备的确定依据、</w:t>
      </w:r>
      <w:r>
        <w:rPr>
          <w:rFonts w:ascii="宋体" w:hAnsi="宋体" w:cs="宋体" w:eastAsia="宋体" w:hint="default"/>
          <w:spacing w:val="2"/>
          <w:sz w:val="21"/>
          <w:szCs w:val="21"/>
        </w:rPr>
        <w:t> </w:t>
      </w:r>
      <w:r>
        <w:rPr>
          <w:rFonts w:ascii="宋体" w:hAnsi="宋体" w:cs="宋体" w:eastAsia="宋体" w:hint="default"/>
          <w:sz w:val="21"/>
          <w:szCs w:val="21"/>
        </w:rPr>
        <w:t>计提方法：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436" w:lineRule="auto" w:before="0"/>
        <w:ind w:left="234" w:right="115" w:firstLine="0"/>
        <w:jc w:val="left"/>
        <w:rPr>
          <w:rFonts w:ascii="宋体" w:hAnsi="宋体" w:cs="宋体" w:eastAsia="宋体" w:hint="default"/>
          <w:sz w:val="21"/>
          <w:szCs w:val="21"/>
        </w:rPr>
      </w:pPr>
      <w:r>
        <w:rPr/>
        <w:pict>
          <v:group style="position:absolute;margin-left:50.580002pt;margin-top:42.624004pt;width:493.45pt;height:.1pt;mso-position-horizontal-relative:page;mso-position-vertical-relative:paragraph;z-index:-495208" coordorigin="1012,852" coordsize="9869,2">
            <v:shape style="position:absolute;left:1012;top:852;width:9869;height:2" coordorigin="1012,852" coordsize="9869,0" path="m1012,852l10880,852e" filled="false" stroked="true" strokeweight=".47998pt" strokecolor="#000000">
              <v:path arrowok="t"/>
            </v:shape>
            <w10:wrap type="none"/>
          </v:group>
        </w:pict>
      </w:r>
      <w:r>
        <w:rPr>
          <w:rFonts w:ascii="宋体" w:hAnsi="宋体" w:cs="宋体" w:eastAsia="宋体" w:hint="default"/>
          <w:spacing w:val="-1"/>
          <w:sz w:val="21"/>
          <w:szCs w:val="21"/>
        </w:rPr>
        <w:t>根据信用风险特征组合确定的计提方法：对有证据表明无法收回的应收款项，全额计提坏账准备；对无何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证据表明无法收回的款项，按账龄计提坏账准备。</w:t>
      </w:r>
    </w:p>
    <w:p>
      <w:pPr>
        <w:spacing w:before="102"/>
        <w:ind w:left="65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）账龄分析法</w:t>
      </w:r>
    </w:p>
    <w:tbl>
      <w:tblPr>
        <w:tblW w:w="0" w:type="auto"/>
        <w:jc w:val="left"/>
        <w:tblInd w:w="106" w:type="dxa"/>
        <w:tblLayout w:type="fixed"/>
        <w:tblCellMar>
          <w:top w:w="0" w:type="dxa"/>
          <w:left w:w="0" w:type="dxa"/>
          <w:bottom w:w="0" w:type="dxa"/>
          <w:right w:w="0" w:type="dxa"/>
        </w:tblCellMar>
        <w:tblLook w:val="01E0"/>
      </w:tblPr>
      <w:tblGrid>
        <w:gridCol w:w="4518"/>
        <w:gridCol w:w="2692"/>
        <w:gridCol w:w="2659"/>
      </w:tblGrid>
      <w:tr>
        <w:trPr>
          <w:trHeight w:val="59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7"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9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w:t>
            </w:r>
          </w:p>
        </w:tc>
      </w:tr>
      <w:tr>
        <w:trPr>
          <w:trHeight w:val="58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w:t>
            </w:r>
          </w:p>
        </w:tc>
      </w:tr>
      <w:tr>
        <w:trPr>
          <w:trHeight w:val="59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50%</w:t>
            </w:r>
          </w:p>
        </w:tc>
      </w:tr>
      <w:tr>
        <w:trPr>
          <w:trHeight w:val="59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13"/>
          <w:szCs w:val="13"/>
        </w:rPr>
      </w:pPr>
    </w:p>
    <w:p>
      <w:pPr>
        <w:spacing w:before="35"/>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、存货</w:t>
      </w:r>
    </w:p>
    <w:p>
      <w:pPr>
        <w:spacing w:line="240" w:lineRule="auto" w:before="0"/>
        <w:rPr>
          <w:rFonts w:ascii="宋体" w:hAnsi="宋体" w:cs="宋体" w:eastAsia="宋体" w:hint="default"/>
          <w:sz w:val="16"/>
          <w:szCs w:val="16"/>
        </w:rPr>
      </w:pPr>
    </w:p>
    <w:p>
      <w:pPr>
        <w:spacing w:line="338" w:lineRule="auto" w:before="0"/>
        <w:ind w:left="654" w:right="208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 存货分为原材料、开发产品、在建开发产品、拟开发产品、低值易耗品五大类。</w:t>
      </w:r>
    </w:p>
    <w:p>
      <w:pPr>
        <w:spacing w:line="240" w:lineRule="auto" w:before="1"/>
        <w:rPr>
          <w:rFonts w:ascii="宋体" w:hAnsi="宋体" w:cs="宋体" w:eastAsia="宋体" w:hint="default"/>
          <w:sz w:val="21"/>
          <w:szCs w:val="21"/>
        </w:rPr>
      </w:pPr>
    </w:p>
    <w:p>
      <w:pPr>
        <w:spacing w:line="340" w:lineRule="auto" w:before="0"/>
        <w:ind w:left="654" w:right="40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 各类存货取得时按实际成本计价，发出时按个别认定法计价，低值易耗品领用按一次摊销法摊销。</w:t>
      </w:r>
    </w:p>
    <w:p>
      <w:pPr>
        <w:spacing w:line="240" w:lineRule="auto" w:before="11"/>
        <w:rPr>
          <w:rFonts w:ascii="宋体" w:hAnsi="宋体" w:cs="宋体" w:eastAsia="宋体" w:hint="default"/>
          <w:sz w:val="20"/>
          <w:szCs w:val="20"/>
        </w:rPr>
      </w:pPr>
    </w:p>
    <w:p>
      <w:pPr>
        <w:spacing w:line="340" w:lineRule="auto" w:before="0"/>
        <w:ind w:left="654" w:right="115"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 </w:t>
      </w:r>
      <w:r>
        <w:rPr>
          <w:rFonts w:ascii="宋体" w:hAnsi="宋体" w:cs="宋体" w:eastAsia="宋体" w:hint="default"/>
          <w:spacing w:val="-1"/>
          <w:sz w:val="21"/>
          <w:szCs w:val="21"/>
        </w:rPr>
        <w:t>存货可变现净值的确定依据：①产成品可变现净值为估计售价减去相关税费后金额；②为生产而持有</w:t>
      </w:r>
    </w:p>
    <w:p>
      <w:pPr>
        <w:spacing w:line="410" w:lineRule="auto" w:before="104"/>
        <w:ind w:left="234" w:right="229" w:firstLine="0"/>
        <w:jc w:val="both"/>
        <w:rPr>
          <w:rFonts w:ascii="宋体" w:hAnsi="宋体" w:cs="宋体" w:eastAsia="宋体" w:hint="default"/>
          <w:sz w:val="21"/>
          <w:szCs w:val="21"/>
        </w:rPr>
      </w:pPr>
      <w:r>
        <w:rPr>
          <w:rFonts w:ascii="宋体" w:hAnsi="宋体" w:cs="宋体" w:eastAsia="宋体" w:hint="default"/>
          <w:spacing w:val="-1"/>
          <w:sz w:val="21"/>
          <w:szCs w:val="21"/>
        </w:rPr>
        <w:t>的材料等，当用其生产的产成品的可变现净值高于成本时按照成本计量；当材料价格下降表明产成品的可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变现净值低于成本时，可变现净值为估计售价减去至完工时估计将要发生的成本、估计的销售费用以及相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关税费后的金额确定。</w:t>
      </w:r>
    </w:p>
    <w:p>
      <w:pPr>
        <w:spacing w:line="240" w:lineRule="auto" w:before="4"/>
        <w:rPr>
          <w:rFonts w:ascii="宋体" w:hAnsi="宋体" w:cs="宋体" w:eastAsia="宋体" w:hint="default"/>
          <w:sz w:val="16"/>
          <w:szCs w:val="16"/>
        </w:rPr>
      </w:pPr>
    </w:p>
    <w:p>
      <w:pPr>
        <w:spacing w:line="436" w:lineRule="auto" w:before="0"/>
        <w:ind w:left="234" w:right="208" w:firstLine="420"/>
        <w:jc w:val="both"/>
        <w:rPr>
          <w:rFonts w:ascii="宋体" w:hAnsi="宋体" w:cs="宋体" w:eastAsia="宋体" w:hint="default"/>
          <w:sz w:val="21"/>
          <w:szCs w:val="21"/>
        </w:rPr>
      </w:pPr>
      <w:r>
        <w:rPr>
          <w:rFonts w:ascii="宋体" w:hAnsi="宋体" w:cs="宋体" w:eastAsia="宋体" w:hint="default"/>
          <w:spacing w:val="-1"/>
          <w:sz w:val="21"/>
          <w:szCs w:val="21"/>
        </w:rPr>
        <w:t>存货跌价准备的计提方法：本公司于每年中期期末及年度终了在对存货进行全面盘点的基础上，对遭</w:t>
      </w:r>
      <w:r>
        <w:rPr>
          <w:rFonts w:ascii="宋体" w:hAnsi="宋体" w:cs="宋体" w:eastAsia="宋体" w:hint="default"/>
          <w:sz w:val="21"/>
          <w:szCs w:val="21"/>
        </w:rPr>
        <w:t> </w:t>
      </w:r>
      <w:r>
        <w:rPr>
          <w:rFonts w:ascii="宋体" w:hAnsi="宋体" w:cs="宋体" w:eastAsia="宋体" w:hint="default"/>
          <w:spacing w:val="-1"/>
          <w:sz w:val="21"/>
          <w:szCs w:val="21"/>
        </w:rPr>
        <w:t>受损失，全部或部分陈旧过时或销售价格低于成本的存货，根据存货成本与可变现净值孰低计量，按单个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存货项目对同类存货项目的可变现净值低于存货成本的差额计提存货跌价准备，并计入当期损益。确定可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变现净值时，除考虑持有目的和资产负债表日该存货的价格与成本波动外，还需要考虑未来事项的影响。</w:t>
      </w:r>
    </w:p>
    <w:p>
      <w:pPr>
        <w:spacing w:before="91"/>
        <w:ind w:left="65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p>
    <w:p>
      <w:pPr>
        <w:spacing w:after="0"/>
        <w:jc w:val="left"/>
        <w:rPr>
          <w:rFonts w:ascii="宋体" w:hAnsi="宋体" w:cs="宋体" w:eastAsia="宋体" w:hint="default"/>
          <w:sz w:val="21"/>
          <w:szCs w:val="21"/>
        </w:rPr>
        <w:sectPr>
          <w:pgSz w:w="11910" w:h="16840"/>
          <w:pgMar w:header="877" w:footer="941" w:top="1100" w:bottom="1140" w:left="90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存货的盘存制度采用永续盘存</w:t>
      </w:r>
      <w:r>
        <w:rPr>
          <w:rFonts w:ascii="宋体" w:hAnsi="宋体" w:cs="宋体" w:eastAsia="宋体" w:hint="default"/>
          <w:sz w:val="21"/>
          <w:szCs w:val="21"/>
        </w:rPr>
        <w:t>制</w:t>
      </w:r>
      <w:r>
        <w:rPr>
          <w:rFonts w:ascii="宋体" w:hAnsi="宋体" w:cs="宋体" w:eastAsia="宋体" w:hint="default"/>
          <w:sz w:val="21"/>
          <w:szCs w:val="21"/>
        </w:rPr>
        <w:t>。</w:t>
      </w:r>
    </w:p>
    <w:p>
      <w:pPr>
        <w:spacing w:line="240" w:lineRule="auto" w:before="2"/>
        <w:rPr>
          <w:rFonts w:ascii="宋体" w:hAnsi="宋体" w:cs="宋体" w:eastAsia="宋体" w:hint="default"/>
          <w:sz w:val="20"/>
          <w:szCs w:val="20"/>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、长期股权投资</w:t>
      </w:r>
    </w:p>
    <w:p>
      <w:pPr>
        <w:spacing w:line="240" w:lineRule="auto" w:before="0"/>
        <w:rPr>
          <w:rFonts w:ascii="宋体" w:hAnsi="宋体" w:cs="宋体" w:eastAsia="宋体" w:hint="default"/>
          <w:sz w:val="16"/>
          <w:szCs w:val="16"/>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）初始投资成本确定</w:t>
      </w:r>
    </w:p>
    <w:p>
      <w:pPr>
        <w:spacing w:line="240" w:lineRule="auto" w:before="2"/>
        <w:rPr>
          <w:rFonts w:ascii="宋体" w:hAnsi="宋体" w:cs="宋体" w:eastAsia="宋体" w:hint="default"/>
          <w:sz w:val="19"/>
          <w:szCs w:val="19"/>
        </w:rPr>
      </w:pPr>
    </w:p>
    <w:p>
      <w:pPr>
        <w:spacing w:line="444" w:lineRule="auto" w:before="0"/>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、企业合并形成的长期股权投资，按照下列规定确定其初始投资成本：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36" w:lineRule="auto" w:before="12"/>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在合并日按照取得被合并方所有者权益账面价值的份额作为长期股权投资的初始投资成本。长期股权投资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初始投资成本与支付的现金、转让的非现金资产以及所承担债务账面价值之间的差额，调整资本公积；资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本公积不足冲减的，调整留存收益。</w:t>
      </w:r>
    </w:p>
    <w:p>
      <w:pPr>
        <w:spacing w:line="436" w:lineRule="auto" w:before="91"/>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合并方以发行权益性证券作为合并对价的，在合并日按照取得被合并方所有者权益账面价值的份额作</w:t>
      </w:r>
      <w:r>
        <w:rPr>
          <w:rFonts w:ascii="宋体" w:hAnsi="宋体" w:cs="宋体" w:eastAsia="宋体" w:hint="default"/>
          <w:sz w:val="21"/>
          <w:szCs w:val="21"/>
        </w:rPr>
        <w:t> </w:t>
      </w:r>
      <w:r>
        <w:rPr>
          <w:rFonts w:ascii="宋体" w:hAnsi="宋体" w:cs="宋体" w:eastAsia="宋体" w:hint="default"/>
          <w:spacing w:val="-1"/>
          <w:sz w:val="21"/>
          <w:szCs w:val="21"/>
        </w:rPr>
        <w:t>为长期股权投资的初始投资成本。按照发行股份的面值总额作为股本，长期股权投资初始投资成本与所发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行股份面值总额之间的差额，调整资本公积；资本公积不足冲减的，调整留存收益。</w:t>
      </w:r>
    </w:p>
    <w:p>
      <w:pPr>
        <w:spacing w:before="93"/>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、非同一控制下的企业合并，按照下列规定确定的合并成本作为长期股权投资的初始投资成本：</w:t>
      </w:r>
    </w:p>
    <w:p>
      <w:pPr>
        <w:spacing w:line="240" w:lineRule="auto" w:before="13"/>
        <w:rPr>
          <w:rFonts w:ascii="宋体" w:hAnsi="宋体" w:cs="宋体" w:eastAsia="宋体" w:hint="default"/>
          <w:sz w:val="18"/>
          <w:szCs w:val="18"/>
        </w:rPr>
      </w:pPr>
    </w:p>
    <w:p>
      <w:pPr>
        <w:spacing w:line="415" w:lineRule="auto" w:before="0"/>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一次交换交易实现的企业合并，合并成本为购买方在购买日为取得对被购买方的控制权而付出的资</w:t>
      </w:r>
      <w:r>
        <w:rPr>
          <w:rFonts w:ascii="宋体" w:hAnsi="宋体" w:cs="宋体" w:eastAsia="宋体" w:hint="default"/>
          <w:sz w:val="21"/>
          <w:szCs w:val="21"/>
        </w:rPr>
        <w:t> 产、发生或承担的负债以及发行的权益性证券的公允价值。</w:t>
      </w:r>
    </w:p>
    <w:p>
      <w:pPr>
        <w:spacing w:before="112"/>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通过多次交换交易分步实现的企业合并，合并成本为每一单项交易成本之和。</w:t>
      </w:r>
    </w:p>
    <w:p>
      <w:pPr>
        <w:spacing w:line="240" w:lineRule="auto" w:before="1"/>
        <w:rPr>
          <w:rFonts w:ascii="宋体" w:hAnsi="宋体" w:cs="宋体" w:eastAsia="宋体" w:hint="default"/>
          <w:sz w:val="19"/>
          <w:szCs w:val="19"/>
        </w:rPr>
      </w:pPr>
    </w:p>
    <w:p>
      <w:pPr>
        <w:spacing w:before="0"/>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购买方为进行企业合并发生的各项直接相关费用也计入企业合并成本。</w:t>
      </w:r>
    </w:p>
    <w:p>
      <w:pPr>
        <w:spacing w:line="240" w:lineRule="auto" w:before="13"/>
        <w:rPr>
          <w:rFonts w:ascii="宋体" w:hAnsi="宋体" w:cs="宋体" w:eastAsia="宋体" w:hint="default"/>
          <w:sz w:val="18"/>
          <w:szCs w:val="18"/>
        </w:rPr>
      </w:pPr>
    </w:p>
    <w:p>
      <w:pPr>
        <w:spacing w:line="415" w:lineRule="auto" w:before="0"/>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在合并合同或协议中对可能影响合并成本的未来事项作出约定的，购买日如果估计未来事项很可能</w:t>
      </w:r>
      <w:r>
        <w:rPr>
          <w:rFonts w:ascii="宋体" w:hAnsi="宋体" w:cs="宋体" w:eastAsia="宋体" w:hint="default"/>
          <w:sz w:val="21"/>
          <w:szCs w:val="21"/>
        </w:rPr>
        <w:t> 发生并且对合并成本的影响金额能够可靠计量的，购买方将其计入合并成本。</w:t>
      </w:r>
    </w:p>
    <w:p>
      <w:pPr>
        <w:spacing w:line="412" w:lineRule="auto" w:before="110"/>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、除企业合并形成的长期股权投资以外，其它方式取得的长期股权投资，按照下列规定确定其初始 投资成本：</w:t>
      </w:r>
    </w:p>
    <w:p>
      <w:pPr>
        <w:spacing w:line="415" w:lineRule="auto" w:before="112"/>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、以支付现金取得的长期股权投资，按照实际支付的购买价款作为初始投资成本。初始投资成本包</w:t>
      </w:r>
      <w:r>
        <w:rPr>
          <w:rFonts w:ascii="宋体" w:hAnsi="宋体" w:cs="宋体" w:eastAsia="宋体" w:hint="default"/>
          <w:spacing w:val="2"/>
          <w:sz w:val="21"/>
          <w:szCs w:val="21"/>
        </w:rPr>
        <w:t> </w:t>
      </w:r>
      <w:r>
        <w:rPr>
          <w:rFonts w:ascii="宋体" w:hAnsi="宋体" w:cs="宋体" w:eastAsia="宋体" w:hint="default"/>
          <w:sz w:val="21"/>
          <w:szCs w:val="21"/>
        </w:rPr>
        <w:t>括与取得长期股权投资直接相关的费用、税金及其它必要支出。</w:t>
      </w:r>
    </w:p>
    <w:p>
      <w:pPr>
        <w:spacing w:line="444" w:lineRule="auto" w:before="112"/>
        <w:ind w:left="574"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、以发行权益性证券取得的长期股权投资，按照发行权益性证券的公允价值作为初始投资成本。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、投资者投入的长期股权投资，按照投资合同或协议约定的价值作为初始投资成本，但合同或协议</w:t>
      </w:r>
    </w:p>
    <w:p>
      <w:pPr>
        <w:spacing w:before="13"/>
        <w:ind w:left="154" w:right="0" w:firstLine="0"/>
        <w:jc w:val="both"/>
        <w:rPr>
          <w:rFonts w:ascii="宋体" w:hAnsi="宋体" w:cs="宋体" w:eastAsia="宋体" w:hint="default"/>
          <w:sz w:val="21"/>
          <w:szCs w:val="21"/>
        </w:rPr>
      </w:pPr>
      <w:r>
        <w:rPr>
          <w:rFonts w:ascii="宋体" w:hAnsi="宋体" w:cs="宋体" w:eastAsia="宋体" w:hint="default"/>
          <w:sz w:val="21"/>
          <w:szCs w:val="21"/>
        </w:rPr>
        <w:t>约定价值不公允的除外。</w:t>
      </w:r>
    </w:p>
    <w:p>
      <w:pPr>
        <w:spacing w:line="240" w:lineRule="auto" w:before="2"/>
        <w:rPr>
          <w:rFonts w:ascii="宋体" w:hAnsi="宋体" w:cs="宋体" w:eastAsia="宋体" w:hint="default"/>
          <w:sz w:val="20"/>
          <w:szCs w:val="20"/>
        </w:rPr>
      </w:pPr>
    </w:p>
    <w:p>
      <w:pPr>
        <w:spacing w:before="0"/>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p>
    <w:p>
      <w:pPr>
        <w:spacing w:after="0"/>
        <w:jc w:val="left"/>
        <w:rPr>
          <w:rFonts w:ascii="宋体" w:hAnsi="宋体" w:cs="宋体" w:eastAsia="宋体" w:hint="default"/>
          <w:sz w:val="21"/>
          <w:szCs w:val="21"/>
        </w:rPr>
        <w:sectPr>
          <w:pgSz w:w="11910" w:h="16840"/>
          <w:pgMar w:header="877" w:footer="941" w:top="1100" w:bottom="114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39" w:lineRule="auto"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权投资按照公允价值和应支付的相关税费作为初始投资成本；如非货币资产交易不具有商业实质，换入的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长期股权投资以换出资产的账面价值和应支付的相关税费作为初始投资成本。</w:t>
      </w:r>
    </w:p>
    <w:p>
      <w:pPr>
        <w:spacing w:before="91"/>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、通过债务重组取得的长期股权投资，其初始投资成本按照公允价值和应付的相关税费确定。</w:t>
      </w:r>
    </w:p>
    <w:p>
      <w:pPr>
        <w:spacing w:line="240" w:lineRule="auto" w:before="13"/>
        <w:rPr>
          <w:rFonts w:ascii="宋体" w:hAnsi="宋体" w:cs="宋体" w:eastAsia="宋体" w:hint="default"/>
          <w:sz w:val="18"/>
          <w:szCs w:val="18"/>
        </w:rPr>
      </w:pPr>
    </w:p>
    <w:p>
      <w:pPr>
        <w:spacing w:line="338" w:lineRule="auto" w:before="0"/>
        <w:ind w:left="574" w:right="215"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 A、本公司能够对被投资单位实施控制的长期股权投资或本公司对被投资单位不具有共同控制或重大</w:t>
      </w:r>
    </w:p>
    <w:p>
      <w:pPr>
        <w:spacing w:line="441" w:lineRule="auto" w:before="108"/>
        <w:ind w:left="574" w:right="320" w:hanging="420"/>
        <w:jc w:val="left"/>
        <w:rPr>
          <w:rFonts w:ascii="宋体" w:hAnsi="宋体" w:cs="宋体" w:eastAsia="宋体" w:hint="default"/>
          <w:sz w:val="21"/>
          <w:szCs w:val="21"/>
        </w:rPr>
      </w:pPr>
      <w:r>
        <w:rPr>
          <w:rFonts w:ascii="宋体" w:hAnsi="宋体" w:cs="宋体" w:eastAsia="宋体" w:hint="default"/>
          <w:sz w:val="21"/>
          <w:szCs w:val="21"/>
        </w:rPr>
        <w:t>影响，并且在活跃市场中没有报价、公允价值不能可靠计量的长期股权投资采用成本法核算。 采用成本法核算的长期股权投资按照初始投资成本计价。追加或收回投资时调整长期股权投资的成</w:t>
      </w:r>
    </w:p>
    <w:p>
      <w:pPr>
        <w:spacing w:line="410" w:lineRule="auto" w:before="1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本。被投资单位宣告分派的现金股利或利润，除取得投资时实际支付的价款或对价中包含的已宣告但尚未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发放的现金股利或利润外，本公司按照享有被投资单位宣告发放的现金股利或利润确认当期投资收益。</w:t>
      </w:r>
    </w:p>
    <w:p>
      <w:pPr>
        <w:spacing w:line="444" w:lineRule="auto" w:before="83"/>
        <w:ind w:left="574" w:right="0" w:firstLine="0"/>
        <w:jc w:val="left"/>
        <w:rPr>
          <w:rFonts w:ascii="宋体" w:hAnsi="宋体" w:cs="宋体" w:eastAsia="宋体" w:hint="default"/>
          <w:sz w:val="21"/>
          <w:szCs w:val="21"/>
        </w:rPr>
      </w:pPr>
      <w:r>
        <w:rPr>
          <w:rFonts w:ascii="宋体" w:hAnsi="宋体" w:cs="宋体" w:eastAsia="宋体" w:hint="default"/>
          <w:sz w:val="21"/>
          <w:szCs w:val="21"/>
        </w:rPr>
        <w:t>B、本公司对被投资单位具有共同控制或重大影响的长期股权投资，采用权益法核算。 </w:t>
      </w:r>
      <w:r>
        <w:rPr>
          <w:rFonts w:ascii="宋体" w:hAnsi="宋体" w:cs="宋体" w:eastAsia="宋体" w:hint="default"/>
          <w:spacing w:val="-1"/>
          <w:sz w:val="21"/>
          <w:szCs w:val="21"/>
        </w:rPr>
        <w:t>长期股权投资的初始投资成本大于投资时应享有被投资单位可辨认净资产公允价值份额的，不调整长</w:t>
      </w:r>
    </w:p>
    <w:p>
      <w:pPr>
        <w:spacing w:line="410" w:lineRule="auto" w:before="14"/>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期股权投资的初始投资成本；长期股权投资的初始投资成本小于投资时应享有被投资单位可辨认净资产公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允价值份额的，其差额应当计入当期损益，同时调整长期股权投资的成本。</w:t>
      </w:r>
    </w:p>
    <w:p>
      <w:pPr>
        <w:spacing w:line="408" w:lineRule="auto" w:before="82"/>
        <w:ind w:left="154" w:right="149" w:firstLine="480"/>
        <w:jc w:val="both"/>
        <w:rPr>
          <w:rFonts w:ascii="宋体" w:hAnsi="宋体" w:cs="宋体" w:eastAsia="宋体" w:hint="default"/>
          <w:sz w:val="21"/>
          <w:szCs w:val="21"/>
        </w:rPr>
      </w:pPr>
      <w:r>
        <w:rPr>
          <w:rFonts w:ascii="宋体" w:hAnsi="宋体" w:cs="宋体" w:eastAsia="宋体" w:hint="default"/>
          <w:spacing w:val="-2"/>
          <w:sz w:val="21"/>
          <w:szCs w:val="21"/>
        </w:rPr>
        <w:t>公司取得长期股权投资后，按照应享有或应分担的被投资单位实现的净损益的份额，确认投资损益并</w:t>
      </w:r>
      <w:r>
        <w:rPr>
          <w:rFonts w:ascii="宋体" w:hAnsi="宋体" w:cs="宋体" w:eastAsia="宋体" w:hint="default"/>
          <w:sz w:val="21"/>
          <w:szCs w:val="21"/>
        </w:rPr>
        <w:t> </w:t>
      </w:r>
      <w:r>
        <w:rPr>
          <w:rFonts w:ascii="宋体" w:hAnsi="宋体" w:cs="宋体" w:eastAsia="宋体" w:hint="default"/>
          <w:spacing w:val="-1"/>
          <w:sz w:val="21"/>
          <w:szCs w:val="21"/>
        </w:rPr>
        <w:t>调整长期股权投资的账面价值；按照被投资单位宣告分派的利润或现金股利计算应分得的部分，相应减少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长期股权投资的账面价值。公司确认被投资单位发生的净亏损，以长期股权投资的账面价值以及其他实质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上构成对被投资单位净投资的长期权益减记至零为限，公司负有承担额外损失义务的除外。被投资单位以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后实现净利润的，投资企业在其收益分享额弥补未确认的亏损分担额后，恢复确认收益分享额。</w:t>
      </w:r>
    </w:p>
    <w:p>
      <w:pPr>
        <w:spacing w:line="410" w:lineRule="auto" w:before="84"/>
        <w:ind w:left="154" w:right="128" w:firstLine="420"/>
        <w:jc w:val="both"/>
        <w:rPr>
          <w:rFonts w:ascii="宋体" w:hAnsi="宋体" w:cs="宋体" w:eastAsia="宋体" w:hint="default"/>
          <w:sz w:val="21"/>
          <w:szCs w:val="21"/>
        </w:rPr>
      </w:pPr>
      <w:r>
        <w:rPr>
          <w:rFonts w:ascii="宋体" w:hAnsi="宋体" w:cs="宋体" w:eastAsia="宋体" w:hint="default"/>
          <w:spacing w:val="-1"/>
          <w:sz w:val="21"/>
          <w:szCs w:val="21"/>
        </w:rPr>
        <w:t>在确认应享有被投资单位净损益的份额时，以取得投资时被投资单位各项可辨认资产等的公允价值为</w:t>
      </w:r>
      <w:r>
        <w:rPr>
          <w:rFonts w:ascii="宋体" w:hAnsi="宋体" w:cs="宋体" w:eastAsia="宋体" w:hint="default"/>
          <w:sz w:val="21"/>
          <w:szCs w:val="21"/>
        </w:rPr>
        <w:t> </w:t>
      </w:r>
      <w:r>
        <w:rPr>
          <w:rFonts w:ascii="宋体" w:hAnsi="宋体" w:cs="宋体" w:eastAsia="宋体" w:hint="default"/>
          <w:spacing w:val="-1"/>
          <w:sz w:val="21"/>
          <w:szCs w:val="21"/>
        </w:rPr>
        <w:t>基础，对被投资单位的净利润进行调整后确认。被投资单位采用的会计政策及会计期间与投资企业不一致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的，应当按照投资企业的会计政策及会计期间对被投资单位的财务报表进行调整，并据以确认投资损益。</w:t>
      </w:r>
    </w:p>
    <w:p>
      <w:pPr>
        <w:spacing w:before="85"/>
        <w:ind w:left="574" w:right="0" w:firstLine="0"/>
        <w:jc w:val="left"/>
        <w:rPr>
          <w:rFonts w:ascii="宋体" w:hAnsi="宋体" w:cs="宋体" w:eastAsia="宋体" w:hint="default"/>
          <w:sz w:val="21"/>
          <w:szCs w:val="21"/>
        </w:rPr>
      </w:pPr>
      <w:r>
        <w:rPr>
          <w:rFonts w:ascii="宋体" w:hAnsi="宋体" w:cs="宋体" w:eastAsia="宋体" w:hint="default"/>
          <w:sz w:val="21"/>
          <w:szCs w:val="21"/>
        </w:rPr>
        <w:t>C、处置长期股权投资，其账面价值与实际取得价款的差额，应当计入当期损益。</w:t>
      </w:r>
    </w:p>
    <w:p>
      <w:pPr>
        <w:spacing w:line="240" w:lineRule="auto" w:before="8"/>
        <w:rPr>
          <w:rFonts w:ascii="宋体" w:hAnsi="宋体" w:cs="宋体" w:eastAsia="宋体" w:hint="default"/>
          <w:sz w:val="27"/>
          <w:szCs w:val="27"/>
        </w:rPr>
      </w:pPr>
    </w:p>
    <w:p>
      <w:pPr>
        <w:spacing w:line="446" w:lineRule="auto" w:before="0"/>
        <w:ind w:left="57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 </w:t>
      </w:r>
      <w:r>
        <w:rPr>
          <w:rFonts w:ascii="宋体" w:hAnsi="宋体" w:cs="宋体" w:eastAsia="宋体" w:hint="default"/>
          <w:spacing w:val="-1"/>
          <w:sz w:val="21"/>
          <w:szCs w:val="21"/>
        </w:rPr>
        <w:t>共同控制，是指按照合同约定对某项经济活动所共有的控制，仅在与该项经济活动相关的重要财务和</w:t>
      </w:r>
    </w:p>
    <w:p>
      <w:pPr>
        <w:spacing w:line="470" w:lineRule="auto" w:before="45"/>
        <w:ind w:left="574" w:right="0" w:hanging="420"/>
        <w:jc w:val="left"/>
        <w:rPr>
          <w:rFonts w:ascii="宋体" w:hAnsi="宋体" w:cs="宋体" w:eastAsia="宋体" w:hint="default"/>
          <w:sz w:val="21"/>
          <w:szCs w:val="21"/>
        </w:rPr>
      </w:pPr>
      <w:r>
        <w:rPr>
          <w:rFonts w:ascii="宋体" w:hAnsi="宋体" w:cs="宋体" w:eastAsia="宋体" w:hint="default"/>
          <w:sz w:val="21"/>
          <w:szCs w:val="21"/>
        </w:rPr>
        <w:t>经营决策需要分享控制权的投资方一致同意时存在。 </w:t>
      </w:r>
      <w:r>
        <w:rPr>
          <w:rFonts w:ascii="宋体" w:hAnsi="宋体" w:cs="宋体" w:eastAsia="宋体" w:hint="default"/>
          <w:spacing w:val="-1"/>
          <w:sz w:val="21"/>
          <w:szCs w:val="21"/>
        </w:rPr>
        <w:t>重大影响，是指对一个企业的财务和经营政策有参与决策的权力，但并不能够控制或者与其他方一起</w:t>
      </w:r>
    </w:p>
    <w:p>
      <w:pPr>
        <w:spacing w:before="24"/>
        <w:ind w:left="154" w:right="0" w:firstLine="0"/>
        <w:jc w:val="left"/>
        <w:rPr>
          <w:rFonts w:ascii="宋体" w:hAnsi="宋体" w:cs="宋体" w:eastAsia="宋体" w:hint="default"/>
          <w:sz w:val="21"/>
          <w:szCs w:val="21"/>
        </w:rPr>
      </w:pPr>
      <w:r>
        <w:rPr>
          <w:rFonts w:ascii="宋体" w:hAnsi="宋体" w:cs="宋体" w:eastAsia="宋体" w:hint="default"/>
          <w:sz w:val="21"/>
          <w:szCs w:val="21"/>
        </w:rPr>
        <w:t>共同控制这些政策的制定。</w:t>
      </w:r>
    </w:p>
    <w:p>
      <w:pPr>
        <w:spacing w:line="240" w:lineRule="auto" w:before="2"/>
        <w:rPr>
          <w:rFonts w:ascii="宋体" w:hAnsi="宋体" w:cs="宋体" w:eastAsia="宋体" w:hint="default"/>
          <w:sz w:val="20"/>
          <w:szCs w:val="20"/>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）减值测试方法及减值准备计提方法</w:t>
      </w:r>
    </w:p>
    <w:p>
      <w:pPr>
        <w:spacing w:after="0"/>
        <w:jc w:val="left"/>
        <w:rPr>
          <w:rFonts w:ascii="宋体" w:hAnsi="宋体" w:cs="宋体" w:eastAsia="宋体" w:hint="default"/>
          <w:sz w:val="21"/>
          <w:szCs w:val="21"/>
        </w:rPr>
        <w:sectPr>
          <w:pgSz w:w="11910" w:h="16840"/>
          <w:pgMar w:header="877" w:footer="941" w:top="1100" w:bottom="114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436" w:lineRule="auto" w:before="35"/>
        <w:ind w:left="234" w:right="227" w:firstLine="420"/>
        <w:jc w:val="both"/>
        <w:rPr>
          <w:rFonts w:ascii="宋体" w:hAnsi="宋体" w:cs="宋体" w:eastAsia="宋体" w:hint="default"/>
          <w:sz w:val="21"/>
          <w:szCs w:val="21"/>
        </w:rPr>
      </w:pPr>
      <w:r>
        <w:rPr>
          <w:rFonts w:ascii="宋体" w:hAnsi="宋体" w:cs="宋体" w:eastAsia="宋体" w:hint="default"/>
          <w:spacing w:val="-1"/>
          <w:sz w:val="21"/>
          <w:szCs w:val="21"/>
        </w:rPr>
        <w:t>资产负债表日对长期股权投资逐项进行检查，判断长期股权投资是否存在可能发生减值的迹象。如果</w:t>
      </w:r>
      <w:r>
        <w:rPr>
          <w:rFonts w:ascii="宋体" w:hAnsi="宋体" w:cs="宋体" w:eastAsia="宋体" w:hint="default"/>
          <w:sz w:val="21"/>
          <w:szCs w:val="21"/>
        </w:rPr>
        <w:t> </w:t>
      </w:r>
      <w:r>
        <w:rPr>
          <w:rFonts w:ascii="宋体" w:hAnsi="宋体" w:cs="宋体" w:eastAsia="宋体" w:hint="default"/>
          <w:spacing w:val="-1"/>
          <w:sz w:val="21"/>
          <w:szCs w:val="21"/>
        </w:rPr>
        <w:t>存在被投资单位经营状况恶化等减值迹象的，则估计其可收回金额。可收回金额的计量结果表明，长期股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权投资的可收回金额低于其</w:t>
      </w:r>
      <w:r>
        <w:rPr>
          <w:rFonts w:ascii="宋体" w:hAnsi="宋体" w:cs="宋体" w:eastAsia="宋体" w:hint="default"/>
          <w:spacing w:val="60"/>
          <w:sz w:val="21"/>
          <w:szCs w:val="21"/>
        </w:rPr>
        <w:t> </w:t>
      </w:r>
      <w:r>
        <w:rPr>
          <w:rFonts w:ascii="宋体" w:hAnsi="宋体" w:cs="宋体" w:eastAsia="宋体" w:hint="default"/>
          <w:sz w:val="21"/>
          <w:szCs w:val="21"/>
        </w:rPr>
        <w:t>账面价值的，将长期股权投资的账面价值减记至可收回金额，减记的金额确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认为资产减值损失，计入当期损益，同时计提相应的长期投资减值准备。长期投资减值损失一经确认，在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以后会计期间不再转回。</w:t>
      </w:r>
    </w:p>
    <w:p>
      <w:pPr>
        <w:spacing w:before="91"/>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、投资性房地产</w:t>
      </w:r>
    </w:p>
    <w:p>
      <w:pPr>
        <w:spacing w:line="441" w:lineRule="auto" w:before="121"/>
        <w:ind w:left="654" w:right="115" w:firstLine="0"/>
        <w:jc w:val="left"/>
        <w:rPr>
          <w:rFonts w:ascii="宋体" w:hAnsi="宋体" w:cs="宋体" w:eastAsia="宋体" w:hint="default"/>
          <w:sz w:val="21"/>
          <w:szCs w:val="21"/>
        </w:rPr>
      </w:pPr>
      <w:r>
        <w:rPr>
          <w:rFonts w:ascii="宋体" w:hAnsi="宋体" w:cs="宋体" w:eastAsia="宋体" w:hint="default"/>
          <w:sz w:val="21"/>
          <w:szCs w:val="21"/>
        </w:rPr>
        <w:t>（1）投资性房地产的分类 </w:t>
      </w:r>
      <w:r>
        <w:rPr>
          <w:rFonts w:ascii="宋体" w:hAnsi="宋体" w:cs="宋体" w:eastAsia="宋体" w:hint="default"/>
          <w:spacing w:val="-3"/>
          <w:sz w:val="21"/>
          <w:szCs w:val="21"/>
        </w:rPr>
        <w:t>是指为赚取租金或资本增值，或两者兼有而持有的开发物业。投资性房地产分为已出租的土地使用权、</w:t>
      </w:r>
    </w:p>
    <w:p>
      <w:pPr>
        <w:spacing w:before="18"/>
        <w:ind w:left="233" w:right="115" w:firstLine="0"/>
        <w:jc w:val="left"/>
        <w:rPr>
          <w:rFonts w:ascii="宋体" w:hAnsi="宋体" w:cs="宋体" w:eastAsia="宋体" w:hint="default"/>
          <w:sz w:val="21"/>
          <w:szCs w:val="21"/>
        </w:rPr>
      </w:pPr>
      <w:r>
        <w:rPr>
          <w:rFonts w:ascii="宋体" w:hAnsi="宋体" w:cs="宋体" w:eastAsia="宋体" w:hint="default"/>
          <w:sz w:val="21"/>
          <w:szCs w:val="21"/>
        </w:rPr>
        <w:t>持有并准备增值后转让的土地使用权和已出租的建筑物。</w:t>
      </w:r>
    </w:p>
    <w:p>
      <w:pPr>
        <w:spacing w:line="240" w:lineRule="auto" w:before="12"/>
        <w:rPr>
          <w:rFonts w:ascii="宋体" w:hAnsi="宋体" w:cs="宋体" w:eastAsia="宋体" w:hint="default"/>
          <w:sz w:val="17"/>
          <w:szCs w:val="17"/>
        </w:rPr>
      </w:pPr>
    </w:p>
    <w:p>
      <w:pPr>
        <w:spacing w:before="0"/>
        <w:ind w:left="653" w:right="115" w:firstLine="0"/>
        <w:jc w:val="left"/>
        <w:rPr>
          <w:rFonts w:ascii="宋体" w:hAnsi="宋体" w:cs="宋体" w:eastAsia="宋体" w:hint="default"/>
          <w:sz w:val="21"/>
          <w:szCs w:val="21"/>
        </w:rPr>
      </w:pPr>
      <w:r>
        <w:rPr>
          <w:rFonts w:ascii="宋体" w:hAnsi="宋体" w:cs="宋体" w:eastAsia="宋体" w:hint="default"/>
          <w:sz w:val="21"/>
          <w:szCs w:val="21"/>
        </w:rPr>
        <w:t>（2）投资性房地产的计价</w:t>
      </w:r>
    </w:p>
    <w:p>
      <w:pPr>
        <w:spacing w:line="240" w:lineRule="auto" w:before="10"/>
        <w:rPr>
          <w:rFonts w:ascii="宋体" w:hAnsi="宋体" w:cs="宋体" w:eastAsia="宋体" w:hint="default"/>
          <w:sz w:val="17"/>
          <w:szCs w:val="17"/>
        </w:rPr>
      </w:pPr>
    </w:p>
    <w:p>
      <w:pPr>
        <w:spacing w:before="0"/>
        <w:ind w:left="653" w:right="115"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初始计量：本公司对投资性房地产按照取得时的成本进行初始计量。</w:t>
      </w:r>
    </w:p>
    <w:p>
      <w:pPr>
        <w:spacing w:line="240" w:lineRule="auto" w:before="10"/>
        <w:rPr>
          <w:rFonts w:ascii="宋体" w:hAnsi="宋体" w:cs="宋体" w:eastAsia="宋体" w:hint="default"/>
          <w:sz w:val="17"/>
          <w:szCs w:val="17"/>
        </w:rPr>
      </w:pPr>
    </w:p>
    <w:p>
      <w:pPr>
        <w:spacing w:line="444" w:lineRule="auto" w:before="0"/>
        <w:ind w:left="653" w:right="3238"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
          <w:sz w:val="21"/>
          <w:szCs w:val="21"/>
        </w:rPr>
        <w:t> </w:t>
      </w:r>
      <w:r>
        <w:rPr>
          <w:rFonts w:ascii="宋体" w:hAnsi="宋体" w:cs="宋体" w:eastAsia="宋体" w:hint="default"/>
          <w:sz w:val="21"/>
          <w:szCs w:val="21"/>
        </w:rPr>
        <w:t>后续计量：本公司采用成本模式对投资性房地产进行后续计量。</w:t>
      </w:r>
      <w:r>
        <w:rPr>
          <w:rFonts w:ascii="宋体" w:hAnsi="宋体" w:cs="宋体" w:eastAsia="宋体" w:hint="default"/>
          <w:sz w:val="21"/>
          <w:szCs w:val="21"/>
        </w:rPr>
        <w:t> A、对于建筑物，参照固定资产的后续计量政策进行折旧。 B、对于土地使用权，参照无形资产的后续计量政策进行摊销。</w:t>
      </w:r>
    </w:p>
    <w:p>
      <w:pPr>
        <w:spacing w:line="427" w:lineRule="auto" w:before="54"/>
        <w:ind w:left="233" w:right="115" w:firstLine="420"/>
        <w:jc w:val="left"/>
        <w:rPr>
          <w:rFonts w:ascii="宋体" w:hAnsi="宋体" w:cs="宋体" w:eastAsia="宋体" w:hint="default"/>
          <w:sz w:val="21"/>
          <w:szCs w:val="21"/>
        </w:rPr>
      </w:pPr>
      <w:r>
        <w:rPr>
          <w:rFonts w:ascii="宋体" w:hAnsi="宋体" w:cs="宋体" w:eastAsia="宋体" w:hint="default"/>
          <w:sz w:val="21"/>
          <w:szCs w:val="21"/>
        </w:rPr>
        <w:t>（3）投资性房地产的减值准备 </w:t>
      </w:r>
      <w:r>
        <w:rPr>
          <w:rFonts w:ascii="宋体" w:hAnsi="宋体" w:cs="宋体" w:eastAsia="宋体" w:hint="default"/>
          <w:spacing w:val="-1"/>
          <w:sz w:val="21"/>
          <w:szCs w:val="21"/>
        </w:rPr>
        <w:t>期末，如果投资性房地产存在减值迹象，则估计其可收回金额，可收回金额低于其账面价值的差额确认为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减值损失并计入当期损益。减值损失一经确认，在以后会计期间不再转回。</w:t>
      </w:r>
    </w:p>
    <w:p>
      <w:pPr>
        <w:spacing w:line="240" w:lineRule="auto" w:before="1"/>
        <w:rPr>
          <w:rFonts w:ascii="宋体" w:hAnsi="宋体" w:cs="宋体" w:eastAsia="宋体" w:hint="default"/>
          <w:sz w:val="15"/>
          <w:szCs w:val="15"/>
        </w:rPr>
      </w:pPr>
    </w:p>
    <w:p>
      <w:pPr>
        <w:spacing w:before="0"/>
        <w:ind w:left="65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、固定资产</w:t>
      </w:r>
    </w:p>
    <w:p>
      <w:pPr>
        <w:spacing w:line="240" w:lineRule="auto" w:before="0"/>
        <w:rPr>
          <w:rFonts w:ascii="宋体" w:hAnsi="宋体" w:cs="宋体" w:eastAsia="宋体" w:hint="default"/>
          <w:sz w:val="16"/>
          <w:szCs w:val="16"/>
        </w:rPr>
      </w:pPr>
    </w:p>
    <w:p>
      <w:pPr>
        <w:spacing w:line="446" w:lineRule="auto" w:before="0"/>
        <w:ind w:left="654" w:right="115"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 </w:t>
      </w:r>
      <w:r>
        <w:rPr>
          <w:rFonts w:ascii="宋体" w:hAnsi="宋体" w:cs="宋体" w:eastAsia="宋体" w:hint="default"/>
          <w:spacing w:val="-1"/>
          <w:sz w:val="21"/>
          <w:szCs w:val="21"/>
        </w:rPr>
        <w:t>固定资产指为生产商品、提供劳务、出租或经营管理而持有的，使用寿命超过一个会计年度的有形资</w:t>
      </w:r>
    </w:p>
    <w:p>
      <w:pPr>
        <w:spacing w:line="439" w:lineRule="auto" w:before="43"/>
        <w:ind w:left="234" w:right="115" w:firstLine="0"/>
        <w:jc w:val="left"/>
        <w:rPr>
          <w:rFonts w:ascii="宋体" w:hAnsi="宋体" w:cs="宋体" w:eastAsia="宋体" w:hint="default"/>
          <w:sz w:val="21"/>
          <w:szCs w:val="21"/>
        </w:rPr>
      </w:pPr>
      <w:r>
        <w:rPr>
          <w:rFonts w:ascii="宋体" w:hAnsi="宋体" w:cs="宋体" w:eastAsia="宋体" w:hint="default"/>
          <w:spacing w:val="-1"/>
          <w:sz w:val="21"/>
          <w:szCs w:val="21"/>
        </w:rPr>
        <w:t>产。固定资产以实际成本进行初始计量。当与该固定资产有关的经济利益很可能流入企业，且该固定资产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资产的成本能够可靠地计量时，确认固定资产。</w:t>
      </w:r>
    </w:p>
    <w:p>
      <w:pPr>
        <w:spacing w:before="89"/>
        <w:ind w:left="65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p>
    <w:tbl>
      <w:tblPr>
        <w:tblW w:w="0" w:type="auto"/>
        <w:jc w:val="left"/>
        <w:tblInd w:w="106" w:type="dxa"/>
        <w:tblLayout w:type="fixed"/>
        <w:tblCellMar>
          <w:top w:w="0" w:type="dxa"/>
          <w:left w:w="0" w:type="dxa"/>
          <w:bottom w:w="0" w:type="dxa"/>
          <w:right w:w="0" w:type="dxa"/>
        </w:tblCellMar>
        <w:tblLook w:val="01E0"/>
      </w:tblPr>
      <w:tblGrid>
        <w:gridCol w:w="2477"/>
        <w:gridCol w:w="2464"/>
        <w:gridCol w:w="2464"/>
        <w:gridCol w:w="2465"/>
      </w:tblGrid>
      <w:tr>
        <w:trPr>
          <w:trHeight w:val="58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4.50</w:t>
            </w:r>
          </w:p>
        </w:tc>
      </w:tr>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9.00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41" w:top="1100" w:bottom="1140" w:left="900" w:right="90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477"/>
        <w:gridCol w:w="2464"/>
        <w:gridCol w:w="2464"/>
        <w:gridCol w:w="2465"/>
      </w:tblGrid>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0" w:right="0"/>
              <w:jc w:val="left"/>
              <w:rPr>
                <w:rFonts w:ascii="Times New Roman" w:hAnsi="Times New Roman" w:cs="Times New Roman" w:eastAsia="Times New Roman" w:hint="default"/>
                <w:sz w:val="21"/>
                <w:szCs w:val="21"/>
              </w:rPr>
            </w:pPr>
            <w:r>
              <w:rPr>
                <w:rFonts w:ascii="Times New Roman"/>
                <w:sz w:val="21"/>
              </w:rPr>
              <w:t>18.00</w:t>
            </w:r>
          </w:p>
        </w:tc>
      </w:tr>
      <w:tr>
        <w:trPr>
          <w:trHeight w:val="58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0" w:right="0"/>
              <w:jc w:val="left"/>
              <w:rPr>
                <w:rFonts w:ascii="Times New Roman" w:hAnsi="Times New Roman" w:cs="Times New Roman" w:eastAsia="Times New Roman" w:hint="default"/>
                <w:sz w:val="21"/>
                <w:szCs w:val="21"/>
              </w:rPr>
            </w:pPr>
            <w:r>
              <w:rPr>
                <w:rFonts w:ascii="Times New Roman"/>
                <w:sz w:val="21"/>
              </w:rPr>
              <w:t>18.00</w:t>
            </w:r>
          </w:p>
        </w:tc>
      </w:tr>
      <w:tr>
        <w:trPr>
          <w:trHeight w:val="59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10</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42" w:right="0"/>
              <w:jc w:val="left"/>
              <w:rPr>
                <w:rFonts w:ascii="Times New Roman" w:hAnsi="Times New Roman" w:cs="Times New Roman" w:eastAsia="Times New Roman" w:hint="default"/>
                <w:sz w:val="21"/>
                <w:szCs w:val="21"/>
              </w:rPr>
            </w:pPr>
            <w:r>
              <w:rPr>
                <w:rFonts w:ascii="Times New Roman"/>
                <w:sz w:val="21"/>
              </w:rPr>
              <w:t>9.00</w:t>
            </w:r>
          </w:p>
        </w:tc>
      </w:tr>
    </w:tbl>
    <w:p>
      <w:pPr>
        <w:spacing w:line="240" w:lineRule="auto" w:before="0"/>
        <w:rPr>
          <w:rFonts w:ascii="宋体" w:hAnsi="宋体" w:cs="宋体" w:eastAsia="宋体" w:hint="default"/>
          <w:sz w:val="12"/>
          <w:szCs w:val="12"/>
        </w:rPr>
      </w:pPr>
    </w:p>
    <w:p>
      <w:pPr>
        <w:spacing w:line="446" w:lineRule="auto" w:before="35"/>
        <w:ind w:left="654" w:right="115"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 </w:t>
      </w:r>
      <w:r>
        <w:rPr>
          <w:rFonts w:ascii="宋体" w:hAnsi="宋体" w:cs="宋体" w:eastAsia="宋体" w:hint="default"/>
          <w:spacing w:val="-3"/>
          <w:sz w:val="21"/>
          <w:szCs w:val="21"/>
        </w:rPr>
        <w:t>资产负债表日判断固定资产是否存在可能发生减值的迹象。如果存在资产市价持续下跌，或技术陈旧、</w:t>
      </w:r>
    </w:p>
    <w:p>
      <w:pPr>
        <w:spacing w:line="436" w:lineRule="auto" w:before="43"/>
        <w:ind w:left="233" w:right="208" w:firstLine="0"/>
        <w:jc w:val="both"/>
        <w:rPr>
          <w:rFonts w:ascii="宋体" w:hAnsi="宋体" w:cs="宋体" w:eastAsia="宋体" w:hint="default"/>
          <w:sz w:val="21"/>
          <w:szCs w:val="21"/>
        </w:rPr>
      </w:pPr>
      <w:r>
        <w:rPr>
          <w:rFonts w:ascii="宋体" w:hAnsi="宋体" w:cs="宋体" w:eastAsia="宋体" w:hint="default"/>
          <w:spacing w:val="-1"/>
          <w:sz w:val="21"/>
          <w:szCs w:val="21"/>
        </w:rPr>
        <w:t>损坏、长期闲置等减值迹象的，则估计其可收回金额。可收回金额的计量结果表明，固定资产的可收回金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额低于其账面价值的，将固定资产的账面价值减记至可收回金额，减记的金额确认为资产减值损失，计入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当期损益，同时计提相应的固定资产减值准备。固定资产减值损失一经确认，在以后会计期间不再转回。</w:t>
      </w:r>
    </w:p>
    <w:p>
      <w:pPr>
        <w:spacing w:line="446" w:lineRule="auto" w:before="91"/>
        <w:ind w:left="654" w:right="115"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 </w:t>
      </w:r>
      <w:r>
        <w:rPr>
          <w:rFonts w:ascii="宋体" w:hAnsi="宋体" w:cs="宋体" w:eastAsia="宋体" w:hint="default"/>
          <w:spacing w:val="-1"/>
          <w:sz w:val="21"/>
          <w:szCs w:val="21"/>
        </w:rPr>
        <w:t>如果与某项租入固定资产有关的全部风险和报酬实质上已经转移，本公司认定为融资租赁。融资租入</w:t>
      </w:r>
    </w:p>
    <w:p>
      <w:pPr>
        <w:spacing w:line="436" w:lineRule="auto" w:before="43"/>
        <w:ind w:left="234" w:right="229" w:firstLine="0"/>
        <w:jc w:val="both"/>
        <w:rPr>
          <w:rFonts w:ascii="宋体" w:hAnsi="宋体" w:cs="宋体" w:eastAsia="宋体" w:hint="default"/>
          <w:sz w:val="21"/>
          <w:szCs w:val="21"/>
        </w:rPr>
      </w:pPr>
      <w:r>
        <w:rPr>
          <w:rFonts w:ascii="宋体" w:hAnsi="宋体" w:cs="宋体" w:eastAsia="宋体" w:hint="default"/>
          <w:spacing w:val="-1"/>
          <w:sz w:val="21"/>
          <w:szCs w:val="21"/>
        </w:rPr>
        <w:t>固定资产需按租赁开始日租赁资产的公允价值与最低租赁付款额现值两者中的较低者，加上可直接归属于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租赁项目的初始直接费用，作为租入资产的入账价值，将最低租赁付款额作为长期应付款的入账价值，其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差额作为未确认融资费用。未确认融资费用采用实际利率法在租赁期内分摊。租入固定资产按租赁期和估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计净残值确定折旧率，计提折旧。</w:t>
      </w:r>
    </w:p>
    <w:p>
      <w:pPr>
        <w:spacing w:line="412" w:lineRule="auto" w:before="91"/>
        <w:ind w:left="654" w:right="717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、在建工程 </w:t>
      </w:r>
      <w:r>
        <w:rPr>
          <w:rFonts w:ascii="Times New Roman" w:hAnsi="Times New Roman" w:cs="Times New Roman" w:eastAsia="Times New Roman" w:hint="default"/>
          <w:sz w:val="21"/>
          <w:szCs w:val="21"/>
        </w:rPr>
        <w:t>A</w:t>
      </w:r>
      <w:r>
        <w:rPr>
          <w:rFonts w:ascii="宋体" w:hAnsi="宋体" w:cs="宋体" w:eastAsia="宋体" w:hint="default"/>
          <w:sz w:val="21"/>
          <w:szCs w:val="21"/>
        </w:rPr>
        <w:t>、在建工程的核算方法</w:t>
      </w:r>
    </w:p>
    <w:p>
      <w:pPr>
        <w:spacing w:line="436" w:lineRule="auto" w:before="82"/>
        <w:ind w:left="234" w:right="227" w:firstLine="420"/>
        <w:jc w:val="both"/>
        <w:rPr>
          <w:rFonts w:ascii="宋体" w:hAnsi="宋体" w:cs="宋体" w:eastAsia="宋体" w:hint="default"/>
          <w:sz w:val="21"/>
          <w:szCs w:val="21"/>
        </w:rPr>
      </w:pPr>
      <w:r>
        <w:rPr>
          <w:rFonts w:ascii="宋体" w:hAnsi="宋体" w:cs="宋体" w:eastAsia="宋体" w:hint="default"/>
          <w:spacing w:val="-1"/>
          <w:sz w:val="21"/>
          <w:szCs w:val="21"/>
        </w:rPr>
        <w:t>在建工程包括施工前期准备、正在施工中的建筑工程、安装工程、技术改造工程和大修理工程等。在</w:t>
      </w:r>
      <w:r>
        <w:rPr>
          <w:rFonts w:ascii="宋体" w:hAnsi="宋体" w:cs="宋体" w:eastAsia="宋体" w:hint="default"/>
          <w:sz w:val="21"/>
          <w:szCs w:val="21"/>
        </w:rPr>
        <w:t> </w:t>
      </w:r>
      <w:r>
        <w:rPr>
          <w:rFonts w:ascii="宋体" w:hAnsi="宋体" w:cs="宋体" w:eastAsia="宋体" w:hint="default"/>
          <w:spacing w:val="-1"/>
          <w:sz w:val="21"/>
          <w:szCs w:val="21"/>
        </w:rPr>
        <w:t>建工程按照实际发生的支出分项目核算，并在工程达到预定可使用状态时结转为固定资产。与在建工程有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关的借款费用（包括借款利息、溢折价摊销、汇兑损益等），在相关工程达到预定可使用状态前的计入工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程成本，在相关工程达到预定可使用状态后的计入当期财务费用。</w:t>
      </w:r>
    </w:p>
    <w:p>
      <w:pPr>
        <w:spacing w:line="444" w:lineRule="auto" w:before="93"/>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、在建工程减值准备 </w:t>
      </w:r>
      <w:r>
        <w:rPr>
          <w:rFonts w:ascii="宋体" w:hAnsi="宋体" w:cs="宋体" w:eastAsia="宋体" w:hint="default"/>
          <w:spacing w:val="-6"/>
          <w:sz w:val="21"/>
          <w:szCs w:val="21"/>
        </w:rPr>
        <w:t>资产负债表日对在建工程进行全面检查，判断在建工程是否存在可能发生减值的迹象。如果存在：（</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w:t>
      </w:r>
    </w:p>
    <w:p>
      <w:pPr>
        <w:spacing w:line="429" w:lineRule="auto" w:before="11"/>
        <w:ind w:left="234" w:right="208" w:firstLine="0"/>
        <w:jc w:val="both"/>
        <w:rPr>
          <w:rFonts w:ascii="宋体" w:hAnsi="宋体" w:cs="宋体" w:eastAsia="宋体" w:hint="default"/>
          <w:sz w:val="21"/>
          <w:szCs w:val="21"/>
        </w:rPr>
      </w:pPr>
      <w:r>
        <w:rPr>
          <w:rFonts w:ascii="宋体" w:hAnsi="宋体" w:cs="宋体" w:eastAsia="宋体" w:hint="default"/>
          <w:sz w:val="21"/>
          <w:szCs w:val="21"/>
        </w:rPr>
        <w:t>在建工程长期停建并且预计在未来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年内不会重新开工，（</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）所建项目在性能上、技术上已经落后并且所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带来的经济效益具有很大的不确定性等减值迹象的，则估计其可收回金额。可收回金额的计量结果表明， </w:t>
      </w:r>
      <w:r>
        <w:rPr>
          <w:rFonts w:ascii="宋体" w:hAnsi="宋体" w:cs="宋体" w:eastAsia="宋体" w:hint="default"/>
          <w:spacing w:val="-1"/>
          <w:sz w:val="21"/>
          <w:szCs w:val="21"/>
        </w:rPr>
        <w:t>在建工程的可收回金额低于其账面价值的，将在建工程的账面价值减记至可收回金额，减记的金额确认为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资产减值损失，计入当期损益，同时计提相应的在建工程减值准备。在建工程减值损失一经确认，在以后</w:t>
      </w:r>
    </w:p>
    <w:p>
      <w:pPr>
        <w:spacing w:after="0" w:line="429" w:lineRule="auto"/>
        <w:jc w:val="both"/>
        <w:rPr>
          <w:rFonts w:ascii="宋体" w:hAnsi="宋体" w:cs="宋体" w:eastAsia="宋体" w:hint="default"/>
          <w:sz w:val="21"/>
          <w:szCs w:val="21"/>
        </w:rPr>
        <w:sectPr>
          <w:pgSz w:w="11910" w:h="16840"/>
          <w:pgMar w:header="877" w:footer="941" w:top="1100" w:bottom="1140" w:left="90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会计期间不再转回。</w:t>
      </w:r>
    </w:p>
    <w:p>
      <w:pPr>
        <w:spacing w:line="240" w:lineRule="auto" w:before="2"/>
        <w:rPr>
          <w:rFonts w:ascii="宋体" w:hAnsi="宋体" w:cs="宋体" w:eastAsia="宋体" w:hint="default"/>
          <w:sz w:val="20"/>
          <w:szCs w:val="20"/>
        </w:rPr>
      </w:pPr>
    </w:p>
    <w:p>
      <w:pPr>
        <w:spacing w:line="412" w:lineRule="auto" w:before="0"/>
        <w:ind w:left="573"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、借款费用 </w:t>
      </w:r>
      <w:r>
        <w:rPr>
          <w:rFonts w:ascii="Times New Roman" w:hAnsi="Times New Roman" w:cs="Times New Roman" w:eastAsia="Times New Roman" w:hint="default"/>
          <w:sz w:val="21"/>
          <w:szCs w:val="21"/>
        </w:rPr>
        <w:t>A</w:t>
      </w:r>
      <w:r>
        <w:rPr>
          <w:rFonts w:ascii="宋体" w:hAnsi="宋体" w:cs="宋体" w:eastAsia="宋体" w:hint="default"/>
          <w:sz w:val="21"/>
          <w:szCs w:val="21"/>
        </w:rPr>
        <w:t>、企业发生的借款费用，可直接归属于符合资本化条件的资产的购建或者生产的，予以资本化，计</w:t>
      </w:r>
    </w:p>
    <w:p>
      <w:pPr>
        <w:spacing w:line="436" w:lineRule="auto" w:before="41"/>
        <w:ind w:left="153" w:right="151" w:firstLine="0"/>
        <w:jc w:val="both"/>
        <w:rPr>
          <w:rFonts w:ascii="宋体" w:hAnsi="宋体" w:cs="宋体" w:eastAsia="宋体" w:hint="default"/>
          <w:sz w:val="21"/>
          <w:szCs w:val="21"/>
        </w:rPr>
      </w:pPr>
      <w:r>
        <w:rPr>
          <w:rFonts w:ascii="宋体" w:hAnsi="宋体" w:cs="宋体" w:eastAsia="宋体" w:hint="default"/>
          <w:spacing w:val="-1"/>
          <w:sz w:val="21"/>
          <w:szCs w:val="21"/>
        </w:rPr>
        <w:t>入相关资产成本；其他借款费用，在发生时根据其发生额确认为费用，计入当期损益。借款费用同时满足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下列条件的，开始资本化：</w:t>
      </w:r>
    </w:p>
    <w:p>
      <w:pPr>
        <w:spacing w:line="412" w:lineRule="auto" w:before="53"/>
        <w:ind w:left="153" w:right="22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、资产支出已经发生，资产支出包括为购建或者生产符合资本化条件的资产而以支付现金、转移非 现金资产或者承担带息债务形式发生的支出；</w:t>
      </w:r>
    </w:p>
    <w:p>
      <w:pPr>
        <w:spacing w:line="412" w:lineRule="auto" w:before="74"/>
        <w:ind w:left="574" w:right="18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 </w:t>
      </w:r>
      <w:r>
        <w:rPr>
          <w:rFonts w:ascii="Times New Roman" w:hAnsi="Times New Roman" w:cs="Times New Roman" w:eastAsia="Times New Roman" w:hint="default"/>
          <w:sz w:val="21"/>
          <w:szCs w:val="21"/>
        </w:rPr>
        <w:t>B</w:t>
      </w:r>
      <w:r>
        <w:rPr>
          <w:rFonts w:ascii="宋体" w:hAnsi="宋体" w:cs="宋体" w:eastAsia="宋体" w:hint="default"/>
          <w:sz w:val="21"/>
          <w:szCs w:val="21"/>
        </w:rPr>
        <w:t>、购建或者生产符合资本化条件的资产达到预定可使用或者可销售状态时，借款费用停止资本化。</w:t>
      </w:r>
    </w:p>
    <w:p>
      <w:pPr>
        <w:spacing w:line="436" w:lineRule="auto" w:before="42"/>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在符合资本化条件的资产达到预定可使用或者可销售状态之后所发生的借款费用，在发生时根据其发生额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确认为费用，计入当期损益。</w:t>
      </w:r>
    </w:p>
    <w:p>
      <w:pPr>
        <w:spacing w:line="446" w:lineRule="auto" w:before="52"/>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、无形资产 </w:t>
      </w:r>
      <w:r>
        <w:rPr>
          <w:rFonts w:ascii="Times New Roman" w:hAnsi="Times New Roman" w:cs="Times New Roman" w:eastAsia="Times New Roman" w:hint="default"/>
          <w:sz w:val="21"/>
          <w:szCs w:val="21"/>
        </w:rPr>
        <w:t>A</w:t>
      </w:r>
      <w:r>
        <w:rPr>
          <w:rFonts w:ascii="宋体" w:hAnsi="宋体" w:cs="宋体" w:eastAsia="宋体" w:hint="default"/>
          <w:sz w:val="21"/>
          <w:szCs w:val="21"/>
        </w:rPr>
        <w:t>、无形资产指企业拥有或控制的没有实物形态的可辨认非货币性资产，包括专有技术、土地使用权</w:t>
      </w:r>
    </w:p>
    <w:p>
      <w:pPr>
        <w:spacing w:before="9"/>
        <w:ind w:left="154" w:right="0" w:firstLine="0"/>
        <w:jc w:val="both"/>
        <w:rPr>
          <w:rFonts w:ascii="宋体" w:hAnsi="宋体" w:cs="宋体" w:eastAsia="宋体" w:hint="default"/>
          <w:sz w:val="21"/>
          <w:szCs w:val="21"/>
        </w:rPr>
      </w:pPr>
      <w:r>
        <w:rPr>
          <w:rFonts w:ascii="宋体" w:hAnsi="宋体" w:cs="宋体" w:eastAsia="宋体" w:hint="default"/>
          <w:sz w:val="21"/>
          <w:szCs w:val="21"/>
        </w:rPr>
        <w:t>等。</w:t>
      </w:r>
    </w:p>
    <w:p>
      <w:pPr>
        <w:spacing w:line="240" w:lineRule="auto" w:before="3"/>
        <w:rPr>
          <w:rFonts w:ascii="宋体" w:hAnsi="宋体" w:cs="宋体" w:eastAsia="宋体" w:hint="default"/>
          <w:sz w:val="20"/>
          <w:szCs w:val="20"/>
        </w:rPr>
      </w:pPr>
    </w:p>
    <w:p>
      <w:pPr>
        <w:spacing w:line="444" w:lineRule="auto" w:before="0"/>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、无形资产在取得时按照实际成本计价。 </w:t>
      </w:r>
      <w:r>
        <w:rPr>
          <w:rFonts w:ascii="Times New Roman" w:hAnsi="Times New Roman" w:cs="Times New Roman" w:eastAsia="Times New Roman" w:hint="default"/>
          <w:sz w:val="21"/>
          <w:szCs w:val="21"/>
        </w:rPr>
        <w:t>C</w:t>
      </w:r>
      <w:r>
        <w:rPr>
          <w:rFonts w:ascii="宋体" w:hAnsi="宋体" w:cs="宋体" w:eastAsia="宋体" w:hint="default"/>
          <w:sz w:val="21"/>
          <w:szCs w:val="21"/>
        </w:rPr>
        <w:t>、对使用寿命确定的无形资产，自无形资产可供使用时起，在使用寿命内采用直线法摊销，计入当</w:t>
      </w:r>
    </w:p>
    <w:p>
      <w:pPr>
        <w:spacing w:line="436" w:lineRule="auto" w:before="12"/>
        <w:ind w:left="154" w:right="149" w:firstLine="0"/>
        <w:jc w:val="both"/>
        <w:rPr>
          <w:rFonts w:ascii="宋体" w:hAnsi="宋体" w:cs="宋体" w:eastAsia="宋体" w:hint="default"/>
          <w:sz w:val="21"/>
          <w:szCs w:val="21"/>
        </w:rPr>
      </w:pPr>
      <w:r>
        <w:rPr>
          <w:rFonts w:ascii="宋体" w:hAnsi="宋体" w:cs="宋体" w:eastAsia="宋体" w:hint="default"/>
          <w:spacing w:val="-1"/>
          <w:sz w:val="21"/>
          <w:szCs w:val="21"/>
        </w:rPr>
        <w:t>期损益；对使用寿命不确定的无形资产不摊销；公司于年度终了对无形资产的使用寿命及摊销方法进行复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核，使用寿命及摊销方法与以前估计不同的，则改变摊销期限和摊销方法。</w:t>
      </w:r>
    </w:p>
    <w:p>
      <w:pPr>
        <w:spacing w:line="446" w:lineRule="auto" w:before="91"/>
        <w:ind w:left="574" w:right="1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、无形资产减值准备 </w:t>
      </w:r>
      <w:r>
        <w:rPr>
          <w:rFonts w:ascii="宋体" w:hAnsi="宋体" w:cs="宋体" w:eastAsia="宋体" w:hint="default"/>
          <w:spacing w:val="-3"/>
          <w:sz w:val="21"/>
          <w:szCs w:val="21"/>
        </w:rPr>
        <w:t>期末检查各项无形资产预计给本公司带来未来经济利益的能力，当存在以下情形之一时：（</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）某项无</w:t>
      </w:r>
    </w:p>
    <w:p>
      <w:pPr>
        <w:spacing w:line="422" w:lineRule="auto" w:before="8"/>
        <w:ind w:left="154" w:right="128" w:hanging="1"/>
        <w:jc w:val="both"/>
        <w:rPr>
          <w:rFonts w:ascii="宋体" w:hAnsi="宋体" w:cs="宋体" w:eastAsia="宋体" w:hint="default"/>
          <w:sz w:val="21"/>
          <w:szCs w:val="21"/>
        </w:rPr>
      </w:pPr>
      <w:r>
        <w:rPr>
          <w:rFonts w:ascii="宋体" w:hAnsi="宋体" w:cs="宋体" w:eastAsia="宋体" w:hint="default"/>
          <w:spacing w:val="-3"/>
          <w:sz w:val="21"/>
          <w:szCs w:val="21"/>
        </w:rPr>
        <w:t>形资产已被其他新技术等所替代，使其为企业创造经济利益的能力受到重大不利影响；（</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）某项无形资产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的市价在当期大幅下跌，在剩余摊销年限内预期不会恢复；（</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）某项无形资产已超过法律保护期限，但仍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然具有部分使用价值等减值迹象的，则估计其可收回金额。可收回金额的计量结果表明，无形资产的可收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回金额低于其账面价值的，将无形资产的账面价值减记至可收回金额，减记的金额确认为资产减值损失， </w:t>
      </w:r>
      <w:r>
        <w:rPr>
          <w:rFonts w:ascii="宋体" w:hAnsi="宋体" w:cs="宋体" w:eastAsia="宋体" w:hint="default"/>
          <w:spacing w:val="-3"/>
          <w:sz w:val="21"/>
          <w:szCs w:val="21"/>
        </w:rPr>
        <w:t>计入当期损益，同时计提相应的无形资产减值准备；（</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）其他足以证明某项无形资产实质上已发生了减值</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准备情形的情况，按预计可收回金额低于账面价值的差额计提无形资产减值准备。无形资产减值损失一经</w:t>
      </w:r>
    </w:p>
    <w:p>
      <w:pPr>
        <w:spacing w:after="0" w:line="422" w:lineRule="auto"/>
        <w:jc w:val="both"/>
        <w:rPr>
          <w:rFonts w:ascii="宋体" w:hAnsi="宋体" w:cs="宋体" w:eastAsia="宋体" w:hint="default"/>
          <w:sz w:val="21"/>
          <w:szCs w:val="21"/>
        </w:rPr>
        <w:sectPr>
          <w:pgSz w:w="11910" w:h="16840"/>
          <w:pgMar w:header="877" w:footer="941" w:top="1100" w:bottom="114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154" w:right="91" w:firstLine="0"/>
        <w:jc w:val="left"/>
        <w:rPr>
          <w:rFonts w:ascii="宋体" w:hAnsi="宋体" w:cs="宋体" w:eastAsia="宋体" w:hint="default"/>
          <w:sz w:val="21"/>
          <w:szCs w:val="21"/>
        </w:rPr>
      </w:pPr>
      <w:r>
        <w:rPr>
          <w:rFonts w:ascii="宋体" w:hAnsi="宋体" w:cs="宋体" w:eastAsia="宋体" w:hint="default"/>
          <w:sz w:val="21"/>
          <w:szCs w:val="21"/>
        </w:rPr>
        <w:t>确认，在以后会计期间不再转回。</w:t>
      </w:r>
    </w:p>
    <w:p>
      <w:pPr>
        <w:spacing w:line="240" w:lineRule="auto" w:before="2"/>
        <w:rPr>
          <w:rFonts w:ascii="宋体" w:hAnsi="宋体" w:cs="宋体" w:eastAsia="宋体" w:hint="default"/>
          <w:sz w:val="20"/>
          <w:szCs w:val="20"/>
        </w:rPr>
      </w:pPr>
    </w:p>
    <w:p>
      <w:pPr>
        <w:spacing w:line="446" w:lineRule="auto" w:before="0"/>
        <w:ind w:left="573" w:right="198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、长期待摊费用 </w:t>
      </w:r>
      <w:r>
        <w:rPr>
          <w:rFonts w:ascii="Times New Roman" w:hAnsi="Times New Roman" w:cs="Times New Roman" w:eastAsia="Times New Roman" w:hint="default"/>
          <w:sz w:val="21"/>
          <w:szCs w:val="21"/>
        </w:rPr>
        <w:t>A</w:t>
      </w:r>
      <w:r>
        <w:rPr>
          <w:rFonts w:ascii="宋体" w:hAnsi="宋体" w:cs="宋体" w:eastAsia="宋体" w:hint="default"/>
          <w:sz w:val="21"/>
          <w:szCs w:val="21"/>
        </w:rPr>
        <w:t>、长期待摊费用指应由本期和以后各期负担的分摊期限在一年以上的各项费用。</w:t>
      </w:r>
    </w:p>
    <w:p>
      <w:pPr>
        <w:spacing w:line="420" w:lineRule="auto" w:before="48"/>
        <w:ind w:left="153" w:right="28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、长期待摊费用在取得时按照实际成本计价，开办费在发生时计入当期损益；经营性租赁固定资产 的装修费用在自生产经营之日起</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年内平均摊销，其他长期待摊费用按项目的受益期平均摊销。对于在以 </w:t>
      </w:r>
      <w:r>
        <w:rPr>
          <w:rFonts w:ascii="宋体" w:hAnsi="宋体" w:cs="宋体" w:eastAsia="宋体" w:hint="default"/>
          <w:spacing w:val="3"/>
          <w:sz w:val="21"/>
          <w:szCs w:val="21"/>
        </w:rPr>
        <w:t>后会计期间已无法带来预期经济利益的长期待摊费用，本公司对其尚未摊销的摊余价值全部转入当期损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益。</w:t>
      </w:r>
    </w:p>
    <w:p>
      <w:pPr>
        <w:spacing w:line="463" w:lineRule="auto" w:before="106"/>
        <w:ind w:left="573"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、预计负债 </w:t>
      </w:r>
      <w:r>
        <w:rPr>
          <w:rFonts w:ascii="Times New Roman" w:hAnsi="Times New Roman" w:cs="Times New Roman" w:eastAsia="Times New Roman" w:hint="default"/>
          <w:sz w:val="21"/>
          <w:szCs w:val="21"/>
        </w:rPr>
        <w:t>A</w:t>
      </w:r>
      <w:r>
        <w:rPr>
          <w:rFonts w:ascii="宋体" w:hAnsi="宋体" w:cs="宋体" w:eastAsia="宋体" w:hint="default"/>
          <w:sz w:val="21"/>
          <w:szCs w:val="21"/>
        </w:rPr>
        <w:t>、与或有事项相关的义务同时符合以下条件，本公司将其确认为预计负债：该义务是本公司承担的</w:t>
      </w:r>
    </w:p>
    <w:p>
      <w:pPr>
        <w:spacing w:before="12"/>
        <w:ind w:left="153" w:right="91" w:firstLine="0"/>
        <w:jc w:val="left"/>
        <w:rPr>
          <w:rFonts w:ascii="宋体" w:hAnsi="宋体" w:cs="宋体" w:eastAsia="宋体" w:hint="default"/>
          <w:sz w:val="21"/>
          <w:szCs w:val="21"/>
        </w:rPr>
      </w:pPr>
      <w:r>
        <w:rPr>
          <w:rFonts w:ascii="宋体" w:hAnsi="宋体" w:cs="宋体" w:eastAsia="宋体" w:hint="default"/>
          <w:sz w:val="21"/>
          <w:szCs w:val="21"/>
        </w:rPr>
        <w:t>现时义务；该义务的履行很可能导致经济利益流出企业；该义务的金额能够可靠的计量；</w:t>
      </w:r>
    </w:p>
    <w:p>
      <w:pPr>
        <w:spacing w:line="240" w:lineRule="auto" w:before="3"/>
        <w:rPr>
          <w:rFonts w:ascii="宋体" w:hAnsi="宋体" w:cs="宋体" w:eastAsia="宋体" w:hint="default"/>
          <w:sz w:val="20"/>
          <w:szCs w:val="20"/>
        </w:rPr>
      </w:pPr>
    </w:p>
    <w:p>
      <w:pPr>
        <w:spacing w:line="424" w:lineRule="auto" w:before="0"/>
        <w:ind w:left="153" w:right="28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、本公司清偿预计负债所需支出全部或部分预期由第三方补偿的，补偿金额只有在基本确定能够收 </w:t>
      </w:r>
      <w:r>
        <w:rPr>
          <w:rFonts w:ascii="宋体" w:hAnsi="宋体" w:cs="宋体" w:eastAsia="宋体" w:hint="default"/>
          <w:spacing w:val="-1"/>
          <w:sz w:val="21"/>
          <w:szCs w:val="21"/>
        </w:rPr>
        <w:t>到时，才能作为资产单独确认，同时对该项单独核算的资产确认的补偿金额不超过对应的预计负债的账面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金额。</w:t>
      </w:r>
    </w:p>
    <w:p>
      <w:pPr>
        <w:spacing w:line="446" w:lineRule="auto" w:before="102"/>
        <w:ind w:left="573" w:right="78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、收入 </w:t>
      </w:r>
      <w:r>
        <w:rPr>
          <w:rFonts w:ascii="Times New Roman" w:hAnsi="Times New Roman" w:cs="Times New Roman" w:eastAsia="Times New Roman" w:hint="default"/>
          <w:sz w:val="21"/>
          <w:szCs w:val="21"/>
        </w:rPr>
        <w:t>A</w:t>
      </w:r>
      <w:r>
        <w:rPr>
          <w:rFonts w:ascii="宋体" w:hAnsi="宋体" w:cs="宋体" w:eastAsia="宋体" w:hint="default"/>
          <w:sz w:val="21"/>
          <w:szCs w:val="21"/>
        </w:rPr>
        <w:t>、销售商品收入</w:t>
      </w:r>
    </w:p>
    <w:p>
      <w:pPr>
        <w:spacing w:line="436" w:lineRule="auto" w:before="48"/>
        <w:ind w:left="153" w:right="290" w:firstLine="420"/>
        <w:jc w:val="both"/>
        <w:rPr>
          <w:rFonts w:ascii="宋体" w:hAnsi="宋体" w:cs="宋体" w:eastAsia="宋体" w:hint="default"/>
          <w:sz w:val="21"/>
          <w:szCs w:val="21"/>
        </w:rPr>
      </w:pPr>
      <w:r>
        <w:rPr>
          <w:rFonts w:ascii="宋体" w:hAnsi="宋体" w:cs="宋体" w:eastAsia="宋体" w:hint="default"/>
          <w:spacing w:val="-1"/>
          <w:sz w:val="21"/>
          <w:szCs w:val="21"/>
        </w:rPr>
        <w:t>企业已将商品所有权上的主要风险和报酬转移给购货方；企业既没有保留通常与所有权相联系的继续</w:t>
      </w:r>
      <w:r>
        <w:rPr>
          <w:rFonts w:ascii="宋体" w:hAnsi="宋体" w:cs="宋体" w:eastAsia="宋体" w:hint="default"/>
          <w:sz w:val="21"/>
          <w:szCs w:val="21"/>
        </w:rPr>
        <w:t> </w:t>
      </w:r>
      <w:r>
        <w:rPr>
          <w:rFonts w:ascii="宋体" w:hAnsi="宋体" w:cs="宋体" w:eastAsia="宋体" w:hint="default"/>
          <w:spacing w:val="-1"/>
          <w:sz w:val="21"/>
          <w:szCs w:val="21"/>
        </w:rPr>
        <w:t>管理权，也没有对已售出的商品实施有效控制；收入的金额能够可靠地计量；相关的经济利益很可能流入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企业；相关的已发生或将发生的成本能够可靠地计量。</w:t>
      </w:r>
    </w:p>
    <w:p>
      <w:pPr>
        <w:spacing w:line="444" w:lineRule="auto" w:before="93"/>
        <w:ind w:left="574"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、提供劳务收入 对在同一会计年度内开始并完成的劳务，于完成劳务时确认收入；如果劳务的开始和完成分属不同的</w:t>
      </w:r>
    </w:p>
    <w:p>
      <w:pPr>
        <w:spacing w:line="458" w:lineRule="auto" w:before="47"/>
        <w:ind w:left="574" w:right="87" w:hanging="420"/>
        <w:jc w:val="left"/>
        <w:rPr>
          <w:rFonts w:ascii="宋体" w:hAnsi="宋体" w:cs="宋体" w:eastAsia="宋体" w:hint="default"/>
          <w:sz w:val="21"/>
          <w:szCs w:val="21"/>
        </w:rPr>
      </w:pPr>
      <w:r>
        <w:rPr>
          <w:rFonts w:ascii="宋体" w:hAnsi="宋体" w:cs="宋体" w:eastAsia="宋体" w:hint="default"/>
          <w:spacing w:val="-1"/>
          <w:sz w:val="21"/>
          <w:szCs w:val="21"/>
        </w:rPr>
        <w:t>会计年度，则在提供劳务交易的结果能够可靠估计的情况下，于期末按完工百分比法确认相关的劳务收入。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C</w:t>
      </w:r>
      <w:r>
        <w:rPr>
          <w:rFonts w:ascii="宋体" w:hAnsi="宋体" w:cs="宋体" w:eastAsia="宋体" w:hint="default"/>
          <w:sz w:val="21"/>
          <w:szCs w:val="21"/>
        </w:rPr>
        <w:t>、让渡资产使用权收入 让渡资产使用权收入包括利息收入和使用费收入等；利息收入金额，按照他人使用本公司货币资金的</w:t>
      </w:r>
    </w:p>
    <w:p>
      <w:pPr>
        <w:spacing w:line="458" w:lineRule="auto" w:before="35"/>
        <w:ind w:left="574" w:right="91" w:hanging="420"/>
        <w:jc w:val="left"/>
        <w:rPr>
          <w:rFonts w:ascii="宋体" w:hAnsi="宋体" w:cs="宋体" w:eastAsia="宋体" w:hint="default"/>
          <w:sz w:val="21"/>
          <w:szCs w:val="21"/>
        </w:rPr>
      </w:pPr>
      <w:r>
        <w:rPr>
          <w:rFonts w:ascii="宋体" w:hAnsi="宋体" w:cs="宋体" w:eastAsia="宋体" w:hint="default"/>
          <w:sz w:val="21"/>
          <w:szCs w:val="21"/>
        </w:rPr>
        <w:t>时间和实际利率计算确定；使用费收入金额，按照有关合同或协议约定的收费时间和方法计算确定。 </w:t>
      </w:r>
      <w:r>
        <w:rPr>
          <w:rFonts w:ascii="Times New Roman" w:hAnsi="Times New Roman" w:cs="Times New Roman" w:eastAsia="Times New Roman" w:hint="default"/>
          <w:sz w:val="21"/>
          <w:szCs w:val="21"/>
        </w:rPr>
        <w:t>D</w:t>
      </w:r>
      <w:r>
        <w:rPr>
          <w:rFonts w:ascii="宋体" w:hAnsi="宋体" w:cs="宋体" w:eastAsia="宋体" w:hint="default"/>
          <w:sz w:val="21"/>
          <w:szCs w:val="21"/>
        </w:rPr>
        <w:t>、房地产销售收入 房地产销售在房产完工并验收合格，达到了销售合同约定的交付条件，收到了买方按销售合同约定交</w:t>
      </w:r>
    </w:p>
    <w:p>
      <w:pPr>
        <w:spacing w:after="0" w:line="458" w:lineRule="auto"/>
        <w:jc w:val="left"/>
        <w:rPr>
          <w:rFonts w:ascii="宋体" w:hAnsi="宋体" w:cs="宋体" w:eastAsia="宋体" w:hint="default"/>
          <w:sz w:val="21"/>
          <w:szCs w:val="21"/>
        </w:rPr>
        <w:sectPr>
          <w:pgSz w:w="11910" w:h="16840"/>
          <w:pgMar w:header="877" w:footer="941" w:top="1100" w:bottom="1140" w:left="980" w:right="8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15" w:lineRule="auto" w:before="35"/>
        <w:ind w:left="153" w:right="102" w:firstLine="0"/>
        <w:jc w:val="left"/>
        <w:rPr>
          <w:rFonts w:ascii="宋体" w:hAnsi="宋体" w:cs="宋体" w:eastAsia="宋体" w:hint="default"/>
          <w:sz w:val="21"/>
          <w:szCs w:val="21"/>
        </w:rPr>
      </w:pPr>
      <w:r>
        <w:rPr>
          <w:rFonts w:ascii="宋体" w:hAnsi="宋体" w:cs="宋体" w:eastAsia="宋体" w:hint="default"/>
          <w:sz w:val="21"/>
          <w:szCs w:val="21"/>
        </w:rPr>
        <w:t>付房产的款项时 ，已向购买方发出书面交房通知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于书面交房通知确定的交付使用时限结束后，确认销售 收入的实现。</w:t>
      </w:r>
    </w:p>
    <w:p>
      <w:pPr>
        <w:spacing w:line="446" w:lineRule="auto" w:before="110"/>
        <w:ind w:left="575" w:right="94" w:hanging="2"/>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、政府补助 </w:t>
      </w:r>
      <w:r>
        <w:rPr>
          <w:rFonts w:ascii="宋体" w:hAnsi="宋体" w:cs="宋体" w:eastAsia="宋体" w:hint="default"/>
          <w:spacing w:val="-3"/>
          <w:sz w:val="21"/>
          <w:szCs w:val="21"/>
        </w:rPr>
        <w:t>包括财政拨款、财政贴息、税收返还和无偿划拨非货币性资产。本公司收到的与资产相关的政府补助，</w:t>
      </w:r>
    </w:p>
    <w:p>
      <w:pPr>
        <w:spacing w:line="436" w:lineRule="auto" w:before="43"/>
        <w:ind w:left="153" w:right="102" w:firstLine="0"/>
        <w:jc w:val="left"/>
        <w:rPr>
          <w:rFonts w:ascii="宋体" w:hAnsi="宋体" w:cs="宋体" w:eastAsia="宋体" w:hint="default"/>
          <w:sz w:val="21"/>
          <w:szCs w:val="21"/>
        </w:rPr>
      </w:pPr>
      <w:r>
        <w:rPr>
          <w:rFonts w:ascii="宋体" w:hAnsi="宋体" w:cs="宋体" w:eastAsia="宋体" w:hint="default"/>
          <w:sz w:val="21"/>
          <w:szCs w:val="21"/>
        </w:rPr>
        <w:t>确认为递延收益，自相关资产达到预定可使用状态时起，在该资产使用寿命内平均计入各期损益。相关资 </w:t>
      </w:r>
      <w:r>
        <w:rPr>
          <w:rFonts w:ascii="宋体" w:hAnsi="宋体" w:cs="宋体" w:eastAsia="宋体" w:hint="default"/>
          <w:spacing w:val="-3"/>
          <w:sz w:val="21"/>
          <w:szCs w:val="21"/>
        </w:rPr>
        <w:t>产在使用寿命结束前被出售、转让、报废或发生毁损的，将递延收益余额一次性转入资产处置当期的损益。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收到的与收益相关的政府补助，用于补偿以后期间的相关费用或损失的，确认为递延收益，在确认相关费</w:t>
      </w:r>
      <w:r>
        <w:rPr>
          <w:rFonts w:ascii="宋体" w:hAnsi="宋体" w:cs="宋体" w:eastAsia="宋体" w:hint="default"/>
          <w:sz w:val="21"/>
          <w:szCs w:val="21"/>
        </w:rPr>
        <w:t> 用的期间计入当期损益；用于补偿已经发生的相关费用或损失的，取得时直接计入当期损益。</w:t>
      </w:r>
    </w:p>
    <w:p>
      <w:pPr>
        <w:spacing w:line="429" w:lineRule="auto" w:before="91"/>
        <w:ind w:left="573" w:right="59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、递延所得税资产</w:t>
      </w:r>
      <w:r>
        <w:rPr>
          <w:rFonts w:ascii="Times New Roman" w:hAnsi="Times New Roman" w:cs="Times New Roman" w:eastAsia="Times New Roman" w:hint="default"/>
          <w:sz w:val="21"/>
          <w:szCs w:val="21"/>
        </w:rPr>
        <w:t>/</w:t>
      </w:r>
      <w:r>
        <w:rPr>
          <w:rFonts w:ascii="宋体" w:hAnsi="宋体" w:cs="宋体" w:eastAsia="宋体" w:hint="default"/>
          <w:sz w:val="21"/>
          <w:szCs w:val="21"/>
        </w:rPr>
        <w:t>递延所得税负债 </w:t>
      </w:r>
      <w:r>
        <w:rPr>
          <w:rFonts w:ascii="Times New Roman" w:hAnsi="Times New Roman" w:cs="Times New Roman" w:eastAsia="Times New Roman" w:hint="default"/>
          <w:sz w:val="21"/>
          <w:szCs w:val="21"/>
        </w:rPr>
        <w:t>A</w:t>
      </w:r>
      <w:r>
        <w:rPr>
          <w:rFonts w:ascii="宋体" w:hAnsi="宋体" w:cs="宋体" w:eastAsia="宋体" w:hint="default"/>
          <w:sz w:val="21"/>
          <w:szCs w:val="21"/>
        </w:rPr>
        <w:t>、递延所得税资产的确认</w:t>
      </w:r>
    </w:p>
    <w:p>
      <w:pPr>
        <w:spacing w:line="408" w:lineRule="auto" w:before="46"/>
        <w:ind w:left="153" w:right="2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、本公司以很可能取得用来抵扣可抵扣暂时性差异的应纳税所得额为限，确认由可抵扣暂时性差异</w:t>
      </w:r>
      <w:r>
        <w:rPr>
          <w:rFonts w:ascii="宋体" w:hAnsi="宋体" w:cs="宋体" w:eastAsia="宋体" w:hint="default"/>
          <w:spacing w:val="2"/>
          <w:sz w:val="21"/>
          <w:szCs w:val="21"/>
        </w:rPr>
        <w:t> </w:t>
      </w:r>
      <w:r>
        <w:rPr>
          <w:rFonts w:ascii="宋体" w:hAnsi="宋体" w:cs="宋体" w:eastAsia="宋体" w:hint="default"/>
          <w:spacing w:val="-1"/>
          <w:sz w:val="21"/>
          <w:szCs w:val="21"/>
        </w:rPr>
        <w:t>产生的递延所得税资产。但是同时具有下列特征的交易中因资产或负债的初始确认所产生的递延所得税资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产不予确认：</w:t>
      </w:r>
    </w:p>
    <w:p>
      <w:pPr>
        <w:spacing w:before="97"/>
        <w:ind w:left="573" w:right="2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该项交易不是企业合并；</w:t>
      </w:r>
    </w:p>
    <w:p>
      <w:pPr>
        <w:spacing w:line="240" w:lineRule="auto" w:before="6"/>
        <w:rPr>
          <w:rFonts w:ascii="宋体" w:hAnsi="宋体" w:cs="宋体" w:eastAsia="宋体" w:hint="default"/>
          <w:sz w:val="17"/>
          <w:szCs w:val="17"/>
        </w:rPr>
      </w:pPr>
    </w:p>
    <w:p>
      <w:pPr>
        <w:spacing w:before="0"/>
        <w:ind w:left="573" w:right="2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交易发</w:t>
      </w:r>
      <w:r>
        <w:rPr>
          <w:rFonts w:ascii="宋体" w:hAnsi="宋体" w:cs="宋体" w:eastAsia="宋体" w:hint="default"/>
          <w:spacing w:val="-2"/>
          <w:sz w:val="21"/>
          <w:szCs w:val="21"/>
        </w:rPr>
        <w:t>生</w:t>
      </w:r>
      <w:r>
        <w:rPr>
          <w:rFonts w:ascii="宋体" w:hAnsi="宋体" w:cs="宋体" w:eastAsia="宋体" w:hint="default"/>
          <w:sz w:val="21"/>
          <w:szCs w:val="21"/>
        </w:rPr>
        <w:t>时既不影响会计利润也不影响应纳税所得额（或可抵扣亏损</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8"/>
        <w:rPr>
          <w:rFonts w:ascii="宋体" w:hAnsi="宋体" w:cs="宋体" w:eastAsia="宋体" w:hint="default"/>
          <w:sz w:val="17"/>
          <w:szCs w:val="17"/>
        </w:rPr>
      </w:pPr>
    </w:p>
    <w:p>
      <w:pPr>
        <w:spacing w:line="396" w:lineRule="auto" w:before="0"/>
        <w:ind w:left="153" w:right="20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、本公司对与子公司、联营公司及合营企业投资相关的可抵扣暂时性差异，同时满足下列条件的，</w:t>
      </w:r>
      <w:r>
        <w:rPr>
          <w:rFonts w:ascii="宋体" w:hAnsi="宋体" w:cs="宋体" w:eastAsia="宋体" w:hint="default"/>
          <w:spacing w:val="2"/>
          <w:sz w:val="21"/>
          <w:szCs w:val="21"/>
        </w:rPr>
        <w:t> </w:t>
      </w:r>
      <w:r>
        <w:rPr>
          <w:rFonts w:ascii="宋体" w:hAnsi="宋体" w:cs="宋体" w:eastAsia="宋体" w:hint="default"/>
          <w:sz w:val="21"/>
          <w:szCs w:val="21"/>
        </w:rPr>
        <w:t>确认相应的递延所得税资产：</w:t>
      </w:r>
    </w:p>
    <w:p>
      <w:pPr>
        <w:spacing w:before="108"/>
        <w:ind w:left="573" w:right="2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暂时性差异在可预见的未来很可能转回；</w:t>
      </w:r>
    </w:p>
    <w:p>
      <w:pPr>
        <w:spacing w:line="240" w:lineRule="auto" w:before="6"/>
        <w:rPr>
          <w:rFonts w:ascii="宋体" w:hAnsi="宋体" w:cs="宋体" w:eastAsia="宋体" w:hint="default"/>
          <w:sz w:val="17"/>
          <w:szCs w:val="17"/>
        </w:rPr>
      </w:pPr>
    </w:p>
    <w:p>
      <w:pPr>
        <w:spacing w:before="0"/>
        <w:ind w:left="573" w:right="2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未来很可能获得用来抵扣暂时性差异的应纳税所得额。</w:t>
      </w:r>
    </w:p>
    <w:p>
      <w:pPr>
        <w:spacing w:line="240" w:lineRule="auto" w:before="8"/>
        <w:rPr>
          <w:rFonts w:ascii="宋体" w:hAnsi="宋体" w:cs="宋体" w:eastAsia="宋体" w:hint="default"/>
          <w:sz w:val="17"/>
          <w:szCs w:val="17"/>
        </w:rPr>
      </w:pPr>
    </w:p>
    <w:p>
      <w:pPr>
        <w:spacing w:line="396" w:lineRule="auto" w:before="0"/>
        <w:ind w:left="153" w:right="20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、本公司对于能够结转以后年度的可抵扣亏损和税款抵减，以很可能获得用来抵扣可抵扣亏损和税</w:t>
      </w:r>
      <w:r>
        <w:rPr>
          <w:rFonts w:ascii="宋体" w:hAnsi="宋体" w:cs="宋体" w:eastAsia="宋体" w:hint="default"/>
          <w:spacing w:val="2"/>
          <w:sz w:val="21"/>
          <w:szCs w:val="21"/>
        </w:rPr>
        <w:t> </w:t>
      </w:r>
      <w:r>
        <w:rPr>
          <w:rFonts w:ascii="宋体" w:hAnsi="宋体" w:cs="宋体" w:eastAsia="宋体" w:hint="default"/>
          <w:sz w:val="21"/>
          <w:szCs w:val="21"/>
        </w:rPr>
        <w:t>款抵减的未来应纳税所得额为限，确认相应的递延所得税资产。</w:t>
      </w:r>
    </w:p>
    <w:p>
      <w:pPr>
        <w:spacing w:line="441" w:lineRule="auto" w:before="108"/>
        <w:ind w:left="573" w:right="1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w:t>
      </w:r>
    </w:p>
    <w:p>
      <w:pPr>
        <w:spacing w:line="429" w:lineRule="auto" w:before="33"/>
        <w:ind w:left="574" w:right="3216"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该项交易不是企业合并；</w:t>
      </w:r>
    </w:p>
    <w:p>
      <w:pPr>
        <w:spacing w:before="46"/>
        <w:ind w:left="574" w:right="2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交易发</w:t>
      </w:r>
      <w:r>
        <w:rPr>
          <w:rFonts w:ascii="宋体" w:hAnsi="宋体" w:cs="宋体" w:eastAsia="宋体" w:hint="default"/>
          <w:spacing w:val="-2"/>
          <w:sz w:val="21"/>
          <w:szCs w:val="21"/>
        </w:rPr>
        <w:t>生</w:t>
      </w:r>
      <w:r>
        <w:rPr>
          <w:rFonts w:ascii="宋体" w:hAnsi="宋体" w:cs="宋体" w:eastAsia="宋体" w:hint="default"/>
          <w:sz w:val="21"/>
          <w:szCs w:val="21"/>
        </w:rPr>
        <w:t>时既不影响会计利润也不影响应纳税所得额（或可抵扣亏损</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77" w:footer="941" w:top="1100" w:bottom="114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396" w:lineRule="auto" w:before="35"/>
        <w:ind w:left="234" w:right="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、本公司对与子公司、联营公司及合营企业投资产生相关的应纳税暂时性差异，同时满足下列条件</w:t>
      </w:r>
      <w:r>
        <w:rPr>
          <w:rFonts w:ascii="宋体" w:hAnsi="宋体" w:cs="宋体" w:eastAsia="宋体" w:hint="default"/>
          <w:spacing w:val="2"/>
          <w:sz w:val="21"/>
          <w:szCs w:val="21"/>
        </w:rPr>
        <w:t> </w:t>
      </w:r>
      <w:r>
        <w:rPr>
          <w:rFonts w:ascii="宋体" w:hAnsi="宋体" w:cs="宋体" w:eastAsia="宋体" w:hint="default"/>
          <w:sz w:val="21"/>
          <w:szCs w:val="21"/>
        </w:rPr>
        <w:t>的：</w:t>
      </w:r>
    </w:p>
    <w:p>
      <w:pPr>
        <w:spacing w:before="108"/>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投资企业能够控制暂时性差异的转回的时间；</w:t>
      </w:r>
    </w:p>
    <w:p>
      <w:pPr>
        <w:spacing w:line="240" w:lineRule="auto" w:before="8"/>
        <w:rPr>
          <w:rFonts w:ascii="宋体" w:hAnsi="宋体" w:cs="宋体" w:eastAsia="宋体" w:hint="default"/>
          <w:sz w:val="17"/>
          <w:szCs w:val="17"/>
        </w:rPr>
      </w:pPr>
    </w:p>
    <w:p>
      <w:pPr>
        <w:spacing w:before="0"/>
        <w:ind w:left="65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暂时性差异在可预见的未来很可能不会转回。</w:t>
      </w:r>
    </w:p>
    <w:p>
      <w:pPr>
        <w:spacing w:line="240" w:lineRule="auto" w:before="13"/>
        <w:rPr>
          <w:rFonts w:ascii="宋体" w:hAnsi="宋体" w:cs="宋体" w:eastAsia="宋体" w:hint="default"/>
          <w:sz w:val="18"/>
          <w:szCs w:val="18"/>
        </w:rPr>
      </w:pPr>
    </w:p>
    <w:p>
      <w:pPr>
        <w:spacing w:before="0"/>
        <w:ind w:left="653"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、主要会计政策、会计估计的变更</w:t>
      </w:r>
    </w:p>
    <w:p>
      <w:pPr>
        <w:spacing w:line="240" w:lineRule="auto" w:before="0"/>
        <w:rPr>
          <w:rFonts w:ascii="宋体" w:hAnsi="宋体" w:cs="宋体" w:eastAsia="宋体" w:hint="default"/>
          <w:sz w:val="16"/>
          <w:szCs w:val="16"/>
        </w:rPr>
      </w:pPr>
    </w:p>
    <w:p>
      <w:pPr>
        <w:spacing w:line="412" w:lineRule="auto" w:before="0"/>
        <w:ind w:left="654" w:right="7646"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 无</w:t>
      </w:r>
    </w:p>
    <w:p>
      <w:pPr>
        <w:spacing w:line="412" w:lineRule="auto" w:before="74"/>
        <w:ind w:left="654" w:right="7646"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 无</w:t>
      </w:r>
    </w:p>
    <w:p>
      <w:pPr>
        <w:spacing w:before="73"/>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宋体" w:hAnsi="宋体" w:cs="宋体" w:eastAsia="宋体" w:hint="default"/>
          <w:sz w:val="21"/>
          <w:szCs w:val="21"/>
        </w:rPr>
        <w:t>、前期会计差错更正</w:t>
      </w:r>
    </w:p>
    <w:p>
      <w:pPr>
        <w:spacing w:line="240" w:lineRule="auto" w:before="0"/>
        <w:rPr>
          <w:rFonts w:ascii="宋体" w:hAnsi="宋体" w:cs="宋体" w:eastAsia="宋体" w:hint="default"/>
          <w:sz w:val="16"/>
          <w:szCs w:val="16"/>
        </w:rPr>
      </w:pPr>
    </w:p>
    <w:p>
      <w:pPr>
        <w:spacing w:line="446" w:lineRule="auto" w:before="0"/>
        <w:ind w:left="234" w:right="5230" w:firstLine="419"/>
        <w:jc w:val="left"/>
        <w:rPr>
          <w:rFonts w:ascii="宋体" w:hAnsi="宋体" w:cs="宋体" w:eastAsia="宋体" w:hint="default"/>
          <w:sz w:val="21"/>
          <w:szCs w:val="21"/>
        </w:rPr>
      </w:pPr>
      <w:r>
        <w:rPr/>
        <w:pict>
          <v:shape style="position:absolute;margin-left:50.339996pt;margin-top:44.363209pt;width:494.2pt;height:243.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8"/>
                    <w:gridCol w:w="3246"/>
                    <w:gridCol w:w="2282"/>
                    <w:gridCol w:w="1523"/>
                  </w:tblGrid>
                  <w:tr>
                    <w:trPr>
                      <w:trHeight w:val="109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87" w:right="0"/>
                          <w:jc w:val="left"/>
                          <w:rPr>
                            <w:rFonts w:ascii="宋体" w:hAnsi="宋体" w:cs="宋体" w:eastAsia="宋体" w:hint="default"/>
                            <w:sz w:val="21"/>
                            <w:szCs w:val="21"/>
                          </w:rPr>
                        </w:pPr>
                        <w:r>
                          <w:rPr>
                            <w:rFonts w:ascii="宋体" w:hAnsi="宋体" w:cs="宋体" w:eastAsia="宋体" w:hint="default"/>
                            <w:sz w:val="21"/>
                            <w:szCs w:val="21"/>
                          </w:rPr>
                          <w:t>批准处理情况</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8"/>
                          <w:ind w:left="400" w:right="189" w:hanging="210"/>
                          <w:jc w:val="left"/>
                          <w:rPr>
                            <w:rFonts w:ascii="宋体" w:hAnsi="宋体" w:cs="宋体" w:eastAsia="宋体" w:hint="default"/>
                            <w:sz w:val="21"/>
                            <w:szCs w:val="21"/>
                          </w:rPr>
                        </w:pPr>
                        <w:r>
                          <w:rPr>
                            <w:rFonts w:ascii="宋体" w:hAnsi="宋体" w:cs="宋体" w:eastAsia="宋体" w:hint="default"/>
                            <w:sz w:val="21"/>
                            <w:szCs w:val="21"/>
                          </w:rPr>
                          <w:t>受影响的各个比较期 间报表项目名称</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109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年多提所得税费用</w:t>
                        </w: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注释一</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第七届三次董事会批准</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
                            <w:sz w:val="21"/>
                            <w:szCs w:val="21"/>
                          </w:rPr>
                          <w:t>应交税费、所得税费用</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33,832,777.21</w:t>
                        </w:r>
                      </w:p>
                    </w:tc>
                  </w:tr>
                  <w:tr>
                    <w:trPr>
                      <w:trHeight w:val="109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78"/>
                          <w:ind w:left="122" w:right="96"/>
                          <w:jc w:val="left"/>
                          <w:rPr>
                            <w:rFonts w:ascii="宋体" w:hAnsi="宋体" w:cs="宋体" w:eastAsia="宋体" w:hint="default"/>
                            <w:sz w:val="21"/>
                            <w:szCs w:val="21"/>
                          </w:rPr>
                        </w:pPr>
                        <w:r>
                          <w:rPr>
                            <w:rFonts w:ascii="宋体" w:hAnsi="宋体" w:cs="宋体" w:eastAsia="宋体" w:hint="default"/>
                            <w:spacing w:val="6"/>
                            <w:sz w:val="21"/>
                            <w:szCs w:val="21"/>
                          </w:rPr>
                          <w:t>可抵扣亏损确认递延所得税 </w:t>
                        </w: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r>
                          <w:rPr>
                            <w:rFonts w:ascii="宋体" w:hAnsi="宋体" w:cs="宋体" w:eastAsia="宋体" w:hint="default"/>
                            <w:sz w:val="21"/>
                            <w:szCs w:val="21"/>
                          </w:rPr>
                          <w:t>注释二</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第七届三次董事会批准</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78"/>
                          <w:ind w:left="103" w:right="101"/>
                          <w:jc w:val="left"/>
                          <w:rPr>
                            <w:rFonts w:ascii="宋体" w:hAnsi="宋体" w:cs="宋体" w:eastAsia="宋体" w:hint="default"/>
                            <w:sz w:val="21"/>
                            <w:szCs w:val="21"/>
                          </w:rPr>
                        </w:pPr>
                        <w:r>
                          <w:rPr>
                            <w:rFonts w:ascii="宋体" w:hAnsi="宋体" w:cs="宋体" w:eastAsia="宋体" w:hint="default"/>
                            <w:spacing w:val="-4"/>
                            <w:sz w:val="21"/>
                            <w:szCs w:val="21"/>
                          </w:rPr>
                          <w:t>递延所得税资产、所得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税费用</w:t>
                        </w:r>
                        <w:r>
                          <w:rPr>
                            <w:rFonts w:ascii="Times New Roman" w:hAnsi="Times New Roman" w:cs="Times New Roman" w:eastAsia="Times New Roman" w:hint="default"/>
                            <w:sz w:val="21"/>
                            <w:szCs w:val="21"/>
                          </w:rPr>
                          <w:t>-</w:t>
                        </w:r>
                        <w:r>
                          <w:rPr>
                            <w:rFonts w:ascii="宋体" w:hAnsi="宋体" w:cs="宋体" w:eastAsia="宋体" w:hint="default"/>
                            <w:sz w:val="21"/>
                            <w:szCs w:val="21"/>
                          </w:rPr>
                          <w:t>递延所得税</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1,173,372.16</w:t>
                        </w:r>
                      </w:p>
                    </w:tc>
                  </w:tr>
                  <w:tr>
                    <w:trPr>
                      <w:trHeight w:val="159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436" w:lineRule="auto"/>
                          <w:ind w:left="122" w:right="96"/>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少计提中国农业银行深圳分 </w:t>
                        </w:r>
                        <w:r>
                          <w:rPr>
                            <w:rFonts w:ascii="宋体" w:hAnsi="宋体" w:cs="宋体" w:eastAsia="宋体" w:hint="default"/>
                            <w:spacing w:val="13"/>
                            <w:sz w:val="21"/>
                            <w:szCs w:val="21"/>
                          </w:rPr>
                          <w:t>行罗湖支行贷款罚息复利</w:t>
                        </w:r>
                        <w:r>
                          <w:rPr>
                            <w:rFonts w:ascii="Times New Roman" w:hAnsi="Times New Roman" w:cs="Times New Roman" w:eastAsia="Times New Roman" w:hint="default"/>
                            <w:spacing w:val="13"/>
                            <w:sz w:val="21"/>
                            <w:szCs w:val="21"/>
                          </w:rPr>
                          <w:t>*</w:t>
                        </w:r>
                      </w:p>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注释三</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第七届三次董事会批准</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财务费用、应付利息</w:t>
                        </w:r>
                      </w:p>
                    </w:tc>
                    <w:tc>
                      <w:tcPr>
                        <w:tcW w:w="15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-1,457,408.00</w:t>
                        </w: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）追溯重述法 本报告期是否发现采用追溯重述法的前期会计差错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396" w:lineRule="auto" w:before="35"/>
        <w:ind w:left="234" w:right="229" w:firstLine="419"/>
        <w:jc w:val="both"/>
        <w:rPr>
          <w:rFonts w:ascii="宋体" w:hAnsi="宋体" w:cs="宋体" w:eastAsia="宋体" w:hint="default"/>
          <w:sz w:val="21"/>
          <w:szCs w:val="21"/>
        </w:rPr>
      </w:pPr>
      <w:r>
        <w:rPr>
          <w:rFonts w:ascii="宋体" w:hAnsi="宋体" w:cs="宋体" w:eastAsia="宋体" w:hint="default"/>
          <w:spacing w:val="-5"/>
          <w:sz w:val="21"/>
          <w:szCs w:val="21"/>
        </w:rPr>
        <w:t>注释一：</w:t>
      </w:r>
      <w:r>
        <w:rPr>
          <w:rFonts w:ascii="Times New Roman" w:hAnsi="Times New Roman" w:cs="Times New Roman" w:eastAsia="Times New Roman" w:hint="default"/>
          <w:spacing w:val="-5"/>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月本公司账面计提了所得税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33,832,777.21</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元，据国家税务总局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国税函【</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号“关于股权分置改革中上市公司取得资产及债务豁免对价收入征收所得税问题的批 </w:t>
      </w:r>
      <w:r>
        <w:rPr>
          <w:rFonts w:ascii="宋体" w:hAnsi="宋体" w:cs="宋体" w:eastAsia="宋体" w:hint="default"/>
          <w:spacing w:val="-18"/>
          <w:sz w:val="21"/>
          <w:szCs w:val="21"/>
        </w:rPr>
        <w:t>复”，本公司</w:t>
      </w:r>
      <w:r>
        <w:rPr>
          <w:rFonts w:ascii="宋体" w:hAnsi="宋体" w:cs="宋体" w:eastAsia="宋体" w:hint="default"/>
          <w:spacing w:val="-35"/>
          <w:sz w:val="21"/>
          <w:szCs w:val="21"/>
        </w:rPr>
        <w:t> </w:t>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18"/>
          <w:sz w:val="21"/>
          <w:szCs w:val="21"/>
        </w:rPr>
        <w:t> </w:t>
      </w:r>
      <w:r>
        <w:rPr>
          <w:rFonts w:ascii="宋体" w:hAnsi="宋体" w:cs="宋体" w:eastAsia="宋体" w:hint="default"/>
          <w:spacing w:val="-1"/>
          <w:sz w:val="21"/>
          <w:szCs w:val="21"/>
        </w:rPr>
        <w:t>年取得的青岛亚星实业有限公司作为股改对价捐赠资产</w:t>
      </w:r>
      <w:r>
        <w:rPr>
          <w:rFonts w:ascii="宋体" w:hAnsi="宋体" w:cs="宋体" w:eastAsia="宋体" w:hint="default"/>
          <w:spacing w:val="-35"/>
          <w:sz w:val="21"/>
          <w:szCs w:val="21"/>
        </w:rPr>
        <w:t> </w:t>
      </w:r>
      <w:r>
        <w:rPr>
          <w:rFonts w:ascii="Times New Roman" w:hAnsi="Times New Roman" w:cs="Times New Roman" w:eastAsia="Times New Roman" w:hint="default"/>
          <w:spacing w:val="-1"/>
          <w:sz w:val="21"/>
          <w:szCs w:val="21"/>
        </w:rPr>
        <w:t>208,562,237.00</w:t>
      </w:r>
      <w:r>
        <w:rPr>
          <w:rFonts w:ascii="Times New Roman" w:hAnsi="Times New Roman" w:cs="Times New Roman" w:eastAsia="Times New Roman" w:hint="default"/>
          <w:spacing w:val="18"/>
          <w:sz w:val="21"/>
          <w:szCs w:val="21"/>
        </w:rPr>
        <w:t> </w:t>
      </w:r>
      <w:r>
        <w:rPr>
          <w:rFonts w:ascii="宋体" w:hAnsi="宋体" w:cs="宋体" w:eastAsia="宋体" w:hint="default"/>
          <w:spacing w:val="-1"/>
          <w:sz w:val="21"/>
          <w:szCs w:val="21"/>
        </w:rPr>
        <w:t>元属于不征税收</w:t>
      </w:r>
    </w:p>
    <w:p>
      <w:pPr>
        <w:spacing w:before="38"/>
        <w:ind w:left="234" w:right="115" w:firstLine="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入，本公司于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15"/>
          <w:sz w:val="21"/>
          <w:szCs w:val="21"/>
        </w:rPr>
        <w:t>日，对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年度所得税汇算清缴，经深圳市南山区税务局确认，本公司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p>
    <w:p>
      <w:pPr>
        <w:spacing w:before="189"/>
        <w:ind w:left="233" w:right="11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年应纳所得税为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 </w:t>
      </w:r>
      <w:r>
        <w:rPr>
          <w:rFonts w:ascii="宋体" w:hAnsi="宋体" w:cs="宋体" w:eastAsia="宋体" w:hint="default"/>
          <w:sz w:val="21"/>
          <w:szCs w:val="21"/>
        </w:rPr>
        <w:t>元</w:t>
      </w:r>
      <w:r>
        <w:rPr>
          <w:rFonts w:ascii="宋体" w:hAnsi="宋体" w:cs="宋体" w:eastAsia="宋体" w:hint="default"/>
          <w:spacing w:val="-90"/>
          <w:sz w:val="21"/>
          <w:szCs w:val="21"/>
        </w:rPr>
        <w:t>。</w:t>
      </w:r>
      <w:r>
        <w:rPr>
          <w:rFonts w:ascii="宋体" w:hAnsi="宋体" w:cs="宋体" w:eastAsia="宋体" w:hint="default"/>
          <w:spacing w:val="-2"/>
          <w:sz w:val="21"/>
          <w:szCs w:val="21"/>
        </w:rPr>
        <w:t>因</w:t>
      </w:r>
      <w:r>
        <w:rPr>
          <w:rFonts w:ascii="宋体" w:hAnsi="宋体" w:cs="宋体" w:eastAsia="宋体" w:hint="default"/>
          <w:sz w:val="21"/>
          <w:szCs w:val="21"/>
        </w:rPr>
        <w:t>此本公司在</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 </w:t>
      </w:r>
      <w:r>
        <w:rPr>
          <w:rFonts w:ascii="宋体" w:hAnsi="宋体" w:cs="宋体" w:eastAsia="宋体" w:hint="default"/>
          <w:sz w:val="21"/>
          <w:szCs w:val="21"/>
        </w:rPr>
        <w:t>年计提</w:t>
      </w:r>
      <w:r>
        <w:rPr>
          <w:rFonts w:ascii="宋体" w:hAnsi="宋体" w:cs="宋体" w:eastAsia="宋体" w:hint="default"/>
          <w:spacing w:val="-2"/>
          <w:sz w:val="21"/>
          <w:szCs w:val="21"/>
        </w:rPr>
        <w:t>所</w:t>
      </w:r>
      <w:r>
        <w:rPr>
          <w:rFonts w:ascii="宋体" w:hAnsi="宋体" w:cs="宋体" w:eastAsia="宋体" w:hint="default"/>
          <w:sz w:val="21"/>
          <w:szCs w:val="21"/>
        </w:rPr>
        <w:t>得税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z w:val="21"/>
          <w:szCs w:val="21"/>
        </w:rPr>
        <w:t>77</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1 </w:t>
      </w:r>
      <w:r>
        <w:rPr>
          <w:rFonts w:ascii="宋体" w:hAnsi="宋体" w:cs="宋体" w:eastAsia="宋体" w:hint="default"/>
          <w:sz w:val="21"/>
          <w:szCs w:val="21"/>
        </w:rPr>
        <w:t>元</w:t>
      </w:r>
      <w:r>
        <w:rPr>
          <w:rFonts w:ascii="宋体" w:hAnsi="宋体" w:cs="宋体" w:eastAsia="宋体" w:hint="default"/>
          <w:spacing w:val="-90"/>
          <w:sz w:val="21"/>
          <w:szCs w:val="21"/>
        </w:rPr>
        <w:t>，</w:t>
      </w:r>
      <w:r>
        <w:rPr>
          <w:rFonts w:ascii="宋体" w:hAnsi="宋体" w:cs="宋体" w:eastAsia="宋体" w:hint="default"/>
          <w:sz w:val="21"/>
          <w:szCs w:val="21"/>
        </w:rPr>
        <w:t>应交税金</w:t>
      </w:r>
      <w:r>
        <w:rPr>
          <w:rFonts w:ascii="Times New Roman" w:hAnsi="Times New Roman" w:cs="Times New Roman" w:eastAsia="Times New Roman" w:hint="default"/>
          <w:sz w:val="21"/>
          <w:szCs w:val="21"/>
        </w:rPr>
        <w:t>—</w:t>
      </w:r>
      <w:r>
        <w:rPr>
          <w:rFonts w:ascii="宋体" w:hAnsi="宋体" w:cs="宋体" w:eastAsia="宋体" w:hint="default"/>
          <w:sz w:val="21"/>
          <w:szCs w:val="21"/>
        </w:rPr>
        <w:t>所得税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z w:val="21"/>
          <w:szCs w:val="21"/>
        </w:rPr>
        <w:t>77</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21</w:t>
      </w:r>
    </w:p>
    <w:p>
      <w:pPr>
        <w:spacing w:before="189"/>
        <w:ind w:left="233" w:right="115" w:firstLine="0"/>
        <w:jc w:val="left"/>
        <w:rPr>
          <w:rFonts w:ascii="宋体" w:hAnsi="宋体" w:cs="宋体" w:eastAsia="宋体" w:hint="default"/>
          <w:sz w:val="21"/>
          <w:szCs w:val="21"/>
        </w:rPr>
      </w:pPr>
      <w:r>
        <w:rPr>
          <w:rFonts w:ascii="宋体" w:hAnsi="宋体" w:cs="宋体" w:eastAsia="宋体" w:hint="default"/>
          <w:sz w:val="21"/>
          <w:szCs w:val="21"/>
        </w:rPr>
        <w:t>元，形成前期差错，本公司对此差错作了追溯调整，调整了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年度比较财务报表，涉及调整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p>
    <w:p>
      <w:pPr>
        <w:spacing w:after="0"/>
        <w:jc w:val="left"/>
        <w:rPr>
          <w:rFonts w:ascii="宋体" w:hAnsi="宋体" w:cs="宋体" w:eastAsia="宋体" w:hint="default"/>
          <w:sz w:val="21"/>
          <w:szCs w:val="21"/>
        </w:rPr>
        <w:sectPr>
          <w:pgSz w:w="11910" w:h="16840"/>
          <w:pgMar w:header="877" w:footer="941" w:top="1100" w:bottom="1140" w:left="90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214" w:right="0" w:firstLine="0"/>
        <w:jc w:val="both"/>
        <w:rPr>
          <w:rFonts w:ascii="宋体" w:hAnsi="宋体" w:cs="宋体" w:eastAsia="宋体" w:hint="default"/>
          <w:sz w:val="21"/>
          <w:szCs w:val="21"/>
        </w:rPr>
      </w:pPr>
      <w:r>
        <w:rPr>
          <w:rFonts w:ascii="宋体" w:hAnsi="宋体" w:cs="宋体" w:eastAsia="宋体" w:hint="default"/>
          <w:sz w:val="21"/>
          <w:szCs w:val="21"/>
        </w:rPr>
        <w:t>度会计报表科目：调减</w:t>
      </w:r>
      <w:r>
        <w:rPr>
          <w:rFonts w:ascii="Times New Roman" w:hAnsi="Times New Roman" w:cs="Times New Roman" w:eastAsia="Times New Roman" w:hint="default"/>
          <w:sz w:val="21"/>
          <w:szCs w:val="21"/>
        </w:rPr>
        <w:t>“</w:t>
      </w:r>
      <w:r>
        <w:rPr>
          <w:rFonts w:ascii="宋体" w:hAnsi="宋体" w:cs="宋体" w:eastAsia="宋体" w:hint="default"/>
          <w:sz w:val="21"/>
          <w:szCs w:val="21"/>
        </w:rPr>
        <w:t>应交税费</w:t>
      </w:r>
      <w:r>
        <w:rPr>
          <w:rFonts w:ascii="Times New Roman" w:hAnsi="Times New Roman" w:cs="Times New Roman" w:eastAsia="Times New Roman" w:hint="default"/>
          <w:sz w:val="21"/>
          <w:szCs w:val="21"/>
        </w:rPr>
        <w:t>-</w:t>
      </w:r>
      <w:r>
        <w:rPr>
          <w:rFonts w:ascii="宋体" w:hAnsi="宋体" w:cs="宋体" w:eastAsia="宋体" w:hint="default"/>
          <w:sz w:val="21"/>
          <w:szCs w:val="21"/>
        </w:rPr>
        <w:t>应交所得税</w:t>
      </w:r>
      <w:r>
        <w:rPr>
          <w:rFonts w:ascii="Times New Roman" w:hAnsi="Times New Roman" w:cs="Times New Roman" w:eastAsia="Times New Roman" w:hint="default"/>
          <w:sz w:val="21"/>
          <w:szCs w:val="21"/>
        </w:rPr>
        <w:t>” 33,832,777.21 </w:t>
      </w:r>
      <w:r>
        <w:rPr>
          <w:rFonts w:ascii="宋体" w:hAnsi="宋体" w:cs="宋体" w:eastAsia="宋体" w:hint="default"/>
          <w:sz w:val="21"/>
          <w:szCs w:val="21"/>
        </w:rPr>
        <w:t>元，调减</w:t>
      </w:r>
      <w:r>
        <w:rPr>
          <w:rFonts w:ascii="Times New Roman" w:hAnsi="Times New Roman" w:cs="Times New Roman" w:eastAsia="Times New Roman" w:hint="default"/>
          <w:sz w:val="21"/>
          <w:szCs w:val="21"/>
        </w:rPr>
        <w:t>“</w:t>
      </w:r>
      <w:r>
        <w:rPr>
          <w:rFonts w:ascii="宋体" w:hAnsi="宋体" w:cs="宋体" w:eastAsia="宋体" w:hint="default"/>
          <w:sz w:val="21"/>
          <w:szCs w:val="21"/>
        </w:rPr>
        <w:t>所得税</w:t>
      </w:r>
      <w:r>
        <w:rPr>
          <w:rFonts w:ascii="Times New Roman" w:hAnsi="Times New Roman" w:cs="Times New Roman" w:eastAsia="Times New Roman" w:hint="default"/>
          <w:sz w:val="21"/>
          <w:szCs w:val="21"/>
        </w:rPr>
        <w:t>” 33,832,777.21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w:t>
      </w:r>
    </w:p>
    <w:p>
      <w:pPr>
        <w:spacing w:line="240" w:lineRule="auto" w:before="6"/>
        <w:rPr>
          <w:rFonts w:ascii="宋体" w:hAnsi="宋体" w:cs="宋体" w:eastAsia="宋体" w:hint="default"/>
          <w:sz w:val="17"/>
          <w:szCs w:val="17"/>
        </w:rPr>
      </w:pPr>
    </w:p>
    <w:p>
      <w:pPr>
        <w:spacing w:before="0"/>
        <w:ind w:left="633" w:right="102" w:firstLine="0"/>
        <w:jc w:val="left"/>
        <w:rPr>
          <w:rFonts w:ascii="宋体" w:hAnsi="宋体" w:cs="宋体" w:eastAsia="宋体" w:hint="default"/>
          <w:sz w:val="21"/>
          <w:szCs w:val="21"/>
        </w:rPr>
      </w:pPr>
      <w:r>
        <w:rPr>
          <w:rFonts w:ascii="宋体" w:hAnsi="宋体" w:cs="宋体" w:eastAsia="宋体" w:hint="default"/>
          <w:sz w:val="21"/>
          <w:szCs w:val="21"/>
        </w:rPr>
        <w:t>注释二：本公司于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日，对</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年度所得税汇算清缴，经深圳市南山区税务局确认，</w:t>
      </w:r>
    </w:p>
    <w:p>
      <w:pPr>
        <w:spacing w:before="189"/>
        <w:ind w:left="21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年度可弥补亏损为</w:t>
      </w:r>
      <w:r>
        <w:rPr>
          <w:rFonts w:ascii="Times New Roman" w:hAnsi="Times New Roman" w:cs="Times New Roman" w:eastAsia="Times New Roman" w:hint="default"/>
          <w:sz w:val="21"/>
          <w:szCs w:val="21"/>
        </w:rPr>
        <w:t>-20,026,824.08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年实现利润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5,866,860.81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元，利润主要来源于债务重</w:t>
      </w:r>
    </w:p>
    <w:p>
      <w:pPr>
        <w:spacing w:line="410" w:lineRule="auto" w:before="189"/>
        <w:ind w:left="213" w:right="150" w:firstLine="0"/>
        <w:jc w:val="both"/>
        <w:rPr>
          <w:rFonts w:ascii="宋体" w:hAnsi="宋体" w:cs="宋体" w:eastAsia="宋体" w:hint="default"/>
          <w:sz w:val="21"/>
          <w:szCs w:val="21"/>
        </w:rPr>
      </w:pPr>
      <w:r>
        <w:rPr>
          <w:rFonts w:ascii="宋体" w:hAnsi="宋体" w:cs="宋体" w:eastAsia="宋体" w:hint="default"/>
          <w:sz w:val="21"/>
          <w:szCs w:val="21"/>
        </w:rPr>
        <w:t>组收益，由于预计包括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年在内的未来四年很难取得足够的应纳税所得额，因此根据企业会计准则讲 </w:t>
      </w:r>
      <w:r>
        <w:rPr>
          <w:rFonts w:ascii="宋体" w:hAnsi="宋体" w:cs="宋体" w:eastAsia="宋体" w:hint="default"/>
          <w:spacing w:val="-1"/>
          <w:sz w:val="21"/>
          <w:szCs w:val="21"/>
        </w:rPr>
        <w:t>解的规定“可以结转以后年度的未弥补亏损，在预计可利用可弥补亏损或税款抵减的未来期间内很可能取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得足够的应纳税所得额时，应当以很可能取得的应纳税所得额为限，确认相应的递延所得税资产，同时减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少确认当期所得税费用”。由于</w:t>
      </w:r>
      <w:r>
        <w:rPr>
          <w:rFonts w:ascii="宋体" w:hAnsi="宋体" w:cs="宋体" w:eastAsia="宋体" w:hint="default"/>
          <w:spacing w:val="-37"/>
          <w:sz w:val="21"/>
          <w:szCs w:val="21"/>
        </w:rPr>
        <w:t> </w:t>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年实现了</w:t>
      </w:r>
      <w:r>
        <w:rPr>
          <w:rFonts w:ascii="宋体" w:hAnsi="宋体" w:cs="宋体" w:eastAsia="宋体" w:hint="default"/>
          <w:spacing w:val="-37"/>
          <w:sz w:val="21"/>
          <w:szCs w:val="21"/>
        </w:rPr>
        <w:t> </w:t>
      </w:r>
      <w:r>
        <w:rPr>
          <w:rFonts w:ascii="Times New Roman" w:hAnsi="Times New Roman" w:cs="Times New Roman" w:eastAsia="Times New Roman" w:hint="default"/>
          <w:spacing w:val="-1"/>
          <w:sz w:val="21"/>
          <w:szCs w:val="21"/>
        </w:rPr>
        <w:t>5,866,860.81</w:t>
      </w:r>
      <w:r>
        <w:rPr>
          <w:rFonts w:ascii="Times New Roman" w:hAnsi="Times New Roman" w:cs="Times New Roman" w:eastAsia="Times New Roman" w:hint="default"/>
          <w:spacing w:val="15"/>
          <w:sz w:val="21"/>
          <w:szCs w:val="21"/>
        </w:rPr>
        <w:t> </w:t>
      </w:r>
      <w:r>
        <w:rPr>
          <w:rFonts w:ascii="宋体" w:hAnsi="宋体" w:cs="宋体" w:eastAsia="宋体" w:hint="default"/>
          <w:spacing w:val="-1"/>
          <w:sz w:val="21"/>
          <w:szCs w:val="21"/>
        </w:rPr>
        <w:t>元利润，因此可以部分弥补以前年度亏损，按</w:t>
      </w:r>
    </w:p>
    <w:p>
      <w:pPr>
        <w:spacing w:before="24"/>
        <w:ind w:left="213" w:right="0" w:firstLine="0"/>
        <w:jc w:val="both"/>
        <w:rPr>
          <w:rFonts w:ascii="宋体" w:hAnsi="宋体" w:cs="宋体" w:eastAsia="宋体" w:hint="default"/>
          <w:sz w:val="21"/>
          <w:szCs w:val="21"/>
        </w:rPr>
      </w:pPr>
      <w:r>
        <w:rPr>
          <w:rFonts w:ascii="宋体" w:hAnsi="宋体" w:cs="宋体" w:eastAsia="宋体" w:hint="default"/>
          <w:sz w:val="21"/>
          <w:szCs w:val="21"/>
        </w:rPr>
        <w:t>照上述解释的规定追溯调整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年递延所得税费用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1,173,372.16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元，递延所得税资产</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1,173,372.16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17"/>
          <w:szCs w:val="17"/>
        </w:rPr>
      </w:pPr>
    </w:p>
    <w:p>
      <w:pPr>
        <w:spacing w:before="0"/>
        <w:ind w:left="633" w:right="102" w:firstLine="0"/>
        <w:jc w:val="left"/>
        <w:rPr>
          <w:rFonts w:ascii="宋体" w:hAnsi="宋体" w:cs="宋体" w:eastAsia="宋体" w:hint="default"/>
          <w:sz w:val="21"/>
          <w:szCs w:val="21"/>
        </w:rPr>
      </w:pPr>
      <w:r>
        <w:rPr>
          <w:rFonts w:ascii="宋体" w:hAnsi="宋体" w:cs="宋体" w:eastAsia="宋体" w:hint="default"/>
          <w:spacing w:val="-4"/>
          <w:sz w:val="21"/>
          <w:szCs w:val="21"/>
        </w:rPr>
        <w:t>注释三：</w:t>
      </w:r>
      <w:r>
        <w:rPr>
          <w:rFonts w:ascii="Times New Roman" w:hAnsi="Times New Roman" w:cs="Times New Roman" w:eastAsia="Times New Roman" w:hint="default"/>
          <w:spacing w:val="-4"/>
          <w:sz w:val="21"/>
          <w:szCs w:val="21"/>
        </w:rPr>
        <w:t>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日，中国农业银行深圳罗湖支行与本公司及青岛亚星实业有限公司（本公司</w:t>
      </w:r>
    </w:p>
    <w:p>
      <w:pPr>
        <w:spacing w:before="189"/>
        <w:ind w:left="213" w:right="0" w:firstLine="0"/>
        <w:jc w:val="both"/>
        <w:rPr>
          <w:rFonts w:ascii="宋体" w:hAnsi="宋体" w:cs="宋体" w:eastAsia="宋体" w:hint="default"/>
          <w:sz w:val="21"/>
          <w:szCs w:val="21"/>
        </w:rPr>
      </w:pPr>
      <w:r>
        <w:rPr>
          <w:rFonts w:ascii="宋体" w:hAnsi="宋体" w:cs="宋体" w:eastAsia="宋体" w:hint="default"/>
          <w:sz w:val="21"/>
          <w:szCs w:val="21"/>
        </w:rPr>
        <w:t>执行担保人）签订编号</w:t>
      </w:r>
      <w:r>
        <w:rPr>
          <w:rFonts w:ascii="宋体" w:hAnsi="宋体" w:cs="宋体" w:eastAsia="宋体" w:hint="default"/>
          <w:spacing w:val="-106"/>
          <w:sz w:val="21"/>
          <w:szCs w:val="21"/>
        </w:rPr>
        <w:t>：</w:t>
      </w:r>
      <w:r>
        <w:rPr>
          <w:rFonts w:ascii="宋体" w:hAnsi="宋体" w:cs="宋体" w:eastAsia="宋体" w:hint="default"/>
          <w:sz w:val="21"/>
          <w:szCs w:val="21"/>
        </w:rPr>
        <w:t>（深）农银豁免息字</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618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号债</w:t>
      </w:r>
      <w:r>
        <w:rPr>
          <w:rFonts w:ascii="宋体" w:hAnsi="宋体" w:cs="宋体" w:eastAsia="宋体" w:hint="default"/>
          <w:spacing w:val="-2"/>
          <w:sz w:val="21"/>
          <w:szCs w:val="21"/>
        </w:rPr>
        <w:t>务</w:t>
      </w:r>
      <w:r>
        <w:rPr>
          <w:rFonts w:ascii="宋体" w:hAnsi="宋体" w:cs="宋体" w:eastAsia="宋体" w:hint="default"/>
          <w:sz w:val="21"/>
          <w:szCs w:val="21"/>
        </w:rPr>
        <w:t>和解协议书，免除本公司截至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spacing w:before="189"/>
        <w:ind w:left="21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日之前的贷款利息合计人民币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10,566,266.22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元。本公司截至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日针对中国农业银行深圳</w:t>
      </w:r>
    </w:p>
    <w:p>
      <w:pPr>
        <w:spacing w:line="396" w:lineRule="auto" w:before="189"/>
        <w:ind w:left="213" w:right="151" w:firstLine="0"/>
        <w:jc w:val="both"/>
        <w:rPr>
          <w:rFonts w:ascii="宋体" w:hAnsi="宋体" w:cs="宋体" w:eastAsia="宋体" w:hint="default"/>
          <w:sz w:val="21"/>
          <w:szCs w:val="21"/>
        </w:rPr>
      </w:pPr>
      <w:r>
        <w:rPr>
          <w:rFonts w:ascii="宋体" w:hAnsi="宋体" w:cs="宋体" w:eastAsia="宋体" w:hint="default"/>
          <w:sz w:val="21"/>
          <w:szCs w:val="21"/>
        </w:rPr>
        <w:t>罗湖支行贷款计提了</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9,108,858.22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元的利息，利息差异</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1,457,408.00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元，系中国农业银行深圳罗湖支行计 提了贷款罚息复利，本公司未计提罚息复利所致。</w:t>
      </w:r>
    </w:p>
    <w:p>
      <w:pPr>
        <w:spacing w:line="412" w:lineRule="auto" w:before="127"/>
        <w:ind w:left="633" w:right="7777"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）未来适用法 无</w:t>
      </w:r>
    </w:p>
    <w:p>
      <w:pPr>
        <w:spacing w:line="412" w:lineRule="auto" w:before="73"/>
        <w:ind w:left="633" w:right="431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、其他主要会计政策、会计估计和财务报表编制方法 无</w:t>
      </w:r>
    </w:p>
    <w:p>
      <w:pPr>
        <w:pStyle w:val="BodyText"/>
        <w:spacing w:line="240" w:lineRule="auto" w:before="31"/>
        <w:ind w:left="694" w:right="209"/>
        <w:jc w:val="left"/>
      </w:pPr>
      <w:r>
        <w:rPr/>
        <w:t>三、税项</w:t>
      </w:r>
    </w:p>
    <w:p>
      <w:pPr>
        <w:spacing w:line="240" w:lineRule="auto" w:before="6"/>
        <w:rPr>
          <w:rFonts w:ascii="宋体" w:hAnsi="宋体" w:cs="宋体" w:eastAsia="宋体" w:hint="default"/>
          <w:sz w:val="17"/>
          <w:szCs w:val="17"/>
        </w:rPr>
      </w:pPr>
    </w:p>
    <w:p>
      <w:pPr>
        <w:spacing w:before="0"/>
        <w:ind w:left="634" w:right="2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、主要税种及税率</w:t>
      </w:r>
    </w:p>
    <w:tbl>
      <w:tblPr>
        <w:tblW w:w="0" w:type="auto"/>
        <w:jc w:val="left"/>
        <w:tblInd w:w="101" w:type="dxa"/>
        <w:tblLayout w:type="fixed"/>
        <w:tblCellMar>
          <w:top w:w="0" w:type="dxa"/>
          <w:left w:w="0" w:type="dxa"/>
          <w:bottom w:w="0" w:type="dxa"/>
          <w:right w:w="0" w:type="dxa"/>
        </w:tblCellMar>
        <w:tblLook w:val="01E0"/>
      </w:tblPr>
      <w:tblGrid>
        <w:gridCol w:w="1864"/>
        <w:gridCol w:w="3757"/>
        <w:gridCol w:w="3280"/>
      </w:tblGrid>
      <w:tr>
        <w:trPr>
          <w:trHeight w:val="478"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79"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房地产销售收入</w:t>
            </w:r>
          </w:p>
        </w:tc>
        <w:tc>
          <w:tcPr>
            <w:tcW w:w="3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9" w:right="0"/>
              <w:jc w:val="center"/>
              <w:rPr>
                <w:rFonts w:ascii="宋体" w:hAnsi="宋体" w:cs="宋体" w:eastAsia="宋体" w:hint="default"/>
                <w:sz w:val="21"/>
                <w:szCs w:val="21"/>
              </w:rPr>
            </w:pPr>
            <w:r>
              <w:rPr>
                <w:rFonts w:ascii="宋体" w:hAnsi="宋体" w:cs="宋体" w:eastAsia="宋体" w:hint="default"/>
                <w:sz w:val="21"/>
                <w:szCs w:val="21"/>
              </w:rPr>
              <w:t>普通住宅按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预交</w:t>
            </w:r>
            <w:r>
              <w:rPr>
                <w:rFonts w:ascii="Times New Roman" w:hAnsi="Times New Roman" w:cs="Times New Roman" w:eastAsia="Times New Roman" w:hint="default"/>
                <w:sz w:val="21"/>
                <w:szCs w:val="21"/>
              </w:rPr>
              <w:t>*</w:t>
            </w:r>
            <w:r>
              <w:rPr>
                <w:rFonts w:ascii="宋体" w:hAnsi="宋体" w:cs="宋体" w:eastAsia="宋体" w:hint="default"/>
                <w:sz w:val="21"/>
                <w:szCs w:val="21"/>
              </w:rPr>
              <w:t>注释一</w:t>
            </w:r>
          </w:p>
        </w:tc>
      </w:tr>
      <w:tr>
        <w:trPr>
          <w:trHeight w:val="478"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商品、产品销售收入以及进出口货物</w:t>
            </w:r>
          </w:p>
        </w:tc>
        <w:tc>
          <w:tcPr>
            <w:tcW w:w="3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17%</w:t>
            </w:r>
          </w:p>
        </w:tc>
      </w:tr>
      <w:tr>
        <w:trPr>
          <w:trHeight w:val="478"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提供劳务、销售不动产、租赁不动产</w:t>
            </w:r>
          </w:p>
        </w:tc>
        <w:tc>
          <w:tcPr>
            <w:tcW w:w="3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5%</w:t>
            </w:r>
          </w:p>
        </w:tc>
      </w:tr>
      <w:tr>
        <w:trPr>
          <w:trHeight w:val="479"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应交增值税、营业税等流转税</w:t>
            </w:r>
          </w:p>
        </w:tc>
        <w:tc>
          <w:tcPr>
            <w:tcW w:w="3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 w:right="0"/>
              <w:jc w:val="center"/>
              <w:rPr>
                <w:rFonts w:ascii="Times New Roman" w:hAnsi="Times New Roman" w:cs="Times New Roman" w:eastAsia="Times New Roman" w:hint="default"/>
                <w:sz w:val="21"/>
                <w:szCs w:val="21"/>
              </w:rPr>
            </w:pPr>
            <w:r>
              <w:rPr>
                <w:rFonts w:ascii="Times New Roman"/>
                <w:sz w:val="21"/>
              </w:rPr>
              <w:t>7%</w:t>
            </w:r>
          </w:p>
        </w:tc>
      </w:tr>
      <w:tr>
        <w:trPr>
          <w:trHeight w:val="478"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3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20%,25%*</w:t>
            </w:r>
            <w:r>
              <w:rPr>
                <w:rFonts w:ascii="宋体" w:hAnsi="宋体" w:cs="宋体" w:eastAsia="宋体" w:hint="default"/>
                <w:sz w:val="21"/>
                <w:szCs w:val="21"/>
              </w:rPr>
              <w:t>注释二</w:t>
            </w:r>
          </w:p>
        </w:tc>
      </w:tr>
    </w:tbl>
    <w:p>
      <w:pPr>
        <w:spacing w:line="398" w:lineRule="auto" w:before="80"/>
        <w:ind w:left="213" w:right="1003" w:firstLine="420"/>
        <w:jc w:val="both"/>
        <w:rPr>
          <w:rFonts w:ascii="宋体" w:hAnsi="宋体" w:cs="宋体" w:eastAsia="宋体" w:hint="default"/>
          <w:sz w:val="21"/>
          <w:szCs w:val="21"/>
        </w:rPr>
      </w:pPr>
      <w:r>
        <w:rPr>
          <w:rFonts w:ascii="宋体" w:hAnsi="宋体" w:cs="宋体" w:eastAsia="宋体" w:hint="default"/>
          <w:spacing w:val="-3"/>
          <w:sz w:val="21"/>
          <w:szCs w:val="21"/>
        </w:rPr>
        <w:t>注释一：据</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月山东省地方税务局鲁地税发【</w:t>
      </w:r>
      <w:r>
        <w:rPr>
          <w:rFonts w:ascii="Times New Roman" w:hAnsi="Times New Roman" w:cs="Times New Roman" w:eastAsia="Times New Roman" w:hint="default"/>
          <w:sz w:val="21"/>
          <w:szCs w:val="21"/>
        </w:rPr>
        <w:t>2004</w:t>
      </w:r>
      <w:r>
        <w:rPr>
          <w:rFonts w:ascii="宋体" w:hAnsi="宋体" w:cs="宋体" w:eastAsia="宋体" w:hint="default"/>
          <w:sz w:val="21"/>
          <w:szCs w:val="21"/>
        </w:rPr>
        <w:t>】</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号文“山东省地方税务局房 </w:t>
      </w:r>
      <w:r>
        <w:rPr>
          <w:rFonts w:ascii="宋体" w:hAnsi="宋体" w:cs="宋体" w:eastAsia="宋体" w:hint="default"/>
          <w:spacing w:val="2"/>
          <w:sz w:val="21"/>
          <w:szCs w:val="21"/>
        </w:rPr>
        <w:t>地产开发企业土地增值说预征和清算管理暂行办法规定”子公司青岛广顺房地产有限公司按照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预征率预交</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年度土地增值税；据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日济宁市地方税务局济地税发【</w:t>
      </w:r>
      <w:r>
        <w:rPr>
          <w:rFonts w:ascii="Times New Roman" w:hAnsi="Times New Roman" w:cs="Times New Roman" w:eastAsia="Times New Roman" w:hint="default"/>
          <w:sz w:val="21"/>
          <w:szCs w:val="21"/>
        </w:rPr>
        <w:t>2004</w:t>
      </w:r>
      <w:r>
        <w:rPr>
          <w:rFonts w:ascii="宋体" w:hAnsi="宋体" w:cs="宋体" w:eastAsia="宋体" w:hint="default"/>
          <w:sz w:val="21"/>
          <w:szCs w:val="21"/>
        </w:rPr>
        <w:t>】</w:t>
      </w:r>
    </w:p>
    <w:p>
      <w:pPr>
        <w:spacing w:after="0" w:line="398" w:lineRule="auto"/>
        <w:jc w:val="both"/>
        <w:rPr>
          <w:rFonts w:ascii="宋体" w:hAnsi="宋体" w:cs="宋体" w:eastAsia="宋体" w:hint="default"/>
          <w:sz w:val="21"/>
          <w:szCs w:val="21"/>
        </w:rPr>
        <w:sectPr>
          <w:pgSz w:w="11910" w:h="16840"/>
          <w:pgMar w:header="877" w:footer="941" w:top="1100" w:bottom="1140" w:left="920" w:right="980"/>
        </w:sectPr>
      </w:pPr>
    </w:p>
    <w:p>
      <w:pPr>
        <w:spacing w:line="240" w:lineRule="auto" w:before="8"/>
        <w:rPr>
          <w:rFonts w:ascii="宋体" w:hAnsi="宋体" w:cs="宋体" w:eastAsia="宋体" w:hint="default"/>
          <w:sz w:val="26"/>
          <w:szCs w:val="26"/>
        </w:rPr>
      </w:pPr>
    </w:p>
    <w:p>
      <w:pPr>
        <w:spacing w:line="386" w:lineRule="auto" w:before="35"/>
        <w:ind w:left="154" w:right="106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75</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号文“关于转发地方税务局房地产开发企业土地增值说预征和清算管理暂行办法的通知”子 公司兖州海情置业有限公司按照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预征率预交</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年度土地增值税。</w:t>
      </w:r>
    </w:p>
    <w:p>
      <w:pPr>
        <w:spacing w:before="165"/>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注释二：子公司青岛广顺房地产有限公司和兖州海情置业有限公司执行的所得税税率均为</w:t>
      </w:r>
      <w:r>
        <w:rPr>
          <w:rFonts w:ascii="宋体" w:hAnsi="宋体" w:cs="宋体" w:eastAsia="宋体" w:hint="default"/>
          <w:sz w:val="21"/>
          <w:szCs w:val="21"/>
        </w:rPr>
      </w:r>
    </w:p>
    <w:p>
      <w:pPr>
        <w:spacing w:line="240" w:lineRule="auto" w:before="1"/>
        <w:rPr>
          <w:rFonts w:ascii="宋体" w:hAnsi="宋体" w:cs="宋体" w:eastAsia="宋体" w:hint="default"/>
          <w:sz w:val="22"/>
          <w:szCs w:val="22"/>
        </w:rPr>
      </w:pPr>
    </w:p>
    <w:p>
      <w:pPr>
        <w:spacing w:before="0"/>
        <w:ind w:left="153" w:right="0" w:firstLine="0"/>
        <w:jc w:val="left"/>
        <w:rPr>
          <w:rFonts w:ascii="Times New Roman" w:hAnsi="Times New Roman" w:cs="Times New Roman" w:eastAsia="Times New Roman" w:hint="default"/>
          <w:sz w:val="21"/>
          <w:szCs w:val="21"/>
        </w:rPr>
      </w:pPr>
      <w:r>
        <w:rPr>
          <w:rFonts w:ascii="Times New Roman"/>
          <w:sz w:val="21"/>
        </w:rPr>
        <w:t>25%</w:t>
      </w:r>
    </w:p>
    <w:p>
      <w:pPr>
        <w:spacing w:after="0"/>
        <w:jc w:val="left"/>
        <w:rPr>
          <w:rFonts w:ascii="Times New Roman" w:hAnsi="Times New Roman" w:cs="Times New Roman" w:eastAsia="Times New Roman" w:hint="default"/>
          <w:sz w:val="21"/>
          <w:szCs w:val="21"/>
        </w:rPr>
        <w:sectPr>
          <w:pgSz w:w="11910" w:h="16840"/>
          <w:pgMar w:header="877" w:footer="941" w:top="1100" w:bottom="1140" w:left="980" w:right="980"/>
        </w:sectPr>
      </w:pPr>
    </w:p>
    <w:p>
      <w:pPr>
        <w:tabs>
          <w:tab w:pos="12893" w:val="left" w:leader="none"/>
        </w:tabs>
        <w:spacing w:before="17"/>
        <w:ind w:left="4613"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0"/>
          <w:szCs w:val="10"/>
        </w:rPr>
      </w:pPr>
    </w:p>
    <w:p>
      <w:pPr>
        <w:pStyle w:val="BodyText"/>
        <w:spacing w:line="240" w:lineRule="auto" w:before="26"/>
        <w:ind w:left="719" w:right="0"/>
        <w:jc w:val="left"/>
      </w:pPr>
      <w:r>
        <w:rPr/>
        <w:t>四、企业合并及合并财务报表</w:t>
      </w:r>
    </w:p>
    <w:p>
      <w:pPr>
        <w:spacing w:line="240" w:lineRule="auto" w:before="7"/>
        <w:rPr>
          <w:rFonts w:ascii="宋体" w:hAnsi="宋体" w:cs="宋体" w:eastAsia="宋体" w:hint="default"/>
          <w:sz w:val="17"/>
          <w:szCs w:val="17"/>
        </w:rPr>
      </w:pPr>
    </w:p>
    <w:p>
      <w:pPr>
        <w:spacing w:before="0"/>
        <w:ind w:left="65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、子公司情况</w:t>
      </w:r>
    </w:p>
    <w:p>
      <w:pPr>
        <w:spacing w:line="240" w:lineRule="auto" w:before="12"/>
        <w:rPr>
          <w:rFonts w:ascii="宋体" w:hAnsi="宋体" w:cs="宋体" w:eastAsia="宋体" w:hint="default"/>
          <w:sz w:val="15"/>
          <w:szCs w:val="15"/>
        </w:rPr>
      </w:pPr>
    </w:p>
    <w:p>
      <w:pPr>
        <w:spacing w:before="0"/>
        <w:ind w:left="65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）非同一控制下企业合并取得的子公司</w:t>
      </w:r>
    </w:p>
    <w:tbl>
      <w:tblPr>
        <w:tblW w:w="0" w:type="auto"/>
        <w:jc w:val="left"/>
        <w:tblInd w:w="112" w:type="dxa"/>
        <w:tblLayout w:type="fixed"/>
        <w:tblCellMar>
          <w:top w:w="0" w:type="dxa"/>
          <w:left w:w="0" w:type="dxa"/>
          <w:bottom w:w="0" w:type="dxa"/>
          <w:right w:w="0" w:type="dxa"/>
        </w:tblCellMar>
        <w:tblLook w:val="01E0"/>
      </w:tblPr>
      <w:tblGrid>
        <w:gridCol w:w="1205"/>
        <w:gridCol w:w="1039"/>
        <w:gridCol w:w="659"/>
        <w:gridCol w:w="576"/>
        <w:gridCol w:w="920"/>
        <w:gridCol w:w="1398"/>
        <w:gridCol w:w="989"/>
        <w:gridCol w:w="1296"/>
        <w:gridCol w:w="788"/>
        <w:gridCol w:w="788"/>
        <w:gridCol w:w="550"/>
        <w:gridCol w:w="680"/>
        <w:gridCol w:w="1043"/>
        <w:gridCol w:w="2257"/>
      </w:tblGrid>
      <w:tr>
        <w:trPr>
          <w:trHeight w:val="1763"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5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24" w:right="152"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3" w:right="14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65" w:right="182"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3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19" w:right="127"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37" w:lineRule="auto"/>
              <w:ind w:left="103" w:right="101"/>
              <w:jc w:val="center"/>
              <w:rPr>
                <w:rFonts w:ascii="宋体" w:hAnsi="宋体" w:cs="宋体" w:eastAsia="宋体" w:hint="default"/>
                <w:sz w:val="18"/>
                <w:szCs w:val="18"/>
              </w:rPr>
            </w:pPr>
            <w:r>
              <w:rPr>
                <w:rFonts w:ascii="宋体" w:hAnsi="宋体" w:cs="宋体" w:eastAsia="宋体" w:hint="default"/>
                <w:sz w:val="18"/>
                <w:szCs w:val="18"/>
              </w:rPr>
              <w:t>实质上构成对 子公司净投资 的其他项目余 额</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9" w:lineRule="auto"/>
              <w:ind w:left="208" w:right="208"/>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9" w:lineRule="auto"/>
              <w:ind w:left="118" w:right="118"/>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79" w:right="17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8"/>
              <w:ind w:left="154" w:right="15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60"/>
              <w:ind w:left="155" w:right="155"/>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60"/>
              <w:ind w:left="133" w:right="137"/>
              <w:jc w:val="center"/>
              <w:rPr>
                <w:rFonts w:ascii="宋体" w:hAnsi="宋体" w:cs="宋体" w:eastAsia="宋体" w:hint="default"/>
                <w:sz w:val="18"/>
                <w:szCs w:val="18"/>
              </w:rPr>
            </w:pPr>
            <w:r>
              <w:rPr>
                <w:rFonts w:ascii="宋体" w:hAnsi="宋体" w:cs="宋体" w:eastAsia="宋体" w:hint="default"/>
                <w:sz w:val="18"/>
                <w:szCs w:val="18"/>
              </w:rPr>
              <w:t>从母公司所有者权益冲减 子公司少数股东分担的本 期亏损超过少数股东在该 子公司期初所有者权益中 所享有份额后的余额</w:t>
            </w:r>
          </w:p>
        </w:tc>
      </w:tr>
      <w:tr>
        <w:trPr>
          <w:trHeight w:val="1470"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14"/>
                <w:sz w:val="18"/>
                <w:szCs w:val="18"/>
              </w:rPr>
              <w:t>青岛广顺房</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460" w:lineRule="exact" w:before="67"/>
              <w:ind w:left="122" w:right="84"/>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地产有限公</w:t>
            </w:r>
            <w:r>
              <w:rPr>
                <w:rFonts w:ascii="宋体" w:hAnsi="宋体" w:cs="宋体" w:eastAsia="宋体" w:hint="default"/>
                <w:spacing w:val="-88"/>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470" w:lineRule="auto"/>
              <w:ind w:left="424" w:right="152"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470" w:lineRule="auto"/>
              <w:ind w:left="233" w:right="143" w:hanging="90"/>
              <w:jc w:val="left"/>
              <w:rPr>
                <w:rFonts w:ascii="宋体" w:hAnsi="宋体" w:cs="宋体" w:eastAsia="宋体" w:hint="default"/>
                <w:sz w:val="18"/>
                <w:szCs w:val="18"/>
              </w:rPr>
            </w:pPr>
            <w:r>
              <w:rPr>
                <w:rFonts w:ascii="宋体" w:hAnsi="宋体" w:cs="宋体" w:eastAsia="宋体" w:hint="default"/>
                <w:sz w:val="18"/>
                <w:szCs w:val="18"/>
              </w:rPr>
              <w:t>青岛 市</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36"/>
              <w:ind w:left="103" w:right="101"/>
              <w:jc w:val="both"/>
              <w:rPr>
                <w:rFonts w:ascii="宋体" w:hAnsi="宋体" w:cs="宋体" w:eastAsia="宋体" w:hint="default"/>
                <w:sz w:val="18"/>
                <w:szCs w:val="18"/>
              </w:rPr>
            </w:pPr>
            <w:r>
              <w:rPr>
                <w:rFonts w:ascii="宋体" w:hAnsi="宋体" w:cs="宋体" w:eastAsia="宋体" w:hint="default"/>
                <w:sz w:val="18"/>
                <w:szCs w:val="18"/>
              </w:rPr>
              <w:t>房地 产开 发、 销售</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36"/>
              <w:ind w:left="98" w:right="206"/>
              <w:jc w:val="both"/>
              <w:rPr>
                <w:rFonts w:ascii="宋体" w:hAnsi="宋体" w:cs="宋体" w:eastAsia="宋体" w:hint="default"/>
                <w:sz w:val="18"/>
                <w:szCs w:val="18"/>
              </w:rPr>
            </w:pPr>
            <w:r>
              <w:rPr>
                <w:rFonts w:ascii="宋体" w:hAnsi="宋体" w:cs="宋体" w:eastAsia="宋体" w:hint="default"/>
                <w:sz w:val="18"/>
                <w:szCs w:val="18"/>
              </w:rPr>
              <w:t>房地产开发、 经营；销售： 建筑材料、装 饰装潢材料</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2"/>
              <w:jc w:val="right"/>
              <w:rPr>
                <w:rFonts w:ascii="宋体" w:hAnsi="宋体" w:cs="宋体" w:eastAsia="宋体" w:hint="default"/>
                <w:sz w:val="18"/>
                <w:szCs w:val="18"/>
              </w:rPr>
            </w:pPr>
            <w:r>
              <w:rPr>
                <w:rFonts w:ascii="Times New Roman" w:hAnsi="Times New Roman" w:cs="Times New Roman" w:eastAsia="Times New Roman" w:hint="default"/>
                <w:sz w:val="18"/>
                <w:szCs w:val="18"/>
              </w:rPr>
              <w:t>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51"/>
              <w:jc w:val="right"/>
              <w:rPr>
                <w:rFonts w:ascii="宋体" w:hAnsi="宋体" w:cs="宋体" w:eastAsia="宋体" w:hint="default"/>
                <w:sz w:val="18"/>
                <w:szCs w:val="18"/>
              </w:rPr>
            </w:pPr>
            <w:r>
              <w:rPr>
                <w:rFonts w:ascii="宋体" w:hAnsi="宋体" w:cs="宋体" w:eastAsia="宋体" w:hint="default"/>
                <w:sz w:val="18"/>
                <w:szCs w:val="18"/>
              </w:rPr>
              <w:t>无</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470"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470" w:lineRule="auto"/>
              <w:ind w:left="122" w:right="84"/>
              <w:jc w:val="left"/>
              <w:rPr>
                <w:rFonts w:ascii="宋体" w:hAnsi="宋体" w:cs="宋体" w:eastAsia="宋体" w:hint="default"/>
                <w:sz w:val="18"/>
                <w:szCs w:val="18"/>
              </w:rPr>
            </w:pPr>
            <w:r>
              <w:rPr>
                <w:rFonts w:ascii="宋体" w:hAnsi="宋体" w:cs="宋体" w:eastAsia="宋体" w:hint="default"/>
                <w:spacing w:val="14"/>
                <w:sz w:val="18"/>
                <w:szCs w:val="18"/>
              </w:rPr>
              <w:t>兖州海情置</w:t>
            </w:r>
            <w:r>
              <w:rPr>
                <w:rFonts w:ascii="宋体" w:hAnsi="宋体" w:cs="宋体" w:eastAsia="宋体" w:hint="default"/>
                <w:spacing w:val="-88"/>
                <w:sz w:val="18"/>
                <w:szCs w:val="18"/>
              </w:rPr>
              <w:t> </w:t>
            </w:r>
            <w:r>
              <w:rPr>
                <w:rFonts w:ascii="宋体" w:hAnsi="宋体" w:cs="宋体" w:eastAsia="宋体" w:hint="default"/>
                <w:spacing w:val="14"/>
                <w:sz w:val="18"/>
                <w:szCs w:val="18"/>
              </w:rPr>
              <w:t>业有限公司</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03"/>
              <w:ind w:left="122" w:right="0"/>
              <w:jc w:val="left"/>
              <w:rPr>
                <w:rFonts w:ascii="Times New Roman" w:hAnsi="Times New Roman" w:cs="Times New Roman" w:eastAsia="Times New Roman" w:hint="default"/>
                <w:sz w:val="18"/>
                <w:szCs w:val="18"/>
              </w:rPr>
            </w:pPr>
            <w:r>
              <w:rPr>
                <w:rFonts w:ascii="Times New Roman"/>
                <w:sz w:val="18"/>
              </w:rPr>
              <w:t>*2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470" w:lineRule="auto"/>
              <w:ind w:left="424" w:right="152"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470" w:lineRule="auto"/>
              <w:ind w:left="233" w:right="143" w:hanging="90"/>
              <w:jc w:val="left"/>
              <w:rPr>
                <w:rFonts w:ascii="宋体" w:hAnsi="宋体" w:cs="宋体" w:eastAsia="宋体" w:hint="default"/>
                <w:sz w:val="18"/>
                <w:szCs w:val="18"/>
              </w:rPr>
            </w:pPr>
            <w:r>
              <w:rPr>
                <w:rFonts w:ascii="宋体" w:hAnsi="宋体" w:cs="宋体" w:eastAsia="宋体" w:hint="default"/>
                <w:sz w:val="18"/>
                <w:szCs w:val="18"/>
              </w:rPr>
              <w:t>兖州 市</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36"/>
              <w:ind w:left="103" w:right="101"/>
              <w:jc w:val="both"/>
              <w:rPr>
                <w:rFonts w:ascii="宋体" w:hAnsi="宋体" w:cs="宋体" w:eastAsia="宋体" w:hint="default"/>
                <w:sz w:val="18"/>
                <w:szCs w:val="18"/>
              </w:rPr>
            </w:pPr>
            <w:r>
              <w:rPr>
                <w:rFonts w:ascii="宋体" w:hAnsi="宋体" w:cs="宋体" w:eastAsia="宋体" w:hint="default"/>
                <w:sz w:val="18"/>
                <w:szCs w:val="18"/>
              </w:rPr>
              <w:t>房地 产开 发、 销售</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98" w:right="206"/>
              <w:jc w:val="left"/>
              <w:rPr>
                <w:rFonts w:ascii="宋体" w:hAnsi="宋体" w:cs="宋体" w:eastAsia="宋体" w:hint="default"/>
                <w:sz w:val="18"/>
                <w:szCs w:val="18"/>
              </w:rPr>
            </w:pPr>
            <w:r>
              <w:rPr>
                <w:rFonts w:ascii="宋体" w:hAnsi="宋体" w:cs="宋体" w:eastAsia="宋体" w:hint="default"/>
                <w:sz w:val="18"/>
                <w:szCs w:val="18"/>
              </w:rPr>
              <w:t>房地产开发及 商品房销售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51"/>
              <w:jc w:val="right"/>
              <w:rPr>
                <w:rFonts w:ascii="宋体" w:hAnsi="宋体" w:cs="宋体" w:eastAsia="宋体" w:hint="default"/>
                <w:sz w:val="18"/>
                <w:szCs w:val="18"/>
              </w:rPr>
            </w:pPr>
            <w:r>
              <w:rPr>
                <w:rFonts w:ascii="宋体" w:hAnsi="宋体" w:cs="宋体" w:eastAsia="宋体" w:hint="default"/>
                <w:sz w:val="18"/>
                <w:szCs w:val="18"/>
              </w:rPr>
              <w:t>无</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76"/>
        <w:ind w:left="7109" w:right="7091" w:firstLine="0"/>
        <w:jc w:val="center"/>
        <w:rPr>
          <w:rFonts w:ascii="Times New Roman" w:hAnsi="Times New Roman" w:cs="Times New Roman" w:eastAsia="Times New Roman" w:hint="default"/>
          <w:sz w:val="18"/>
          <w:szCs w:val="18"/>
        </w:rPr>
      </w:pPr>
      <w:r>
        <w:rPr>
          <w:rFonts w:ascii="Times New Roman"/>
          <w:sz w:val="18"/>
        </w:rPr>
        <w:t>81</w:t>
      </w:r>
    </w:p>
    <w:p>
      <w:pPr>
        <w:spacing w:after="0"/>
        <w:jc w:val="center"/>
        <w:rPr>
          <w:rFonts w:ascii="Times New Roman" w:hAnsi="Times New Roman" w:cs="Times New Roman" w:eastAsia="Times New Roman" w:hint="default"/>
          <w:sz w:val="18"/>
          <w:szCs w:val="18"/>
        </w:rPr>
        <w:sectPr>
          <w:headerReference w:type="default" r:id="rId16"/>
          <w:footerReference w:type="default" r:id="rId17"/>
          <w:pgSz w:w="16840" w:h="11910" w:orient="landscape"/>
          <w:pgMar w:header="0" w:footer="0" w:top="800" w:bottom="280" w:left="1200" w:right="12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40" w:lineRule="auto" w:before="26"/>
        <w:ind w:left="714" w:right="115"/>
        <w:jc w:val="left"/>
      </w:pPr>
      <w:r>
        <w:rPr/>
        <w:t>五、合并财务报表项目注释（单位：人民币元）</w:t>
      </w:r>
    </w:p>
    <w:p>
      <w:pPr>
        <w:spacing w:line="240" w:lineRule="auto" w:before="7"/>
        <w:rPr>
          <w:rFonts w:ascii="宋体" w:hAnsi="宋体" w:cs="宋体" w:eastAsia="宋体" w:hint="default"/>
          <w:sz w:val="17"/>
          <w:szCs w:val="17"/>
        </w:rPr>
      </w:pPr>
    </w:p>
    <w:p>
      <w:pPr>
        <w:spacing w:before="0"/>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w:t>
      </w:r>
    </w:p>
    <w:p>
      <w:pPr>
        <w:spacing w:line="240" w:lineRule="auto" w:before="5"/>
        <w:rPr>
          <w:rFonts w:ascii="宋体" w:hAnsi="宋体" w:cs="宋体" w:eastAsia="宋体" w:hint="default"/>
          <w:sz w:val="16"/>
          <w:szCs w:val="16"/>
        </w:rPr>
      </w:pPr>
    </w:p>
    <w:p>
      <w:pPr>
        <w:spacing w:before="35"/>
        <w:ind w:left="0" w:right="2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562"/>
        <w:gridCol w:w="1583"/>
        <w:gridCol w:w="937"/>
        <w:gridCol w:w="1621"/>
        <w:gridCol w:w="1440"/>
        <w:gridCol w:w="820"/>
        <w:gridCol w:w="1793"/>
      </w:tblGrid>
      <w:tr>
        <w:trPr>
          <w:trHeight w:val="589" w:hRule="exact"/>
        </w:trPr>
        <w:tc>
          <w:tcPr>
            <w:tcW w:w="15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tabs>
                <w:tab w:pos="893" w:val="left" w:leader="none"/>
              </w:tabs>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1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1562" w:type="dxa"/>
            <w:vMerge/>
            <w:tcBorders>
              <w:left w:val="nil" w:sz="6" w:space="0" w:color="auto"/>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5"/>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71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368,919.62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121,482.07</w:t>
            </w:r>
            <w:r>
              <w:rPr>
                <w:rFonts w:ascii="Times New Roman"/>
                <w:sz w:val="21"/>
              </w:rPr>
            </w:r>
          </w:p>
        </w:tc>
      </w:tr>
      <w:tr>
        <w:trPr>
          <w:trHeight w:val="71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Times New Roman" w:hAnsi="Times New Roman" w:cs="Times New Roman" w:eastAsia="Times New Roman" w:hint="default"/>
                <w:sz w:val="21"/>
                <w:szCs w:val="21"/>
              </w:rPr>
            </w:pPr>
            <w:r>
              <w:rPr>
                <w:rFonts w:ascii="Times New Roman"/>
                <w:spacing w:val="-1"/>
                <w:sz w:val="21"/>
              </w:rPr>
              <w:t>368,919.62</w:t>
            </w:r>
            <w:r>
              <w:rPr>
                <w:rFonts w:ascii="Times New Roman"/>
                <w:sz w:val="21"/>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368,919.62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121,482.07</w:t>
            </w:r>
            <w:r>
              <w:rPr>
                <w:rFonts w:ascii="Times New Roman"/>
                <w:sz w:val="21"/>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3" w:right="0"/>
              <w:jc w:val="center"/>
              <w:rPr>
                <w:rFonts w:ascii="Times New Roman" w:hAnsi="Times New Roman" w:cs="Times New Roman" w:eastAsia="Times New Roman" w:hint="default"/>
                <w:sz w:val="21"/>
                <w:szCs w:val="21"/>
              </w:rPr>
            </w:pPr>
            <w:r>
              <w:rPr>
                <w:rFonts w:ascii="Times New Roman"/>
                <w:sz w:val="21"/>
              </w:rPr>
              <w:t>1.0000</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121,482.07</w:t>
            </w:r>
            <w:r>
              <w:rPr>
                <w:rFonts w:ascii="Times New Roman"/>
                <w:sz w:val="21"/>
              </w:rPr>
            </w:r>
          </w:p>
        </w:tc>
      </w:tr>
      <w:tr>
        <w:trPr>
          <w:trHeight w:val="59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144,431,473.33</w:t>
            </w:r>
          </w:p>
        </w:tc>
        <w:tc>
          <w:tcPr>
            <w:tcW w:w="144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32,409,132.67</w:t>
            </w:r>
          </w:p>
        </w:tc>
      </w:tr>
      <w:tr>
        <w:trPr>
          <w:trHeight w:val="71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144,431,473.33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2"/>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144,431,473.33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32,409,132.67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4" w:right="0"/>
              <w:jc w:val="center"/>
              <w:rPr>
                <w:rFonts w:ascii="Times New Roman" w:hAnsi="Times New Roman" w:cs="Times New Roman" w:eastAsia="Times New Roman" w:hint="default"/>
                <w:sz w:val="21"/>
                <w:szCs w:val="21"/>
              </w:rPr>
            </w:pPr>
            <w:r>
              <w:rPr>
                <w:rFonts w:ascii="Times New Roman"/>
                <w:sz w:val="21"/>
              </w:rPr>
              <w:t>1.0000</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32,409,132.67</w:t>
            </w:r>
          </w:p>
        </w:tc>
      </w:tr>
      <w:tr>
        <w:trPr>
          <w:trHeight w:val="714"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tabs>
                <w:tab w:pos="893" w:val="left" w:leader="none"/>
              </w:tabs>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144,800,392.95</w:t>
            </w:r>
          </w:p>
        </w:tc>
        <w:tc>
          <w:tcPr>
            <w:tcW w:w="144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32,530,614.74</w:t>
            </w:r>
          </w:p>
        </w:tc>
      </w:tr>
    </w:tbl>
    <w:p>
      <w:pPr>
        <w:spacing w:line="240" w:lineRule="auto" w:before="0"/>
        <w:rPr>
          <w:rFonts w:ascii="宋体" w:hAnsi="宋体" w:cs="宋体" w:eastAsia="宋体" w:hint="default"/>
          <w:sz w:val="12"/>
          <w:szCs w:val="12"/>
        </w:rPr>
      </w:pPr>
    </w:p>
    <w:p>
      <w:pPr>
        <w:spacing w:before="35"/>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w:t>
      </w:r>
    </w:p>
    <w:p>
      <w:pPr>
        <w:spacing w:line="240" w:lineRule="auto" w:before="0"/>
        <w:rPr>
          <w:rFonts w:ascii="宋体" w:hAnsi="宋体" w:cs="宋体" w:eastAsia="宋体" w:hint="default"/>
          <w:sz w:val="16"/>
          <w:szCs w:val="16"/>
        </w:rPr>
      </w:pPr>
    </w:p>
    <w:p>
      <w:pPr>
        <w:spacing w:before="0"/>
        <w:ind w:left="65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5"/>
        <w:rPr>
          <w:rFonts w:ascii="宋体" w:hAnsi="宋体" w:cs="宋体" w:eastAsia="宋体" w:hint="default"/>
          <w:sz w:val="16"/>
          <w:szCs w:val="16"/>
        </w:rPr>
      </w:pPr>
    </w:p>
    <w:p>
      <w:pPr>
        <w:spacing w:before="35"/>
        <w:ind w:left="0" w:right="2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1877"/>
        <w:gridCol w:w="1970"/>
        <w:gridCol w:w="1972"/>
        <w:gridCol w:w="1970"/>
        <w:gridCol w:w="1972"/>
      </w:tblGrid>
      <w:tr>
        <w:trPr>
          <w:trHeight w:val="589"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1877" w:type="dxa"/>
            <w:vMerge/>
            <w:tcBorders>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71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34,300.00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57.84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4,967,905.96</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71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42.16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1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59,300.00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4,967,905.96</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12"/>
          <w:szCs w:val="12"/>
        </w:rPr>
      </w:pPr>
    </w:p>
    <w:p>
      <w:pPr>
        <w:spacing w:before="35"/>
        <w:ind w:left="65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）期末预付款项金额全部为预付给兖州少年儿童成长文化教育中心的房租押金。</w:t>
      </w:r>
    </w:p>
    <w:p>
      <w:pPr>
        <w:spacing w:line="240" w:lineRule="auto" w:before="0"/>
        <w:rPr>
          <w:rFonts w:ascii="宋体" w:hAnsi="宋体" w:cs="宋体" w:eastAsia="宋体" w:hint="default"/>
          <w:sz w:val="16"/>
          <w:szCs w:val="16"/>
        </w:rPr>
      </w:pPr>
    </w:p>
    <w:p>
      <w:pPr>
        <w:spacing w:line="412" w:lineRule="auto" w:before="0"/>
        <w:ind w:left="654" w:right="1178"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）本报告期预付款项余额中无持有本公司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 </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w:t>
      </w:r>
    </w:p>
    <w:p>
      <w:pPr>
        <w:spacing w:before="41"/>
        <w:ind w:left="654"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2"/>
        <w:rPr>
          <w:rFonts w:ascii="宋体" w:hAnsi="宋体" w:cs="宋体" w:eastAsia="宋体" w:hint="default"/>
          <w:sz w:val="19"/>
          <w:szCs w:val="19"/>
        </w:rPr>
      </w:pPr>
    </w:p>
    <w:p>
      <w:pPr>
        <w:spacing w:before="0"/>
        <w:ind w:left="0" w:right="2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right"/>
        <w:rPr>
          <w:rFonts w:ascii="宋体" w:hAnsi="宋体" w:cs="宋体" w:eastAsia="宋体" w:hint="default"/>
          <w:sz w:val="21"/>
          <w:szCs w:val="21"/>
        </w:rPr>
        <w:sectPr>
          <w:footerReference w:type="default" r:id="rId18"/>
          <w:pgSz w:w="11910" w:h="16840"/>
          <w:pgMar w:footer="941" w:header="0" w:top="1100" w:bottom="1140" w:left="900" w:right="900"/>
          <w:pgNumType w:start="82"/>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634"/>
        <w:gridCol w:w="1440"/>
        <w:gridCol w:w="900"/>
        <w:gridCol w:w="1080"/>
        <w:gridCol w:w="900"/>
        <w:gridCol w:w="1440"/>
        <w:gridCol w:w="900"/>
        <w:gridCol w:w="1080"/>
        <w:gridCol w:w="858"/>
      </w:tblGrid>
      <w:tr>
        <w:trPr>
          <w:trHeight w:val="590" w:hRule="exact"/>
        </w:trPr>
        <w:tc>
          <w:tcPr>
            <w:tcW w:w="16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3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7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89" w:hRule="exact"/>
        </w:trPr>
        <w:tc>
          <w:tcPr>
            <w:tcW w:w="1634" w:type="dxa"/>
            <w:vMerge/>
            <w:tcBorders>
              <w:left w:val="nil" w:sz="6" w:space="0" w:color="auto"/>
              <w:right w:val="single" w:sz="4" w:space="0" w:color="000000"/>
            </w:tcBorders>
          </w:tcPr>
          <w:p>
            <w:pP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20" w:hRule="exact"/>
        </w:trPr>
        <w:tc>
          <w:tcPr>
            <w:tcW w:w="1634"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87" w:right="0"/>
              <w:jc w:val="lef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87" w:right="0"/>
              <w:jc w:val="left"/>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87" w:right="0"/>
              <w:jc w:val="left"/>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66" w:right="0"/>
              <w:jc w:val="left"/>
              <w:rPr>
                <w:rFonts w:ascii="Times New Roman" w:hAnsi="Times New Roman" w:cs="Times New Roman" w:eastAsia="Times New Roman" w:hint="default"/>
                <w:sz w:val="21"/>
                <w:szCs w:val="21"/>
              </w:rPr>
            </w:pPr>
            <w:r>
              <w:rPr>
                <w:rFonts w:ascii="Times New Roman"/>
                <w:sz w:val="21"/>
              </w:rPr>
              <w:t>(%)</w:t>
            </w:r>
          </w:p>
        </w:tc>
      </w:tr>
      <w:tr>
        <w:trPr>
          <w:trHeight w:val="1091"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8"/>
              <w:ind w:left="122" w:right="72"/>
              <w:jc w:val="left"/>
              <w:rPr>
                <w:rFonts w:ascii="宋体" w:hAnsi="宋体" w:cs="宋体" w:eastAsia="宋体" w:hint="default"/>
                <w:sz w:val="21"/>
                <w:szCs w:val="21"/>
              </w:rPr>
            </w:pPr>
            <w:r>
              <w:rPr>
                <w:rFonts w:ascii="宋体" w:hAnsi="宋体" w:cs="宋体" w:eastAsia="宋体" w:hint="default"/>
                <w:spacing w:val="23"/>
                <w:sz w:val="21"/>
                <w:szCs w:val="21"/>
              </w:rPr>
              <w:t>单项金额重大</w:t>
            </w:r>
            <w:r>
              <w:rPr>
                <w:rFonts w:ascii="宋体" w:hAnsi="宋体" w:cs="宋体" w:eastAsia="宋体" w:hint="default"/>
                <w:spacing w:val="-77"/>
                <w:sz w:val="21"/>
                <w:szCs w:val="21"/>
              </w:rPr>
              <w:t> </w:t>
            </w:r>
            <w:r>
              <w:rPr>
                <w:rFonts w:ascii="宋体" w:hAnsi="宋体" w:cs="宋体" w:eastAsia="宋体" w:hint="default"/>
                <w:sz w:val="21"/>
                <w:szCs w:val="21"/>
              </w:rPr>
              <w:t>的其他应收款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sz w:val="21"/>
              </w:rPr>
              <w:t>2,403,174.40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08"/>
              <w:jc w:val="right"/>
              <w:rPr>
                <w:rFonts w:ascii="Times New Roman" w:hAnsi="Times New Roman" w:cs="Times New Roman" w:eastAsia="Times New Roman" w:hint="default"/>
                <w:sz w:val="21"/>
                <w:szCs w:val="21"/>
              </w:rPr>
            </w:pPr>
            <w:r>
              <w:rPr>
                <w:rFonts w:ascii="Times New Roman"/>
                <w:spacing w:val="-1"/>
                <w:sz w:val="21"/>
              </w:rPr>
              <w:t>69.21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sz w:val="21"/>
              </w:rPr>
              <w:t>9,725,678.88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
              <w:jc w:val="center"/>
              <w:rPr>
                <w:rFonts w:ascii="Times New Roman" w:hAnsi="Times New Roman" w:cs="Times New Roman" w:eastAsia="Times New Roman" w:hint="default"/>
                <w:sz w:val="21"/>
                <w:szCs w:val="21"/>
              </w:rPr>
            </w:pPr>
            <w:r>
              <w:rPr>
                <w:rFonts w:ascii="Times New Roman"/>
                <w:sz w:val="21"/>
              </w:rPr>
              <w:t>93.24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6"/>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31" w:hRule="exact"/>
        </w:trPr>
        <w:tc>
          <w:tcPr>
            <w:tcW w:w="1634" w:type="dxa"/>
            <w:tcBorders>
              <w:top w:val="single" w:sz="4" w:space="0" w:color="000000"/>
              <w:left w:val="nil" w:sz="6" w:space="0" w:color="auto"/>
              <w:bottom w:val="nil" w:sz="6" w:space="0" w:color="auto"/>
              <w:right w:val="single" w:sz="4" w:space="0" w:color="000000"/>
            </w:tcBorders>
          </w:tcPr>
          <w:p>
            <w:pPr>
              <w:pStyle w:val="TableParagraph"/>
              <w:spacing w:line="240" w:lineRule="auto" w:before="120"/>
              <w:ind w:left="122" w:right="0"/>
              <w:jc w:val="left"/>
              <w:rPr>
                <w:rFonts w:ascii="宋体" w:hAnsi="宋体" w:cs="宋体" w:eastAsia="宋体" w:hint="default"/>
                <w:sz w:val="21"/>
                <w:szCs w:val="21"/>
              </w:rPr>
            </w:pPr>
            <w:r>
              <w:rPr>
                <w:rFonts w:ascii="宋体" w:hAnsi="宋体" w:cs="宋体" w:eastAsia="宋体" w:hint="default"/>
                <w:spacing w:val="23"/>
                <w:sz w:val="21"/>
                <w:szCs w:val="21"/>
              </w:rPr>
              <w:t>单项金额不重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858" w:type="dxa"/>
            <w:tcBorders>
              <w:top w:val="single" w:sz="4" w:space="0" w:color="000000"/>
              <w:left w:val="single" w:sz="4" w:space="0" w:color="000000"/>
              <w:bottom w:val="nil" w:sz="6" w:space="0" w:color="auto"/>
              <w:right w:val="nil" w:sz="6" w:space="0" w:color="auto"/>
            </w:tcBorders>
          </w:tcPr>
          <w:p>
            <w:pPr/>
          </w:p>
        </w:tc>
      </w:tr>
      <w:tr>
        <w:trPr>
          <w:trHeight w:val="272" w:hRule="exact"/>
        </w:trPr>
        <w:tc>
          <w:tcPr>
            <w:tcW w:w="163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大但按信用风</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nil" w:sz="6" w:space="0" w:color="auto"/>
            </w:tcBorders>
          </w:tcPr>
          <w:p>
            <w:pPr/>
          </w:p>
        </w:tc>
      </w:tr>
      <w:tr>
        <w:trPr>
          <w:trHeight w:val="545" w:hRule="exact"/>
        </w:trPr>
        <w:tc>
          <w:tcPr>
            <w:tcW w:w="1634"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险特征组合后</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该组合的风险</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58"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73" w:hRule="exact"/>
        </w:trPr>
        <w:tc>
          <w:tcPr>
            <w:tcW w:w="1634"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较大的其他应</w:t>
            </w:r>
            <w:r>
              <w:rPr>
                <w:rFonts w:ascii="宋体" w:hAnsi="宋体" w:cs="宋体" w:eastAsia="宋体" w:hint="default"/>
                <w:spacing w:val="-77"/>
                <w:sz w:val="21"/>
                <w:szCs w:val="21"/>
              </w:rPr>
              <w:t> </w:t>
            </w:r>
            <w:r>
              <w:rPr>
                <w:rFonts w:ascii="宋体" w:hAnsi="宋体" w:cs="宋体" w:eastAsia="宋体" w:hint="default"/>
                <w:sz w:val="21"/>
                <w:szCs w:val="21"/>
              </w:rPr>
            </w:r>
          </w:p>
        </w:tc>
        <w:tc>
          <w:tcPr>
            <w:tcW w:w="14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858" w:type="dxa"/>
            <w:tcBorders>
              <w:top w:val="nil" w:sz="6" w:space="0" w:color="auto"/>
              <w:left w:val="single" w:sz="4" w:space="0" w:color="000000"/>
              <w:bottom w:val="nil" w:sz="6" w:space="0" w:color="auto"/>
              <w:right w:val="nil" w:sz="6" w:space="0" w:color="auto"/>
            </w:tcBorders>
          </w:tcPr>
          <w:p>
            <w:pPr/>
          </w:p>
        </w:tc>
      </w:tr>
      <w:tr>
        <w:trPr>
          <w:trHeight w:val="319" w:hRule="exact"/>
        </w:trPr>
        <w:tc>
          <w:tcPr>
            <w:tcW w:w="1634" w:type="dxa"/>
            <w:tcBorders>
              <w:top w:val="nil" w:sz="6" w:space="0" w:color="auto"/>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4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858" w:type="dxa"/>
            <w:tcBorders>
              <w:top w:val="nil" w:sz="6" w:space="0" w:color="auto"/>
              <w:left w:val="single" w:sz="4" w:space="0" w:color="000000"/>
              <w:bottom w:val="single" w:sz="4" w:space="0" w:color="000000"/>
              <w:right w:val="nil" w:sz="6" w:space="0" w:color="auto"/>
            </w:tcBorders>
          </w:tcPr>
          <w:p>
            <w:pPr/>
          </w:p>
        </w:tc>
      </w:tr>
      <w:tr>
        <w:trPr>
          <w:trHeight w:val="109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8"/>
              <w:ind w:left="122" w:right="72"/>
              <w:jc w:val="left"/>
              <w:rPr>
                <w:rFonts w:ascii="宋体" w:hAnsi="宋体" w:cs="宋体" w:eastAsia="宋体" w:hint="default"/>
                <w:sz w:val="21"/>
                <w:szCs w:val="21"/>
              </w:rPr>
            </w:pPr>
            <w:r>
              <w:rPr>
                <w:rFonts w:ascii="宋体" w:hAnsi="宋体" w:cs="宋体" w:eastAsia="宋体" w:hint="default"/>
                <w:spacing w:val="23"/>
                <w:sz w:val="21"/>
                <w:szCs w:val="21"/>
              </w:rPr>
              <w:t>其他不重大其</w:t>
            </w:r>
            <w:r>
              <w:rPr>
                <w:rFonts w:ascii="宋体" w:hAnsi="宋体" w:cs="宋体" w:eastAsia="宋体" w:hint="default"/>
                <w:spacing w:val="-77"/>
                <w:sz w:val="21"/>
                <w:szCs w:val="21"/>
              </w:rPr>
              <w:t> </w:t>
            </w:r>
            <w:r>
              <w:rPr>
                <w:rFonts w:ascii="宋体" w:hAnsi="宋体" w:cs="宋体" w:eastAsia="宋体" w:hint="default"/>
                <w:sz w:val="21"/>
                <w:szCs w:val="21"/>
              </w:rPr>
              <w:t>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1,069,036.44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06"/>
              <w:jc w:val="right"/>
              <w:rPr>
                <w:rFonts w:ascii="Times New Roman" w:hAnsi="Times New Roman" w:cs="Times New Roman" w:eastAsia="Times New Roman" w:hint="default"/>
                <w:sz w:val="21"/>
                <w:szCs w:val="21"/>
              </w:rPr>
            </w:pPr>
            <w:r>
              <w:rPr>
                <w:rFonts w:ascii="Times New Roman"/>
                <w:spacing w:val="-1"/>
                <w:sz w:val="21"/>
              </w:rPr>
              <w:t>30.79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sz w:val="21"/>
              </w:rPr>
              <w:t>98,542.04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705,114.44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6.76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190.00</w:t>
            </w:r>
          </w:p>
        </w:tc>
        <w:tc>
          <w:tcPr>
            <w:tcW w:w="8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5"/>
              <w:jc w:val="center"/>
              <w:rPr>
                <w:rFonts w:ascii="Times New Roman" w:hAnsi="Times New Roman" w:cs="Times New Roman" w:eastAsia="Times New Roman" w:hint="default"/>
                <w:sz w:val="21"/>
                <w:szCs w:val="21"/>
              </w:rPr>
            </w:pPr>
            <w:r>
              <w:rPr>
                <w:rFonts w:ascii="Times New Roman"/>
                <w:sz w:val="21"/>
              </w:rPr>
              <w:t>100.00</w:t>
            </w:r>
          </w:p>
        </w:tc>
      </w:tr>
      <w:tr>
        <w:trPr>
          <w:trHeight w:val="59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3,472,210.84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54"/>
              <w:jc w:val="right"/>
              <w:rPr>
                <w:rFonts w:ascii="Times New Roman" w:hAnsi="Times New Roman" w:cs="Times New Roman" w:eastAsia="Times New Roman" w:hint="default"/>
                <w:sz w:val="21"/>
                <w:szCs w:val="21"/>
              </w:rPr>
            </w:pPr>
            <w:r>
              <w:rPr>
                <w:rFonts w:ascii="Times New Roman"/>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98,542.04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 w:right="0"/>
              <w:jc w:val="center"/>
              <w:rPr>
                <w:rFonts w:ascii="Times New Roman" w:hAnsi="Times New Roman" w:cs="Times New Roman" w:eastAsia="Times New Roman" w:hint="default"/>
                <w:sz w:val="21"/>
                <w:szCs w:val="21"/>
              </w:rPr>
            </w:pPr>
            <w:r>
              <w:rPr>
                <w:rFonts w:ascii="Times New Roman"/>
                <w:sz w:val="21"/>
              </w:rPr>
              <w:t>10,430,793.32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190.00</w:t>
            </w:r>
          </w:p>
        </w:tc>
        <w:tc>
          <w:tcPr>
            <w:tcW w:w="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right="3"/>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①公司单项金额重大的其他应收款指单笔金额为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万元以上的款项。</w:t>
      </w:r>
    </w:p>
    <w:p>
      <w:pPr>
        <w:spacing w:line="240" w:lineRule="auto" w:before="8"/>
        <w:rPr>
          <w:rFonts w:ascii="宋体" w:hAnsi="宋体" w:cs="宋体" w:eastAsia="宋体" w:hint="default"/>
          <w:sz w:val="20"/>
          <w:szCs w:val="20"/>
        </w:rPr>
      </w:pPr>
    </w:p>
    <w:p>
      <w:pPr>
        <w:spacing w:line="453" w:lineRule="auto" w:before="0"/>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②单项金额不重大但按信用风险特征组合后该组合的风险较大的其他应收款，是指账龄超过三年且金</w:t>
      </w:r>
      <w:r>
        <w:rPr>
          <w:rFonts w:ascii="宋体" w:hAnsi="宋体" w:cs="宋体" w:eastAsia="宋体" w:hint="default"/>
          <w:sz w:val="21"/>
          <w:szCs w:val="21"/>
        </w:rPr>
        <w:t> 额不超过</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万元款项；</w:t>
      </w:r>
    </w:p>
    <w:p>
      <w:pPr>
        <w:spacing w:before="22"/>
        <w:ind w:left="574" w:right="0" w:firstLine="0"/>
        <w:jc w:val="left"/>
        <w:rPr>
          <w:rFonts w:ascii="宋体" w:hAnsi="宋体" w:cs="宋体" w:eastAsia="宋体" w:hint="default"/>
          <w:sz w:val="21"/>
          <w:szCs w:val="21"/>
        </w:rPr>
      </w:pPr>
      <w:r>
        <w:rPr>
          <w:rFonts w:ascii="宋体" w:hAnsi="宋体" w:cs="宋体" w:eastAsia="宋体" w:hint="default"/>
          <w:sz w:val="21"/>
          <w:szCs w:val="21"/>
        </w:rPr>
        <w:t>③单项金额不重大的其他应收款是指单笔金额账龄未超过三年且金额不超过</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万元款项；</w:t>
      </w:r>
    </w:p>
    <w:p>
      <w:pPr>
        <w:spacing w:line="240" w:lineRule="auto" w:before="0"/>
        <w:rPr>
          <w:rFonts w:ascii="宋体" w:hAnsi="宋体" w:cs="宋体" w:eastAsia="宋体" w:hint="default"/>
          <w:sz w:val="16"/>
          <w:szCs w:val="16"/>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）其他应收款按账龄分析</w:t>
      </w:r>
    </w:p>
    <w:p>
      <w:pPr>
        <w:spacing w:line="240" w:lineRule="auto" w:before="1"/>
        <w:rPr>
          <w:rFonts w:ascii="宋体" w:hAnsi="宋体" w:cs="宋体" w:eastAsia="宋体" w:hint="default"/>
          <w:sz w:val="19"/>
          <w:szCs w:val="19"/>
        </w:rPr>
      </w:pPr>
    </w:p>
    <w:p>
      <w:pPr>
        <w:spacing w:before="0"/>
        <w:ind w:left="0" w:right="68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030"/>
        <w:gridCol w:w="1942"/>
        <w:gridCol w:w="1288"/>
        <w:gridCol w:w="1843"/>
        <w:gridCol w:w="1984"/>
      </w:tblGrid>
      <w:tr>
        <w:trPr>
          <w:trHeight w:val="589" w:hRule="exact"/>
        </w:trPr>
        <w:tc>
          <w:tcPr>
            <w:tcW w:w="20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05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90" w:hRule="exact"/>
        </w:trPr>
        <w:tc>
          <w:tcPr>
            <w:tcW w:w="2030"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714"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2,940,980.58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84.70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2,940,980.58</w:t>
            </w:r>
          </w:p>
        </w:tc>
      </w:tr>
      <w:tr>
        <w:trPr>
          <w:trHeight w:val="714"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522,230.26</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98,542.04</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423,688.22</w:t>
            </w:r>
          </w:p>
        </w:tc>
      </w:tr>
      <w:tr>
        <w:trPr>
          <w:trHeight w:val="714"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9,000.00</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0.26</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9,000.00</w:t>
            </w:r>
            <w:r>
              <w:rPr>
                <w:rFonts w:ascii="Times New Roman"/>
                <w:sz w:val="21"/>
              </w:rPr>
            </w:r>
          </w:p>
        </w:tc>
      </w:tr>
      <w:tr>
        <w:trPr>
          <w:trHeight w:val="590"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3,472,210.84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98,542.04</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3,373,668.80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8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0" w:right="66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030"/>
        <w:gridCol w:w="1942"/>
        <w:gridCol w:w="1288"/>
        <w:gridCol w:w="1843"/>
        <w:gridCol w:w="1984"/>
      </w:tblGrid>
      <w:tr>
        <w:trPr>
          <w:trHeight w:val="590" w:hRule="exact"/>
        </w:trPr>
        <w:tc>
          <w:tcPr>
            <w:tcW w:w="20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705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89" w:hRule="exact"/>
        </w:trPr>
        <w:tc>
          <w:tcPr>
            <w:tcW w:w="2030"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90"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10,421,503.32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99.91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10,421,503.32</w:t>
            </w:r>
          </w:p>
        </w:tc>
      </w:tr>
      <w:tr>
        <w:trPr>
          <w:trHeight w:val="590"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9,290.00</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0.09</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190.00</w:t>
            </w:r>
            <w:r>
              <w:rPr>
                <w:rFonts w:ascii="Times New Roman"/>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9,100.00</w:t>
            </w:r>
            <w:r>
              <w:rPr>
                <w:rFonts w:ascii="Times New Roman"/>
                <w:sz w:val="21"/>
              </w:rPr>
            </w:r>
          </w:p>
        </w:tc>
      </w:tr>
      <w:tr>
        <w:trPr>
          <w:trHeight w:val="590" w:hRule="exact"/>
        </w:trPr>
        <w:tc>
          <w:tcPr>
            <w:tcW w:w="2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10,430,793.32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10,430,603.32</w:t>
            </w:r>
          </w:p>
        </w:tc>
      </w:tr>
    </w:tbl>
    <w:p>
      <w:pPr>
        <w:spacing w:line="240" w:lineRule="auto" w:before="2"/>
        <w:rPr>
          <w:rFonts w:ascii="宋体" w:hAnsi="宋体" w:cs="宋体" w:eastAsia="宋体" w:hint="default"/>
          <w:sz w:val="15"/>
          <w:szCs w:val="15"/>
        </w:rPr>
      </w:pPr>
    </w:p>
    <w:p>
      <w:pPr>
        <w:spacing w:before="35"/>
        <w:ind w:left="574" w:right="656" w:firstLine="0"/>
        <w:jc w:val="left"/>
        <w:rPr>
          <w:rFonts w:ascii="宋体" w:hAnsi="宋体" w:cs="宋体" w:eastAsia="宋体" w:hint="default"/>
          <w:sz w:val="21"/>
          <w:szCs w:val="21"/>
        </w:rPr>
      </w:pPr>
      <w:r>
        <w:rPr>
          <w:rFonts w:ascii="宋体" w:hAnsi="宋体" w:cs="宋体" w:eastAsia="宋体" w:hint="default"/>
          <w:sz w:val="21"/>
          <w:szCs w:val="21"/>
        </w:rPr>
        <w:t>（3）报告期内无单项金额不重大但按信用风险特征组合后该组合的风险较大的其他应收款。</w:t>
      </w:r>
    </w:p>
    <w:p>
      <w:pPr>
        <w:spacing w:line="240" w:lineRule="auto" w:before="2"/>
        <w:rPr>
          <w:rFonts w:ascii="宋体" w:hAnsi="宋体" w:cs="宋体" w:eastAsia="宋体" w:hint="default"/>
          <w:sz w:val="20"/>
          <w:szCs w:val="20"/>
        </w:rPr>
      </w:pPr>
    </w:p>
    <w:p>
      <w:pPr>
        <w:spacing w:line="439" w:lineRule="auto" w:before="0"/>
        <w:ind w:left="154" w:right="656" w:firstLine="420"/>
        <w:jc w:val="left"/>
        <w:rPr>
          <w:rFonts w:ascii="宋体" w:hAnsi="宋体" w:cs="宋体" w:eastAsia="宋体" w:hint="default"/>
          <w:sz w:val="21"/>
          <w:szCs w:val="21"/>
        </w:rPr>
      </w:pPr>
      <w:r>
        <w:rPr>
          <w:rFonts w:ascii="宋体" w:hAnsi="宋体" w:cs="宋体" w:eastAsia="宋体" w:hint="default"/>
          <w:sz w:val="21"/>
          <w:szCs w:val="21"/>
        </w:rPr>
        <w:t>（4）本报告期末其他应收款余额中有应收持有公司</w:t>
      </w:r>
      <w:r>
        <w:rPr>
          <w:rFonts w:ascii="宋体" w:hAnsi="宋体" w:cs="宋体" w:eastAsia="宋体" w:hint="default"/>
          <w:spacing w:val="-65"/>
          <w:sz w:val="21"/>
          <w:szCs w:val="21"/>
        </w:rPr>
        <w:t> </w:t>
      </w:r>
      <w:r>
        <w:rPr>
          <w:rFonts w:ascii="宋体" w:hAnsi="宋体" w:cs="宋体" w:eastAsia="宋体" w:hint="default"/>
          <w:sz w:val="21"/>
          <w:szCs w:val="21"/>
        </w:rPr>
        <w:t>5%(含</w:t>
      </w:r>
      <w:r>
        <w:rPr>
          <w:rFonts w:ascii="宋体" w:hAnsi="宋体" w:cs="宋体" w:eastAsia="宋体" w:hint="default"/>
          <w:spacing w:val="-66"/>
          <w:sz w:val="21"/>
          <w:szCs w:val="21"/>
        </w:rPr>
        <w:t> </w:t>
      </w:r>
      <w:r>
        <w:rPr>
          <w:rFonts w:ascii="宋体" w:hAnsi="宋体" w:cs="宋体" w:eastAsia="宋体" w:hint="default"/>
          <w:sz w:val="21"/>
          <w:szCs w:val="21"/>
        </w:rPr>
        <w:t>5%)以上表决权股份的股东单位款明细详见</w:t>
      </w:r>
      <w:r>
        <w:rPr>
          <w:rFonts w:ascii="宋体" w:hAnsi="宋体" w:cs="宋体" w:eastAsia="宋体" w:hint="default"/>
          <w:sz w:val="21"/>
          <w:szCs w:val="21"/>
        </w:rPr>
        <w:t> 附注六、6</w:t>
      </w:r>
      <w:r>
        <w:rPr>
          <w:rFonts w:ascii="宋体" w:hAnsi="宋体" w:cs="宋体" w:eastAsia="宋体" w:hint="default"/>
          <w:spacing w:val="-54"/>
          <w:sz w:val="21"/>
          <w:szCs w:val="21"/>
        </w:rPr>
        <w:t> </w:t>
      </w:r>
      <w:r>
        <w:rPr>
          <w:rFonts w:ascii="宋体" w:hAnsi="宋体" w:cs="宋体" w:eastAsia="宋体" w:hint="default"/>
          <w:sz w:val="21"/>
          <w:szCs w:val="21"/>
        </w:rPr>
        <w:t>关联方应收应付往来款明细。</w:t>
      </w:r>
    </w:p>
    <w:p>
      <w:pPr>
        <w:spacing w:before="91"/>
        <w:ind w:left="574" w:right="656" w:firstLine="0"/>
        <w:jc w:val="left"/>
        <w:rPr>
          <w:rFonts w:ascii="宋体" w:hAnsi="宋体" w:cs="宋体" w:eastAsia="宋体" w:hint="default"/>
          <w:sz w:val="21"/>
          <w:szCs w:val="21"/>
        </w:rPr>
      </w:pPr>
      <w:r>
        <w:rPr>
          <w:rFonts w:ascii="宋体" w:hAnsi="宋体" w:cs="宋体" w:eastAsia="宋体" w:hint="default"/>
          <w:sz w:val="21"/>
          <w:szCs w:val="21"/>
        </w:rPr>
        <w:t>（5）其他应收款金额前五名单位情况</w:t>
      </w:r>
    </w:p>
    <w:p>
      <w:pPr>
        <w:spacing w:line="240" w:lineRule="auto" w:before="3"/>
        <w:rPr>
          <w:rFonts w:ascii="宋体" w:hAnsi="宋体" w:cs="宋体" w:eastAsia="宋体" w:hint="default"/>
          <w:sz w:val="20"/>
          <w:szCs w:val="20"/>
        </w:rPr>
      </w:pPr>
    </w:p>
    <w:p>
      <w:pPr>
        <w:spacing w:before="0"/>
        <w:ind w:left="0" w:right="67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4156"/>
        <w:gridCol w:w="1981"/>
        <w:gridCol w:w="1438"/>
        <w:gridCol w:w="1096"/>
        <w:gridCol w:w="1542"/>
      </w:tblGrid>
      <w:tr>
        <w:trPr>
          <w:trHeight w:val="424" w:hRule="exact"/>
        </w:trPr>
        <w:tc>
          <w:tcPr>
            <w:tcW w:w="4156" w:type="dxa"/>
            <w:tcBorders>
              <w:top w:val="single" w:sz="4" w:space="0" w:color="000000"/>
              <w:left w:val="nil" w:sz="6" w:space="0" w:color="auto"/>
              <w:bottom w:val="nil" w:sz="6" w:space="0" w:color="auto"/>
              <w:right w:val="single" w:sz="4" w:space="0" w:color="000000"/>
            </w:tcBorders>
          </w:tcPr>
          <w:p>
            <w:pPr/>
          </w:p>
        </w:tc>
        <w:tc>
          <w:tcPr>
            <w:tcW w:w="1981" w:type="dxa"/>
            <w:tcBorders>
              <w:top w:val="single" w:sz="4" w:space="0" w:color="000000"/>
              <w:left w:val="single" w:sz="4" w:space="0" w:color="000000"/>
              <w:bottom w:val="nil" w:sz="6" w:space="0" w:color="auto"/>
              <w:right w:val="single" w:sz="4" w:space="0" w:color="000000"/>
            </w:tcBorders>
          </w:tcPr>
          <w:p>
            <w:pPr/>
          </w:p>
        </w:tc>
        <w:tc>
          <w:tcPr>
            <w:tcW w:w="1438"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542" w:type="dxa"/>
            <w:tcBorders>
              <w:top w:val="single" w:sz="4" w:space="0" w:color="000000"/>
              <w:left w:val="single" w:sz="4" w:space="0" w:color="000000"/>
              <w:bottom w:val="nil" w:sz="6" w:space="0" w:color="auto"/>
              <w:right w:val="nil" w:sz="6" w:space="0" w:color="auto"/>
            </w:tcBorders>
          </w:tcPr>
          <w:p>
            <w:pPr>
              <w:pStyle w:val="TableParagraph"/>
              <w:spacing w:line="240" w:lineRule="auto" w:before="120"/>
              <w:ind w:right="139"/>
              <w:jc w:val="right"/>
              <w:rPr>
                <w:rFonts w:ascii="宋体" w:hAnsi="宋体" w:cs="宋体" w:eastAsia="宋体" w:hint="default"/>
                <w:sz w:val="21"/>
                <w:szCs w:val="21"/>
              </w:rPr>
            </w:pPr>
            <w:r>
              <w:rPr>
                <w:rFonts w:ascii="宋体" w:hAnsi="宋体" w:cs="宋体" w:eastAsia="宋体" w:hint="default"/>
                <w:sz w:val="21"/>
                <w:szCs w:val="21"/>
              </w:rPr>
              <w:t>占其他应收款</w:t>
            </w:r>
          </w:p>
        </w:tc>
      </w:tr>
      <w:tr>
        <w:trPr>
          <w:trHeight w:val="278" w:hRule="exact"/>
        </w:trPr>
        <w:tc>
          <w:tcPr>
            <w:tcW w:w="4156" w:type="dxa"/>
            <w:tcBorders>
              <w:top w:val="nil" w:sz="6" w:space="0" w:color="auto"/>
              <w:left w:val="nil" w:sz="6" w:space="0" w:color="auto"/>
              <w:bottom w:val="nil" w:sz="6" w:space="0" w:color="auto"/>
              <w:right w:val="single" w:sz="4" w:space="0" w:color="000000"/>
            </w:tcBorders>
          </w:tcPr>
          <w:p>
            <w:pPr>
              <w:pStyle w:val="TableParagraph"/>
              <w:spacing w:line="234" w:lineRule="exact"/>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1"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35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38"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542" w:type="dxa"/>
            <w:tcBorders>
              <w:top w:val="nil" w:sz="6" w:space="0" w:color="auto"/>
              <w:left w:val="single" w:sz="4" w:space="0" w:color="000000"/>
              <w:bottom w:val="nil" w:sz="6" w:space="0" w:color="auto"/>
              <w:right w:val="nil" w:sz="6" w:space="0" w:color="auto"/>
            </w:tcBorders>
          </w:tcPr>
          <w:p>
            <w:pPr>
              <w:pStyle w:val="TableParagraph"/>
              <w:spacing w:line="248" w:lineRule="exact"/>
              <w:ind w:left="241"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9" w:hRule="exact"/>
        </w:trPr>
        <w:tc>
          <w:tcPr>
            <w:tcW w:w="4156" w:type="dxa"/>
            <w:tcBorders>
              <w:top w:val="nil" w:sz="6" w:space="0" w:color="auto"/>
              <w:left w:val="nil" w:sz="6" w:space="0" w:color="auto"/>
              <w:bottom w:val="single" w:sz="4" w:space="0" w:color="000000"/>
              <w:right w:val="single" w:sz="4" w:space="0" w:color="000000"/>
            </w:tcBorders>
          </w:tcPr>
          <w:p>
            <w:pPr/>
          </w:p>
        </w:tc>
        <w:tc>
          <w:tcPr>
            <w:tcW w:w="1981"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542" w:type="dxa"/>
            <w:tcBorders>
              <w:top w:val="nil" w:sz="6" w:space="0" w:color="auto"/>
              <w:left w:val="single" w:sz="4" w:space="0" w:color="000000"/>
              <w:bottom w:val="single" w:sz="4" w:space="0" w:color="000000"/>
              <w:right w:val="nil" w:sz="6" w:space="0" w:color="auto"/>
            </w:tcBorders>
          </w:tcPr>
          <w:p>
            <w:pPr>
              <w:pStyle w:val="TableParagraph"/>
              <w:spacing w:line="240" w:lineRule="auto" w:before="2"/>
              <w:ind w:right="4"/>
              <w:jc w:val="center"/>
              <w:rPr>
                <w:rFonts w:ascii="Times New Roman" w:hAnsi="Times New Roman" w:cs="Times New Roman" w:eastAsia="Times New Roman" w:hint="default"/>
                <w:sz w:val="21"/>
                <w:szCs w:val="21"/>
              </w:rPr>
            </w:pPr>
            <w:r>
              <w:rPr>
                <w:rFonts w:ascii="Times New Roman"/>
                <w:sz w:val="21"/>
              </w:rPr>
              <w:t>(%)</w:t>
            </w:r>
          </w:p>
        </w:tc>
      </w:tr>
      <w:tr>
        <w:trPr>
          <w:trHeight w:val="590" w:hRule="exact"/>
        </w:trPr>
        <w:tc>
          <w:tcPr>
            <w:tcW w:w="4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兖州城市小区住宅管理办公室</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属地政府管理机构</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918,974.40</w:t>
            </w:r>
            <w:r>
              <w:rPr>
                <w:rFonts w:ascii="Times New Roman"/>
                <w:sz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26.47</w:t>
            </w:r>
          </w:p>
        </w:tc>
      </w:tr>
      <w:tr>
        <w:trPr>
          <w:trHeight w:val="590" w:hRule="exact"/>
        </w:trPr>
        <w:tc>
          <w:tcPr>
            <w:tcW w:w="4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兖州拖欠工程款问题领导小组办公室</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属地政府管理机构</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870,100.00</w:t>
            </w:r>
            <w:r>
              <w:rPr>
                <w:rFonts w:ascii="Times New Roman"/>
                <w:sz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25.06</w:t>
            </w:r>
          </w:p>
        </w:tc>
      </w:tr>
      <w:tr>
        <w:trPr>
          <w:trHeight w:val="589" w:hRule="exact"/>
        </w:trPr>
        <w:tc>
          <w:tcPr>
            <w:tcW w:w="4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兖州市新型墙体材料应用领导小组办公室</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属地政府管理机构</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614,100.00</w:t>
            </w:r>
            <w:r>
              <w:rPr>
                <w:rFonts w:ascii="Times New Roman"/>
                <w:sz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17.69</w:t>
            </w:r>
          </w:p>
        </w:tc>
      </w:tr>
      <w:tr>
        <w:trPr>
          <w:trHeight w:val="590" w:hRule="exact"/>
        </w:trPr>
        <w:tc>
          <w:tcPr>
            <w:tcW w:w="4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济宁市圣润电力安装有限公司</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8.64</w:t>
            </w:r>
          </w:p>
        </w:tc>
      </w:tr>
      <w:tr>
        <w:trPr>
          <w:trHeight w:val="590" w:hRule="exact"/>
        </w:trPr>
        <w:tc>
          <w:tcPr>
            <w:tcW w:w="4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济宁市供电公司</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175,964.18</w:t>
            </w:r>
            <w:r>
              <w:rPr>
                <w:rFonts w:ascii="Times New Roman"/>
                <w:sz w:val="21"/>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5.07</w:t>
            </w:r>
          </w:p>
        </w:tc>
      </w:tr>
      <w:tr>
        <w:trPr>
          <w:trHeight w:val="590" w:hRule="exact"/>
        </w:trPr>
        <w:tc>
          <w:tcPr>
            <w:tcW w:w="4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65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2,879,138.58</w:t>
            </w:r>
          </w:p>
        </w:tc>
        <w:tc>
          <w:tcPr>
            <w:tcW w:w="1096"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82.92</w:t>
            </w:r>
          </w:p>
        </w:tc>
      </w:tr>
    </w:tbl>
    <w:p>
      <w:pPr>
        <w:spacing w:line="240" w:lineRule="auto" w:before="2"/>
        <w:rPr>
          <w:rFonts w:ascii="宋体" w:hAnsi="宋体" w:cs="宋体" w:eastAsia="宋体" w:hint="default"/>
          <w:sz w:val="15"/>
          <w:szCs w:val="15"/>
        </w:rPr>
      </w:pPr>
    </w:p>
    <w:p>
      <w:pPr>
        <w:spacing w:before="35"/>
        <w:ind w:left="574" w:right="656" w:firstLine="0"/>
        <w:jc w:val="left"/>
        <w:rPr>
          <w:rFonts w:ascii="宋体" w:hAnsi="宋体" w:cs="宋体" w:eastAsia="宋体" w:hint="default"/>
          <w:sz w:val="21"/>
          <w:szCs w:val="21"/>
        </w:rPr>
      </w:pPr>
      <w:r>
        <w:rPr>
          <w:rFonts w:ascii="宋体" w:hAnsi="宋体" w:cs="宋体" w:eastAsia="宋体" w:hint="default"/>
          <w:sz w:val="21"/>
          <w:szCs w:val="21"/>
        </w:rPr>
        <w:t>4、存货</w:t>
      </w:r>
    </w:p>
    <w:p>
      <w:pPr>
        <w:spacing w:line="240" w:lineRule="auto" w:before="3"/>
        <w:rPr>
          <w:rFonts w:ascii="宋体" w:hAnsi="宋体" w:cs="宋体" w:eastAsia="宋体" w:hint="default"/>
          <w:sz w:val="20"/>
          <w:szCs w:val="20"/>
        </w:rPr>
      </w:pPr>
    </w:p>
    <w:p>
      <w:pPr>
        <w:spacing w:before="0"/>
        <w:ind w:left="574" w:right="656" w:firstLine="0"/>
        <w:jc w:val="left"/>
        <w:rPr>
          <w:rFonts w:ascii="宋体" w:hAnsi="宋体" w:cs="宋体" w:eastAsia="宋体" w:hint="default"/>
          <w:sz w:val="21"/>
          <w:szCs w:val="21"/>
        </w:rPr>
      </w:pPr>
      <w:r>
        <w:rPr>
          <w:rFonts w:ascii="宋体" w:hAnsi="宋体" w:cs="宋体" w:eastAsia="宋体" w:hint="default"/>
          <w:sz w:val="21"/>
          <w:szCs w:val="21"/>
        </w:rPr>
        <w:t>（1）存货分类</w:t>
      </w:r>
    </w:p>
    <w:p>
      <w:pPr>
        <w:spacing w:line="240" w:lineRule="auto" w:before="8"/>
        <w:rPr>
          <w:rFonts w:ascii="宋体" w:hAnsi="宋体" w:cs="宋体" w:eastAsia="宋体" w:hint="default"/>
          <w:sz w:val="17"/>
          <w:szCs w:val="17"/>
        </w:rPr>
      </w:pPr>
    </w:p>
    <w:p>
      <w:pPr>
        <w:spacing w:before="35"/>
        <w:ind w:left="0" w:right="67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1465"/>
        <w:gridCol w:w="4232"/>
        <w:gridCol w:w="3959"/>
      </w:tblGrid>
      <w:tr>
        <w:trPr>
          <w:trHeight w:val="570"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0" w:footer="941" w:top="1100" w:bottom="1140" w:left="980" w:right="46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87"/>
        <w:gridCol w:w="1538"/>
        <w:gridCol w:w="1134"/>
        <w:gridCol w:w="1560"/>
        <w:gridCol w:w="1417"/>
        <w:gridCol w:w="1133"/>
        <w:gridCol w:w="1416"/>
      </w:tblGrid>
      <w:tr>
        <w:trPr>
          <w:trHeight w:val="570" w:hRule="exact"/>
        </w:trPr>
        <w:tc>
          <w:tcPr>
            <w:tcW w:w="1487" w:type="dxa"/>
            <w:tcBorders>
              <w:top w:val="single" w:sz="4" w:space="0" w:color="000000"/>
              <w:left w:val="nil" w:sz="6" w:space="0" w:color="auto"/>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4" w:hRule="exact"/>
        </w:trPr>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在建开发产品</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26,605,440.53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26,605,440.53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92,496,347.45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92,496,347.45</w:t>
            </w:r>
          </w:p>
        </w:tc>
      </w:tr>
      <w:tr>
        <w:trPr>
          <w:trHeight w:val="714" w:hRule="exact"/>
        </w:trPr>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拟开发产品</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165,561,457.02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165,561,457.02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165,541,457.02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165,541,457.02</w:t>
            </w:r>
          </w:p>
        </w:tc>
      </w:tr>
      <w:tr>
        <w:trPr>
          <w:trHeight w:val="714" w:hRule="exact"/>
        </w:trPr>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已开发产品</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134,973,806.14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134,973,806.14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14" w:hRule="exact"/>
        </w:trPr>
        <w:tc>
          <w:tcPr>
            <w:tcW w:w="14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66" w:val="left" w:leader="none"/>
              </w:tabs>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327,140,703.69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327,140,703.69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258,037,804.47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258,037,804.47</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（2）在建开发产品</w:t>
      </w:r>
    </w:p>
    <w:p>
      <w:pPr>
        <w:spacing w:line="240" w:lineRule="auto" w:before="9"/>
        <w:rPr>
          <w:rFonts w:ascii="宋体" w:hAnsi="宋体" w:cs="宋体" w:eastAsia="宋体" w:hint="default"/>
          <w:sz w:val="17"/>
          <w:szCs w:val="17"/>
        </w:rPr>
      </w:pPr>
    </w:p>
    <w:p>
      <w:pPr>
        <w:spacing w:before="35"/>
        <w:ind w:left="0" w:right="5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814"/>
        <w:gridCol w:w="1800"/>
        <w:gridCol w:w="1980"/>
        <w:gridCol w:w="1620"/>
        <w:gridCol w:w="1440"/>
        <w:gridCol w:w="1440"/>
      </w:tblGrid>
      <w:tr>
        <w:trPr>
          <w:trHeight w:val="57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开工时间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预计竣工时间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预计总投资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76" w:hRule="exact"/>
        </w:trPr>
        <w:tc>
          <w:tcPr>
            <w:tcW w:w="1814"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海情丽都一期一</w:t>
            </w:r>
          </w:p>
        </w:tc>
        <w:tc>
          <w:tcPr>
            <w:tcW w:w="180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nil" w:sz="6" w:space="0" w:color="auto"/>
            </w:tcBorders>
          </w:tcPr>
          <w:p>
            <w:pPr/>
          </w:p>
        </w:tc>
      </w:tr>
      <w:tr>
        <w:trPr>
          <w:trHeight w:val="537" w:hRule="exact"/>
        </w:trPr>
        <w:tc>
          <w:tcPr>
            <w:tcW w:w="1814"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21"/>
                <w:szCs w:val="21"/>
              </w:rPr>
            </w:pPr>
            <w:r>
              <w:rPr>
                <w:rFonts w:ascii="宋体" w:hAnsi="宋体" w:cs="宋体" w:eastAsia="宋体" w:hint="default"/>
                <w:sz w:val="21"/>
                <w:szCs w:val="21"/>
              </w:rPr>
              <w:t>阶段（</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亩多</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150,000,000.00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40"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64,785,610.52</w:t>
            </w:r>
          </w:p>
        </w:tc>
      </w:tr>
      <w:tr>
        <w:trPr>
          <w:trHeight w:val="417" w:hRule="exact"/>
        </w:trPr>
        <w:tc>
          <w:tcPr>
            <w:tcW w:w="1814" w:type="dxa"/>
            <w:tcBorders>
              <w:top w:val="nil" w:sz="6" w:space="0" w:color="auto"/>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层）</w:t>
            </w:r>
          </w:p>
        </w:tc>
        <w:tc>
          <w:tcPr>
            <w:tcW w:w="180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nil" w:sz="6" w:space="0" w:color="auto"/>
            </w:tcBorders>
          </w:tcPr>
          <w:p>
            <w:pPr/>
          </w:p>
        </w:tc>
      </w:tr>
      <w:tr>
        <w:trPr>
          <w:trHeight w:val="576" w:hRule="exact"/>
        </w:trPr>
        <w:tc>
          <w:tcPr>
            <w:tcW w:w="1814"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海情丽都一期二</w:t>
            </w:r>
          </w:p>
        </w:tc>
        <w:tc>
          <w:tcPr>
            <w:tcW w:w="180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nil" w:sz="6" w:space="0" w:color="auto"/>
            </w:tcBorders>
          </w:tcPr>
          <w:p>
            <w:pPr/>
          </w:p>
        </w:tc>
      </w:tr>
      <w:tr>
        <w:trPr>
          <w:trHeight w:val="537" w:hRule="exact"/>
        </w:trPr>
        <w:tc>
          <w:tcPr>
            <w:tcW w:w="1814"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22" w:right="0"/>
              <w:jc w:val="left"/>
              <w:rPr>
                <w:rFonts w:ascii="宋体" w:hAnsi="宋体" w:cs="宋体" w:eastAsia="宋体" w:hint="default"/>
                <w:sz w:val="21"/>
                <w:szCs w:val="21"/>
              </w:rPr>
            </w:pPr>
            <w:r>
              <w:rPr>
                <w:rFonts w:ascii="宋体" w:hAnsi="宋体" w:cs="宋体" w:eastAsia="宋体" w:hint="default"/>
                <w:sz w:val="21"/>
                <w:szCs w:val="21"/>
              </w:rPr>
              <w:t>阶段（</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亩高</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180,000,000.00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26,605,440.53</w:t>
            </w:r>
          </w:p>
        </w:tc>
        <w:tc>
          <w:tcPr>
            <w:tcW w:w="1440"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17" w:hRule="exact"/>
        </w:trPr>
        <w:tc>
          <w:tcPr>
            <w:tcW w:w="1814" w:type="dxa"/>
            <w:tcBorders>
              <w:top w:val="nil" w:sz="6" w:space="0" w:color="auto"/>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层）</w:t>
            </w:r>
          </w:p>
        </w:tc>
        <w:tc>
          <w:tcPr>
            <w:tcW w:w="180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nil" w:sz="6" w:space="0" w:color="auto"/>
            </w:tcBorders>
          </w:tcPr>
          <w:p>
            <w:pPr/>
          </w:p>
        </w:tc>
      </w:tr>
      <w:tr>
        <w:trPr>
          <w:trHeight w:val="57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542"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26,605,440.53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
              <w:jc w:val="center"/>
              <w:rPr>
                <w:rFonts w:ascii="Times New Roman" w:hAnsi="Times New Roman" w:cs="Times New Roman" w:eastAsia="Times New Roman" w:hint="default"/>
                <w:sz w:val="21"/>
                <w:szCs w:val="21"/>
              </w:rPr>
            </w:pPr>
            <w:r>
              <w:rPr>
                <w:rFonts w:ascii="Times New Roman"/>
                <w:sz w:val="21"/>
              </w:rPr>
              <w:t>64,785,610.52</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其中：利息资本化金额如下：</w:t>
      </w:r>
    </w:p>
    <w:p>
      <w:pPr>
        <w:spacing w:line="240" w:lineRule="auto" w:before="8"/>
        <w:rPr>
          <w:rFonts w:ascii="宋体" w:hAnsi="宋体" w:cs="宋体" w:eastAsia="宋体" w:hint="default"/>
          <w:sz w:val="17"/>
          <w:szCs w:val="17"/>
        </w:rPr>
      </w:pPr>
    </w:p>
    <w:p>
      <w:pPr>
        <w:spacing w:before="35"/>
        <w:ind w:left="0" w:right="5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2708"/>
        <w:gridCol w:w="1559"/>
        <w:gridCol w:w="1559"/>
        <w:gridCol w:w="1986"/>
        <w:gridCol w:w="1842"/>
      </w:tblGrid>
      <w:tr>
        <w:trPr>
          <w:trHeight w:val="57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本期转入开发产品</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0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7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海情丽都一期一阶段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438,942.95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438,942.95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7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石雀滩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朱雀台项目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3,567,025.00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3,567,025.00</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（3）开发产品</w:t>
      </w:r>
    </w:p>
    <w:p>
      <w:pPr>
        <w:spacing w:line="240" w:lineRule="auto" w:before="8"/>
        <w:rPr>
          <w:rFonts w:ascii="宋体" w:hAnsi="宋体" w:cs="宋体" w:eastAsia="宋体" w:hint="default"/>
          <w:sz w:val="17"/>
          <w:szCs w:val="17"/>
        </w:rPr>
      </w:pPr>
    </w:p>
    <w:p>
      <w:pPr>
        <w:spacing w:before="35"/>
        <w:ind w:left="0" w:right="5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92" w:type="dxa"/>
        <w:tblLayout w:type="fixed"/>
        <w:tblCellMar>
          <w:top w:w="0" w:type="dxa"/>
          <w:left w:w="0" w:type="dxa"/>
          <w:bottom w:w="0" w:type="dxa"/>
          <w:right w:w="0" w:type="dxa"/>
        </w:tblCellMar>
        <w:tblLook w:val="01E0"/>
      </w:tblPr>
      <w:tblGrid>
        <w:gridCol w:w="2333"/>
        <w:gridCol w:w="2000"/>
        <w:gridCol w:w="712"/>
        <w:gridCol w:w="1529"/>
        <w:gridCol w:w="1424"/>
        <w:gridCol w:w="1834"/>
      </w:tblGrid>
      <w:tr>
        <w:trPr>
          <w:trHeight w:val="1091"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竣工时间</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8"/>
              <w:ind w:left="246" w:right="139" w:hanging="106"/>
              <w:jc w:val="left"/>
              <w:rPr>
                <w:rFonts w:ascii="宋体" w:hAnsi="宋体" w:cs="宋体" w:eastAsia="宋体" w:hint="default"/>
                <w:sz w:val="21"/>
                <w:szCs w:val="21"/>
              </w:rPr>
            </w:pPr>
            <w:r>
              <w:rPr>
                <w:rFonts w:ascii="宋体" w:hAnsi="宋体" w:cs="宋体" w:eastAsia="宋体" w:hint="default"/>
                <w:sz w:val="21"/>
                <w:szCs w:val="21"/>
              </w:rPr>
              <w:t>期初 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96"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0" w:footer="941" w:top="1100" w:bottom="1140" w:left="980" w:right="580"/>
        </w:sectPr>
      </w:pPr>
    </w:p>
    <w:p>
      <w:pPr>
        <w:spacing w:line="240" w:lineRule="auto" w:before="6"/>
        <w:rPr>
          <w:rFonts w:ascii="宋体" w:hAnsi="宋体" w:cs="宋体" w:eastAsia="宋体" w:hint="default"/>
          <w:sz w:val="24"/>
          <w:szCs w:val="24"/>
        </w:rPr>
      </w:pPr>
    </w:p>
    <w:tbl>
      <w:tblPr>
        <w:tblW w:w="0" w:type="auto"/>
        <w:jc w:val="left"/>
        <w:tblInd w:w="192" w:type="dxa"/>
        <w:tblLayout w:type="fixed"/>
        <w:tblCellMar>
          <w:top w:w="0" w:type="dxa"/>
          <w:left w:w="0" w:type="dxa"/>
          <w:bottom w:w="0" w:type="dxa"/>
          <w:right w:w="0" w:type="dxa"/>
        </w:tblCellMar>
        <w:tblLook w:val="01E0"/>
      </w:tblPr>
      <w:tblGrid>
        <w:gridCol w:w="2333"/>
        <w:gridCol w:w="2000"/>
        <w:gridCol w:w="712"/>
        <w:gridCol w:w="1529"/>
        <w:gridCol w:w="1424"/>
        <w:gridCol w:w="1834"/>
      </w:tblGrid>
      <w:tr>
        <w:trPr>
          <w:trHeight w:val="109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竣工时间</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8"/>
              <w:ind w:left="245" w:right="139" w:hanging="106"/>
              <w:jc w:val="left"/>
              <w:rPr>
                <w:rFonts w:ascii="宋体" w:hAnsi="宋体" w:cs="宋体" w:eastAsia="宋体" w:hint="default"/>
                <w:sz w:val="21"/>
                <w:szCs w:val="21"/>
              </w:rPr>
            </w:pPr>
            <w:r>
              <w:rPr>
                <w:rFonts w:ascii="宋体" w:hAnsi="宋体" w:cs="宋体" w:eastAsia="宋体" w:hint="default"/>
                <w:sz w:val="21"/>
                <w:szCs w:val="21"/>
              </w:rPr>
              <w:t>期初 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9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9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海情丽都一期一阶段</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126,201,851.12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47,667,614.61</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78,534,236.51</w:t>
            </w:r>
          </w:p>
        </w:tc>
      </w:tr>
      <w:tr>
        <w:trPr>
          <w:trHeight w:val="59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石雀滩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朱雀台项目</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79,246,167.64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22,806,598.01</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56,439,569.63</w:t>
            </w:r>
          </w:p>
        </w:tc>
      </w:tr>
    </w:tbl>
    <w:p>
      <w:pPr>
        <w:spacing w:line="240" w:lineRule="auto" w:before="2"/>
        <w:rPr>
          <w:rFonts w:ascii="宋体" w:hAnsi="宋体" w:cs="宋体" w:eastAsia="宋体" w:hint="default"/>
          <w:sz w:val="15"/>
          <w:szCs w:val="15"/>
        </w:rPr>
      </w:pPr>
    </w:p>
    <w:p>
      <w:pPr>
        <w:spacing w:before="35"/>
        <w:ind w:left="679" w:right="6820" w:firstLine="0"/>
        <w:jc w:val="left"/>
        <w:rPr>
          <w:rFonts w:ascii="宋体" w:hAnsi="宋体" w:cs="宋体" w:eastAsia="宋体" w:hint="default"/>
          <w:sz w:val="21"/>
          <w:szCs w:val="21"/>
        </w:rPr>
      </w:pPr>
      <w:r>
        <w:rPr>
          <w:rFonts w:ascii="宋体" w:hAnsi="宋体" w:cs="宋体" w:eastAsia="宋体" w:hint="default"/>
          <w:sz w:val="21"/>
          <w:szCs w:val="21"/>
        </w:rPr>
        <w:t>（4）拟开发项目</w:t>
      </w:r>
    </w:p>
    <w:p>
      <w:pPr>
        <w:spacing w:line="240" w:lineRule="auto" w:before="8"/>
        <w:rPr>
          <w:rFonts w:ascii="宋体" w:hAnsi="宋体" w:cs="宋体" w:eastAsia="宋体" w:hint="default"/>
          <w:sz w:val="17"/>
          <w:szCs w:val="17"/>
        </w:rPr>
      </w:pPr>
    </w:p>
    <w:p>
      <w:pPr>
        <w:spacing w:before="35"/>
        <w:ind w:left="0" w:right="3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92" w:type="dxa"/>
        <w:tblLayout w:type="fixed"/>
        <w:tblCellMar>
          <w:top w:w="0" w:type="dxa"/>
          <w:left w:w="0" w:type="dxa"/>
          <w:bottom w:w="0" w:type="dxa"/>
          <w:right w:w="0" w:type="dxa"/>
        </w:tblCellMar>
        <w:tblLook w:val="01E0"/>
      </w:tblPr>
      <w:tblGrid>
        <w:gridCol w:w="2117"/>
        <w:gridCol w:w="1620"/>
        <w:gridCol w:w="1620"/>
        <w:gridCol w:w="1192"/>
        <w:gridCol w:w="1394"/>
        <w:gridCol w:w="1834"/>
      </w:tblGrid>
      <w:tr>
        <w:trPr>
          <w:trHeight w:val="59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预计竣工时间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9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9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海情二期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118,677,612.85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118,677,612.85</w:t>
            </w:r>
          </w:p>
        </w:tc>
      </w:tr>
      <w:tr>
        <w:trPr>
          <w:trHeight w:val="589"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石雀滩项目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地块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23,705,660.77</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23,705,660.77</w:t>
            </w:r>
          </w:p>
        </w:tc>
      </w:tr>
      <w:tr>
        <w:trPr>
          <w:trHeight w:val="59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石雀滩项目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地块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23,178,183.40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23,178,183.40</w:t>
            </w:r>
          </w:p>
        </w:tc>
      </w:tr>
      <w:tr>
        <w:trPr>
          <w:trHeight w:val="590"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165,561,457.02</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165,561,457.02</w:t>
            </w:r>
          </w:p>
        </w:tc>
      </w:tr>
    </w:tbl>
    <w:p>
      <w:pPr>
        <w:spacing w:line="240" w:lineRule="auto" w:before="2"/>
        <w:rPr>
          <w:rFonts w:ascii="宋体" w:hAnsi="宋体" w:cs="宋体" w:eastAsia="宋体" w:hint="default"/>
          <w:sz w:val="15"/>
          <w:szCs w:val="15"/>
        </w:rPr>
      </w:pPr>
    </w:p>
    <w:p>
      <w:pPr>
        <w:spacing w:line="472" w:lineRule="auto" w:before="35"/>
        <w:ind w:left="574" w:right="6820" w:firstLine="0"/>
        <w:jc w:val="left"/>
        <w:rPr>
          <w:rFonts w:ascii="宋体" w:hAnsi="宋体" w:cs="宋体" w:eastAsia="宋体" w:hint="default"/>
          <w:sz w:val="21"/>
          <w:szCs w:val="21"/>
        </w:rPr>
      </w:pPr>
      <w:r>
        <w:rPr>
          <w:rFonts w:ascii="宋体" w:hAnsi="宋体" w:cs="宋体" w:eastAsia="宋体" w:hint="default"/>
          <w:sz w:val="21"/>
          <w:szCs w:val="21"/>
        </w:rPr>
        <w:t>（5）存货跌价准备 期末存货无需计提跌价准备。</w:t>
      </w:r>
    </w:p>
    <w:p>
      <w:pPr>
        <w:spacing w:before="60"/>
        <w:ind w:left="574" w:right="184" w:firstLine="0"/>
        <w:jc w:val="left"/>
        <w:rPr>
          <w:rFonts w:ascii="宋体" w:hAnsi="宋体" w:cs="宋体" w:eastAsia="宋体" w:hint="default"/>
          <w:sz w:val="21"/>
          <w:szCs w:val="21"/>
        </w:rPr>
      </w:pPr>
      <w:r>
        <w:rPr>
          <w:rFonts w:ascii="宋体" w:hAnsi="宋体" w:cs="宋体" w:eastAsia="宋体" w:hint="default"/>
          <w:sz w:val="21"/>
          <w:szCs w:val="21"/>
        </w:rPr>
        <w:t>（6）存货抵押情况说明：土地使用权编号为兖国用（2003）字第</w:t>
      </w:r>
      <w:r>
        <w:rPr>
          <w:rFonts w:ascii="宋体" w:hAnsi="宋体" w:cs="宋体" w:eastAsia="宋体" w:hint="default"/>
          <w:spacing w:val="-66"/>
          <w:sz w:val="21"/>
          <w:szCs w:val="21"/>
        </w:rPr>
        <w:t> </w:t>
      </w:r>
      <w:r>
        <w:rPr>
          <w:rFonts w:ascii="宋体" w:hAnsi="宋体" w:cs="宋体" w:eastAsia="宋体" w:hint="default"/>
          <w:sz w:val="21"/>
          <w:szCs w:val="21"/>
        </w:rPr>
        <w:t>1970</w:t>
      </w:r>
      <w:r>
        <w:rPr>
          <w:rFonts w:ascii="宋体" w:hAnsi="宋体" w:cs="宋体" w:eastAsia="宋体" w:hint="default"/>
          <w:spacing w:val="-66"/>
          <w:sz w:val="21"/>
          <w:szCs w:val="21"/>
        </w:rPr>
        <w:t> </w:t>
      </w:r>
      <w:r>
        <w:rPr>
          <w:rFonts w:ascii="宋体" w:hAnsi="宋体" w:cs="宋体" w:eastAsia="宋体" w:hint="default"/>
          <w:sz w:val="21"/>
          <w:szCs w:val="21"/>
        </w:rPr>
        <w:t>号、兖州海情置业有限公司所</w:t>
      </w:r>
    </w:p>
    <w:p>
      <w:pPr>
        <w:spacing w:line="240" w:lineRule="auto" w:before="3"/>
        <w:rPr>
          <w:rFonts w:ascii="宋体" w:hAnsi="宋体" w:cs="宋体" w:eastAsia="宋体" w:hint="default"/>
          <w:sz w:val="17"/>
          <w:szCs w:val="17"/>
        </w:rPr>
      </w:pPr>
    </w:p>
    <w:p>
      <w:pPr>
        <w:spacing w:before="0"/>
        <w:ind w:left="154" w:right="184" w:firstLine="0"/>
        <w:jc w:val="left"/>
        <w:rPr>
          <w:rFonts w:ascii="宋体" w:hAnsi="宋体" w:cs="宋体" w:eastAsia="宋体" w:hint="default"/>
          <w:sz w:val="21"/>
          <w:szCs w:val="21"/>
        </w:rPr>
      </w:pPr>
      <w:r>
        <w:rPr>
          <w:rFonts w:ascii="宋体" w:hAnsi="宋体" w:cs="宋体" w:eastAsia="宋体" w:hint="default"/>
          <w:sz w:val="21"/>
          <w:szCs w:val="21"/>
        </w:rPr>
        <w:t>开发项目——海情丽都一期项目用地于</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25</w:t>
      </w:r>
      <w:r>
        <w:rPr>
          <w:rFonts w:ascii="宋体" w:hAnsi="宋体" w:cs="宋体" w:eastAsia="宋体" w:hint="default"/>
          <w:spacing w:val="-63"/>
          <w:sz w:val="21"/>
          <w:szCs w:val="21"/>
        </w:rPr>
        <w:t> </w:t>
      </w:r>
      <w:r>
        <w:rPr>
          <w:rFonts w:ascii="宋体" w:hAnsi="宋体" w:cs="宋体" w:eastAsia="宋体" w:hint="default"/>
          <w:sz w:val="21"/>
          <w:szCs w:val="21"/>
        </w:rPr>
        <w:t>日抵押给中国农业银行兖州市支行；青岛广顺房地</w:t>
      </w:r>
    </w:p>
    <w:p>
      <w:pPr>
        <w:spacing w:line="240" w:lineRule="auto" w:before="3"/>
        <w:rPr>
          <w:rFonts w:ascii="宋体" w:hAnsi="宋体" w:cs="宋体" w:eastAsia="宋体" w:hint="default"/>
          <w:sz w:val="17"/>
          <w:szCs w:val="17"/>
        </w:rPr>
      </w:pPr>
    </w:p>
    <w:p>
      <w:pPr>
        <w:spacing w:before="0"/>
        <w:ind w:left="154" w:right="184" w:firstLine="0"/>
        <w:jc w:val="left"/>
        <w:rPr>
          <w:rFonts w:ascii="宋体" w:hAnsi="宋体" w:cs="宋体" w:eastAsia="宋体" w:hint="default"/>
          <w:sz w:val="21"/>
          <w:szCs w:val="21"/>
        </w:rPr>
      </w:pPr>
      <w:r>
        <w:rPr>
          <w:rFonts w:ascii="宋体" w:hAnsi="宋体" w:cs="宋体" w:eastAsia="宋体" w:hint="default"/>
          <w:sz w:val="21"/>
          <w:szCs w:val="21"/>
        </w:rPr>
        <w:t>产有限公司土地使用权编号为青房地权产字第</w:t>
      </w:r>
      <w:r>
        <w:rPr>
          <w:rFonts w:ascii="宋体" w:hAnsi="宋体" w:cs="宋体" w:eastAsia="宋体" w:hint="default"/>
          <w:spacing w:val="-58"/>
          <w:sz w:val="21"/>
          <w:szCs w:val="21"/>
        </w:rPr>
        <w:t> </w:t>
      </w:r>
      <w:r>
        <w:rPr>
          <w:rFonts w:ascii="宋体" w:hAnsi="宋体" w:cs="宋体" w:eastAsia="宋体" w:hint="default"/>
          <w:sz w:val="21"/>
          <w:szCs w:val="21"/>
        </w:rPr>
        <w:t>20083671</w:t>
      </w:r>
      <w:r>
        <w:rPr>
          <w:rFonts w:ascii="宋体" w:hAnsi="宋体" w:cs="宋体" w:eastAsia="宋体" w:hint="default"/>
          <w:spacing w:val="-57"/>
          <w:sz w:val="21"/>
          <w:szCs w:val="21"/>
        </w:rPr>
        <w:t> </w:t>
      </w:r>
      <w:r>
        <w:rPr>
          <w:rFonts w:ascii="宋体" w:hAnsi="宋体" w:cs="宋体" w:eastAsia="宋体" w:hint="default"/>
          <w:spacing w:val="-3"/>
          <w:sz w:val="21"/>
          <w:szCs w:val="21"/>
        </w:rPr>
        <w:t>号、青房地权产字第</w:t>
      </w:r>
      <w:r>
        <w:rPr>
          <w:rFonts w:ascii="宋体" w:hAnsi="宋体" w:cs="宋体" w:eastAsia="宋体" w:hint="default"/>
          <w:spacing w:val="-58"/>
          <w:sz w:val="21"/>
          <w:szCs w:val="21"/>
        </w:rPr>
        <w:t> </w:t>
      </w:r>
      <w:r>
        <w:rPr>
          <w:rFonts w:ascii="宋体" w:hAnsi="宋体" w:cs="宋体" w:eastAsia="宋体" w:hint="default"/>
          <w:sz w:val="21"/>
          <w:szCs w:val="21"/>
        </w:rPr>
        <w:t>20083672</w:t>
      </w:r>
      <w:r>
        <w:rPr>
          <w:rFonts w:ascii="宋体" w:hAnsi="宋体" w:cs="宋体" w:eastAsia="宋体" w:hint="default"/>
          <w:spacing w:val="-57"/>
          <w:sz w:val="21"/>
          <w:szCs w:val="21"/>
        </w:rPr>
        <w:t> </w:t>
      </w:r>
      <w:r>
        <w:rPr>
          <w:rFonts w:ascii="宋体" w:hAnsi="宋体" w:cs="宋体" w:eastAsia="宋体" w:hint="default"/>
          <w:spacing w:val="-3"/>
          <w:sz w:val="21"/>
          <w:szCs w:val="21"/>
        </w:rPr>
        <w:t>号、青房地权产字</w:t>
      </w:r>
      <w:r>
        <w:rPr>
          <w:rFonts w:ascii="宋体" w:hAnsi="宋体" w:cs="宋体" w:eastAsia="宋体" w:hint="default"/>
          <w:sz w:val="21"/>
          <w:szCs w:val="21"/>
        </w:rPr>
      </w:r>
    </w:p>
    <w:p>
      <w:pPr>
        <w:spacing w:line="240" w:lineRule="auto" w:before="3"/>
        <w:rPr>
          <w:rFonts w:ascii="宋体" w:hAnsi="宋体" w:cs="宋体" w:eastAsia="宋体" w:hint="default"/>
          <w:sz w:val="17"/>
          <w:szCs w:val="17"/>
        </w:rPr>
      </w:pPr>
    </w:p>
    <w:p>
      <w:pPr>
        <w:spacing w:line="472" w:lineRule="auto" w:before="0"/>
        <w:ind w:left="574" w:right="184" w:hanging="42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宋体" w:hAnsi="宋体" w:cs="宋体" w:eastAsia="宋体" w:hint="default"/>
          <w:sz w:val="21"/>
          <w:szCs w:val="21"/>
        </w:rPr>
        <w:t>20083673</w:t>
      </w:r>
      <w:r>
        <w:rPr>
          <w:rFonts w:ascii="宋体" w:hAnsi="宋体" w:cs="宋体" w:eastAsia="宋体" w:hint="default"/>
          <w:spacing w:val="-58"/>
          <w:sz w:val="21"/>
          <w:szCs w:val="21"/>
        </w:rPr>
        <w:t> </w:t>
      </w:r>
      <w:r>
        <w:rPr>
          <w:rFonts w:ascii="宋体" w:hAnsi="宋体" w:cs="宋体" w:eastAsia="宋体" w:hint="default"/>
          <w:sz w:val="21"/>
          <w:szCs w:val="21"/>
        </w:rPr>
        <w:t>号土地于</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58"/>
          <w:sz w:val="21"/>
          <w:szCs w:val="21"/>
        </w:rPr>
        <w:t> </w:t>
      </w:r>
      <w:r>
        <w:rPr>
          <w:rFonts w:ascii="宋体" w:hAnsi="宋体" w:cs="宋体" w:eastAsia="宋体" w:hint="default"/>
          <w:sz w:val="21"/>
          <w:szCs w:val="21"/>
        </w:rPr>
        <w:t>日抵押给中国工商银行股份有限公司青岛李沧第二支行。</w:t>
      </w:r>
      <w:r>
        <w:rPr>
          <w:rFonts w:ascii="宋体" w:hAnsi="宋体" w:cs="宋体" w:eastAsia="宋体" w:hint="default"/>
          <w:spacing w:val="-1"/>
          <w:sz w:val="21"/>
          <w:szCs w:val="21"/>
        </w:rPr>
        <w:t> </w:t>
      </w:r>
      <w:r>
        <w:rPr>
          <w:rFonts w:ascii="宋体" w:hAnsi="宋体" w:cs="宋体" w:eastAsia="宋体" w:hint="default"/>
          <w:sz w:val="21"/>
          <w:szCs w:val="21"/>
        </w:rPr>
        <w:t>5、固定资产</w:t>
      </w:r>
    </w:p>
    <w:p>
      <w:pPr>
        <w:spacing w:before="61"/>
        <w:ind w:left="574" w:right="6820" w:firstLine="0"/>
        <w:jc w:val="left"/>
        <w:rPr>
          <w:rFonts w:ascii="宋体" w:hAnsi="宋体" w:cs="宋体" w:eastAsia="宋体" w:hint="default"/>
          <w:sz w:val="21"/>
          <w:szCs w:val="21"/>
        </w:rPr>
      </w:pPr>
      <w:r>
        <w:rPr>
          <w:rFonts w:ascii="宋体" w:hAnsi="宋体" w:cs="宋体" w:eastAsia="宋体" w:hint="default"/>
          <w:sz w:val="21"/>
          <w:szCs w:val="21"/>
        </w:rPr>
        <w:t>（1）固定资产情况</w:t>
      </w:r>
    </w:p>
    <w:p>
      <w:pPr>
        <w:spacing w:line="240" w:lineRule="auto" w:before="3"/>
        <w:rPr>
          <w:rFonts w:ascii="宋体" w:hAnsi="宋体" w:cs="宋体" w:eastAsia="宋体" w:hint="default"/>
          <w:sz w:val="20"/>
          <w:szCs w:val="20"/>
        </w:rPr>
      </w:pPr>
    </w:p>
    <w:p>
      <w:pPr>
        <w:spacing w:before="0"/>
        <w:ind w:left="0" w:right="3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311"/>
        <w:gridCol w:w="1843"/>
        <w:gridCol w:w="1843"/>
        <w:gridCol w:w="1843"/>
        <w:gridCol w:w="1843"/>
      </w:tblGrid>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1,545,579.56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50,600.00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1,596,179.56</w:t>
            </w:r>
          </w:p>
        </w:tc>
      </w:tr>
      <w:tr>
        <w:trPr>
          <w:trHeight w:val="714"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1,092,087.15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1,092,087.15</w:t>
            </w:r>
          </w:p>
        </w:tc>
      </w:tr>
      <w:tr>
        <w:trPr>
          <w:trHeight w:val="714"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176,931.00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50,600.00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227,531.00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80" w:right="78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311"/>
        <w:gridCol w:w="1843"/>
        <w:gridCol w:w="1843"/>
        <w:gridCol w:w="1843"/>
        <w:gridCol w:w="1843"/>
      </w:tblGrid>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714"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276,561.41</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276,561.41</w:t>
            </w:r>
            <w:r>
              <w:rPr>
                <w:rFonts w:ascii="Times New Roman"/>
                <w:sz w:val="21"/>
              </w:rPr>
            </w:r>
          </w:p>
        </w:tc>
      </w:tr>
      <w:tr>
        <w:trPr>
          <w:trHeight w:val="589"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1,066,526.31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117,230.87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1,183,757.18</w:t>
            </w:r>
          </w:p>
        </w:tc>
      </w:tr>
      <w:tr>
        <w:trPr>
          <w:trHeight w:val="714"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841,227.74</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49,143.96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890,371.70</w:t>
            </w:r>
          </w:p>
        </w:tc>
      </w:tr>
      <w:tr>
        <w:trPr>
          <w:trHeight w:val="714"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50,425.33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33,912.45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84,337.78</w:t>
            </w:r>
          </w:p>
        </w:tc>
      </w:tr>
      <w:tr>
        <w:trPr>
          <w:trHeight w:val="714"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174,873.24</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34,174.46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209,047.70</w:t>
            </w:r>
          </w:p>
        </w:tc>
      </w:tr>
      <w:tr>
        <w:trPr>
          <w:trHeight w:val="1091"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8"/>
              <w:ind w:left="44" w:right="23"/>
              <w:jc w:val="left"/>
              <w:rPr>
                <w:rFonts w:ascii="宋体" w:hAnsi="宋体" w:cs="宋体" w:eastAsia="宋体" w:hint="default"/>
                <w:sz w:val="21"/>
                <w:szCs w:val="21"/>
              </w:rPr>
            </w:pPr>
            <w:r>
              <w:rPr>
                <w:rFonts w:ascii="宋体" w:hAnsi="宋体" w:cs="宋体" w:eastAsia="宋体" w:hint="default"/>
                <w:spacing w:val="-7"/>
                <w:sz w:val="21"/>
                <w:szCs w:val="21"/>
              </w:rPr>
              <w:t>三、固定资产账面净值合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479,053.25</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412,422.38</w:t>
            </w:r>
            <w:r>
              <w:rPr>
                <w:rFonts w:ascii="Times New Roman"/>
                <w:sz w:val="21"/>
              </w:rPr>
            </w:r>
          </w:p>
        </w:tc>
      </w:tr>
      <w:tr>
        <w:trPr>
          <w:trHeight w:val="589"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250,859.41</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201,715.45</w:t>
            </w:r>
            <w:r>
              <w:rPr>
                <w:rFonts w:ascii="Times New Roman"/>
                <w:sz w:val="21"/>
              </w:rPr>
            </w:r>
          </w:p>
        </w:tc>
      </w:tr>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126,505.67</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143,193.22</w:t>
            </w:r>
            <w:r>
              <w:rPr>
                <w:rFonts w:ascii="Times New Roman"/>
                <w:sz w:val="21"/>
              </w:rPr>
            </w:r>
          </w:p>
        </w:tc>
      </w:tr>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101,688.17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67,513.71</w:t>
            </w:r>
          </w:p>
        </w:tc>
      </w:tr>
      <w:tr>
        <w:trPr>
          <w:trHeight w:val="589"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1091"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8"/>
              <w:ind w:left="44" w:right="23"/>
              <w:jc w:val="left"/>
              <w:rPr>
                <w:rFonts w:ascii="宋体" w:hAnsi="宋体" w:cs="宋体" w:eastAsia="宋体" w:hint="default"/>
                <w:sz w:val="21"/>
                <w:szCs w:val="21"/>
              </w:rPr>
            </w:pPr>
            <w:r>
              <w:rPr>
                <w:rFonts w:ascii="宋体" w:hAnsi="宋体" w:cs="宋体" w:eastAsia="宋体" w:hint="default"/>
                <w:spacing w:val="-7"/>
                <w:sz w:val="21"/>
                <w:szCs w:val="21"/>
              </w:rPr>
              <w:t>五、固定资产账面价值合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479,053.25</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412,422.38</w:t>
            </w:r>
            <w:r>
              <w:rPr>
                <w:rFonts w:ascii="Times New Roman"/>
                <w:sz w:val="21"/>
              </w:rPr>
            </w:r>
          </w:p>
        </w:tc>
      </w:tr>
      <w:tr>
        <w:trPr>
          <w:trHeight w:val="589"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250,859.41</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201,715.45</w:t>
            </w:r>
            <w:r>
              <w:rPr>
                <w:rFonts w:ascii="Times New Roman"/>
                <w:sz w:val="21"/>
              </w:rPr>
            </w:r>
          </w:p>
        </w:tc>
      </w:tr>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126,505.67</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143,193.22</w:t>
            </w:r>
            <w:r>
              <w:rPr>
                <w:rFonts w:ascii="Times New Roman"/>
                <w:sz w:val="21"/>
              </w:rPr>
            </w:r>
          </w:p>
        </w:tc>
      </w:tr>
      <w:tr>
        <w:trPr>
          <w:trHeight w:val="590" w:hRule="exact"/>
        </w:trPr>
        <w:tc>
          <w:tcPr>
            <w:tcW w:w="2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101,688.17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67,513.71</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61"/>
          <w:sz w:val="21"/>
          <w:szCs w:val="21"/>
        </w:rPr>
        <w:t> </w:t>
      </w:r>
      <w:r>
        <w:rPr>
          <w:rFonts w:ascii="宋体" w:hAnsi="宋体" w:cs="宋体" w:eastAsia="宋体" w:hint="default"/>
          <w:sz w:val="21"/>
          <w:szCs w:val="21"/>
        </w:rPr>
        <w:t>117,230.87</w:t>
      </w:r>
      <w:r>
        <w:rPr>
          <w:rFonts w:ascii="宋体" w:hAnsi="宋体" w:cs="宋体" w:eastAsia="宋体" w:hint="default"/>
          <w:spacing w:val="-60"/>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20"/>
          <w:szCs w:val="20"/>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（2）本报告期末无暂时闲置的固定资产。</w:t>
      </w:r>
    </w:p>
    <w:p>
      <w:pPr>
        <w:spacing w:line="240" w:lineRule="auto" w:before="3"/>
        <w:rPr>
          <w:rFonts w:ascii="宋体" w:hAnsi="宋体" w:cs="宋体" w:eastAsia="宋体" w:hint="default"/>
          <w:sz w:val="20"/>
          <w:szCs w:val="20"/>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（3）本报告期末无通过融资租赁租入的固定资产。</w:t>
      </w:r>
    </w:p>
    <w:p>
      <w:pPr>
        <w:spacing w:after="0"/>
        <w:jc w:val="left"/>
        <w:rPr>
          <w:rFonts w:ascii="宋体" w:hAnsi="宋体" w:cs="宋体" w:eastAsia="宋体" w:hint="default"/>
          <w:sz w:val="21"/>
          <w:szCs w:val="21"/>
        </w:rPr>
        <w:sectPr>
          <w:pgSz w:w="11910" w:h="16840"/>
          <w:pgMar w:header="0" w:footer="941" w:top="1100" w:bottom="114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（4）本报告期末无通过通过经营租赁租出的固定资产。</w:t>
      </w:r>
    </w:p>
    <w:p>
      <w:pPr>
        <w:spacing w:line="240" w:lineRule="auto" w:before="3"/>
        <w:rPr>
          <w:rFonts w:ascii="宋体" w:hAnsi="宋体" w:cs="宋体" w:eastAsia="宋体" w:hint="default"/>
          <w:sz w:val="20"/>
          <w:szCs w:val="20"/>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（5）本报告期末无持有待售的固定资产。</w:t>
      </w:r>
    </w:p>
    <w:p>
      <w:pPr>
        <w:spacing w:line="240" w:lineRule="auto" w:before="3"/>
        <w:rPr>
          <w:rFonts w:ascii="宋体" w:hAnsi="宋体" w:cs="宋体" w:eastAsia="宋体" w:hint="default"/>
          <w:sz w:val="20"/>
          <w:szCs w:val="20"/>
        </w:rPr>
      </w:pPr>
    </w:p>
    <w:p>
      <w:pPr>
        <w:spacing w:line="472" w:lineRule="auto" w:before="0"/>
        <w:ind w:left="574" w:right="4645" w:firstLine="0"/>
        <w:jc w:val="left"/>
        <w:rPr>
          <w:rFonts w:ascii="宋体" w:hAnsi="宋体" w:cs="宋体" w:eastAsia="宋体" w:hint="default"/>
          <w:sz w:val="21"/>
          <w:szCs w:val="21"/>
        </w:rPr>
      </w:pPr>
      <w:r>
        <w:rPr>
          <w:rFonts w:ascii="宋体" w:hAnsi="宋体" w:cs="宋体" w:eastAsia="宋体" w:hint="default"/>
          <w:sz w:val="21"/>
          <w:szCs w:val="21"/>
        </w:rPr>
        <w:t>（6）本报告期末无未办妥产权证书的的固定资产。 6、递延所得税资产</w:t>
      </w:r>
    </w:p>
    <w:p>
      <w:pPr>
        <w:spacing w:before="61"/>
        <w:ind w:left="574" w:right="0" w:firstLine="0"/>
        <w:jc w:val="left"/>
        <w:rPr>
          <w:rFonts w:ascii="宋体" w:hAnsi="宋体" w:cs="宋体" w:eastAsia="宋体" w:hint="default"/>
          <w:sz w:val="21"/>
          <w:szCs w:val="21"/>
        </w:rPr>
      </w:pPr>
      <w:r>
        <w:rPr>
          <w:rFonts w:ascii="宋体" w:hAnsi="宋体" w:cs="宋体" w:eastAsia="宋体" w:hint="default"/>
          <w:sz w:val="21"/>
          <w:szCs w:val="21"/>
        </w:rPr>
        <w:t>（1）递延所得税资产明细</w:t>
      </w:r>
    </w:p>
    <w:p>
      <w:pPr>
        <w:spacing w:line="240" w:lineRule="auto" w:before="8"/>
        <w:rPr>
          <w:rFonts w:ascii="宋体" w:hAnsi="宋体" w:cs="宋体" w:eastAsia="宋体" w:hint="default"/>
          <w:sz w:val="17"/>
          <w:szCs w:val="17"/>
        </w:rPr>
      </w:pPr>
    </w:p>
    <w:p>
      <w:pPr>
        <w:spacing w:before="35"/>
        <w:ind w:left="0" w:right="17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133"/>
        <w:gridCol w:w="2836"/>
        <w:gridCol w:w="2977"/>
      </w:tblGrid>
      <w:tr>
        <w:trPr>
          <w:trHeight w:val="5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19" w:val="left" w:leader="none"/>
              </w:tabs>
              <w:spacing w:line="240" w:lineRule="auto"/>
              <w:ind w:right="123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可弥补调整</w:t>
            </w:r>
          </w:p>
        </w:tc>
        <w:tc>
          <w:tcPr>
            <w:tcW w:w="283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1,173,372.16</w:t>
            </w:r>
          </w:p>
        </w:tc>
      </w:tr>
      <w:tr>
        <w:trPr>
          <w:trHeight w:val="5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24,635.51</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482,492.34</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21" w:val="left" w:leader="none"/>
              </w:tabs>
              <w:spacing w:line="240" w:lineRule="auto"/>
              <w:ind w:right="123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507,127.85</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1,173,372.16</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（2）引起暂时性差异的资产或负债项目对应的暂时性差异</w:t>
      </w:r>
    </w:p>
    <w:p>
      <w:pPr>
        <w:spacing w:line="240" w:lineRule="auto" w:before="8"/>
        <w:rPr>
          <w:rFonts w:ascii="宋体" w:hAnsi="宋体" w:cs="宋体" w:eastAsia="宋体" w:hint="default"/>
          <w:sz w:val="17"/>
          <w:szCs w:val="17"/>
        </w:rPr>
      </w:pPr>
    </w:p>
    <w:p>
      <w:pPr>
        <w:spacing w:before="35"/>
        <w:ind w:left="0" w:right="17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862"/>
        <w:gridCol w:w="4670"/>
      </w:tblGrid>
      <w:tr>
        <w:trPr>
          <w:trHeight w:val="590" w:hRule="exact"/>
        </w:trPr>
        <w:tc>
          <w:tcPr>
            <w:tcW w:w="4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21" w:val="left" w:leader="none"/>
              </w:tabs>
              <w:spacing w:line="240" w:lineRule="auto"/>
              <w:ind w:right="210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70" w:hRule="exact"/>
        </w:trPr>
        <w:tc>
          <w:tcPr>
            <w:tcW w:w="4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98,542.04</w:t>
            </w:r>
          </w:p>
        </w:tc>
      </w:tr>
      <w:tr>
        <w:trPr>
          <w:trHeight w:val="570" w:hRule="exact"/>
        </w:trPr>
        <w:tc>
          <w:tcPr>
            <w:tcW w:w="4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4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1,929,969.36</w:t>
            </w:r>
          </w:p>
        </w:tc>
      </w:tr>
      <w:tr>
        <w:trPr>
          <w:trHeight w:val="590" w:hRule="exact"/>
        </w:trPr>
        <w:tc>
          <w:tcPr>
            <w:tcW w:w="4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21" w:val="left" w:leader="none"/>
              </w:tabs>
              <w:spacing w:line="240" w:lineRule="auto"/>
              <w:ind w:right="210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4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2"/>
                <w:sz w:val="21"/>
              </w:rPr>
              <w:t>2,028,511.40</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7、资产减值准备明细</w:t>
      </w:r>
    </w:p>
    <w:p>
      <w:pPr>
        <w:spacing w:line="240" w:lineRule="auto" w:before="8"/>
        <w:rPr>
          <w:rFonts w:ascii="宋体" w:hAnsi="宋体" w:cs="宋体" w:eastAsia="宋体" w:hint="default"/>
          <w:sz w:val="17"/>
          <w:szCs w:val="17"/>
        </w:rPr>
      </w:pPr>
    </w:p>
    <w:p>
      <w:pPr>
        <w:spacing w:before="35"/>
        <w:ind w:left="0" w:right="17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276"/>
        <w:gridCol w:w="1476"/>
        <w:gridCol w:w="1152"/>
        <w:gridCol w:w="1204"/>
        <w:gridCol w:w="1205"/>
        <w:gridCol w:w="1396"/>
      </w:tblGrid>
      <w:tr>
        <w:trPr>
          <w:trHeight w:val="590" w:hRule="exact"/>
        </w:trPr>
        <w:tc>
          <w:tcPr>
            <w:tcW w:w="32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96" w:type="dxa"/>
            <w:vMerge w:val="restart"/>
            <w:tcBorders>
              <w:top w:val="single" w:sz="4" w:space="0" w:color="000000"/>
              <w:left w:val="single" w:sz="4" w:space="0" w:color="000000"/>
              <w:right w:val="nil" w:sz="6" w:space="0" w:color="auto"/>
            </w:tcBorders>
          </w:tcPr>
          <w:p>
            <w:pPr>
              <w:pStyle w:val="TableParagraph"/>
              <w:spacing w:line="500" w:lineRule="atLeast" w:before="48"/>
              <w:ind w:left="586" w:right="172" w:hanging="420"/>
              <w:jc w:val="left"/>
              <w:rPr>
                <w:rFonts w:ascii="宋体" w:hAnsi="宋体" w:cs="宋体" w:eastAsia="宋体" w:hint="default"/>
                <w:sz w:val="21"/>
                <w:szCs w:val="21"/>
              </w:rPr>
            </w:pPr>
            <w:r>
              <w:rPr>
                <w:rFonts w:ascii="宋体" w:hAnsi="宋体" w:cs="宋体" w:eastAsia="宋体" w:hint="default"/>
                <w:sz w:val="21"/>
                <w:szCs w:val="21"/>
              </w:rPr>
              <w:t>期末账面余 额</w:t>
            </w:r>
          </w:p>
        </w:tc>
      </w:tr>
      <w:tr>
        <w:trPr>
          <w:trHeight w:val="590" w:hRule="exact"/>
        </w:trPr>
        <w:tc>
          <w:tcPr>
            <w:tcW w:w="3276"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396" w:type="dxa"/>
            <w:vMerge/>
            <w:tcBorders>
              <w:left w:val="single" w:sz="4" w:space="0" w:color="000000"/>
              <w:bottom w:val="single" w:sz="4" w:space="0" w:color="000000"/>
              <w:right w:val="nil" w:sz="6" w:space="0" w:color="auto"/>
            </w:tcBorders>
          </w:tcPr>
          <w:p>
            <w:pPr/>
          </w:p>
        </w:tc>
      </w:tr>
      <w:tr>
        <w:trPr>
          <w:trHeight w:val="71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8" w:right="0"/>
              <w:jc w:val="left"/>
              <w:rPr>
                <w:rFonts w:ascii="Times New Roman" w:hAnsi="Times New Roman" w:cs="Times New Roman" w:eastAsia="Times New Roman" w:hint="default"/>
                <w:sz w:val="21"/>
                <w:szCs w:val="21"/>
              </w:rPr>
            </w:pPr>
            <w:r>
              <w:rPr>
                <w:rFonts w:ascii="Times New Roman"/>
                <w:sz w:val="21"/>
              </w:rPr>
              <w:t>98,352.04</w:t>
            </w:r>
          </w:p>
        </w:tc>
        <w:tc>
          <w:tcPr>
            <w:tcW w:w="120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41" w:right="0"/>
              <w:jc w:val="left"/>
              <w:rPr>
                <w:rFonts w:ascii="Times New Roman" w:hAnsi="Times New Roman" w:cs="Times New Roman" w:eastAsia="Times New Roman" w:hint="default"/>
                <w:sz w:val="21"/>
                <w:szCs w:val="21"/>
              </w:rPr>
            </w:pPr>
            <w:r>
              <w:rPr>
                <w:rFonts w:ascii="Times New Roman"/>
                <w:sz w:val="21"/>
              </w:rPr>
              <w:t>98,542.04</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8、短期借款</w:t>
      </w:r>
    </w:p>
    <w:p>
      <w:pPr>
        <w:spacing w:line="240" w:lineRule="auto" w:before="3"/>
        <w:rPr>
          <w:rFonts w:ascii="宋体" w:hAnsi="宋体" w:cs="宋体" w:eastAsia="宋体" w:hint="default"/>
          <w:sz w:val="20"/>
          <w:szCs w:val="20"/>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（1）短期借款分类：</w:t>
      </w:r>
    </w:p>
    <w:p>
      <w:pPr>
        <w:spacing w:after="0"/>
        <w:jc w:val="left"/>
        <w:rPr>
          <w:rFonts w:ascii="宋体" w:hAnsi="宋体" w:cs="宋体" w:eastAsia="宋体" w:hint="default"/>
          <w:sz w:val="21"/>
          <w:szCs w:val="21"/>
        </w:rPr>
        <w:sectPr>
          <w:pgSz w:w="11910" w:h="16840"/>
          <w:pgMar w:header="0" w:footer="941" w:top="1100" w:bottom="1140" w:left="9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84" w:type="dxa"/>
        <w:tblLayout w:type="fixed"/>
        <w:tblCellMar>
          <w:top w:w="0" w:type="dxa"/>
          <w:left w:w="0" w:type="dxa"/>
          <w:bottom w:w="0" w:type="dxa"/>
          <w:right w:w="0" w:type="dxa"/>
        </w:tblCellMar>
        <w:tblLook w:val="01E0"/>
      </w:tblPr>
      <w:tblGrid>
        <w:gridCol w:w="3842"/>
        <w:gridCol w:w="2935"/>
        <w:gridCol w:w="2935"/>
      </w:tblGrid>
      <w:tr>
        <w:trPr>
          <w:trHeight w:val="59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693" w:right="0"/>
              <w:jc w:val="left"/>
              <w:rPr>
                <w:rFonts w:ascii="Times New Roman" w:hAnsi="Times New Roman" w:cs="Times New Roman" w:eastAsia="Times New Roman" w:hint="default"/>
                <w:sz w:val="21"/>
                <w:szCs w:val="21"/>
              </w:rPr>
            </w:pPr>
            <w:r>
              <w:rPr>
                <w:rFonts w:ascii="Times New Roman"/>
                <w:sz w:val="21"/>
              </w:rPr>
              <w:t>10,000,000.00</w:t>
            </w:r>
          </w:p>
        </w:tc>
        <w:tc>
          <w:tcPr>
            <w:tcW w:w="2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93" w:right="0"/>
              <w:jc w:val="left"/>
              <w:rPr>
                <w:rFonts w:ascii="Times New Roman" w:hAnsi="Times New Roman" w:cs="Times New Roman" w:eastAsia="Times New Roman" w:hint="default"/>
                <w:sz w:val="21"/>
                <w:szCs w:val="21"/>
              </w:rPr>
            </w:pPr>
            <w:r>
              <w:rPr>
                <w:rFonts w:ascii="Times New Roman"/>
                <w:sz w:val="21"/>
              </w:rPr>
              <w:t>46,370,842.28</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pacing w:val="-1"/>
          <w:sz w:val="21"/>
          <w:szCs w:val="21"/>
        </w:rPr>
        <w:t>本公</w:t>
      </w:r>
      <w:r>
        <w:rPr>
          <w:rFonts w:ascii="宋体" w:hAnsi="宋体" w:cs="宋体" w:eastAsia="宋体" w:hint="default"/>
          <w:spacing w:val="-2"/>
          <w:sz w:val="21"/>
          <w:szCs w:val="21"/>
        </w:rPr>
        <w:t>司</w:t>
      </w:r>
      <w:r>
        <w:rPr>
          <w:rFonts w:ascii="宋体" w:hAnsi="宋体" w:cs="宋体" w:eastAsia="宋体" w:hint="default"/>
          <w:spacing w:val="-1"/>
          <w:sz w:val="21"/>
          <w:szCs w:val="21"/>
        </w:rPr>
        <w:t>向中国农业银行深圳罗湖支行贷</w:t>
      </w:r>
      <w:r>
        <w:rPr>
          <w:rFonts w:ascii="宋体" w:hAnsi="宋体" w:cs="宋体" w:eastAsia="宋体" w:hint="default"/>
          <w:sz w:val="21"/>
          <w:szCs w:val="21"/>
        </w:rPr>
        <w:t>款</w:t>
      </w:r>
      <w:r>
        <w:rPr>
          <w:rFonts w:ascii="宋体" w:hAnsi="宋体" w:cs="宋体" w:eastAsia="宋体" w:hint="default"/>
          <w:spacing w:val="-61"/>
          <w:sz w:val="21"/>
          <w:szCs w:val="21"/>
        </w:rPr>
        <w:t> </w:t>
      </w:r>
      <w:r>
        <w:rPr>
          <w:rFonts w:ascii="宋体" w:hAnsi="宋体" w:cs="宋体" w:eastAsia="宋体" w:hint="default"/>
          <w:spacing w:val="-1"/>
          <w:sz w:val="21"/>
          <w:szCs w:val="21"/>
        </w:rPr>
        <w:t>500</w:t>
      </w:r>
      <w:r>
        <w:rPr>
          <w:rFonts w:ascii="宋体" w:hAnsi="宋体" w:cs="宋体" w:eastAsia="宋体" w:hint="default"/>
          <w:sz w:val="21"/>
          <w:szCs w:val="21"/>
        </w:rPr>
        <w:t>0</w:t>
      </w:r>
      <w:r>
        <w:rPr>
          <w:rFonts w:ascii="宋体" w:hAnsi="宋体" w:cs="宋体" w:eastAsia="宋体" w:hint="default"/>
          <w:spacing w:val="-60"/>
          <w:sz w:val="21"/>
          <w:szCs w:val="21"/>
        </w:rPr>
        <w:t> </w:t>
      </w:r>
      <w:r>
        <w:rPr>
          <w:rFonts w:ascii="宋体" w:hAnsi="宋体" w:cs="宋体" w:eastAsia="宋体" w:hint="default"/>
          <w:spacing w:val="-1"/>
          <w:sz w:val="21"/>
          <w:szCs w:val="21"/>
        </w:rPr>
        <w:t>万元</w:t>
      </w:r>
      <w:r>
        <w:rPr>
          <w:rFonts w:ascii="宋体" w:hAnsi="宋体" w:cs="宋体" w:eastAsia="宋体" w:hint="default"/>
          <w:spacing w:val="-105"/>
          <w:sz w:val="21"/>
          <w:szCs w:val="21"/>
        </w:rPr>
        <w:t>，</w:t>
      </w:r>
      <w:r>
        <w:rPr>
          <w:rFonts w:ascii="宋体" w:hAnsi="宋体" w:cs="宋体" w:eastAsia="宋体" w:hint="default"/>
          <w:spacing w:val="-2"/>
          <w:sz w:val="21"/>
          <w:szCs w:val="21"/>
        </w:rPr>
        <w:t>该</w:t>
      </w:r>
      <w:r>
        <w:rPr>
          <w:rFonts w:ascii="宋体" w:hAnsi="宋体" w:cs="宋体" w:eastAsia="宋体" w:hint="default"/>
          <w:sz w:val="21"/>
          <w:szCs w:val="21"/>
        </w:rPr>
        <w:t>项借款分别于</w:t>
      </w:r>
      <w:r>
        <w:rPr>
          <w:rFonts w:ascii="宋体" w:hAnsi="宋体" w:cs="宋体" w:eastAsia="宋体" w:hint="default"/>
          <w:spacing w:val="-61"/>
          <w:sz w:val="21"/>
          <w:szCs w:val="21"/>
        </w:rPr>
        <w:t> </w:t>
      </w:r>
      <w:r>
        <w:rPr>
          <w:rFonts w:ascii="宋体" w:hAnsi="宋体" w:cs="宋体" w:eastAsia="宋体" w:hint="default"/>
          <w:sz w:val="21"/>
          <w:szCs w:val="21"/>
        </w:rPr>
        <w:t>2005</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20</w:t>
      </w:r>
      <w:r>
        <w:rPr>
          <w:rFonts w:ascii="宋体" w:hAnsi="宋体" w:cs="宋体" w:eastAsia="宋体" w:hint="default"/>
          <w:spacing w:val="-60"/>
          <w:sz w:val="21"/>
          <w:szCs w:val="21"/>
        </w:rPr>
        <w:t> </w:t>
      </w:r>
      <w:r>
        <w:rPr>
          <w:rFonts w:ascii="宋体" w:hAnsi="宋体" w:cs="宋体" w:eastAsia="宋体" w:hint="default"/>
          <w:sz w:val="21"/>
          <w:szCs w:val="21"/>
        </w:rPr>
        <w:t>日到期</w:t>
      </w:r>
      <w:r>
        <w:rPr>
          <w:rFonts w:ascii="宋体" w:hAnsi="宋体" w:cs="宋体" w:eastAsia="宋体" w:hint="default"/>
          <w:spacing w:val="-62"/>
          <w:sz w:val="21"/>
          <w:szCs w:val="21"/>
        </w:rPr>
        <w:t> </w:t>
      </w:r>
      <w:r>
        <w:rPr>
          <w:rFonts w:ascii="宋体" w:hAnsi="宋体" w:cs="宋体" w:eastAsia="宋体" w:hint="default"/>
          <w:sz w:val="21"/>
          <w:szCs w:val="21"/>
        </w:rPr>
        <w:t>2000</w:t>
      </w:r>
    </w:p>
    <w:p>
      <w:pPr>
        <w:spacing w:line="240" w:lineRule="auto" w:before="2"/>
        <w:rPr>
          <w:rFonts w:ascii="宋体" w:hAnsi="宋体" w:cs="宋体" w:eastAsia="宋体" w:hint="default"/>
          <w:sz w:val="17"/>
          <w:szCs w:val="17"/>
        </w:rPr>
      </w:pPr>
    </w:p>
    <w:p>
      <w:pPr>
        <w:spacing w:before="0"/>
        <w:ind w:left="233" w:right="0" w:firstLine="0"/>
        <w:jc w:val="both"/>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60"/>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到期</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0</w:t>
      </w:r>
      <w:r>
        <w:rPr>
          <w:rFonts w:ascii="宋体" w:hAnsi="宋体" w:cs="宋体" w:eastAsia="宋体" w:hint="default"/>
          <w:sz w:val="21"/>
          <w:szCs w:val="21"/>
        </w:rPr>
        <w:t>00</w:t>
      </w:r>
      <w:r>
        <w:rPr>
          <w:rFonts w:ascii="宋体" w:hAnsi="宋体" w:cs="宋体" w:eastAsia="宋体" w:hint="default"/>
          <w:spacing w:val="-59"/>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公司于</w:t>
      </w:r>
      <w:r>
        <w:rPr>
          <w:rFonts w:ascii="宋体" w:hAnsi="宋体" w:cs="宋体" w:eastAsia="宋体" w:hint="default"/>
          <w:spacing w:val="-60"/>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2"/>
          <w:sz w:val="21"/>
          <w:szCs w:val="21"/>
        </w:rPr>
        <w:t>归</w:t>
      </w:r>
      <w:r>
        <w:rPr>
          <w:rFonts w:ascii="宋体" w:hAnsi="宋体" w:cs="宋体" w:eastAsia="宋体" w:hint="default"/>
          <w:sz w:val="21"/>
          <w:szCs w:val="21"/>
        </w:rPr>
        <w:t>还</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pacing w:val="-105"/>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pacing w:val="-2"/>
          <w:sz w:val="21"/>
          <w:szCs w:val="21"/>
        </w:rPr>
        <w:t>月</w:t>
      </w:r>
      <w:r>
        <w:rPr>
          <w:rFonts w:ascii="宋体" w:hAnsi="宋体" w:cs="宋体" w:eastAsia="宋体" w:hint="default"/>
          <w:spacing w:val="-1"/>
          <w:sz w:val="21"/>
          <w:szCs w:val="21"/>
        </w:rPr>
        <w:t>归</w:t>
      </w:r>
      <w:r>
        <w:rPr>
          <w:rFonts w:ascii="宋体" w:hAnsi="宋体" w:cs="宋体" w:eastAsia="宋体" w:hint="default"/>
          <w:sz w:val="21"/>
          <w:szCs w:val="21"/>
        </w:rPr>
        <w:t>还</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w:t>
      </w:r>
      <w:r>
        <w:rPr>
          <w:rFonts w:ascii="宋体" w:hAnsi="宋体" w:cs="宋体" w:eastAsia="宋体" w:hint="default"/>
          <w:sz w:val="21"/>
          <w:szCs w:val="21"/>
        </w:rPr>
        <w:t>5</w:t>
      </w:r>
      <w:r>
        <w:rPr>
          <w:rFonts w:ascii="宋体" w:hAnsi="宋体" w:cs="宋体" w:eastAsia="宋体" w:hint="default"/>
          <w:spacing w:val="-1"/>
          <w:sz w:val="21"/>
          <w:szCs w:val="21"/>
        </w:rPr>
        <w:t>0</w:t>
      </w:r>
      <w:r>
        <w:rPr>
          <w:rFonts w:ascii="宋体" w:hAnsi="宋体" w:cs="宋体" w:eastAsia="宋体" w:hint="default"/>
          <w:sz w:val="21"/>
          <w:szCs w:val="21"/>
        </w:rPr>
        <w:t>9</w:t>
      </w:r>
      <w:r>
        <w:rPr>
          <w:rFonts w:ascii="宋体" w:hAnsi="宋体" w:cs="宋体" w:eastAsia="宋体" w:hint="default"/>
          <w:spacing w:val="-1"/>
          <w:sz w:val="21"/>
          <w:szCs w:val="21"/>
        </w:rPr>
        <w:t>,1</w:t>
      </w:r>
      <w:r>
        <w:rPr>
          <w:rFonts w:ascii="宋体" w:hAnsi="宋体" w:cs="宋体" w:eastAsia="宋体" w:hint="default"/>
          <w:sz w:val="21"/>
          <w:szCs w:val="21"/>
        </w:rPr>
        <w:t>5</w:t>
      </w:r>
      <w:r>
        <w:rPr>
          <w:rFonts w:ascii="宋体" w:hAnsi="宋体" w:cs="宋体" w:eastAsia="宋体" w:hint="default"/>
          <w:spacing w:val="-1"/>
          <w:sz w:val="21"/>
          <w:szCs w:val="21"/>
        </w:rPr>
        <w:t>7</w:t>
      </w:r>
      <w:r>
        <w:rPr>
          <w:rFonts w:ascii="宋体" w:hAnsi="宋体" w:cs="宋体" w:eastAsia="宋体" w:hint="default"/>
          <w:sz w:val="21"/>
          <w:szCs w:val="21"/>
        </w:rPr>
        <w:t>.</w:t>
      </w:r>
      <w:r>
        <w:rPr>
          <w:rFonts w:ascii="宋体" w:hAnsi="宋体" w:cs="宋体" w:eastAsia="宋体" w:hint="default"/>
          <w:spacing w:val="-1"/>
          <w:sz w:val="21"/>
          <w:szCs w:val="21"/>
        </w:rPr>
        <w:t>72</w:t>
      </w:r>
      <w:r>
        <w:rPr>
          <w:rFonts w:ascii="宋体" w:hAnsi="宋体" w:cs="宋体" w:eastAsia="宋体" w:hint="default"/>
          <w:sz w:val="21"/>
          <w:szCs w:val="21"/>
        </w:rPr>
      </w:r>
    </w:p>
    <w:p>
      <w:pPr>
        <w:spacing w:line="240" w:lineRule="auto" w:before="2"/>
        <w:rPr>
          <w:rFonts w:ascii="宋体" w:hAnsi="宋体" w:cs="宋体" w:eastAsia="宋体" w:hint="default"/>
          <w:sz w:val="17"/>
          <w:szCs w:val="17"/>
        </w:rPr>
      </w:pPr>
    </w:p>
    <w:p>
      <w:pPr>
        <w:spacing w:line="436" w:lineRule="auto" w:before="0"/>
        <w:ind w:left="234" w:right="149" w:firstLine="0"/>
        <w:jc w:val="both"/>
        <w:rPr>
          <w:rFonts w:ascii="宋体" w:hAnsi="宋体" w:cs="宋体" w:eastAsia="宋体" w:hint="default"/>
          <w:sz w:val="21"/>
          <w:szCs w:val="21"/>
        </w:rPr>
      </w:pPr>
      <w:r>
        <w:rPr>
          <w:rFonts w:ascii="宋体" w:hAnsi="宋体" w:cs="宋体" w:eastAsia="宋体" w:hint="default"/>
          <w:sz w:val="21"/>
          <w:szCs w:val="21"/>
        </w:rPr>
        <w:t>元，截止</w:t>
      </w:r>
      <w:r>
        <w:rPr>
          <w:rFonts w:ascii="宋体" w:hAnsi="宋体" w:cs="宋体" w:eastAsia="宋体" w:hint="default"/>
          <w:spacing w:val="-50"/>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日，尚欠</w:t>
      </w:r>
      <w:r>
        <w:rPr>
          <w:rFonts w:ascii="宋体" w:hAnsi="宋体" w:cs="宋体" w:eastAsia="宋体" w:hint="default"/>
          <w:spacing w:val="-51"/>
          <w:sz w:val="21"/>
          <w:szCs w:val="21"/>
        </w:rPr>
        <w:t> </w:t>
      </w:r>
      <w:r>
        <w:rPr>
          <w:rFonts w:ascii="宋体" w:hAnsi="宋体" w:cs="宋体" w:eastAsia="宋体" w:hint="default"/>
          <w:sz w:val="21"/>
          <w:szCs w:val="21"/>
        </w:rPr>
        <w:t>46,370,842.28</w:t>
      </w:r>
      <w:r>
        <w:rPr>
          <w:rFonts w:ascii="宋体" w:hAnsi="宋体" w:cs="宋体" w:eastAsia="宋体" w:hint="default"/>
          <w:spacing w:val="-49"/>
          <w:sz w:val="21"/>
          <w:szCs w:val="21"/>
        </w:rPr>
        <w:t> </w:t>
      </w:r>
      <w:r>
        <w:rPr>
          <w:rFonts w:ascii="宋体" w:hAnsi="宋体" w:cs="宋体" w:eastAsia="宋体" w:hint="default"/>
          <w:sz w:val="21"/>
          <w:szCs w:val="21"/>
        </w:rPr>
        <w:t>元。深圳罗湖支行在</w:t>
      </w:r>
      <w:r>
        <w:rPr>
          <w:rFonts w:ascii="宋体" w:hAnsi="宋体" w:cs="宋体" w:eastAsia="宋体" w:hint="default"/>
          <w:spacing w:val="-50"/>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z w:val="21"/>
          <w:szCs w:val="21"/>
        </w:rPr>
        <w:t>日申请要求深圳</w:t>
      </w:r>
      <w:r>
        <w:rPr>
          <w:rFonts w:ascii="宋体" w:hAnsi="宋体" w:cs="宋体" w:eastAsia="宋体" w:hint="default"/>
          <w:sz w:val="21"/>
          <w:szCs w:val="21"/>
        </w:rPr>
        <w:t> 市中级人民法院强制执行，法院出具（2006）深中法执字第 354、355</w:t>
      </w:r>
      <w:r>
        <w:rPr>
          <w:rFonts w:ascii="宋体" w:hAnsi="宋体" w:cs="宋体" w:eastAsia="宋体" w:hint="default"/>
          <w:spacing w:val="-27"/>
          <w:sz w:val="21"/>
          <w:szCs w:val="21"/>
        </w:rPr>
        <w:t> </w:t>
      </w:r>
      <w:r>
        <w:rPr>
          <w:rFonts w:ascii="宋体" w:hAnsi="宋体" w:cs="宋体" w:eastAsia="宋体" w:hint="default"/>
          <w:sz w:val="21"/>
          <w:szCs w:val="21"/>
        </w:rPr>
        <w:t>号民事裁定书和执行令，责令深大</w:t>
      </w:r>
      <w:r>
        <w:rPr>
          <w:rFonts w:ascii="宋体" w:hAnsi="宋体" w:cs="宋体" w:eastAsia="宋体" w:hint="default"/>
          <w:sz w:val="21"/>
          <w:szCs w:val="21"/>
        </w:rPr>
        <w:t> 通公司连同担保单位遵化新利能源开发有限公司履行</w:t>
      </w:r>
      <w:r>
        <w:rPr>
          <w:rFonts w:ascii="宋体" w:hAnsi="宋体" w:cs="宋体" w:eastAsia="宋体" w:hint="default"/>
          <w:spacing w:val="-59"/>
          <w:sz w:val="21"/>
          <w:szCs w:val="21"/>
        </w:rPr>
        <w:t> </w:t>
      </w:r>
      <w:r>
        <w:rPr>
          <w:rFonts w:ascii="宋体" w:hAnsi="宋体" w:cs="宋体" w:eastAsia="宋体" w:hint="default"/>
          <w:sz w:val="21"/>
          <w:szCs w:val="21"/>
        </w:rPr>
        <w:t>5000</w:t>
      </w:r>
      <w:r>
        <w:rPr>
          <w:rFonts w:ascii="宋体" w:hAnsi="宋体" w:cs="宋体" w:eastAsia="宋体" w:hint="default"/>
          <w:spacing w:val="-59"/>
          <w:sz w:val="21"/>
          <w:szCs w:val="21"/>
        </w:rPr>
        <w:t> </w:t>
      </w:r>
      <w:r>
        <w:rPr>
          <w:rFonts w:ascii="宋体" w:hAnsi="宋体" w:cs="宋体" w:eastAsia="宋体" w:hint="default"/>
          <w:spacing w:val="-3"/>
          <w:sz w:val="21"/>
          <w:szCs w:val="21"/>
        </w:rPr>
        <w:t>万贷款偿还义务，执行标的为</w:t>
      </w:r>
      <w:r>
        <w:rPr>
          <w:rFonts w:ascii="宋体" w:hAnsi="宋体" w:cs="宋体" w:eastAsia="宋体" w:hint="default"/>
          <w:spacing w:val="-59"/>
          <w:sz w:val="21"/>
          <w:szCs w:val="21"/>
        </w:rPr>
        <w:t> </w:t>
      </w:r>
      <w:r>
        <w:rPr>
          <w:rFonts w:ascii="宋体" w:hAnsi="宋体" w:cs="宋体" w:eastAsia="宋体" w:hint="default"/>
          <w:sz w:val="21"/>
          <w:szCs w:val="21"/>
        </w:rPr>
        <w:t>4988</w:t>
      </w:r>
      <w:r>
        <w:rPr>
          <w:rFonts w:ascii="宋体" w:hAnsi="宋体" w:cs="宋体" w:eastAsia="宋体" w:hint="default"/>
          <w:spacing w:val="-59"/>
          <w:sz w:val="21"/>
          <w:szCs w:val="21"/>
        </w:rPr>
        <w:t> </w:t>
      </w:r>
      <w:r>
        <w:rPr>
          <w:rFonts w:ascii="宋体" w:hAnsi="宋体" w:cs="宋体" w:eastAsia="宋体" w:hint="default"/>
          <w:sz w:val="21"/>
          <w:szCs w:val="21"/>
        </w:rPr>
        <w:t>万元及诉讼</w:t>
      </w:r>
      <w:r>
        <w:rPr>
          <w:rFonts w:ascii="宋体" w:hAnsi="宋体" w:cs="宋体" w:eastAsia="宋体" w:hint="default"/>
          <w:spacing w:val="-1"/>
          <w:sz w:val="21"/>
          <w:szCs w:val="21"/>
        </w:rPr>
        <w:t> </w:t>
      </w:r>
      <w:r>
        <w:rPr>
          <w:rFonts w:ascii="宋体" w:hAnsi="宋体" w:cs="宋体" w:eastAsia="宋体" w:hint="default"/>
          <w:sz w:val="21"/>
          <w:szCs w:val="21"/>
        </w:rPr>
        <w:t>费为限。</w:t>
      </w:r>
    </w:p>
    <w:p>
      <w:pPr>
        <w:spacing w:before="91"/>
        <w:ind w:left="654" w:right="93" w:firstLine="0"/>
        <w:jc w:val="left"/>
        <w:rPr>
          <w:rFonts w:ascii="宋体" w:hAnsi="宋体" w:cs="宋体" w:eastAsia="宋体" w:hint="default"/>
          <w:sz w:val="21"/>
          <w:szCs w:val="21"/>
        </w:rPr>
      </w:pPr>
      <w:r>
        <w:rPr>
          <w:rFonts w:ascii="宋体" w:hAnsi="宋体" w:cs="宋体" w:eastAsia="宋体" w:hint="default"/>
          <w:sz w:val="21"/>
          <w:szCs w:val="21"/>
        </w:rPr>
        <w:t>（3）2009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日，中国农业银行深圳罗湖支行与本公司及青岛亚星实业有限公司（本公司执</w:t>
      </w:r>
    </w:p>
    <w:p>
      <w:pPr>
        <w:spacing w:line="240" w:lineRule="auto" w:before="3"/>
        <w:rPr>
          <w:rFonts w:ascii="宋体" w:hAnsi="宋体" w:cs="宋体" w:eastAsia="宋体" w:hint="default"/>
          <w:sz w:val="17"/>
          <w:szCs w:val="17"/>
        </w:rPr>
      </w:pPr>
    </w:p>
    <w:p>
      <w:pPr>
        <w:spacing w:before="0"/>
        <w:ind w:left="234" w:right="0" w:firstLine="0"/>
        <w:jc w:val="both"/>
        <w:rPr>
          <w:rFonts w:ascii="宋体" w:hAnsi="宋体" w:cs="宋体" w:eastAsia="宋体" w:hint="default"/>
          <w:sz w:val="21"/>
          <w:szCs w:val="21"/>
        </w:rPr>
      </w:pPr>
      <w:r>
        <w:rPr>
          <w:rFonts w:ascii="宋体" w:hAnsi="宋体" w:cs="宋体" w:eastAsia="宋体" w:hint="default"/>
          <w:sz w:val="21"/>
          <w:szCs w:val="21"/>
        </w:rPr>
        <w:t>行担保人）签订编号</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深）农银豁免息字</w:t>
      </w:r>
      <w:r>
        <w:rPr>
          <w:rFonts w:ascii="宋体" w:hAnsi="宋体" w:cs="宋体" w:eastAsia="宋体" w:hint="default"/>
          <w:spacing w:val="-49"/>
          <w:sz w:val="21"/>
          <w:szCs w:val="21"/>
        </w:rPr>
        <w:t> </w:t>
      </w:r>
      <w:r>
        <w:rPr>
          <w:rFonts w:ascii="宋体" w:hAnsi="宋体" w:cs="宋体" w:eastAsia="宋体" w:hint="default"/>
          <w:sz w:val="21"/>
          <w:szCs w:val="21"/>
        </w:rPr>
        <w:t>20090618</w:t>
      </w:r>
      <w:r>
        <w:rPr>
          <w:rFonts w:ascii="宋体" w:hAnsi="宋体" w:cs="宋体" w:eastAsia="宋体" w:hint="default"/>
          <w:spacing w:val="-48"/>
          <w:sz w:val="21"/>
          <w:szCs w:val="21"/>
        </w:rPr>
        <w:t> </w:t>
      </w:r>
      <w:r>
        <w:rPr>
          <w:rFonts w:ascii="宋体" w:hAnsi="宋体" w:cs="宋体" w:eastAsia="宋体" w:hint="default"/>
          <w:sz w:val="21"/>
          <w:szCs w:val="21"/>
        </w:rPr>
        <w:t>号债务</w:t>
      </w:r>
      <w:r>
        <w:rPr>
          <w:rFonts w:ascii="宋体" w:hAnsi="宋体" w:cs="宋体" w:eastAsia="宋体" w:hint="default"/>
          <w:spacing w:val="-2"/>
          <w:sz w:val="21"/>
          <w:szCs w:val="21"/>
        </w:rPr>
        <w:t>和</w:t>
      </w:r>
      <w:r>
        <w:rPr>
          <w:rFonts w:ascii="宋体" w:hAnsi="宋体" w:cs="宋体" w:eastAsia="宋体" w:hint="default"/>
          <w:sz w:val="21"/>
          <w:szCs w:val="21"/>
        </w:rPr>
        <w:t>解协议书，免除本公司截至</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p>
    <w:p>
      <w:pPr>
        <w:spacing w:line="240" w:lineRule="auto" w:before="3"/>
        <w:rPr>
          <w:rFonts w:ascii="宋体" w:hAnsi="宋体" w:cs="宋体" w:eastAsia="宋体" w:hint="default"/>
          <w:sz w:val="17"/>
          <w:szCs w:val="17"/>
        </w:rPr>
      </w:pPr>
    </w:p>
    <w:p>
      <w:pPr>
        <w:spacing w:before="0"/>
        <w:ind w:left="234" w:right="0" w:firstLine="0"/>
        <w:jc w:val="both"/>
        <w:rPr>
          <w:rFonts w:ascii="宋体" w:hAnsi="宋体" w:cs="宋体" w:eastAsia="宋体" w:hint="default"/>
          <w:sz w:val="21"/>
          <w:szCs w:val="21"/>
        </w:rPr>
      </w:pPr>
      <w:r>
        <w:rPr>
          <w:rFonts w:ascii="宋体" w:hAnsi="宋体" w:cs="宋体" w:eastAsia="宋体" w:hint="default"/>
          <w:sz w:val="21"/>
          <w:szCs w:val="21"/>
        </w:rPr>
        <w:t>日之前的贷款利息合计人民币</w:t>
      </w:r>
      <w:r>
        <w:rPr>
          <w:rFonts w:ascii="宋体" w:hAnsi="宋体" w:cs="宋体" w:eastAsia="宋体" w:hint="default"/>
          <w:spacing w:val="-58"/>
          <w:sz w:val="21"/>
          <w:szCs w:val="21"/>
        </w:rPr>
        <w:t> </w:t>
      </w:r>
      <w:r>
        <w:rPr>
          <w:rFonts w:ascii="宋体" w:hAnsi="宋体" w:cs="宋体" w:eastAsia="宋体" w:hint="default"/>
          <w:sz w:val="21"/>
          <w:szCs w:val="21"/>
        </w:rPr>
        <w:t>10,566,266.22</w:t>
      </w:r>
      <w:r>
        <w:rPr>
          <w:rFonts w:ascii="宋体" w:hAnsi="宋体" w:cs="宋体" w:eastAsia="宋体" w:hint="default"/>
          <w:spacing w:val="-57"/>
          <w:sz w:val="21"/>
          <w:szCs w:val="21"/>
        </w:rPr>
        <w:t> </w:t>
      </w:r>
      <w:r>
        <w:rPr>
          <w:rFonts w:ascii="宋体" w:hAnsi="宋体" w:cs="宋体" w:eastAsia="宋体" w:hint="default"/>
          <w:sz w:val="21"/>
          <w:szCs w:val="21"/>
        </w:rPr>
        <w:t>元，并对上述贷款还款期间进行重新约定：2009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p>
    <w:p>
      <w:pPr>
        <w:spacing w:line="240" w:lineRule="auto" w:before="2"/>
        <w:rPr>
          <w:rFonts w:ascii="宋体" w:hAnsi="宋体" w:cs="宋体" w:eastAsia="宋体" w:hint="default"/>
          <w:sz w:val="17"/>
          <w:szCs w:val="17"/>
        </w:rPr>
      </w:pPr>
    </w:p>
    <w:p>
      <w:pPr>
        <w:spacing w:before="0"/>
        <w:ind w:left="234" w:right="0" w:firstLine="0"/>
        <w:jc w:val="both"/>
        <w:rPr>
          <w:rFonts w:ascii="宋体" w:hAnsi="宋体" w:cs="宋体" w:eastAsia="宋体" w:hint="default"/>
          <w:sz w:val="21"/>
          <w:szCs w:val="21"/>
        </w:rPr>
      </w:pPr>
      <w:r>
        <w:rPr>
          <w:rFonts w:ascii="宋体" w:hAnsi="宋体" w:cs="宋体" w:eastAsia="宋体" w:hint="default"/>
          <w:sz w:val="21"/>
          <w:szCs w:val="21"/>
        </w:rPr>
        <w:t>日以前公司偿还借款本金</w:t>
      </w:r>
      <w:r>
        <w:rPr>
          <w:rFonts w:ascii="宋体" w:hAnsi="宋体" w:cs="宋体" w:eastAsia="宋体" w:hint="default"/>
          <w:spacing w:val="-35"/>
          <w:sz w:val="21"/>
          <w:szCs w:val="21"/>
        </w:rPr>
        <w:t> </w:t>
      </w:r>
      <w:r>
        <w:rPr>
          <w:rFonts w:ascii="宋体" w:hAnsi="宋体" w:cs="宋体" w:eastAsia="宋体" w:hint="default"/>
          <w:sz w:val="21"/>
          <w:szCs w:val="21"/>
        </w:rPr>
        <w:t>1000</w:t>
      </w:r>
      <w:r>
        <w:rPr>
          <w:rFonts w:ascii="宋体" w:hAnsi="宋体" w:cs="宋体" w:eastAsia="宋体" w:hint="default"/>
          <w:spacing w:val="-35"/>
          <w:sz w:val="21"/>
          <w:szCs w:val="21"/>
        </w:rPr>
        <w:t> </w:t>
      </w:r>
      <w:r>
        <w:rPr>
          <w:rFonts w:ascii="宋体" w:hAnsi="宋体" w:cs="宋体" w:eastAsia="宋体" w:hint="default"/>
          <w:sz w:val="21"/>
          <w:szCs w:val="21"/>
        </w:rPr>
        <w:t>万元，2010</w:t>
      </w:r>
      <w:r>
        <w:rPr>
          <w:rFonts w:ascii="宋体" w:hAnsi="宋体" w:cs="宋体" w:eastAsia="宋体" w:hint="default"/>
          <w:spacing w:val="-35"/>
          <w:sz w:val="21"/>
          <w:szCs w:val="21"/>
        </w:rPr>
        <w:t> </w:t>
      </w:r>
      <w:r>
        <w:rPr>
          <w:rFonts w:ascii="宋体" w:hAnsi="宋体" w:cs="宋体" w:eastAsia="宋体" w:hint="default"/>
          <w:sz w:val="21"/>
          <w:szCs w:val="21"/>
        </w:rPr>
        <w:t>年每季度偿还本金</w:t>
      </w:r>
      <w:r>
        <w:rPr>
          <w:rFonts w:ascii="宋体" w:hAnsi="宋体" w:cs="宋体" w:eastAsia="宋体" w:hint="default"/>
          <w:spacing w:val="-35"/>
          <w:sz w:val="21"/>
          <w:szCs w:val="21"/>
        </w:rPr>
        <w:t> </w:t>
      </w:r>
      <w:r>
        <w:rPr>
          <w:rFonts w:ascii="宋体" w:hAnsi="宋体" w:cs="宋体" w:eastAsia="宋体" w:hint="default"/>
          <w:sz w:val="21"/>
          <w:szCs w:val="21"/>
        </w:rPr>
        <w:t>250</w:t>
      </w:r>
      <w:r>
        <w:rPr>
          <w:rFonts w:ascii="宋体" w:hAnsi="宋体" w:cs="宋体" w:eastAsia="宋体" w:hint="default"/>
          <w:spacing w:val="-35"/>
          <w:sz w:val="21"/>
          <w:szCs w:val="21"/>
        </w:rPr>
        <w:t> </w:t>
      </w:r>
      <w:r>
        <w:rPr>
          <w:rFonts w:ascii="宋体" w:hAnsi="宋体" w:cs="宋体" w:eastAsia="宋体" w:hint="default"/>
          <w:sz w:val="21"/>
          <w:szCs w:val="21"/>
        </w:rPr>
        <w:t>万元，剩余本金</w:t>
      </w:r>
      <w:r>
        <w:rPr>
          <w:rFonts w:ascii="宋体" w:hAnsi="宋体" w:cs="宋体" w:eastAsia="宋体" w:hint="default"/>
          <w:spacing w:val="-35"/>
          <w:sz w:val="21"/>
          <w:szCs w:val="21"/>
        </w:rPr>
        <w:t> </w:t>
      </w:r>
      <w:r>
        <w:rPr>
          <w:rFonts w:ascii="宋体" w:hAnsi="宋体" w:cs="宋体" w:eastAsia="宋体" w:hint="default"/>
          <w:sz w:val="21"/>
          <w:szCs w:val="21"/>
        </w:rPr>
        <w:t>2011</w:t>
      </w:r>
      <w:r>
        <w:rPr>
          <w:rFonts w:ascii="宋体" w:hAnsi="宋体" w:cs="宋体" w:eastAsia="宋体" w:hint="default"/>
          <w:spacing w:val="-35"/>
          <w:sz w:val="21"/>
          <w:szCs w:val="21"/>
        </w:rPr>
        <w:t> </w:t>
      </w:r>
      <w:r>
        <w:rPr>
          <w:rFonts w:ascii="宋体" w:hAnsi="宋体" w:cs="宋体" w:eastAsia="宋体" w:hint="default"/>
          <w:sz w:val="21"/>
          <w:szCs w:val="21"/>
        </w:rPr>
        <w:t>年每月偿还本金</w:t>
      </w:r>
    </w:p>
    <w:p>
      <w:pPr>
        <w:spacing w:line="240" w:lineRule="auto" w:before="3"/>
        <w:rPr>
          <w:rFonts w:ascii="宋体" w:hAnsi="宋体" w:cs="宋体" w:eastAsia="宋体" w:hint="default"/>
          <w:sz w:val="17"/>
          <w:szCs w:val="17"/>
        </w:rPr>
      </w:pPr>
    </w:p>
    <w:p>
      <w:pPr>
        <w:spacing w:before="0"/>
        <w:ind w:left="234" w:right="0" w:firstLine="0"/>
        <w:jc w:val="both"/>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8"/>
          <w:sz w:val="21"/>
          <w:szCs w:val="21"/>
        </w:rPr>
        <w:t> </w:t>
      </w:r>
      <w:r>
        <w:rPr>
          <w:rFonts w:ascii="宋体" w:hAnsi="宋体" w:cs="宋体" w:eastAsia="宋体" w:hint="default"/>
          <w:sz w:val="21"/>
          <w:szCs w:val="21"/>
        </w:rPr>
        <w:t>万元，直至还清本金。2009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日，本公司已经归还协议约定的本金</w:t>
      </w:r>
      <w:r>
        <w:rPr>
          <w:rFonts w:ascii="宋体" w:hAnsi="宋体" w:cs="宋体" w:eastAsia="宋体" w:hint="default"/>
          <w:spacing w:val="-59"/>
          <w:sz w:val="21"/>
          <w:szCs w:val="21"/>
        </w:rPr>
        <w:t> </w:t>
      </w:r>
      <w:r>
        <w:rPr>
          <w:rFonts w:ascii="宋体" w:hAnsi="宋体" w:cs="宋体" w:eastAsia="宋体" w:hint="default"/>
          <w:sz w:val="21"/>
          <w:szCs w:val="21"/>
        </w:rPr>
        <w:t>1000</w:t>
      </w:r>
      <w:r>
        <w:rPr>
          <w:rFonts w:ascii="宋体" w:hAnsi="宋体" w:cs="宋体" w:eastAsia="宋体" w:hint="default"/>
          <w:spacing w:val="-59"/>
          <w:sz w:val="21"/>
          <w:szCs w:val="21"/>
        </w:rPr>
        <w:t> </w:t>
      </w:r>
      <w:r>
        <w:rPr>
          <w:rFonts w:ascii="宋体" w:hAnsi="宋体" w:cs="宋体" w:eastAsia="宋体" w:hint="default"/>
          <w:sz w:val="21"/>
          <w:szCs w:val="21"/>
        </w:rPr>
        <w:t>万元和</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w:t>
      </w:r>
    </w:p>
    <w:p>
      <w:pPr>
        <w:spacing w:line="240" w:lineRule="auto" w:before="4"/>
        <w:rPr>
          <w:rFonts w:ascii="宋体" w:hAnsi="宋体" w:cs="宋体" w:eastAsia="宋体" w:hint="default"/>
          <w:sz w:val="17"/>
          <w:szCs w:val="17"/>
        </w:rPr>
      </w:pPr>
    </w:p>
    <w:p>
      <w:pPr>
        <w:spacing w:before="0"/>
        <w:ind w:left="234"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日利息</w:t>
      </w:r>
      <w:r>
        <w:rPr>
          <w:rFonts w:ascii="宋体" w:hAnsi="宋体" w:cs="宋体" w:eastAsia="宋体" w:hint="default"/>
          <w:spacing w:val="-4"/>
          <w:sz w:val="21"/>
          <w:szCs w:val="21"/>
        </w:rPr>
        <w:t> </w:t>
      </w:r>
      <w:r>
        <w:rPr>
          <w:rFonts w:ascii="宋体" w:hAnsi="宋体" w:cs="宋体" w:eastAsia="宋体" w:hint="default"/>
          <w:sz w:val="21"/>
          <w:szCs w:val="21"/>
        </w:rPr>
        <w:t>4,126,541.25</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3"/>
        <w:rPr>
          <w:rFonts w:ascii="宋体" w:hAnsi="宋体" w:cs="宋体" w:eastAsia="宋体" w:hint="default"/>
          <w:sz w:val="20"/>
          <w:szCs w:val="20"/>
        </w:rPr>
      </w:pPr>
    </w:p>
    <w:p>
      <w:pPr>
        <w:spacing w:before="0"/>
        <w:ind w:left="654" w:right="93" w:firstLine="0"/>
        <w:jc w:val="left"/>
        <w:rPr>
          <w:rFonts w:ascii="宋体" w:hAnsi="宋体" w:cs="宋体" w:eastAsia="宋体" w:hint="default"/>
          <w:sz w:val="21"/>
          <w:szCs w:val="21"/>
        </w:rPr>
      </w:pPr>
      <w:r>
        <w:rPr>
          <w:rFonts w:ascii="宋体" w:hAnsi="宋体" w:cs="宋体" w:eastAsia="宋体" w:hint="default"/>
          <w:sz w:val="21"/>
          <w:szCs w:val="21"/>
        </w:rPr>
        <w:t>9、应付账款</w:t>
      </w:r>
    </w:p>
    <w:p>
      <w:pPr>
        <w:spacing w:line="240" w:lineRule="auto" w:before="3"/>
        <w:rPr>
          <w:rFonts w:ascii="宋体" w:hAnsi="宋体" w:cs="宋体" w:eastAsia="宋体" w:hint="default"/>
          <w:sz w:val="20"/>
          <w:szCs w:val="20"/>
        </w:rPr>
      </w:pPr>
    </w:p>
    <w:p>
      <w:pPr>
        <w:spacing w:before="0"/>
        <w:ind w:left="654" w:right="93" w:firstLine="0"/>
        <w:jc w:val="left"/>
        <w:rPr>
          <w:rFonts w:ascii="宋体" w:hAnsi="宋体" w:cs="宋体" w:eastAsia="宋体" w:hint="default"/>
          <w:sz w:val="21"/>
          <w:szCs w:val="21"/>
        </w:rPr>
      </w:pPr>
      <w:r>
        <w:rPr>
          <w:rFonts w:ascii="宋体" w:hAnsi="宋体" w:cs="宋体" w:eastAsia="宋体" w:hint="default"/>
          <w:sz w:val="21"/>
          <w:szCs w:val="21"/>
        </w:rPr>
        <w:t>（1）应付账款情况</w:t>
      </w:r>
    </w:p>
    <w:p>
      <w:pPr>
        <w:spacing w:line="240" w:lineRule="auto" w:before="3"/>
        <w:rPr>
          <w:rFonts w:ascii="宋体" w:hAnsi="宋体" w:cs="宋体" w:eastAsia="宋体" w:hint="default"/>
          <w:sz w:val="20"/>
          <w:szCs w:val="20"/>
        </w:rPr>
      </w:pPr>
    </w:p>
    <w:p>
      <w:pPr>
        <w:spacing w:before="0"/>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64"/>
        <w:gridCol w:w="3248"/>
        <w:gridCol w:w="3250"/>
      </w:tblGrid>
      <w:tr>
        <w:trPr>
          <w:trHeight w:val="58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543"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69,661,140.10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8,215,291.21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8,215,291.21</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45"/>
                <w:sz w:val="21"/>
                <w:szCs w:val="21"/>
              </w:rPr>
              <w:t> </w:t>
            </w:r>
            <w:r>
              <w:rPr>
                <w:rFonts w:ascii="宋体" w:hAnsi="宋体" w:cs="宋体" w:eastAsia="宋体" w:hint="default"/>
                <w:sz w:val="21"/>
                <w:szCs w:val="21"/>
              </w:rPr>
              <w:t>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77,876,431.31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8,215,291.21</w:t>
            </w:r>
          </w:p>
        </w:tc>
      </w:tr>
    </w:tbl>
    <w:p>
      <w:pPr>
        <w:spacing w:line="240" w:lineRule="auto" w:before="2"/>
        <w:rPr>
          <w:rFonts w:ascii="宋体" w:hAnsi="宋体" w:cs="宋体" w:eastAsia="宋体" w:hint="default"/>
          <w:sz w:val="15"/>
          <w:szCs w:val="15"/>
        </w:rPr>
      </w:pPr>
    </w:p>
    <w:p>
      <w:pPr>
        <w:spacing w:line="436" w:lineRule="auto" w:before="35"/>
        <w:ind w:left="234" w:right="134" w:firstLine="420"/>
        <w:jc w:val="left"/>
        <w:rPr>
          <w:rFonts w:ascii="宋体" w:hAnsi="宋体" w:cs="宋体" w:eastAsia="宋体" w:hint="default"/>
          <w:sz w:val="21"/>
          <w:szCs w:val="21"/>
        </w:rPr>
      </w:pPr>
      <w:r>
        <w:rPr>
          <w:rFonts w:ascii="宋体" w:hAnsi="宋体" w:cs="宋体" w:eastAsia="宋体" w:hint="default"/>
          <w:sz w:val="21"/>
          <w:szCs w:val="21"/>
        </w:rPr>
        <w:t>（2）本报告期末应付账款余额中无应付持有公司</w:t>
      </w:r>
      <w:r>
        <w:rPr>
          <w:rFonts w:ascii="宋体" w:hAnsi="宋体" w:cs="宋体" w:eastAsia="宋体" w:hint="default"/>
          <w:spacing w:val="-64"/>
          <w:sz w:val="21"/>
          <w:szCs w:val="21"/>
        </w:rPr>
        <w:t> </w:t>
      </w:r>
      <w:r>
        <w:rPr>
          <w:rFonts w:ascii="宋体" w:hAnsi="宋体" w:cs="宋体" w:eastAsia="宋体" w:hint="default"/>
          <w:sz w:val="21"/>
          <w:szCs w:val="21"/>
        </w:rPr>
        <w:t>5%(含</w:t>
      </w:r>
      <w:r>
        <w:rPr>
          <w:rFonts w:ascii="宋体" w:hAnsi="宋体" w:cs="宋体" w:eastAsia="宋体" w:hint="default"/>
          <w:spacing w:val="-65"/>
          <w:sz w:val="21"/>
          <w:szCs w:val="21"/>
        </w:rPr>
        <w:t> </w:t>
      </w:r>
      <w:r>
        <w:rPr>
          <w:rFonts w:ascii="宋体" w:hAnsi="宋体" w:cs="宋体" w:eastAsia="宋体" w:hint="default"/>
          <w:sz w:val="21"/>
          <w:szCs w:val="21"/>
        </w:rPr>
        <w:t>5%)以上表决权股份的股东单位或关联方的款</w:t>
      </w:r>
      <w:r>
        <w:rPr>
          <w:rFonts w:ascii="宋体" w:hAnsi="宋体" w:cs="宋体" w:eastAsia="宋体" w:hint="default"/>
          <w:sz w:val="21"/>
          <w:szCs w:val="21"/>
        </w:rPr>
        <w:t> 项。</w:t>
      </w:r>
    </w:p>
    <w:p>
      <w:pPr>
        <w:spacing w:before="93"/>
        <w:ind w:left="654" w:right="93" w:firstLine="0"/>
        <w:jc w:val="left"/>
        <w:rPr>
          <w:rFonts w:ascii="宋体" w:hAnsi="宋体" w:cs="宋体" w:eastAsia="宋体" w:hint="default"/>
          <w:sz w:val="21"/>
          <w:szCs w:val="21"/>
        </w:rPr>
      </w:pPr>
      <w:r>
        <w:rPr>
          <w:rFonts w:ascii="宋体" w:hAnsi="宋体" w:cs="宋体" w:eastAsia="宋体" w:hint="default"/>
          <w:sz w:val="21"/>
          <w:szCs w:val="21"/>
        </w:rPr>
        <w:t>10、预收款项</w:t>
      </w:r>
    </w:p>
    <w:p>
      <w:pPr>
        <w:spacing w:line="240" w:lineRule="auto" w:before="3"/>
        <w:rPr>
          <w:rFonts w:ascii="宋体" w:hAnsi="宋体" w:cs="宋体" w:eastAsia="宋体" w:hint="default"/>
          <w:sz w:val="20"/>
          <w:szCs w:val="20"/>
        </w:rPr>
      </w:pPr>
    </w:p>
    <w:p>
      <w:pPr>
        <w:spacing w:before="0"/>
        <w:ind w:left="654" w:right="93" w:firstLine="0"/>
        <w:jc w:val="left"/>
        <w:rPr>
          <w:rFonts w:ascii="宋体" w:hAnsi="宋体" w:cs="宋体" w:eastAsia="宋体" w:hint="default"/>
          <w:sz w:val="21"/>
          <w:szCs w:val="21"/>
        </w:rPr>
      </w:pPr>
      <w:r>
        <w:rPr>
          <w:rFonts w:ascii="宋体" w:hAnsi="宋体" w:cs="宋体" w:eastAsia="宋体" w:hint="default"/>
          <w:sz w:val="21"/>
          <w:szCs w:val="21"/>
        </w:rPr>
        <w:t>（1）预收款项情况</w:t>
      </w:r>
    </w:p>
    <w:p>
      <w:pPr>
        <w:spacing w:after="0"/>
        <w:jc w:val="left"/>
        <w:rPr>
          <w:rFonts w:ascii="宋体" w:hAnsi="宋体" w:cs="宋体" w:eastAsia="宋体" w:hint="default"/>
          <w:sz w:val="21"/>
          <w:szCs w:val="21"/>
        </w:rPr>
        <w:sectPr>
          <w:pgSz w:w="11910" w:h="16840"/>
          <w:pgMar w:header="0" w:footer="941" w:top="1100" w:bottom="1140" w:left="90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525" w:val="left" w:leader="none"/>
              </w:tabs>
              <w:spacing w:line="240" w:lineRule="auto"/>
              <w:ind w:right="1267"/>
              <w:jc w:val="right"/>
              <w:rPr>
                <w:rFonts w:ascii="宋体" w:hAnsi="宋体" w:cs="宋体" w:eastAsia="宋体" w:hint="default"/>
                <w:sz w:val="21"/>
                <w:szCs w:val="21"/>
              </w:rPr>
            </w:pPr>
            <w:r>
              <w:rPr>
                <w:rFonts w:ascii="宋体" w:hAnsi="宋体" w:cs="宋体" w:eastAsia="宋体" w:hint="default"/>
                <w:sz w:val="21"/>
                <w:szCs w:val="21"/>
              </w:rPr>
              <w:t>账</w:t>
              <w:tab/>
              <w:t>龄</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8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28,868,370.90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875,431.15</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875,431.15</w:t>
            </w:r>
            <w:r>
              <w:rPr>
                <w:rFonts w:ascii="Times New Roman"/>
                <w:sz w:val="21"/>
              </w:rPr>
            </w:r>
          </w:p>
        </w:tc>
      </w:tr>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525" w:val="left" w:leader="none"/>
              </w:tabs>
              <w:spacing w:line="240" w:lineRule="auto"/>
              <w:ind w:right="126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29,743,802.05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875,431.15</w:t>
            </w:r>
          </w:p>
        </w:tc>
      </w:tr>
    </w:tbl>
    <w:p>
      <w:pPr>
        <w:spacing w:line="240" w:lineRule="auto" w:before="2"/>
        <w:rPr>
          <w:rFonts w:ascii="宋体" w:hAnsi="宋体" w:cs="宋体" w:eastAsia="宋体" w:hint="default"/>
          <w:sz w:val="15"/>
          <w:szCs w:val="15"/>
        </w:rPr>
      </w:pPr>
    </w:p>
    <w:p>
      <w:pPr>
        <w:spacing w:line="472" w:lineRule="auto" w:before="35"/>
        <w:ind w:left="653" w:right="112" w:firstLine="0"/>
        <w:jc w:val="left"/>
        <w:rPr>
          <w:rFonts w:ascii="宋体" w:hAnsi="宋体" w:cs="宋体" w:eastAsia="宋体" w:hint="default"/>
          <w:sz w:val="21"/>
          <w:szCs w:val="21"/>
        </w:rPr>
      </w:pPr>
      <w:r>
        <w:rPr>
          <w:rFonts w:ascii="宋体" w:hAnsi="宋体" w:cs="宋体" w:eastAsia="宋体" w:hint="default"/>
          <w:spacing w:val="-5"/>
          <w:sz w:val="21"/>
          <w:szCs w:val="21"/>
        </w:rPr>
        <w:t>（2）本报告期末预收款项余额中无预收持有公司</w:t>
      </w:r>
      <w:r>
        <w:rPr>
          <w:rFonts w:ascii="宋体" w:hAnsi="宋体" w:cs="宋体" w:eastAsia="宋体" w:hint="default"/>
          <w:spacing w:val="-62"/>
          <w:sz w:val="21"/>
          <w:szCs w:val="21"/>
        </w:rPr>
        <w:t> </w:t>
      </w:r>
      <w:r>
        <w:rPr>
          <w:rFonts w:ascii="宋体" w:hAnsi="宋体" w:cs="宋体" w:eastAsia="宋体" w:hint="default"/>
          <w:sz w:val="21"/>
          <w:szCs w:val="21"/>
        </w:rPr>
        <w:t>5%(含</w:t>
      </w:r>
      <w:r>
        <w:rPr>
          <w:rFonts w:ascii="宋体" w:hAnsi="宋体" w:cs="宋体" w:eastAsia="宋体" w:hint="default"/>
          <w:spacing w:val="-64"/>
          <w:sz w:val="21"/>
          <w:szCs w:val="21"/>
        </w:rPr>
        <w:t> </w:t>
      </w:r>
      <w:r>
        <w:rPr>
          <w:rFonts w:ascii="宋体" w:hAnsi="宋体" w:cs="宋体" w:eastAsia="宋体" w:hint="default"/>
          <w:sz w:val="21"/>
          <w:szCs w:val="21"/>
        </w:rPr>
        <w:t>5%)以上表决权股份的股东单位或关联方款项。</w:t>
      </w:r>
      <w:r>
        <w:rPr>
          <w:rFonts w:ascii="宋体" w:hAnsi="宋体" w:cs="宋体" w:eastAsia="宋体" w:hint="default"/>
          <w:sz w:val="21"/>
          <w:szCs w:val="21"/>
        </w:rPr>
        <w:t> 11、应付职工薪酬</w:t>
      </w:r>
    </w:p>
    <w:p>
      <w:pPr>
        <w:spacing w:before="61"/>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358"/>
        <w:gridCol w:w="1573"/>
        <w:gridCol w:w="1574"/>
        <w:gridCol w:w="1573"/>
        <w:gridCol w:w="1576"/>
      </w:tblGrid>
      <w:tr>
        <w:trPr>
          <w:trHeight w:val="59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50"/>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56"/>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9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725,554.20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725,554.20</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14"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30,587.30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30,587.30</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14"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77,593.30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77,593.30</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14"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14"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1,812.43</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15,444.00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15,444.00</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1,812.43</w:t>
            </w:r>
            <w:r>
              <w:rPr>
                <w:rFonts w:ascii="Times New Roman"/>
                <w:sz w:val="21"/>
              </w:rPr>
            </w:r>
          </w:p>
        </w:tc>
      </w:tr>
      <w:tr>
        <w:trPr>
          <w:trHeight w:val="590" w:hRule="exact"/>
        </w:trPr>
        <w:tc>
          <w:tcPr>
            <w:tcW w:w="3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1,812.43</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849,178.80</w:t>
            </w:r>
            <w:r>
              <w:rPr>
                <w:rFonts w:ascii="Times New Roman"/>
                <w:sz w:val="21"/>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849,178.80</w:t>
            </w:r>
            <w:r>
              <w:rPr>
                <w:rFonts w:ascii="Times New Roman"/>
                <w:sz w:val="21"/>
              </w:rPr>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1,812.43</w:t>
            </w:r>
            <w:r>
              <w:rPr>
                <w:rFonts w:ascii="Times New Roman"/>
                <w:sz w:val="21"/>
              </w:rPr>
            </w:r>
          </w:p>
        </w:tc>
      </w:tr>
    </w:tbl>
    <w:p>
      <w:pPr>
        <w:spacing w:line="240" w:lineRule="auto" w:before="2"/>
        <w:rPr>
          <w:rFonts w:ascii="宋体" w:hAnsi="宋体" w:cs="宋体" w:eastAsia="宋体" w:hint="default"/>
          <w:sz w:val="15"/>
          <w:szCs w:val="15"/>
        </w:rPr>
      </w:pPr>
    </w:p>
    <w:p>
      <w:pPr>
        <w:spacing w:before="35"/>
        <w:ind w:left="654" w:right="115" w:firstLine="0"/>
        <w:jc w:val="left"/>
        <w:rPr>
          <w:rFonts w:ascii="宋体" w:hAnsi="宋体" w:cs="宋体" w:eastAsia="宋体" w:hint="default"/>
          <w:sz w:val="21"/>
          <w:szCs w:val="21"/>
        </w:rPr>
      </w:pPr>
      <w:r>
        <w:rPr>
          <w:rFonts w:ascii="宋体" w:hAnsi="宋体" w:cs="宋体" w:eastAsia="宋体" w:hint="default"/>
          <w:sz w:val="21"/>
          <w:szCs w:val="21"/>
        </w:rPr>
        <w:t>12、应交税费</w:t>
      </w:r>
    </w:p>
    <w:p>
      <w:pPr>
        <w:spacing w:line="240" w:lineRule="auto" w:before="9"/>
        <w:rPr>
          <w:rFonts w:ascii="宋体" w:hAnsi="宋体" w:cs="宋体" w:eastAsia="宋体" w:hint="default"/>
          <w:sz w:val="17"/>
          <w:szCs w:val="17"/>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247"/>
        <w:gridCol w:w="3234"/>
        <w:gridCol w:w="3234"/>
      </w:tblGrid>
      <w:tr>
        <w:trPr>
          <w:trHeight w:val="58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4"/>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5,653,958.32</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spacing w:val="-1"/>
                <w:sz w:val="21"/>
              </w:rPr>
              <w:t>-6,573.00</w:t>
            </w:r>
          </w:p>
        </w:tc>
      </w:tr>
      <w:tr>
        <w:trPr>
          <w:trHeight w:val="42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21"/>
                <w:szCs w:val="21"/>
              </w:rPr>
            </w:pPr>
            <w:r>
              <w:rPr>
                <w:rFonts w:ascii="Times New Roman"/>
                <w:spacing w:val="-1"/>
                <w:sz w:val="21"/>
              </w:rPr>
              <w:t>-6,573.00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21"/>
                <w:szCs w:val="21"/>
              </w:rPr>
            </w:pPr>
            <w:r>
              <w:rPr>
                <w:rFonts w:ascii="Times New Roman"/>
                <w:spacing w:val="-1"/>
                <w:sz w:val="21"/>
              </w:rPr>
              <w:t>4,392,364.27</w:t>
            </w:r>
          </w:p>
        </w:tc>
      </w:tr>
      <w:tr>
        <w:trPr>
          <w:trHeight w:val="452"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21"/>
                <w:szCs w:val="21"/>
              </w:rPr>
            </w:pPr>
            <w:r>
              <w:rPr>
                <w:rFonts w:ascii="Times New Roman"/>
                <w:spacing w:val="-1"/>
                <w:sz w:val="21"/>
              </w:rPr>
              <w:t>11,680,816.37</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32"/>
              <w:jc w:val="right"/>
              <w:rPr>
                <w:rFonts w:ascii="Times New Roman" w:hAnsi="Times New Roman" w:cs="Times New Roman" w:eastAsia="Times New Roman" w:hint="default"/>
                <w:sz w:val="21"/>
                <w:szCs w:val="21"/>
              </w:rPr>
            </w:pPr>
            <w:r>
              <w:rPr>
                <w:rFonts w:ascii="Times New Roman"/>
                <w:spacing w:val="-1"/>
                <w:sz w:val="21"/>
              </w:rPr>
              <w:t>821,540.63</w:t>
            </w:r>
          </w:p>
        </w:tc>
      </w:tr>
      <w:tr>
        <w:trPr>
          <w:trHeight w:val="403"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5"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6,054,596.89</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21"/>
                <w:szCs w:val="21"/>
              </w:rPr>
            </w:pPr>
            <w:r>
              <w:rPr>
                <w:rFonts w:ascii="Times New Roman"/>
                <w:spacing w:val="-1"/>
                <w:sz w:val="21"/>
              </w:rPr>
              <w:t>5,802,278.08</w:t>
            </w:r>
          </w:p>
        </w:tc>
      </w:tr>
      <w:tr>
        <w:trPr>
          <w:trHeight w:val="424"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21"/>
                <w:szCs w:val="21"/>
              </w:rPr>
            </w:pPr>
            <w:r>
              <w:rPr>
                <w:rFonts w:ascii="Times New Roman"/>
                <w:spacing w:val="-1"/>
                <w:sz w:val="21"/>
              </w:rPr>
              <w:t>276,887.57</w:t>
            </w:r>
            <w:r>
              <w:rPr>
                <w:rFonts w:ascii="Times New Roman"/>
                <w:sz w:val="21"/>
              </w:rPr>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32"/>
              <w:jc w:val="right"/>
              <w:rPr>
                <w:rFonts w:ascii="Times New Roman" w:hAnsi="Times New Roman" w:cs="Times New Roman" w:eastAsia="Times New Roman" w:hint="default"/>
                <w:sz w:val="21"/>
                <w:szCs w:val="21"/>
              </w:rPr>
            </w:pPr>
            <w:r>
              <w:rPr>
                <w:rFonts w:ascii="Times New Roman"/>
                <w:spacing w:val="-1"/>
                <w:sz w:val="21"/>
              </w:rPr>
              <w:t>9,099.49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00" w:right="900"/>
        </w:sectPr>
      </w:pPr>
    </w:p>
    <w:p>
      <w:pPr>
        <w:spacing w:line="240" w:lineRule="auto" w:before="6"/>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3247"/>
        <w:gridCol w:w="3234"/>
        <w:gridCol w:w="3234"/>
      </w:tblGrid>
      <w:tr>
        <w:trPr>
          <w:trHeight w:val="428"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21"/>
                <w:szCs w:val="21"/>
              </w:rPr>
            </w:pPr>
            <w:r>
              <w:rPr>
                <w:rFonts w:ascii="Times New Roman"/>
                <w:spacing w:val="-1"/>
                <w:sz w:val="21"/>
              </w:rPr>
              <w:t>33,303.63</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0"/>
              <w:jc w:val="right"/>
              <w:rPr>
                <w:rFonts w:ascii="Times New Roman" w:hAnsi="Times New Roman" w:cs="Times New Roman" w:eastAsia="Times New Roman" w:hint="default"/>
                <w:sz w:val="21"/>
                <w:szCs w:val="21"/>
              </w:rPr>
            </w:pPr>
            <w:r>
              <w:rPr>
                <w:rFonts w:ascii="Times New Roman"/>
                <w:spacing w:val="-1"/>
                <w:sz w:val="21"/>
              </w:rPr>
              <w:t>37,662.76</w:t>
            </w:r>
          </w:p>
        </w:tc>
      </w:tr>
      <w:tr>
        <w:trPr>
          <w:trHeight w:val="436"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45"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Times New Roman" w:hAnsi="Times New Roman" w:cs="Times New Roman" w:eastAsia="Times New Roman" w:hint="default"/>
                <w:sz w:val="21"/>
                <w:szCs w:val="21"/>
              </w:rPr>
            </w:pPr>
            <w:r>
              <w:rPr>
                <w:rFonts w:ascii="Times New Roman"/>
                <w:spacing w:val="-3"/>
                <w:sz w:val="21"/>
              </w:rPr>
              <w:t>111,860.67</w:t>
            </w:r>
            <w:r>
              <w:rPr>
                <w:rFonts w:ascii="Times New Roman"/>
                <w:sz w:val="21"/>
              </w:rPr>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27"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21"/>
                <w:szCs w:val="21"/>
              </w:rPr>
            </w:pPr>
            <w:r>
              <w:rPr>
                <w:rFonts w:ascii="Times New Roman"/>
                <w:spacing w:val="-1"/>
                <w:sz w:val="21"/>
              </w:rPr>
              <w:t>264,066.80</w:t>
            </w:r>
            <w:r>
              <w:rPr>
                <w:rFonts w:ascii="Times New Roman"/>
                <w:sz w:val="21"/>
              </w:rPr>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2"/>
              <w:jc w:val="right"/>
              <w:rPr>
                <w:rFonts w:ascii="Times New Roman" w:hAnsi="Times New Roman" w:cs="Times New Roman" w:eastAsia="Times New Roman" w:hint="default"/>
                <w:sz w:val="21"/>
                <w:szCs w:val="21"/>
              </w:rPr>
            </w:pPr>
            <w:r>
              <w:rPr>
                <w:rFonts w:ascii="Times New Roman"/>
                <w:spacing w:val="-1"/>
                <w:sz w:val="21"/>
              </w:rPr>
              <w:t>287,190.92</w:t>
            </w:r>
            <w:r>
              <w:rPr>
                <w:rFonts w:ascii="Times New Roman"/>
                <w:sz w:val="21"/>
              </w:rPr>
            </w:r>
          </w:p>
        </w:tc>
      </w:tr>
      <w:tr>
        <w:trPr>
          <w:trHeight w:val="41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21"/>
                <w:szCs w:val="21"/>
              </w:rPr>
            </w:pPr>
            <w:r>
              <w:rPr>
                <w:rFonts w:ascii="Times New Roman"/>
                <w:spacing w:val="-1"/>
                <w:sz w:val="21"/>
              </w:rPr>
              <w:t>24,068,917.25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21"/>
                <w:szCs w:val="21"/>
              </w:rPr>
            </w:pPr>
            <w:r>
              <w:rPr>
                <w:rFonts w:ascii="Times New Roman"/>
                <w:spacing w:val="-1"/>
                <w:sz w:val="21"/>
              </w:rPr>
              <w:t>11,343,563.15</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13、应付利息</w:t>
      </w:r>
    </w:p>
    <w:p>
      <w:pPr>
        <w:spacing w:line="240" w:lineRule="auto" w:before="9"/>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3842"/>
        <w:gridCol w:w="2598"/>
        <w:gridCol w:w="3214"/>
      </w:tblGrid>
      <w:tr>
        <w:trPr>
          <w:trHeight w:val="59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深圳农业银行罗湖支行贷款利息</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3"/>
              <w:jc w:val="center"/>
              <w:rPr>
                <w:rFonts w:ascii="Times New Roman" w:hAnsi="Times New Roman" w:cs="Times New Roman" w:eastAsia="Times New Roman" w:hint="default"/>
                <w:sz w:val="21"/>
                <w:szCs w:val="21"/>
              </w:rPr>
            </w:pPr>
            <w:r>
              <w:rPr>
                <w:rFonts w:ascii="Times New Roman"/>
                <w:sz w:val="21"/>
              </w:rPr>
              <w:t>11,984,750.28</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14、应付股利</w:t>
      </w:r>
    </w:p>
    <w:p>
      <w:pPr>
        <w:spacing w:line="240" w:lineRule="auto" w:before="8"/>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451"/>
        <w:gridCol w:w="1700"/>
        <w:gridCol w:w="1702"/>
        <w:gridCol w:w="2862"/>
      </w:tblGrid>
      <w:tr>
        <w:trPr>
          <w:trHeight w:val="590"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2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年未支付原因</w:t>
            </w:r>
          </w:p>
        </w:tc>
      </w:tr>
      <w:tr>
        <w:trPr>
          <w:trHeight w:val="590"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广东华侨信托投资公司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pacing w:val="-1"/>
                <w:sz w:val="21"/>
              </w:rPr>
              <w:t>176,157.08</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pacing w:val="-1"/>
                <w:sz w:val="21"/>
              </w:rPr>
              <w:t>176,157.08</w:t>
            </w:r>
            <w:r>
              <w:rPr>
                <w:rFonts w:ascii="Times New Roman"/>
                <w:sz w:val="21"/>
              </w:rPr>
            </w:r>
          </w:p>
        </w:tc>
        <w:tc>
          <w:tcPr>
            <w:tcW w:w="2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历史遗留</w:t>
            </w:r>
          </w:p>
        </w:tc>
      </w:tr>
      <w:tr>
        <w:trPr>
          <w:trHeight w:val="589"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深圳新通阳电子元件工业有限公司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14,545.20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14,545.20</w:t>
            </w:r>
          </w:p>
        </w:tc>
        <w:tc>
          <w:tcPr>
            <w:tcW w:w="2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历史遗留</w:t>
            </w:r>
          </w:p>
        </w:tc>
      </w:tr>
      <w:tr>
        <w:trPr>
          <w:trHeight w:val="590"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公众股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15,326.74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15,326.74</w:t>
            </w:r>
          </w:p>
        </w:tc>
        <w:tc>
          <w:tcPr>
            <w:tcW w:w="2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历史遗留</w:t>
            </w:r>
          </w:p>
        </w:tc>
      </w:tr>
      <w:tr>
        <w:trPr>
          <w:trHeight w:val="590" w:hRule="exact"/>
        </w:trPr>
        <w:tc>
          <w:tcPr>
            <w:tcW w:w="34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pacing w:val="-1"/>
                <w:sz w:val="21"/>
              </w:rPr>
              <w:t>206,029.02</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4"/>
              <w:jc w:val="right"/>
              <w:rPr>
                <w:rFonts w:ascii="Times New Roman" w:hAnsi="Times New Roman" w:cs="Times New Roman" w:eastAsia="Times New Roman" w:hint="default"/>
                <w:sz w:val="21"/>
                <w:szCs w:val="21"/>
              </w:rPr>
            </w:pPr>
            <w:r>
              <w:rPr>
                <w:rFonts w:ascii="Times New Roman"/>
                <w:spacing w:val="-1"/>
                <w:sz w:val="21"/>
              </w:rPr>
              <w:t>206,029.02</w:t>
            </w:r>
            <w:r>
              <w:rPr>
                <w:rFonts w:ascii="Times New Roman"/>
                <w:sz w:val="21"/>
              </w:rPr>
            </w:r>
          </w:p>
        </w:tc>
        <w:tc>
          <w:tcPr>
            <w:tcW w:w="2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15、其他应付款</w:t>
      </w:r>
    </w:p>
    <w:p>
      <w:pPr>
        <w:spacing w:line="240" w:lineRule="auto" w:before="3"/>
        <w:rPr>
          <w:rFonts w:ascii="宋体" w:hAnsi="宋体" w:cs="宋体" w:eastAsia="宋体" w:hint="default"/>
          <w:sz w:val="20"/>
          <w:szCs w:val="20"/>
        </w:rPr>
      </w:pPr>
    </w:p>
    <w:p>
      <w:pPr>
        <w:spacing w:before="0"/>
        <w:ind w:left="654" w:right="93" w:firstLine="0"/>
        <w:jc w:val="left"/>
        <w:rPr>
          <w:rFonts w:ascii="宋体" w:hAnsi="宋体" w:cs="宋体" w:eastAsia="宋体" w:hint="default"/>
          <w:sz w:val="21"/>
          <w:szCs w:val="21"/>
        </w:rPr>
      </w:pPr>
      <w:r>
        <w:rPr>
          <w:rFonts w:ascii="宋体" w:hAnsi="宋体" w:cs="宋体" w:eastAsia="宋体" w:hint="default"/>
          <w:sz w:val="21"/>
          <w:szCs w:val="21"/>
        </w:rPr>
        <w:t>（1）其他应付款账龄分析如下：</w:t>
      </w:r>
    </w:p>
    <w:p>
      <w:pPr>
        <w:spacing w:line="240" w:lineRule="auto" w:before="8"/>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64"/>
        <w:gridCol w:w="3248"/>
        <w:gridCol w:w="3250"/>
      </w:tblGrid>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525" w:val="left" w:leader="none"/>
              </w:tabs>
              <w:spacing w:line="240" w:lineRule="auto"/>
              <w:ind w:right="1250"/>
              <w:jc w:val="right"/>
              <w:rPr>
                <w:rFonts w:ascii="宋体" w:hAnsi="宋体" w:cs="宋体" w:eastAsia="宋体" w:hint="default"/>
                <w:sz w:val="21"/>
                <w:szCs w:val="21"/>
              </w:rPr>
            </w:pPr>
            <w:r>
              <w:rPr>
                <w:rFonts w:ascii="宋体" w:hAnsi="宋体" w:cs="宋体" w:eastAsia="宋体" w:hint="default"/>
                <w:sz w:val="21"/>
                <w:szCs w:val="21"/>
              </w:rPr>
              <w:t>账</w:t>
              <w:tab/>
              <w:t>龄</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34,722,056.16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64,397,887.78</w:t>
            </w:r>
          </w:p>
        </w:tc>
      </w:tr>
      <w:tr>
        <w:trPr>
          <w:trHeight w:val="58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110,000.00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21,335,442.81</w:t>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18,012,346.32</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4,391,052.53</w:t>
            </w:r>
          </w:p>
        </w:tc>
      </w:tr>
      <w:tr>
        <w:trPr>
          <w:trHeight w:val="535"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8,891,953.36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8,010,058.55</w:t>
            </w:r>
          </w:p>
        </w:tc>
      </w:tr>
      <w:tr>
        <w:trPr>
          <w:trHeight w:val="55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25" w:val="left" w:leader="none"/>
              </w:tabs>
              <w:spacing w:line="240" w:lineRule="auto"/>
              <w:ind w:right="125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61,736,355.84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98,134,441.67</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（2）本报告期末其他应付款余额中有应付持有公司</w:t>
      </w:r>
      <w:r>
        <w:rPr>
          <w:rFonts w:ascii="宋体" w:hAnsi="宋体" w:cs="宋体" w:eastAsia="宋体" w:hint="default"/>
          <w:spacing w:val="-67"/>
          <w:sz w:val="21"/>
          <w:szCs w:val="21"/>
        </w:rPr>
        <w:t> </w:t>
      </w:r>
      <w:r>
        <w:rPr>
          <w:rFonts w:ascii="宋体" w:hAnsi="宋体" w:cs="宋体" w:eastAsia="宋体" w:hint="default"/>
          <w:sz w:val="21"/>
          <w:szCs w:val="21"/>
        </w:rPr>
        <w:t>5%(含</w:t>
      </w:r>
      <w:r>
        <w:rPr>
          <w:rFonts w:ascii="宋体" w:hAnsi="宋体" w:cs="宋体" w:eastAsia="宋体" w:hint="default"/>
          <w:spacing w:val="-67"/>
          <w:sz w:val="21"/>
          <w:szCs w:val="21"/>
        </w:rPr>
        <w:t> </w:t>
      </w:r>
      <w:r>
        <w:rPr>
          <w:rFonts w:ascii="宋体" w:hAnsi="宋体" w:cs="宋体" w:eastAsia="宋体" w:hint="default"/>
          <w:sz w:val="21"/>
          <w:szCs w:val="21"/>
        </w:rPr>
        <w:t>5%)以上表决权股份的股东单位款详见附注</w:t>
      </w:r>
    </w:p>
    <w:p>
      <w:pPr>
        <w:spacing w:after="0"/>
        <w:jc w:val="left"/>
        <w:rPr>
          <w:rFonts w:ascii="宋体" w:hAnsi="宋体" w:cs="宋体" w:eastAsia="宋体" w:hint="default"/>
          <w:sz w:val="21"/>
          <w:szCs w:val="21"/>
        </w:rPr>
        <w:sectPr>
          <w:pgSz w:w="11910" w:h="16840"/>
          <w:pgMar w:header="0" w:footer="941" w:top="1100" w:bottom="1140" w:left="90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72" w:lineRule="auto" w:before="35"/>
        <w:ind w:left="574" w:right="6974" w:hanging="420"/>
        <w:jc w:val="left"/>
        <w:rPr>
          <w:rFonts w:ascii="宋体" w:hAnsi="宋体" w:cs="宋体" w:eastAsia="宋体" w:hint="default"/>
          <w:sz w:val="21"/>
          <w:szCs w:val="21"/>
        </w:rPr>
      </w:pPr>
      <w:r>
        <w:rPr>
          <w:rFonts w:ascii="宋体" w:hAnsi="宋体" w:cs="宋体" w:eastAsia="宋体" w:hint="default"/>
          <w:sz w:val="21"/>
          <w:szCs w:val="21"/>
        </w:rPr>
        <w:t>六、6</w:t>
      </w:r>
      <w:r>
        <w:rPr>
          <w:rFonts w:ascii="宋体" w:hAnsi="宋体" w:cs="宋体" w:eastAsia="宋体" w:hint="default"/>
          <w:spacing w:val="-54"/>
          <w:sz w:val="21"/>
          <w:szCs w:val="21"/>
        </w:rPr>
        <w:t> </w:t>
      </w:r>
      <w:r>
        <w:rPr>
          <w:rFonts w:ascii="宋体" w:hAnsi="宋体" w:cs="宋体" w:eastAsia="宋体" w:hint="default"/>
          <w:sz w:val="21"/>
          <w:szCs w:val="21"/>
        </w:rPr>
        <w:t>关联方应收应付款项说明。</w:t>
      </w:r>
      <w:r>
        <w:rPr>
          <w:rFonts w:ascii="宋体" w:hAnsi="宋体" w:cs="宋体" w:eastAsia="宋体" w:hint="default"/>
          <w:sz w:val="21"/>
          <w:szCs w:val="21"/>
        </w:rPr>
        <w:t> 16、长期借款</w:t>
      </w:r>
    </w:p>
    <w:p>
      <w:pPr>
        <w:spacing w:before="61"/>
        <w:ind w:left="574" w:right="353" w:firstLine="0"/>
        <w:jc w:val="left"/>
        <w:rPr>
          <w:rFonts w:ascii="宋体" w:hAnsi="宋体" w:cs="宋体" w:eastAsia="宋体" w:hint="default"/>
          <w:sz w:val="21"/>
          <w:szCs w:val="21"/>
        </w:rPr>
      </w:pPr>
      <w:r>
        <w:rPr>
          <w:rFonts w:ascii="宋体" w:hAnsi="宋体" w:cs="宋体" w:eastAsia="宋体" w:hint="default"/>
          <w:sz w:val="21"/>
          <w:szCs w:val="21"/>
        </w:rPr>
        <w:t>（1）长期借款分类</w:t>
      </w:r>
    </w:p>
    <w:p>
      <w:pPr>
        <w:spacing w:line="240" w:lineRule="auto" w:before="8"/>
        <w:rPr>
          <w:rFonts w:ascii="宋体" w:hAnsi="宋体" w:cs="宋体" w:eastAsia="宋体" w:hint="default"/>
          <w:sz w:val="17"/>
          <w:szCs w:val="17"/>
        </w:rPr>
      </w:pPr>
    </w:p>
    <w:p>
      <w:pPr>
        <w:spacing w:before="35"/>
        <w:ind w:left="0" w:right="4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246"/>
        <w:gridCol w:w="3234"/>
        <w:gridCol w:w="3233"/>
      </w:tblGrid>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89"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Times New Roman" w:hAnsi="Times New Roman" w:cs="Times New Roman" w:eastAsia="Times New Roman" w:hint="default"/>
                <w:sz w:val="21"/>
                <w:szCs w:val="21"/>
              </w:rPr>
              <w:t>+</w:t>
            </w:r>
            <w:r>
              <w:rPr>
                <w:rFonts w:ascii="宋体" w:hAnsi="宋体" w:cs="宋体" w:eastAsia="宋体" w:hint="default"/>
                <w:sz w:val="21"/>
                <w:szCs w:val="21"/>
              </w:rPr>
              <w:t>保证借款</w:t>
            </w:r>
            <w:r>
              <w:rPr>
                <w:rFonts w:ascii="Times New Roman" w:hAnsi="Times New Roman" w:cs="Times New Roman" w:eastAsia="Times New Roman" w:hint="default"/>
                <w:sz w:val="21"/>
                <w:szCs w:val="21"/>
              </w:rPr>
              <w:t>*</w:t>
            </w:r>
            <w:r>
              <w:rPr>
                <w:rFonts w:ascii="宋体" w:hAnsi="宋体" w:cs="宋体" w:eastAsia="宋体" w:hint="default"/>
                <w:sz w:val="21"/>
                <w:szCs w:val="21"/>
              </w:rPr>
              <w:t>注释一</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23,000,000.00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Times New Roman" w:hAnsi="Times New Roman" w:cs="Times New Roman" w:eastAsia="Times New Roman" w:hint="default"/>
                <w:sz w:val="21"/>
                <w:szCs w:val="21"/>
              </w:rPr>
              <w:t>+</w:t>
            </w:r>
            <w:r>
              <w:rPr>
                <w:rFonts w:ascii="宋体" w:hAnsi="宋体" w:cs="宋体" w:eastAsia="宋体" w:hint="default"/>
                <w:sz w:val="21"/>
                <w:szCs w:val="21"/>
              </w:rPr>
              <w:t>保证借款</w:t>
            </w:r>
            <w:r>
              <w:rPr>
                <w:rFonts w:ascii="Times New Roman" w:hAnsi="Times New Roman" w:cs="Times New Roman" w:eastAsia="Times New Roman" w:hint="default"/>
                <w:sz w:val="21"/>
                <w:szCs w:val="21"/>
              </w:rPr>
              <w:t>*</w:t>
            </w:r>
            <w:r>
              <w:rPr>
                <w:rFonts w:ascii="宋体" w:hAnsi="宋体" w:cs="宋体" w:eastAsia="宋体" w:hint="default"/>
                <w:sz w:val="21"/>
                <w:szCs w:val="21"/>
              </w:rPr>
              <w:t>注释二</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69,000,000.00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Times New Roman" w:hAnsi="Times New Roman" w:cs="Times New Roman" w:eastAsia="Times New Roman" w:hint="default"/>
                <w:sz w:val="21"/>
                <w:szCs w:val="21"/>
              </w:rPr>
              <w:t>*</w:t>
            </w:r>
            <w:r>
              <w:rPr>
                <w:rFonts w:ascii="宋体" w:hAnsi="宋体" w:cs="宋体" w:eastAsia="宋体" w:hint="default"/>
                <w:sz w:val="21"/>
                <w:szCs w:val="21"/>
              </w:rPr>
              <w:t>注释三</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26,370,842.28</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118,370,842.28</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5"/>
          <w:szCs w:val="15"/>
        </w:rPr>
      </w:pPr>
    </w:p>
    <w:p>
      <w:pPr>
        <w:spacing w:line="436" w:lineRule="auto" w:before="35"/>
        <w:ind w:left="154" w:right="353" w:firstLine="420"/>
        <w:jc w:val="left"/>
        <w:rPr>
          <w:rFonts w:ascii="宋体" w:hAnsi="宋体" w:cs="宋体" w:eastAsia="宋体" w:hint="default"/>
          <w:sz w:val="21"/>
          <w:szCs w:val="21"/>
        </w:rPr>
      </w:pPr>
      <w:r>
        <w:rPr>
          <w:rFonts w:ascii="宋体" w:hAnsi="宋体" w:cs="宋体" w:eastAsia="宋体" w:hint="default"/>
          <w:spacing w:val="-1"/>
          <w:sz w:val="21"/>
          <w:szCs w:val="21"/>
        </w:rPr>
        <w:t>注释一，该笔借款系本公司之子公司兖州海情置业有限公司向中国农业银行兖州市支行所借，该笔借</w:t>
      </w:r>
      <w:r>
        <w:rPr>
          <w:rFonts w:ascii="宋体" w:hAnsi="宋体" w:cs="宋体" w:eastAsia="宋体" w:hint="default"/>
          <w:sz w:val="21"/>
          <w:szCs w:val="21"/>
        </w:rPr>
        <w:t> </w:t>
      </w:r>
      <w:r>
        <w:rPr>
          <w:rFonts w:ascii="宋体" w:hAnsi="宋体" w:cs="宋体" w:eastAsia="宋体" w:hint="default"/>
          <w:spacing w:val="8"/>
          <w:sz w:val="21"/>
          <w:szCs w:val="21"/>
        </w:rPr>
        <w:t>款抵押物为兖州海情置业有限公司开发项目——海情丽都一期项目用地，该土地使用权编号为兖国用</w:t>
      </w:r>
    </w:p>
    <w:p>
      <w:pPr>
        <w:spacing w:line="470" w:lineRule="auto" w:before="53"/>
        <w:ind w:left="574" w:right="353" w:hanging="420"/>
        <w:jc w:val="left"/>
        <w:rPr>
          <w:rFonts w:ascii="宋体" w:hAnsi="宋体" w:cs="宋体" w:eastAsia="宋体" w:hint="default"/>
          <w:sz w:val="21"/>
          <w:szCs w:val="21"/>
        </w:rPr>
      </w:pPr>
      <w:r>
        <w:rPr>
          <w:rFonts w:ascii="宋体" w:hAnsi="宋体" w:cs="宋体" w:eastAsia="宋体" w:hint="default"/>
          <w:sz w:val="21"/>
          <w:szCs w:val="21"/>
        </w:rPr>
        <w:t>（2003）字第</w:t>
      </w:r>
      <w:r>
        <w:rPr>
          <w:rFonts w:ascii="宋体" w:hAnsi="宋体" w:cs="宋体" w:eastAsia="宋体" w:hint="default"/>
          <w:spacing w:val="-54"/>
          <w:sz w:val="21"/>
          <w:szCs w:val="21"/>
        </w:rPr>
        <w:t> </w:t>
      </w:r>
      <w:r>
        <w:rPr>
          <w:rFonts w:ascii="宋体" w:hAnsi="宋体" w:cs="宋体" w:eastAsia="宋体" w:hint="default"/>
          <w:sz w:val="21"/>
          <w:szCs w:val="21"/>
        </w:rPr>
        <w:t>1970</w:t>
      </w:r>
      <w:r>
        <w:rPr>
          <w:rFonts w:ascii="宋体" w:hAnsi="宋体" w:cs="宋体" w:eastAsia="宋体" w:hint="default"/>
          <w:spacing w:val="-53"/>
          <w:sz w:val="21"/>
          <w:szCs w:val="21"/>
        </w:rPr>
        <w:t> </w:t>
      </w:r>
      <w:r>
        <w:rPr>
          <w:rFonts w:ascii="宋体" w:hAnsi="宋体" w:cs="宋体" w:eastAsia="宋体" w:hint="default"/>
          <w:sz w:val="21"/>
          <w:szCs w:val="21"/>
        </w:rPr>
        <w:t>号。该笔借款同时由青岛亚星实业有限公司提供保证担保，并承担连带责任；</w:t>
      </w:r>
      <w:r>
        <w:rPr>
          <w:rFonts w:ascii="宋体" w:hAnsi="宋体" w:cs="宋体" w:eastAsia="宋体" w:hint="default"/>
          <w:sz w:val="21"/>
          <w:szCs w:val="21"/>
        </w:rPr>
        <w:t> </w:t>
      </w:r>
      <w:r>
        <w:rPr>
          <w:rFonts w:ascii="宋体" w:hAnsi="宋体" w:cs="宋体" w:eastAsia="宋体" w:hint="default"/>
          <w:spacing w:val="-1"/>
          <w:sz w:val="21"/>
          <w:szCs w:val="21"/>
        </w:rPr>
        <w:t>注释二，该笔借款系本公司之子公司青岛广顺房地产有限公司向中国工商银行股份有限公司青岛李沧</w:t>
      </w:r>
    </w:p>
    <w:p>
      <w:pPr>
        <w:spacing w:before="24"/>
        <w:ind w:left="154" w:right="353" w:firstLine="0"/>
        <w:jc w:val="left"/>
        <w:rPr>
          <w:rFonts w:ascii="宋体" w:hAnsi="宋体" w:cs="宋体" w:eastAsia="宋体" w:hint="default"/>
          <w:sz w:val="21"/>
          <w:szCs w:val="21"/>
        </w:rPr>
      </w:pPr>
      <w:r>
        <w:rPr>
          <w:rFonts w:ascii="宋体" w:hAnsi="宋体" w:cs="宋体" w:eastAsia="宋体" w:hint="default"/>
          <w:sz w:val="21"/>
          <w:szCs w:val="21"/>
        </w:rPr>
        <w:t>第二支行所借，借款用途为房地产开发，抵押物为在建石雀滩项目以及编号为青房地权产字第</w:t>
      </w:r>
      <w:r>
        <w:rPr>
          <w:rFonts w:ascii="宋体" w:hAnsi="宋体" w:cs="宋体" w:eastAsia="宋体" w:hint="default"/>
          <w:spacing w:val="64"/>
          <w:sz w:val="21"/>
          <w:szCs w:val="21"/>
        </w:rPr>
        <w:t> </w:t>
      </w:r>
      <w:r>
        <w:rPr>
          <w:rFonts w:ascii="宋体" w:hAnsi="宋体" w:cs="宋体" w:eastAsia="宋体" w:hint="default"/>
          <w:sz w:val="21"/>
          <w:szCs w:val="21"/>
        </w:rPr>
        <w:t>20083671</w:t>
      </w:r>
    </w:p>
    <w:p>
      <w:pPr>
        <w:spacing w:line="240" w:lineRule="auto" w:before="3"/>
        <w:rPr>
          <w:rFonts w:ascii="宋体" w:hAnsi="宋体" w:cs="宋体" w:eastAsia="宋体" w:hint="default"/>
          <w:sz w:val="17"/>
          <w:szCs w:val="17"/>
        </w:rPr>
      </w:pPr>
    </w:p>
    <w:p>
      <w:pPr>
        <w:spacing w:line="436" w:lineRule="auto" w:before="0"/>
        <w:ind w:left="154" w:right="353" w:firstLine="0"/>
        <w:jc w:val="left"/>
        <w:rPr>
          <w:rFonts w:ascii="宋体" w:hAnsi="宋体" w:cs="宋体" w:eastAsia="宋体" w:hint="default"/>
          <w:sz w:val="21"/>
          <w:szCs w:val="21"/>
        </w:rPr>
      </w:pPr>
      <w:r>
        <w:rPr>
          <w:rFonts w:ascii="宋体" w:hAnsi="宋体" w:cs="宋体" w:eastAsia="宋体" w:hint="default"/>
          <w:sz w:val="21"/>
          <w:szCs w:val="21"/>
        </w:rPr>
        <w:t>号、青房地权产字第</w:t>
      </w:r>
      <w:r>
        <w:rPr>
          <w:rFonts w:ascii="宋体" w:hAnsi="宋体" w:cs="宋体" w:eastAsia="宋体" w:hint="default"/>
          <w:spacing w:val="-67"/>
          <w:sz w:val="21"/>
          <w:szCs w:val="21"/>
        </w:rPr>
        <w:t> </w:t>
      </w:r>
      <w:r>
        <w:rPr>
          <w:rFonts w:ascii="宋体" w:hAnsi="宋体" w:cs="宋体" w:eastAsia="宋体" w:hint="default"/>
          <w:sz w:val="21"/>
          <w:szCs w:val="21"/>
        </w:rPr>
        <w:t>20083672</w:t>
      </w:r>
      <w:r>
        <w:rPr>
          <w:rFonts w:ascii="宋体" w:hAnsi="宋体" w:cs="宋体" w:eastAsia="宋体" w:hint="default"/>
          <w:spacing w:val="-67"/>
          <w:sz w:val="21"/>
          <w:szCs w:val="21"/>
        </w:rPr>
        <w:t> </w:t>
      </w:r>
      <w:r>
        <w:rPr>
          <w:rFonts w:ascii="宋体" w:hAnsi="宋体" w:cs="宋体" w:eastAsia="宋体" w:hint="default"/>
          <w:sz w:val="21"/>
          <w:szCs w:val="21"/>
        </w:rPr>
        <w:t>号、青房地权产字第</w:t>
      </w:r>
      <w:r>
        <w:rPr>
          <w:rFonts w:ascii="宋体" w:hAnsi="宋体" w:cs="宋体" w:eastAsia="宋体" w:hint="default"/>
          <w:spacing w:val="-67"/>
          <w:sz w:val="21"/>
          <w:szCs w:val="21"/>
        </w:rPr>
        <w:t> </w:t>
      </w:r>
      <w:r>
        <w:rPr>
          <w:rFonts w:ascii="宋体" w:hAnsi="宋体" w:cs="宋体" w:eastAsia="宋体" w:hint="default"/>
          <w:sz w:val="21"/>
          <w:szCs w:val="21"/>
        </w:rPr>
        <w:t>20083673</w:t>
      </w:r>
      <w:r>
        <w:rPr>
          <w:rFonts w:ascii="宋体" w:hAnsi="宋体" w:cs="宋体" w:eastAsia="宋体" w:hint="default"/>
          <w:spacing w:val="-67"/>
          <w:sz w:val="21"/>
          <w:szCs w:val="21"/>
        </w:rPr>
        <w:t> </w:t>
      </w:r>
      <w:r>
        <w:rPr>
          <w:rFonts w:ascii="宋体" w:hAnsi="宋体" w:cs="宋体" w:eastAsia="宋体" w:hint="default"/>
          <w:sz w:val="21"/>
          <w:szCs w:val="21"/>
        </w:rPr>
        <w:t>号的土地使用权。该笔借款同时由青岛亚星</w:t>
      </w:r>
      <w:r>
        <w:rPr>
          <w:rFonts w:ascii="宋体" w:hAnsi="宋体" w:cs="宋体" w:eastAsia="宋体" w:hint="default"/>
          <w:spacing w:val="-1"/>
          <w:sz w:val="21"/>
          <w:szCs w:val="21"/>
        </w:rPr>
        <w:t> </w:t>
      </w:r>
      <w:r>
        <w:rPr>
          <w:rFonts w:ascii="宋体" w:hAnsi="宋体" w:cs="宋体" w:eastAsia="宋体" w:hint="default"/>
          <w:sz w:val="21"/>
          <w:szCs w:val="21"/>
        </w:rPr>
        <w:t>实业有限公司提供保证担保，并承担连带责任；</w:t>
      </w:r>
    </w:p>
    <w:p>
      <w:pPr>
        <w:spacing w:before="93"/>
        <w:ind w:left="574" w:right="353" w:firstLine="0"/>
        <w:jc w:val="left"/>
        <w:rPr>
          <w:rFonts w:ascii="宋体" w:hAnsi="宋体" w:cs="宋体" w:eastAsia="宋体" w:hint="default"/>
          <w:sz w:val="21"/>
          <w:szCs w:val="21"/>
        </w:rPr>
      </w:pPr>
      <w:r>
        <w:rPr>
          <w:rFonts w:ascii="宋体" w:hAnsi="宋体" w:cs="宋体" w:eastAsia="宋体" w:hint="default"/>
          <w:sz w:val="21"/>
          <w:szCs w:val="21"/>
        </w:rPr>
        <w:t>注释三，详见附注五、8（3</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3"/>
        <w:rPr>
          <w:rFonts w:ascii="宋体" w:hAnsi="宋体" w:cs="宋体" w:eastAsia="宋体" w:hint="default"/>
          <w:sz w:val="20"/>
          <w:szCs w:val="20"/>
        </w:rPr>
      </w:pPr>
    </w:p>
    <w:p>
      <w:pPr>
        <w:spacing w:before="0"/>
        <w:ind w:left="574" w:right="353" w:firstLine="0"/>
        <w:jc w:val="left"/>
        <w:rPr>
          <w:rFonts w:ascii="宋体" w:hAnsi="宋体" w:cs="宋体" w:eastAsia="宋体" w:hint="default"/>
          <w:sz w:val="21"/>
          <w:szCs w:val="21"/>
        </w:rPr>
      </w:pPr>
      <w:r>
        <w:rPr>
          <w:rFonts w:ascii="宋体" w:hAnsi="宋体" w:cs="宋体" w:eastAsia="宋体" w:hint="default"/>
          <w:sz w:val="21"/>
          <w:szCs w:val="21"/>
        </w:rPr>
        <w:t>（2）长期借款明细如下</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656"/>
        <w:gridCol w:w="1254"/>
        <w:gridCol w:w="1262"/>
        <w:gridCol w:w="527"/>
        <w:gridCol w:w="904"/>
        <w:gridCol w:w="925"/>
        <w:gridCol w:w="1436"/>
        <w:gridCol w:w="973"/>
        <w:gridCol w:w="1087"/>
      </w:tblGrid>
      <w:tr>
        <w:trPr>
          <w:trHeight w:val="590" w:hRule="exact"/>
        </w:trPr>
        <w:tc>
          <w:tcPr>
            <w:tcW w:w="165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借款起始日</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9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21"/>
                <w:szCs w:val="21"/>
              </w:rPr>
            </w:pPr>
            <w:r>
              <w:rPr>
                <w:rFonts w:ascii="宋体" w:hAnsi="宋体" w:cs="宋体" w:eastAsia="宋体" w:hint="default"/>
                <w:spacing w:val="-17"/>
                <w:sz w:val="21"/>
                <w:szCs w:val="21"/>
              </w:rPr>
              <w:t>利率（</w:t>
            </w:r>
            <w:r>
              <w:rPr>
                <w:rFonts w:ascii="Times New Roman" w:hAnsi="Times New Roman" w:cs="Times New Roman" w:eastAsia="Times New Roman" w:hint="default"/>
                <w:spacing w:val="-17"/>
                <w:sz w:val="21"/>
                <w:szCs w:val="21"/>
              </w:rPr>
              <w:t>%</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6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1656" w:type="dxa"/>
            <w:vMerge/>
            <w:tcBorders>
              <w:left w:val="nil" w:sz="6" w:space="0" w:color="auto"/>
              <w:bottom w:val="single" w:sz="4" w:space="0" w:color="000000"/>
              <w:right w:val="single" w:sz="4" w:space="0" w:color="000000"/>
            </w:tcBorders>
          </w:tcPr>
          <w:p>
            <w:pPr/>
          </w:p>
        </w:tc>
        <w:tc>
          <w:tcPr>
            <w:tcW w:w="1254" w:type="dxa"/>
            <w:vMerge/>
            <w:tcBorders>
              <w:left w:val="single" w:sz="4" w:space="0" w:color="000000"/>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527"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25"/>
              <w:ind w:left="3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750"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4" w:right="2"/>
              <w:jc w:val="left"/>
              <w:rPr>
                <w:rFonts w:ascii="宋体" w:hAnsi="宋体" w:cs="宋体" w:eastAsia="宋体" w:hint="default"/>
                <w:sz w:val="21"/>
                <w:szCs w:val="21"/>
              </w:rPr>
            </w:pPr>
            <w:r>
              <w:rPr>
                <w:rFonts w:ascii="宋体" w:hAnsi="宋体" w:cs="宋体" w:eastAsia="宋体" w:hint="default"/>
                <w:spacing w:val="16"/>
                <w:sz w:val="21"/>
                <w:szCs w:val="21"/>
              </w:rPr>
              <w:t>中国农业银行兖</w:t>
            </w:r>
            <w:r>
              <w:rPr>
                <w:rFonts w:ascii="宋体" w:hAnsi="宋体" w:cs="宋体" w:eastAsia="宋体" w:hint="default"/>
                <w:spacing w:val="-86"/>
                <w:sz w:val="21"/>
                <w:szCs w:val="21"/>
              </w:rPr>
              <w:t> </w:t>
            </w:r>
            <w:r>
              <w:rPr>
                <w:rFonts w:ascii="宋体" w:hAnsi="宋体" w:cs="宋体" w:eastAsia="宋体" w:hint="default"/>
                <w:sz w:val="21"/>
                <w:szCs w:val="21"/>
              </w:rPr>
              <w:t>州市支行</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2009.8.26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08"/>
              <w:jc w:val="right"/>
              <w:rPr>
                <w:rFonts w:ascii="Times New Roman" w:hAnsi="Times New Roman" w:cs="Times New Roman" w:eastAsia="Times New Roman" w:hint="default"/>
                <w:sz w:val="21"/>
                <w:szCs w:val="21"/>
              </w:rPr>
            </w:pPr>
            <w:r>
              <w:rPr>
                <w:rFonts w:ascii="Times New Roman"/>
                <w:spacing w:val="-2"/>
                <w:sz w:val="21"/>
              </w:rPr>
              <w:t>2011.8.25</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73" w:right="0"/>
              <w:jc w:val="left"/>
              <w:rPr>
                <w:rFonts w:ascii="Times New Roman" w:hAnsi="Times New Roman" w:cs="Times New Roman" w:eastAsia="Times New Roman" w:hint="default"/>
                <w:sz w:val="21"/>
                <w:szCs w:val="21"/>
              </w:rPr>
            </w:pPr>
            <w:r>
              <w:rPr>
                <w:rFonts w:ascii="Times New Roman"/>
                <w:sz w:val="21"/>
              </w:rPr>
              <w:t>5.94%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23,000,000.00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51"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4" w:right="2"/>
              <w:jc w:val="left"/>
              <w:rPr>
                <w:rFonts w:ascii="宋体" w:hAnsi="宋体" w:cs="宋体" w:eastAsia="宋体" w:hint="default"/>
                <w:sz w:val="21"/>
                <w:szCs w:val="21"/>
              </w:rPr>
            </w:pPr>
            <w:r>
              <w:rPr>
                <w:rFonts w:ascii="宋体" w:hAnsi="宋体" w:cs="宋体" w:eastAsia="宋体" w:hint="default"/>
                <w:spacing w:val="16"/>
                <w:sz w:val="21"/>
                <w:szCs w:val="21"/>
              </w:rPr>
              <w:t>中国工商银行青</w:t>
            </w:r>
            <w:r>
              <w:rPr>
                <w:rFonts w:ascii="宋体" w:hAnsi="宋体" w:cs="宋体" w:eastAsia="宋体" w:hint="default"/>
                <w:spacing w:val="-86"/>
                <w:sz w:val="21"/>
                <w:szCs w:val="21"/>
              </w:rPr>
              <w:t> </w:t>
            </w:r>
            <w:r>
              <w:rPr>
                <w:rFonts w:ascii="宋体" w:hAnsi="宋体" w:cs="宋体" w:eastAsia="宋体" w:hint="default"/>
                <w:sz w:val="21"/>
                <w:szCs w:val="21"/>
              </w:rPr>
              <w:t>岛李沧二支行</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2009.3.31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04"/>
              <w:jc w:val="right"/>
              <w:rPr>
                <w:rFonts w:ascii="Times New Roman" w:hAnsi="Times New Roman" w:cs="Times New Roman" w:eastAsia="Times New Roman" w:hint="default"/>
                <w:sz w:val="21"/>
                <w:szCs w:val="21"/>
              </w:rPr>
            </w:pPr>
            <w:r>
              <w:rPr>
                <w:rFonts w:ascii="Times New Roman"/>
                <w:spacing w:val="-1"/>
                <w:sz w:val="21"/>
              </w:rPr>
              <w:t>2012.3.23</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 w:right="0"/>
              <w:jc w:val="center"/>
              <w:rPr>
                <w:rFonts w:ascii="Times New Roman" w:hAnsi="Times New Roman" w:cs="Times New Roman" w:eastAsia="Times New Roman" w:hint="default"/>
                <w:sz w:val="21"/>
                <w:szCs w:val="21"/>
              </w:rPr>
            </w:pPr>
            <w:r>
              <w:rPr>
                <w:rFonts w:ascii="Times New Roman"/>
                <w:sz w:val="21"/>
              </w:rPr>
              <w:t>RMB</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28" w:right="0"/>
              <w:jc w:val="left"/>
              <w:rPr>
                <w:rFonts w:ascii="Times New Roman" w:hAnsi="Times New Roman" w:cs="Times New Roman" w:eastAsia="Times New Roman" w:hint="default"/>
                <w:sz w:val="21"/>
                <w:szCs w:val="21"/>
              </w:rPr>
            </w:pPr>
            <w:r>
              <w:rPr>
                <w:rFonts w:ascii="Times New Roman"/>
                <w:sz w:val="21"/>
              </w:rPr>
              <w:t>5.94%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54"/>
              <w:jc w:val="right"/>
              <w:rPr>
                <w:rFonts w:ascii="Times New Roman" w:hAnsi="Times New Roman" w:cs="Times New Roman" w:eastAsia="Times New Roman" w:hint="default"/>
                <w:sz w:val="21"/>
                <w:szCs w:val="21"/>
              </w:rPr>
            </w:pPr>
            <w:r>
              <w:rPr>
                <w:rFonts w:ascii="Times New Roman"/>
                <w:spacing w:val="-1"/>
                <w:sz w:val="21"/>
              </w:rPr>
              <w:t>69,000,000.00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51"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44" w:right="2"/>
              <w:jc w:val="left"/>
              <w:rPr>
                <w:rFonts w:ascii="宋体" w:hAnsi="宋体" w:cs="宋体" w:eastAsia="宋体" w:hint="default"/>
                <w:sz w:val="21"/>
                <w:szCs w:val="21"/>
              </w:rPr>
            </w:pPr>
            <w:r>
              <w:rPr>
                <w:rFonts w:ascii="宋体" w:hAnsi="宋体" w:cs="宋体" w:eastAsia="宋体" w:hint="default"/>
                <w:spacing w:val="16"/>
                <w:sz w:val="21"/>
                <w:szCs w:val="21"/>
              </w:rPr>
              <w:t>中国农业银行深</w:t>
            </w:r>
            <w:r>
              <w:rPr>
                <w:rFonts w:ascii="宋体" w:hAnsi="宋体" w:cs="宋体" w:eastAsia="宋体" w:hint="default"/>
                <w:spacing w:val="-86"/>
                <w:sz w:val="21"/>
                <w:szCs w:val="21"/>
              </w:rPr>
              <w:t> </w:t>
            </w:r>
            <w:r>
              <w:rPr>
                <w:rFonts w:ascii="宋体" w:hAnsi="宋体" w:cs="宋体" w:eastAsia="宋体" w:hint="default"/>
                <w:sz w:val="21"/>
                <w:szCs w:val="21"/>
              </w:rPr>
              <w:t>圳分行罗湖支行</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2009-12-31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37"/>
              <w:jc w:val="right"/>
              <w:rPr>
                <w:rFonts w:ascii="Times New Roman" w:hAnsi="Times New Roman" w:cs="Times New Roman" w:eastAsia="Times New Roman" w:hint="default"/>
                <w:sz w:val="21"/>
                <w:szCs w:val="21"/>
              </w:rPr>
            </w:pPr>
            <w:r>
              <w:rPr>
                <w:rFonts w:ascii="Times New Roman"/>
                <w:spacing w:val="-1"/>
                <w:w w:val="95"/>
                <w:sz w:val="21"/>
              </w:rPr>
              <w:t>2011-12-31</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4" w:right="0"/>
              <w:jc w:val="center"/>
              <w:rPr>
                <w:rFonts w:ascii="Times New Roman" w:hAnsi="Times New Roman" w:cs="Times New Roman" w:eastAsia="Times New Roman" w:hint="default"/>
                <w:sz w:val="21"/>
                <w:szCs w:val="21"/>
              </w:rPr>
            </w:pPr>
            <w:r>
              <w:rPr>
                <w:rFonts w:ascii="Times New Roman"/>
                <w:sz w:val="21"/>
              </w:rPr>
              <w:t>RMB</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5"/>
              <w:jc w:val="right"/>
              <w:rPr>
                <w:rFonts w:ascii="Times New Roman" w:hAnsi="Times New Roman" w:cs="Times New Roman" w:eastAsia="Times New Roman" w:hint="default"/>
                <w:sz w:val="21"/>
                <w:szCs w:val="21"/>
              </w:rPr>
            </w:pPr>
            <w:r>
              <w:rPr>
                <w:rFonts w:ascii="Times New Roman"/>
                <w:spacing w:val="-1"/>
                <w:sz w:val="21"/>
              </w:rPr>
              <w:t>26,370,842.28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80" w:right="680"/>
        </w:sectPr>
      </w:pPr>
    </w:p>
    <w:p>
      <w:pPr>
        <w:spacing w:line="240" w:lineRule="auto" w:before="6"/>
        <w:rPr>
          <w:rFonts w:ascii="宋体" w:hAnsi="宋体" w:cs="宋体" w:eastAsia="宋体" w:hint="default"/>
          <w:sz w:val="24"/>
          <w:szCs w:val="24"/>
        </w:rPr>
      </w:pPr>
    </w:p>
    <w:tbl>
      <w:tblPr>
        <w:tblW w:w="0" w:type="auto"/>
        <w:jc w:val="left"/>
        <w:tblInd w:w="264" w:type="dxa"/>
        <w:tblLayout w:type="fixed"/>
        <w:tblCellMar>
          <w:top w:w="0" w:type="dxa"/>
          <w:left w:w="0" w:type="dxa"/>
          <w:bottom w:w="0" w:type="dxa"/>
          <w:right w:w="0" w:type="dxa"/>
        </w:tblCellMar>
        <w:tblLook w:val="01E0"/>
      </w:tblPr>
      <w:tblGrid>
        <w:gridCol w:w="1656"/>
        <w:gridCol w:w="1254"/>
        <w:gridCol w:w="1262"/>
        <w:gridCol w:w="527"/>
        <w:gridCol w:w="904"/>
        <w:gridCol w:w="925"/>
        <w:gridCol w:w="1436"/>
        <w:gridCol w:w="973"/>
        <w:gridCol w:w="1087"/>
      </w:tblGrid>
      <w:tr>
        <w:trPr>
          <w:trHeight w:val="714"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7" w:right="0"/>
              <w:jc w:val="left"/>
              <w:rPr>
                <w:rFonts w:ascii="Times New Roman" w:hAnsi="Times New Roman" w:cs="Times New Roman" w:eastAsia="Times New Roman" w:hint="default"/>
                <w:sz w:val="21"/>
                <w:szCs w:val="21"/>
              </w:rPr>
            </w:pPr>
            <w:r>
              <w:rPr>
                <w:rFonts w:ascii="Times New Roman"/>
                <w:sz w:val="21"/>
              </w:rPr>
              <w:t>118,370,842.28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5"/>
          <w:szCs w:val="15"/>
        </w:rPr>
      </w:pPr>
    </w:p>
    <w:p>
      <w:pPr>
        <w:spacing w:line="472" w:lineRule="auto" w:before="35"/>
        <w:ind w:left="734" w:right="1300" w:firstLine="0"/>
        <w:jc w:val="left"/>
        <w:rPr>
          <w:rFonts w:ascii="宋体" w:hAnsi="宋体" w:cs="宋体" w:eastAsia="宋体" w:hint="default"/>
          <w:sz w:val="21"/>
          <w:szCs w:val="21"/>
        </w:rPr>
      </w:pPr>
      <w:r>
        <w:rPr>
          <w:rFonts w:ascii="宋体" w:hAnsi="宋体" w:cs="宋体" w:eastAsia="宋体" w:hint="default"/>
          <w:sz w:val="21"/>
          <w:szCs w:val="21"/>
        </w:rPr>
        <w:t>农行银行深圳分行罗湖支行借款利率按照国家三至五年期档次的基准利率确定新的借款利率。 17、股本</w:t>
      </w:r>
    </w:p>
    <w:p>
      <w:pPr>
        <w:tabs>
          <w:tab w:pos="1049" w:val="left" w:leader="none"/>
        </w:tabs>
        <w:spacing w:before="61"/>
        <w:ind w:left="0" w:right="710"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6"/>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300"/>
        <w:gridCol w:w="1604"/>
        <w:gridCol w:w="790"/>
        <w:gridCol w:w="720"/>
        <w:gridCol w:w="1440"/>
        <w:gridCol w:w="720"/>
        <w:gridCol w:w="1428"/>
        <w:gridCol w:w="1424"/>
      </w:tblGrid>
      <w:tr>
        <w:trPr>
          <w:trHeight w:val="589" w:hRule="exact"/>
        </w:trPr>
        <w:tc>
          <w:tcPr>
            <w:tcW w:w="230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0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3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42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091" w:hRule="exact"/>
        </w:trPr>
        <w:tc>
          <w:tcPr>
            <w:tcW w:w="2300" w:type="dxa"/>
            <w:vMerge/>
            <w:tcBorders>
              <w:left w:val="nil" w:sz="6" w:space="0" w:color="auto"/>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8"/>
              <w:ind w:left="180" w:right="179"/>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z w:val="21"/>
                <w:szCs w:val="21"/>
              </w:rPr>
              <w:t>其他</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24" w:type="dxa"/>
            <w:vMerge/>
            <w:tcBorders>
              <w:left w:val="single" w:sz="4" w:space="0" w:color="000000"/>
              <w:bottom w:val="single" w:sz="4" w:space="0" w:color="000000"/>
              <w:right w:val="nil" w:sz="6" w:space="0" w:color="auto"/>
            </w:tcBorders>
          </w:tcPr>
          <w:p>
            <w:pPr/>
          </w:p>
        </w:tc>
      </w:tr>
      <w:tr>
        <w:trPr>
          <w:trHeight w:val="589"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60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71,346,000.00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71,346,000.00</w:t>
            </w: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71,346,000.00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71,346,000.00</w:t>
            </w:r>
          </w:p>
        </w:tc>
      </w:tr>
      <w:tr>
        <w:trPr>
          <w:trHeight w:val="589"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71,346,000.00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60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19,140,000.00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4" w:right="0"/>
              <w:jc w:val="left"/>
              <w:rPr>
                <w:rFonts w:ascii="Times New Roman" w:hAnsi="Times New Roman" w:cs="Times New Roman" w:eastAsia="Times New Roman" w:hint="default"/>
                <w:sz w:val="21"/>
                <w:szCs w:val="21"/>
              </w:rPr>
            </w:pPr>
            <w:r>
              <w:rPr>
                <w:rFonts w:ascii="Times New Roman"/>
                <w:sz w:val="21"/>
              </w:rPr>
              <w:t>5,741,998.00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5,741,998.00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24,881,998.00</w:t>
            </w: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、境内上市外资股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、境外上市外资股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19,140,000.00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90,486,000.00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4" w:right="0"/>
              <w:jc w:val="left"/>
              <w:rPr>
                <w:rFonts w:ascii="Times New Roman" w:hAnsi="Times New Roman" w:cs="Times New Roman" w:eastAsia="Times New Roman" w:hint="default"/>
                <w:sz w:val="21"/>
                <w:szCs w:val="21"/>
              </w:rPr>
            </w:pPr>
            <w:r>
              <w:rPr>
                <w:rFonts w:ascii="Times New Roman"/>
                <w:sz w:val="21"/>
              </w:rPr>
              <w:t>5,741,998.00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5,741,998.00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96,227,998.00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820" w:right="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5"/>
        <w:ind w:left="570" w:right="0" w:firstLine="0"/>
        <w:jc w:val="left"/>
        <w:rPr>
          <w:rFonts w:ascii="宋体" w:hAnsi="宋体" w:cs="宋体" w:eastAsia="宋体" w:hint="default"/>
          <w:sz w:val="21"/>
          <w:szCs w:val="21"/>
        </w:rPr>
      </w:pPr>
      <w:r>
        <w:rPr>
          <w:rFonts w:ascii="宋体" w:hAnsi="宋体" w:cs="宋体" w:eastAsia="宋体" w:hint="default"/>
          <w:spacing w:val="-1"/>
          <w:sz w:val="21"/>
          <w:szCs w:val="21"/>
        </w:rPr>
        <w:t>据本公司</w:t>
      </w:r>
      <w:r>
        <w:rPr>
          <w:rFonts w:ascii="宋体" w:hAnsi="宋体" w:cs="宋体" w:eastAsia="宋体" w:hint="default"/>
          <w:spacing w:val="-52"/>
          <w:sz w:val="21"/>
          <w:szCs w:val="21"/>
        </w:rPr>
        <w:t> </w:t>
      </w:r>
      <w:r>
        <w:rPr>
          <w:rFonts w:ascii="宋体" w:hAnsi="宋体" w:cs="宋体" w:eastAsia="宋体" w:hint="default"/>
          <w:spacing w:val="-1"/>
          <w:sz w:val="21"/>
          <w:szCs w:val="21"/>
        </w:rPr>
        <w:t>2008</w:t>
      </w:r>
      <w:r>
        <w:rPr>
          <w:rFonts w:ascii="宋体" w:hAnsi="宋体" w:cs="宋体" w:eastAsia="宋体" w:hint="default"/>
          <w:spacing w:val="-51"/>
          <w:sz w:val="21"/>
          <w:szCs w:val="21"/>
        </w:rPr>
        <w:t> </w:t>
      </w:r>
      <w:r>
        <w:rPr>
          <w:rFonts w:ascii="宋体" w:hAnsi="宋体" w:cs="宋体" w:eastAsia="宋体" w:hint="default"/>
          <w:spacing w:val="-2"/>
          <w:sz w:val="21"/>
          <w:szCs w:val="21"/>
        </w:rPr>
        <w:t>年第一次临时股东大会通过的《资产赠与、资本公积金定向转增股本暨股权分置改革方案的</w:t>
      </w:r>
      <w:r>
        <w:rPr>
          <w:rFonts w:ascii="宋体" w:hAnsi="宋体" w:cs="宋体" w:eastAsia="宋体" w:hint="default"/>
          <w:sz w:val="21"/>
          <w:szCs w:val="21"/>
        </w:rPr>
      </w:r>
    </w:p>
    <w:p>
      <w:pPr>
        <w:spacing w:line="240" w:lineRule="auto" w:before="2"/>
        <w:rPr>
          <w:rFonts w:ascii="宋体" w:hAnsi="宋体" w:cs="宋体" w:eastAsia="宋体" w:hint="default"/>
          <w:sz w:val="17"/>
          <w:szCs w:val="17"/>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pacing w:val="-7"/>
          <w:sz w:val="21"/>
          <w:szCs w:val="21"/>
        </w:rPr>
        <w:t>议案》和修改后的章程规定，本公司以现有总股本</w:t>
      </w:r>
      <w:r>
        <w:rPr>
          <w:rFonts w:ascii="宋体" w:hAnsi="宋体" w:cs="宋体" w:eastAsia="宋体" w:hint="default"/>
          <w:spacing w:val="-52"/>
          <w:sz w:val="21"/>
          <w:szCs w:val="21"/>
        </w:rPr>
        <w:t> </w:t>
      </w:r>
      <w:r>
        <w:rPr>
          <w:rFonts w:ascii="宋体" w:hAnsi="宋体" w:cs="宋体" w:eastAsia="宋体" w:hint="default"/>
          <w:sz w:val="21"/>
          <w:szCs w:val="21"/>
        </w:rPr>
        <w:t>90,486,000</w:t>
      </w:r>
      <w:r>
        <w:rPr>
          <w:rFonts w:ascii="宋体" w:hAnsi="宋体" w:cs="宋体" w:eastAsia="宋体" w:hint="default"/>
          <w:spacing w:val="-51"/>
          <w:sz w:val="21"/>
          <w:szCs w:val="21"/>
        </w:rPr>
        <w:t> </w:t>
      </w:r>
      <w:r>
        <w:rPr>
          <w:rFonts w:ascii="宋体" w:hAnsi="宋体" w:cs="宋体" w:eastAsia="宋体" w:hint="default"/>
          <w:sz w:val="21"/>
          <w:szCs w:val="21"/>
        </w:rPr>
        <w:t>股中</w:t>
      </w:r>
      <w:r>
        <w:rPr>
          <w:rFonts w:ascii="宋体" w:hAnsi="宋体" w:cs="宋体" w:eastAsia="宋体" w:hint="default"/>
          <w:spacing w:val="-52"/>
          <w:sz w:val="21"/>
          <w:szCs w:val="21"/>
        </w:rPr>
        <w:t> </w:t>
      </w:r>
      <w:r>
        <w:rPr>
          <w:rFonts w:ascii="宋体" w:hAnsi="宋体" w:cs="宋体" w:eastAsia="宋体" w:hint="default"/>
          <w:sz w:val="21"/>
          <w:szCs w:val="21"/>
        </w:rPr>
        <w:t>19,140,000</w:t>
      </w:r>
      <w:r>
        <w:rPr>
          <w:rFonts w:ascii="宋体" w:hAnsi="宋体" w:cs="宋体" w:eastAsia="宋体" w:hint="default"/>
          <w:spacing w:val="-51"/>
          <w:sz w:val="21"/>
          <w:szCs w:val="21"/>
        </w:rPr>
        <w:t> </w:t>
      </w:r>
      <w:r>
        <w:rPr>
          <w:rFonts w:ascii="宋体" w:hAnsi="宋体" w:cs="宋体" w:eastAsia="宋体" w:hint="default"/>
          <w:spacing w:val="-7"/>
          <w:sz w:val="21"/>
          <w:szCs w:val="21"/>
        </w:rPr>
        <w:t>股的流通股为基数，以截止</w:t>
      </w:r>
      <w:r>
        <w:rPr>
          <w:rFonts w:ascii="宋体" w:hAnsi="宋体" w:cs="宋体" w:eastAsia="宋体" w:hint="default"/>
          <w:spacing w:val="-52"/>
          <w:sz w:val="21"/>
          <w:szCs w:val="21"/>
        </w:rPr>
        <w:t> </w:t>
      </w:r>
      <w:r>
        <w:rPr>
          <w:rFonts w:ascii="宋体" w:hAnsi="宋体" w:cs="宋体" w:eastAsia="宋体" w:hint="default"/>
          <w:sz w:val="21"/>
          <w:szCs w:val="21"/>
        </w:rPr>
        <w:t>2007</w:t>
      </w:r>
    </w:p>
    <w:p>
      <w:pPr>
        <w:spacing w:line="240" w:lineRule="auto" w:before="3"/>
        <w:rPr>
          <w:rFonts w:ascii="宋体" w:hAnsi="宋体" w:cs="宋体" w:eastAsia="宋体" w:hint="default"/>
          <w:sz w:val="17"/>
          <w:szCs w:val="17"/>
        </w:rPr>
      </w:pPr>
    </w:p>
    <w:p>
      <w:pPr>
        <w:spacing w:before="0"/>
        <w:ind w:left="15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日经审计的资本公积金向股改实施股份变更登记日登记在册的公司全体流通股股东每</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股定向转增</w:t>
      </w:r>
    </w:p>
    <w:p>
      <w:pPr>
        <w:spacing w:line="240" w:lineRule="auto" w:before="2"/>
        <w:rPr>
          <w:rFonts w:ascii="宋体" w:hAnsi="宋体" w:cs="宋体" w:eastAsia="宋体" w:hint="default"/>
          <w:sz w:val="17"/>
          <w:szCs w:val="17"/>
        </w:rPr>
      </w:pPr>
    </w:p>
    <w:p>
      <w:pPr>
        <w:spacing w:line="439" w:lineRule="auto" w:before="0"/>
        <w:ind w:left="150" w:right="9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股；本公司申请增加注册资本人民币</w:t>
      </w:r>
      <w:r>
        <w:rPr>
          <w:rFonts w:ascii="宋体" w:hAnsi="宋体" w:cs="宋体" w:eastAsia="宋体" w:hint="default"/>
          <w:spacing w:val="-57"/>
          <w:sz w:val="21"/>
          <w:szCs w:val="21"/>
        </w:rPr>
        <w:t> </w:t>
      </w:r>
      <w:r>
        <w:rPr>
          <w:rFonts w:ascii="宋体" w:hAnsi="宋体" w:cs="宋体" w:eastAsia="宋体" w:hint="default"/>
          <w:sz w:val="21"/>
          <w:szCs w:val="21"/>
        </w:rPr>
        <w:t>5,741,998</w:t>
      </w:r>
      <w:r>
        <w:rPr>
          <w:rFonts w:ascii="宋体" w:hAnsi="宋体" w:cs="宋体" w:eastAsia="宋体" w:hint="default"/>
          <w:spacing w:val="-57"/>
          <w:sz w:val="21"/>
          <w:szCs w:val="21"/>
        </w:rPr>
        <w:t> </w:t>
      </w:r>
      <w:r>
        <w:rPr>
          <w:rFonts w:ascii="宋体" w:hAnsi="宋体" w:cs="宋体" w:eastAsia="宋体" w:hint="default"/>
          <w:spacing w:val="-3"/>
          <w:sz w:val="21"/>
          <w:szCs w:val="21"/>
        </w:rPr>
        <w:t>元，由资本公积转增股本。本年注册资本增加已经深圳市鹏城</w:t>
      </w:r>
      <w:r>
        <w:rPr>
          <w:rFonts w:ascii="宋体" w:hAnsi="宋体" w:cs="宋体" w:eastAsia="宋体" w:hint="default"/>
          <w:sz w:val="21"/>
          <w:szCs w:val="21"/>
        </w:rPr>
        <w:t> </w:t>
      </w:r>
      <w:r>
        <w:rPr>
          <w:rFonts w:ascii="宋体" w:hAnsi="宋体" w:cs="宋体" w:eastAsia="宋体" w:hint="default"/>
          <w:spacing w:val="-1"/>
          <w:sz w:val="21"/>
          <w:szCs w:val="21"/>
        </w:rPr>
        <w:t>会计师事务所有限公司以深鹏所验字[2010]055</w:t>
      </w:r>
      <w:r>
        <w:rPr>
          <w:rFonts w:ascii="宋体" w:hAnsi="宋体" w:cs="宋体" w:eastAsia="宋体" w:hint="default"/>
          <w:spacing w:val="-52"/>
          <w:sz w:val="21"/>
          <w:szCs w:val="21"/>
        </w:rPr>
        <w:t> </w:t>
      </w:r>
      <w:r>
        <w:rPr>
          <w:rFonts w:ascii="宋体" w:hAnsi="宋体" w:cs="宋体" w:eastAsia="宋体" w:hint="default"/>
          <w:spacing w:val="-1"/>
          <w:sz w:val="21"/>
          <w:szCs w:val="21"/>
        </w:rPr>
        <w:t>号验资报告验证，并办理股本增资工商变更。</w:t>
      </w:r>
      <w:r>
        <w:rPr>
          <w:rFonts w:ascii="宋体" w:hAnsi="宋体" w:cs="宋体" w:eastAsia="宋体" w:hint="default"/>
          <w:sz w:val="21"/>
          <w:szCs w:val="21"/>
        </w:rPr>
      </w:r>
    </w:p>
    <w:p>
      <w:pPr>
        <w:spacing w:before="130"/>
        <w:ind w:left="573" w:right="0" w:firstLine="0"/>
        <w:jc w:val="left"/>
        <w:rPr>
          <w:rFonts w:ascii="宋体" w:hAnsi="宋体" w:cs="宋体" w:eastAsia="宋体" w:hint="default"/>
          <w:sz w:val="21"/>
          <w:szCs w:val="21"/>
        </w:rPr>
      </w:pPr>
      <w:r>
        <w:rPr>
          <w:rFonts w:ascii="宋体" w:hAnsi="宋体" w:cs="宋体" w:eastAsia="宋体" w:hint="default"/>
          <w:sz w:val="21"/>
          <w:szCs w:val="21"/>
        </w:rPr>
        <w:t>18、资本公积</w:t>
      </w:r>
    </w:p>
    <w:p>
      <w:pPr>
        <w:spacing w:line="240" w:lineRule="auto" w:before="3"/>
        <w:rPr>
          <w:rFonts w:ascii="宋体" w:hAnsi="宋体" w:cs="宋体" w:eastAsia="宋体" w:hint="default"/>
          <w:sz w:val="20"/>
          <w:szCs w:val="20"/>
        </w:rPr>
      </w:pPr>
    </w:p>
    <w:p>
      <w:pPr>
        <w:spacing w:before="0"/>
        <w:ind w:left="0" w:right="610"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676"/>
        <w:gridCol w:w="1759"/>
        <w:gridCol w:w="1759"/>
        <w:gridCol w:w="1759"/>
        <w:gridCol w:w="1759"/>
      </w:tblGrid>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21" w:right="0"/>
              <w:jc w:val="left"/>
              <w:rPr>
                <w:rFonts w:ascii="Times New Roman" w:hAnsi="Times New Roman" w:cs="Times New Roman" w:eastAsia="Times New Roman" w:hint="default"/>
                <w:sz w:val="21"/>
                <w:szCs w:val="21"/>
              </w:rPr>
            </w:pPr>
            <w:r>
              <w:rPr>
                <w:rFonts w:ascii="Times New Roman"/>
                <w:sz w:val="21"/>
              </w:rPr>
              <w:t>3,912,878.19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3,912,878.19</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17" w:right="0"/>
              <w:jc w:val="left"/>
              <w:rPr>
                <w:rFonts w:ascii="Times New Roman" w:hAnsi="Times New Roman" w:cs="Times New Roman" w:eastAsia="Times New Roman" w:hint="default"/>
                <w:sz w:val="21"/>
                <w:szCs w:val="21"/>
              </w:rPr>
            </w:pPr>
            <w:r>
              <w:rPr>
                <w:rFonts w:ascii="Times New Roman"/>
                <w:sz w:val="21"/>
              </w:rPr>
              <w:t>22,686,165.62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1,829,119.81</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20,857,045.81</w:t>
            </w:r>
          </w:p>
        </w:tc>
      </w:tr>
      <w:tr>
        <w:trPr>
          <w:trHeight w:val="590" w:hRule="exact"/>
        </w:trPr>
        <w:tc>
          <w:tcPr>
            <w:tcW w:w="2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17" w:right="0"/>
              <w:jc w:val="left"/>
              <w:rPr>
                <w:rFonts w:ascii="Times New Roman" w:hAnsi="Times New Roman" w:cs="Times New Roman" w:eastAsia="Times New Roman" w:hint="default"/>
                <w:sz w:val="21"/>
                <w:szCs w:val="21"/>
              </w:rPr>
            </w:pPr>
            <w:r>
              <w:rPr>
                <w:rFonts w:ascii="Times New Roman"/>
                <w:sz w:val="21"/>
              </w:rPr>
              <w:t>26,599,043.81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5,741,998.00</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20,857,045.81</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19、盈余公积</w:t>
      </w:r>
    </w:p>
    <w:p>
      <w:pPr>
        <w:spacing w:line="240" w:lineRule="auto" w:before="9"/>
        <w:rPr>
          <w:rFonts w:ascii="宋体" w:hAnsi="宋体" w:cs="宋体" w:eastAsia="宋体" w:hint="default"/>
          <w:sz w:val="17"/>
          <w:szCs w:val="17"/>
        </w:rPr>
      </w:pPr>
    </w:p>
    <w:p>
      <w:pPr>
        <w:spacing w:before="35"/>
        <w:ind w:left="0" w:right="61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954"/>
        <w:gridCol w:w="1939"/>
        <w:gridCol w:w="1939"/>
        <w:gridCol w:w="1940"/>
        <w:gridCol w:w="1940"/>
      </w:tblGrid>
      <w:tr>
        <w:trPr>
          <w:trHeight w:val="58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9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01" w:right="0"/>
              <w:jc w:val="left"/>
              <w:rPr>
                <w:rFonts w:ascii="Times New Roman" w:hAnsi="Times New Roman" w:cs="Times New Roman" w:eastAsia="Times New Roman" w:hint="default"/>
                <w:sz w:val="21"/>
                <w:szCs w:val="21"/>
              </w:rPr>
            </w:pPr>
            <w:r>
              <w:rPr>
                <w:rFonts w:ascii="Times New Roman"/>
                <w:sz w:val="21"/>
              </w:rPr>
              <w:t>5,887,067.95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02" w:right="0"/>
              <w:jc w:val="left"/>
              <w:rPr>
                <w:rFonts w:ascii="Times New Roman" w:hAnsi="Times New Roman" w:cs="Times New Roman" w:eastAsia="Times New Roman" w:hint="default"/>
                <w:sz w:val="21"/>
                <w:szCs w:val="21"/>
              </w:rPr>
            </w:pPr>
            <w:r>
              <w:rPr>
                <w:rFonts w:ascii="Times New Roman"/>
                <w:sz w:val="21"/>
              </w:rPr>
              <w:t>5,887,067.95</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20、未分配利润</w:t>
      </w:r>
    </w:p>
    <w:p>
      <w:pPr>
        <w:spacing w:line="240" w:lineRule="auto" w:before="9"/>
        <w:rPr>
          <w:rFonts w:ascii="宋体" w:hAnsi="宋体" w:cs="宋体" w:eastAsia="宋体" w:hint="default"/>
          <w:sz w:val="17"/>
          <w:szCs w:val="17"/>
        </w:rPr>
      </w:pPr>
    </w:p>
    <w:p>
      <w:pPr>
        <w:spacing w:before="35"/>
        <w:ind w:left="0" w:right="61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5387"/>
        <w:gridCol w:w="2159"/>
        <w:gridCol w:w="2170"/>
      </w:tblGrid>
      <w:tr>
        <w:trPr>
          <w:trHeight w:val="58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9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-53,283,504.49</w:t>
            </w:r>
            <w:r>
              <w:rPr>
                <w:rFonts w:ascii="Times New Roman"/>
                <w:sz w:val="21"/>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3"/>
                <w:sz w:val="21"/>
                <w:szCs w:val="21"/>
              </w:rPr>
              <w:t> </w:t>
            </w:r>
            <w:r>
              <w:rPr>
                <w:rFonts w:ascii="宋体" w:hAnsi="宋体" w:cs="宋体" w:eastAsia="宋体" w:hint="default"/>
                <w:sz w:val="21"/>
                <w:szCs w:val="21"/>
              </w:rPr>
              <w:t>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33,548,741.37</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-19,734,763.12</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21,564,136.77</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7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941" w:top="1100" w:bottom="1140" w:left="980" w:right="52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387"/>
        <w:gridCol w:w="2159"/>
        <w:gridCol w:w="2170"/>
      </w:tblGrid>
      <w:tr>
        <w:trPr>
          <w:trHeight w:val="59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5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1,829,373.65</w:t>
            </w:r>
          </w:p>
        </w:tc>
        <w:tc>
          <w:tcPr>
            <w:tcW w:w="21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5"/>
          <w:szCs w:val="15"/>
        </w:rPr>
      </w:pPr>
    </w:p>
    <w:p>
      <w:pPr>
        <w:spacing w:line="472" w:lineRule="auto" w:before="35"/>
        <w:ind w:left="574" w:right="3079" w:firstLine="0"/>
        <w:jc w:val="left"/>
        <w:rPr>
          <w:rFonts w:ascii="宋体" w:hAnsi="宋体" w:cs="宋体" w:eastAsia="宋体" w:hint="default"/>
          <w:sz w:val="21"/>
          <w:szCs w:val="21"/>
        </w:rPr>
      </w:pPr>
      <w:r>
        <w:rPr>
          <w:rFonts w:ascii="宋体" w:hAnsi="宋体" w:cs="宋体" w:eastAsia="宋体" w:hint="default"/>
          <w:sz w:val="21"/>
          <w:szCs w:val="21"/>
        </w:rPr>
        <w:t>调整年初未分配利润明细：详见附注二、24</w:t>
      </w:r>
      <w:r>
        <w:rPr>
          <w:rFonts w:ascii="宋体" w:hAnsi="宋体" w:cs="宋体" w:eastAsia="宋体" w:hint="default"/>
          <w:spacing w:val="-54"/>
          <w:sz w:val="21"/>
          <w:szCs w:val="21"/>
        </w:rPr>
        <w:t> </w:t>
      </w:r>
      <w:r>
        <w:rPr>
          <w:rFonts w:ascii="宋体" w:hAnsi="宋体" w:cs="宋体" w:eastAsia="宋体" w:hint="default"/>
          <w:sz w:val="21"/>
          <w:szCs w:val="21"/>
        </w:rPr>
        <w:t>前期会计差错更正说明。</w:t>
      </w:r>
      <w:r>
        <w:rPr>
          <w:rFonts w:ascii="宋体" w:hAnsi="宋体" w:cs="宋体" w:eastAsia="宋体" w:hint="default"/>
          <w:sz w:val="21"/>
          <w:szCs w:val="21"/>
        </w:rPr>
        <w:t> 21、营业收入、营业成本</w:t>
      </w:r>
    </w:p>
    <w:p>
      <w:pPr>
        <w:spacing w:before="61"/>
        <w:ind w:left="574" w:right="93" w:firstLine="0"/>
        <w:jc w:val="left"/>
        <w:rPr>
          <w:rFonts w:ascii="宋体" w:hAnsi="宋体" w:cs="宋体" w:eastAsia="宋体" w:hint="default"/>
          <w:sz w:val="21"/>
          <w:szCs w:val="21"/>
        </w:rPr>
      </w:pPr>
      <w:r>
        <w:rPr>
          <w:rFonts w:ascii="宋体" w:hAnsi="宋体" w:cs="宋体" w:eastAsia="宋体" w:hint="default"/>
          <w:sz w:val="21"/>
          <w:szCs w:val="21"/>
        </w:rPr>
        <w:t>（1）营业收入</w:t>
      </w:r>
    </w:p>
    <w:p>
      <w:pPr>
        <w:spacing w:line="240" w:lineRule="auto" w:before="8"/>
        <w:rPr>
          <w:rFonts w:ascii="宋体" w:hAnsi="宋体" w:cs="宋体" w:eastAsia="宋体" w:hint="default"/>
          <w:sz w:val="17"/>
          <w:szCs w:val="17"/>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263"/>
        <w:gridCol w:w="3248"/>
        <w:gridCol w:w="3250"/>
      </w:tblGrid>
      <w:tr>
        <w:trPr>
          <w:trHeight w:val="58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110,043,571.90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09"/>
              <w:jc w:val="right"/>
              <w:rPr>
                <w:rFonts w:ascii="宋体" w:hAnsi="宋体" w:cs="宋体" w:eastAsia="宋体" w:hint="default"/>
                <w:sz w:val="21"/>
                <w:szCs w:val="21"/>
              </w:rPr>
            </w:pPr>
            <w:r>
              <w:rPr>
                <w:rFonts w:ascii="宋体" w:hAnsi="宋体" w:cs="宋体" w:eastAsia="宋体" w:hint="default"/>
                <w:sz w:val="21"/>
                <w:szCs w:val="21"/>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110,043,571.90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5"/>
          <w:szCs w:val="15"/>
        </w:rPr>
      </w:pPr>
    </w:p>
    <w:p>
      <w:pPr>
        <w:spacing w:before="35"/>
        <w:ind w:left="574" w:right="93" w:firstLine="0"/>
        <w:jc w:val="left"/>
        <w:rPr>
          <w:rFonts w:ascii="宋体" w:hAnsi="宋体" w:cs="宋体" w:eastAsia="宋体" w:hint="default"/>
          <w:sz w:val="21"/>
          <w:szCs w:val="21"/>
        </w:rPr>
      </w:pPr>
      <w:r>
        <w:rPr>
          <w:rFonts w:ascii="宋体" w:hAnsi="宋体" w:cs="宋体" w:eastAsia="宋体" w:hint="default"/>
          <w:sz w:val="21"/>
          <w:szCs w:val="21"/>
        </w:rPr>
        <w:t>（2）营业成本</w:t>
      </w:r>
    </w:p>
    <w:p>
      <w:pPr>
        <w:spacing w:line="240" w:lineRule="auto" w:before="8"/>
        <w:rPr>
          <w:rFonts w:ascii="宋体" w:hAnsi="宋体" w:cs="宋体" w:eastAsia="宋体" w:hint="default"/>
          <w:sz w:val="17"/>
          <w:szCs w:val="17"/>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263"/>
        <w:gridCol w:w="3248"/>
        <w:gridCol w:w="3250"/>
      </w:tblGrid>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8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70,124,034.22</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09"/>
              <w:jc w:val="right"/>
              <w:rPr>
                <w:rFonts w:ascii="宋体" w:hAnsi="宋体" w:cs="宋体" w:eastAsia="宋体" w:hint="default"/>
                <w:sz w:val="21"/>
                <w:szCs w:val="21"/>
              </w:rPr>
            </w:pPr>
            <w:r>
              <w:rPr>
                <w:rFonts w:ascii="宋体" w:hAnsi="宋体" w:cs="宋体" w:eastAsia="宋体" w:hint="default"/>
                <w:sz w:val="21"/>
                <w:szCs w:val="21"/>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70,124,034.22</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5"/>
          <w:szCs w:val="15"/>
        </w:rPr>
      </w:pPr>
    </w:p>
    <w:p>
      <w:pPr>
        <w:spacing w:before="35"/>
        <w:ind w:left="574" w:right="93" w:firstLine="0"/>
        <w:jc w:val="left"/>
        <w:rPr>
          <w:rFonts w:ascii="宋体" w:hAnsi="宋体" w:cs="宋体" w:eastAsia="宋体" w:hint="default"/>
          <w:sz w:val="21"/>
          <w:szCs w:val="21"/>
        </w:rPr>
      </w:pPr>
      <w:r>
        <w:rPr>
          <w:rFonts w:ascii="宋体" w:hAnsi="宋体" w:cs="宋体" w:eastAsia="宋体" w:hint="default"/>
          <w:sz w:val="21"/>
          <w:szCs w:val="21"/>
        </w:rPr>
        <w:t>（3）主营业务（分行业）</w:t>
      </w:r>
    </w:p>
    <w:p>
      <w:pPr>
        <w:spacing w:line="240" w:lineRule="auto" w:before="8"/>
        <w:rPr>
          <w:rFonts w:ascii="宋体" w:hAnsi="宋体" w:cs="宋体" w:eastAsia="宋体" w:hint="default"/>
          <w:sz w:val="17"/>
          <w:szCs w:val="17"/>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59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90"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9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98" w:right="0"/>
              <w:jc w:val="left"/>
              <w:rPr>
                <w:rFonts w:ascii="Times New Roman" w:hAnsi="Times New Roman" w:cs="Times New Roman" w:eastAsia="Times New Roman" w:hint="default"/>
                <w:sz w:val="21"/>
                <w:szCs w:val="21"/>
              </w:rPr>
            </w:pPr>
            <w:r>
              <w:rPr>
                <w:rFonts w:ascii="Times New Roman"/>
                <w:sz w:val="21"/>
              </w:rPr>
              <w:t>110,043,571.90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95" w:right="0"/>
              <w:jc w:val="left"/>
              <w:rPr>
                <w:rFonts w:ascii="Times New Roman" w:hAnsi="Times New Roman" w:cs="Times New Roman" w:eastAsia="Times New Roman" w:hint="default"/>
                <w:sz w:val="21"/>
                <w:szCs w:val="21"/>
              </w:rPr>
            </w:pPr>
            <w:r>
              <w:rPr>
                <w:rFonts w:ascii="Times New Roman"/>
                <w:sz w:val="21"/>
              </w:rPr>
              <w:t>70,124,034.22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8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（4）主营业务（分产品）</w:t>
      </w:r>
    </w:p>
    <w:p>
      <w:pPr>
        <w:spacing w:line="240" w:lineRule="auto" w:before="8"/>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59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89"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9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商品房开发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98" w:right="0"/>
              <w:jc w:val="left"/>
              <w:rPr>
                <w:rFonts w:ascii="Times New Roman" w:hAnsi="Times New Roman" w:cs="Times New Roman" w:eastAsia="Times New Roman" w:hint="default"/>
                <w:sz w:val="21"/>
                <w:szCs w:val="21"/>
              </w:rPr>
            </w:pPr>
            <w:r>
              <w:rPr>
                <w:rFonts w:ascii="Times New Roman"/>
                <w:sz w:val="21"/>
              </w:rPr>
              <w:t>110,043,571.90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96" w:right="0"/>
              <w:jc w:val="left"/>
              <w:rPr>
                <w:rFonts w:ascii="Times New Roman" w:hAnsi="Times New Roman" w:cs="Times New Roman" w:eastAsia="Times New Roman" w:hint="default"/>
                <w:sz w:val="21"/>
                <w:szCs w:val="21"/>
              </w:rPr>
            </w:pPr>
            <w:r>
              <w:rPr>
                <w:rFonts w:ascii="Times New Roman"/>
                <w:sz w:val="21"/>
              </w:rPr>
              <w:t>70,124,034.22</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（5）主营业务（分地区）</w:t>
      </w:r>
    </w:p>
    <w:p>
      <w:pPr>
        <w:spacing w:line="240" w:lineRule="auto" w:before="9"/>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769"/>
      </w:tblGrid>
      <w:tr>
        <w:trPr>
          <w:trHeight w:val="589"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90"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9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青岛地区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33,337,290.90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22,806,598.01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兖州地区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76,706,281.00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47,317,436.21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110,043,571.90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70,124,034.22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22、营业税金及附加</w:t>
      </w:r>
    </w:p>
    <w:p>
      <w:pPr>
        <w:spacing w:line="240" w:lineRule="auto" w:before="9"/>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840"/>
        <w:gridCol w:w="2290"/>
        <w:gridCol w:w="2291"/>
        <w:gridCol w:w="2120"/>
      </w:tblGrid>
      <w:tr>
        <w:trPr>
          <w:trHeight w:val="589"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96"/>
              <w:jc w:val="right"/>
              <w:rPr>
                <w:rFonts w:ascii="宋体" w:hAnsi="宋体" w:cs="宋体" w:eastAsia="宋体" w:hint="default"/>
                <w:sz w:val="21"/>
                <w:szCs w:val="21"/>
              </w:rPr>
            </w:pPr>
            <w:r>
              <w:rPr>
                <w:rFonts w:ascii="宋体" w:hAnsi="宋体" w:cs="宋体" w:eastAsia="宋体" w:hint="default"/>
                <w:sz w:val="21"/>
                <w:szCs w:val="21"/>
              </w:rPr>
              <w:t>项目</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71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5,502,178.60</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按营业额的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71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1,100,435.72</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0" w:type="dxa"/>
            <w:tcBorders>
              <w:top w:val="single" w:sz="4" w:space="0" w:color="000000"/>
              <w:left w:val="single" w:sz="4" w:space="0" w:color="000000"/>
              <w:bottom w:val="single" w:sz="4" w:space="0" w:color="000000"/>
              <w:right w:val="nil" w:sz="6" w:space="0" w:color="auto"/>
            </w:tcBorders>
          </w:tcPr>
          <w:p>
            <w:pPr/>
          </w:p>
        </w:tc>
      </w:tr>
      <w:tr>
        <w:trPr>
          <w:trHeight w:val="71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385,152.50</w:t>
            </w:r>
            <w:r>
              <w:rPr>
                <w:rFonts w:ascii="Times New Roman"/>
                <w:sz w:val="21"/>
              </w:rPr>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按流转税的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r>
      <w:tr>
        <w:trPr>
          <w:trHeight w:val="71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165,065.36</w:t>
            </w:r>
            <w:r>
              <w:rPr>
                <w:rFonts w:ascii="Times New Roman"/>
                <w:sz w:val="21"/>
              </w:rPr>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按流转税的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71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16,668.64</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0"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196"/>
              <w:jc w:val="right"/>
              <w:rPr>
                <w:rFonts w:ascii="宋体" w:hAnsi="宋体" w:cs="宋体" w:eastAsia="宋体" w:hint="default"/>
                <w:sz w:val="21"/>
                <w:szCs w:val="21"/>
              </w:rPr>
            </w:pPr>
            <w:r>
              <w:rPr>
                <w:rFonts w:ascii="宋体" w:hAnsi="宋体" w:cs="宋体" w:eastAsia="宋体" w:hint="default"/>
                <w:sz w:val="21"/>
                <w:szCs w:val="21"/>
              </w:rPr>
              <w:t>合计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7,169,500.82</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12"/>
          <w:szCs w:val="12"/>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6"/>
        <w:rPr>
          <w:rFonts w:ascii="宋体" w:hAnsi="宋体" w:cs="宋体" w:eastAsia="宋体" w:hint="default"/>
          <w:b/>
          <w:bCs/>
          <w:sz w:val="14"/>
          <w:szCs w:val="14"/>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right"/>
        <w:rPr>
          <w:rFonts w:ascii="宋体" w:hAnsi="宋体" w:cs="宋体" w:eastAsia="宋体" w:hint="default"/>
          <w:sz w:val="21"/>
          <w:szCs w:val="21"/>
        </w:rPr>
        <w:sectPr>
          <w:pgSz w:w="11910" w:h="16840"/>
          <w:pgMar w:header="0" w:footer="941" w:top="1100" w:bottom="1140" w:left="980" w:right="980"/>
        </w:sectPr>
      </w:pPr>
    </w:p>
    <w:p>
      <w:pPr>
        <w:spacing w:line="240" w:lineRule="auto" w:before="6"/>
        <w:rPr>
          <w:rFonts w:ascii="宋体" w:hAnsi="宋体" w:cs="宋体" w:eastAsia="宋体" w:hint="default"/>
          <w:sz w:val="24"/>
          <w:szCs w:val="24"/>
        </w:rPr>
      </w:pPr>
    </w:p>
    <w:tbl>
      <w:tblPr>
        <w:tblW w:w="0" w:type="auto"/>
        <w:jc w:val="left"/>
        <w:tblInd w:w="214" w:type="dxa"/>
        <w:tblLayout w:type="fixed"/>
        <w:tblCellMar>
          <w:top w:w="0" w:type="dxa"/>
          <w:left w:w="0" w:type="dxa"/>
          <w:bottom w:w="0" w:type="dxa"/>
          <w:right w:w="0" w:type="dxa"/>
        </w:tblCellMar>
        <w:tblLook w:val="01E0"/>
      </w:tblPr>
      <w:tblGrid>
        <w:gridCol w:w="3228"/>
        <w:gridCol w:w="3214"/>
        <w:gridCol w:w="3212"/>
      </w:tblGrid>
      <w:tr>
        <w:trPr>
          <w:trHeight w:val="5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21" w:val="left" w:leader="none"/>
              </w:tabs>
              <w:spacing w:line="240" w:lineRule="auto"/>
              <w:ind w:right="1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2,708,077.74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4,026,907.48</w:t>
            </w:r>
          </w:p>
        </w:tc>
      </w:tr>
      <w:tr>
        <w:trPr>
          <w:trHeight w:val="5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-218,169.48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-25,466.95</w:t>
            </w:r>
          </w:p>
        </w:tc>
      </w:tr>
      <w:tr>
        <w:trPr>
          <w:trHeight w:val="5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34,539.46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4,763.28</w:t>
            </w:r>
          </w:p>
        </w:tc>
      </w:tr>
      <w:tr>
        <w:trPr>
          <w:trHeight w:val="55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21" w:val="left" w:leader="none"/>
              </w:tabs>
              <w:spacing w:line="240" w:lineRule="auto"/>
              <w:ind w:right="128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2,524,447.72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4,006,203.81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654" w:right="115" w:firstLine="0"/>
        <w:jc w:val="left"/>
        <w:rPr>
          <w:rFonts w:ascii="宋体" w:hAnsi="宋体" w:cs="宋体" w:eastAsia="宋体" w:hint="default"/>
          <w:sz w:val="21"/>
          <w:szCs w:val="21"/>
        </w:rPr>
      </w:pPr>
      <w:r>
        <w:rPr>
          <w:rFonts w:ascii="宋体" w:hAnsi="宋体" w:cs="宋体" w:eastAsia="宋体" w:hint="default"/>
          <w:sz w:val="21"/>
          <w:szCs w:val="21"/>
        </w:rPr>
        <w:t>24、资产减值损失</w:t>
      </w:r>
    </w:p>
    <w:p>
      <w:pPr>
        <w:spacing w:line="240" w:lineRule="auto" w:before="8"/>
        <w:rPr>
          <w:rFonts w:ascii="宋体" w:hAnsi="宋体" w:cs="宋体" w:eastAsia="宋体" w:hint="default"/>
          <w:sz w:val="17"/>
          <w:szCs w:val="17"/>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5480"/>
        <w:gridCol w:w="2194"/>
        <w:gridCol w:w="1946"/>
      </w:tblGrid>
      <w:tr>
        <w:trPr>
          <w:trHeight w:val="590" w:hRule="exact"/>
        </w:trPr>
        <w:tc>
          <w:tcPr>
            <w:tcW w:w="5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39"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4" w:hRule="exact"/>
        </w:trPr>
        <w:tc>
          <w:tcPr>
            <w:tcW w:w="5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240" w:right="0"/>
              <w:jc w:val="left"/>
              <w:rPr>
                <w:rFonts w:ascii="Times New Roman" w:hAnsi="Times New Roman" w:cs="Times New Roman" w:eastAsia="Times New Roman" w:hint="default"/>
                <w:sz w:val="21"/>
                <w:szCs w:val="21"/>
              </w:rPr>
            </w:pPr>
            <w:r>
              <w:rPr>
                <w:rFonts w:ascii="Times New Roman"/>
                <w:sz w:val="21"/>
              </w:rPr>
              <w:t>98,352.04</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2" w:right="0"/>
              <w:jc w:val="left"/>
              <w:rPr>
                <w:rFonts w:ascii="Times New Roman" w:hAnsi="Times New Roman" w:cs="Times New Roman" w:eastAsia="Times New Roman" w:hint="default"/>
                <w:sz w:val="21"/>
                <w:szCs w:val="21"/>
              </w:rPr>
            </w:pPr>
            <w:r>
              <w:rPr>
                <w:rFonts w:ascii="Times New Roman"/>
                <w:sz w:val="21"/>
              </w:rPr>
              <w:t>10,000.00</w:t>
            </w:r>
          </w:p>
        </w:tc>
      </w:tr>
    </w:tbl>
    <w:p>
      <w:pPr>
        <w:spacing w:line="240" w:lineRule="auto" w:before="2"/>
        <w:rPr>
          <w:rFonts w:ascii="宋体" w:hAnsi="宋体" w:cs="宋体" w:eastAsia="宋体" w:hint="default"/>
          <w:sz w:val="15"/>
          <w:szCs w:val="15"/>
        </w:rPr>
      </w:pPr>
    </w:p>
    <w:p>
      <w:pPr>
        <w:spacing w:before="35"/>
        <w:ind w:left="654" w:right="115" w:firstLine="0"/>
        <w:jc w:val="left"/>
        <w:rPr>
          <w:rFonts w:ascii="宋体" w:hAnsi="宋体" w:cs="宋体" w:eastAsia="宋体" w:hint="default"/>
          <w:sz w:val="21"/>
          <w:szCs w:val="21"/>
        </w:rPr>
      </w:pPr>
      <w:r>
        <w:rPr>
          <w:rFonts w:ascii="宋体" w:hAnsi="宋体" w:cs="宋体" w:eastAsia="宋体" w:hint="default"/>
          <w:sz w:val="21"/>
          <w:szCs w:val="21"/>
        </w:rPr>
        <w:t>25、营业外收入</w:t>
      </w:r>
    </w:p>
    <w:p>
      <w:pPr>
        <w:spacing w:line="240" w:lineRule="auto" w:before="9"/>
        <w:rPr>
          <w:rFonts w:ascii="宋体" w:hAnsi="宋体" w:cs="宋体" w:eastAsia="宋体" w:hint="default"/>
          <w:sz w:val="17"/>
          <w:szCs w:val="17"/>
        </w:rPr>
      </w:pPr>
    </w:p>
    <w:p>
      <w:pPr>
        <w:spacing w:before="35"/>
        <w:ind w:left="0" w:right="230"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7"/>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4964"/>
        <w:gridCol w:w="2398"/>
        <w:gridCol w:w="2399"/>
      </w:tblGrid>
      <w:tr>
        <w:trPr>
          <w:trHeight w:val="589" w:hRule="exact"/>
        </w:trPr>
        <w:tc>
          <w:tcPr>
            <w:tcW w:w="4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21" w:val="left" w:leader="none"/>
              </w:tabs>
              <w:spacing w:line="240" w:lineRule="auto"/>
              <w:ind w:right="215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6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90" w:hRule="exact"/>
        </w:trPr>
        <w:tc>
          <w:tcPr>
            <w:tcW w:w="4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捐赠利得</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208,562,237.00</w:t>
            </w:r>
            <w:r>
              <w:rPr>
                <w:rFonts w:ascii="Times New Roman"/>
                <w:sz w:val="21"/>
              </w:rPr>
            </w:r>
          </w:p>
        </w:tc>
      </w:tr>
      <w:tr>
        <w:trPr>
          <w:trHeight w:val="590" w:hRule="exact"/>
        </w:trPr>
        <w:tc>
          <w:tcPr>
            <w:tcW w:w="4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利息减免</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10,566,266.22</w:t>
            </w:r>
          </w:p>
        </w:tc>
        <w:tc>
          <w:tcPr>
            <w:tcW w:w="2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4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280.22</w:t>
            </w:r>
          </w:p>
        </w:tc>
        <w:tc>
          <w:tcPr>
            <w:tcW w:w="2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16,605.94</w:t>
            </w:r>
          </w:p>
        </w:tc>
      </w:tr>
      <w:tr>
        <w:trPr>
          <w:trHeight w:val="590" w:hRule="exact"/>
        </w:trPr>
        <w:tc>
          <w:tcPr>
            <w:tcW w:w="4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21" w:val="left" w:leader="none"/>
              </w:tabs>
              <w:spacing w:line="240" w:lineRule="auto"/>
              <w:ind w:right="215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10,566,546.44</w:t>
            </w:r>
          </w:p>
        </w:tc>
        <w:tc>
          <w:tcPr>
            <w:tcW w:w="2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208,578,842.94</w:t>
            </w:r>
            <w:r>
              <w:rPr>
                <w:rFonts w:ascii="Times New Roman"/>
                <w:sz w:val="21"/>
              </w:rPr>
            </w:r>
          </w:p>
        </w:tc>
      </w:tr>
    </w:tbl>
    <w:p>
      <w:pPr>
        <w:spacing w:line="240" w:lineRule="auto" w:before="2"/>
        <w:rPr>
          <w:rFonts w:ascii="宋体" w:hAnsi="宋体" w:cs="宋体" w:eastAsia="宋体" w:hint="default"/>
          <w:sz w:val="15"/>
          <w:szCs w:val="15"/>
        </w:rPr>
      </w:pPr>
    </w:p>
    <w:p>
      <w:pPr>
        <w:spacing w:before="35"/>
        <w:ind w:left="654" w:right="115" w:firstLine="0"/>
        <w:jc w:val="left"/>
        <w:rPr>
          <w:rFonts w:ascii="宋体" w:hAnsi="宋体" w:cs="宋体" w:eastAsia="宋体" w:hint="default"/>
          <w:sz w:val="21"/>
          <w:szCs w:val="21"/>
        </w:rPr>
      </w:pPr>
      <w:r>
        <w:rPr>
          <w:rFonts w:ascii="宋体" w:hAnsi="宋体" w:cs="宋体" w:eastAsia="宋体" w:hint="default"/>
          <w:sz w:val="21"/>
          <w:szCs w:val="21"/>
        </w:rPr>
        <w:t>26、营业外支出</w:t>
      </w:r>
    </w:p>
    <w:p>
      <w:pPr>
        <w:spacing w:line="240" w:lineRule="auto" w:before="9"/>
        <w:rPr>
          <w:rFonts w:ascii="宋体" w:hAnsi="宋体" w:cs="宋体" w:eastAsia="宋体" w:hint="default"/>
          <w:sz w:val="17"/>
          <w:szCs w:val="17"/>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356" w:type="dxa"/>
        <w:tblLayout w:type="fixed"/>
        <w:tblCellMar>
          <w:top w:w="0" w:type="dxa"/>
          <w:left w:w="0" w:type="dxa"/>
          <w:bottom w:w="0" w:type="dxa"/>
          <w:right w:w="0" w:type="dxa"/>
        </w:tblCellMar>
        <w:tblLook w:val="01E0"/>
      </w:tblPr>
      <w:tblGrid>
        <w:gridCol w:w="4688"/>
        <w:gridCol w:w="2412"/>
        <w:gridCol w:w="2412"/>
      </w:tblGrid>
      <w:tr>
        <w:trPr>
          <w:trHeight w:val="589" w:hRule="exact"/>
        </w:trPr>
        <w:tc>
          <w:tcPr>
            <w:tcW w:w="4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39"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4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处理固定资产净损失</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1,156,966.82</w:t>
            </w:r>
          </w:p>
        </w:tc>
      </w:tr>
      <w:tr>
        <w:trPr>
          <w:trHeight w:val="425" w:hRule="exact"/>
        </w:trPr>
        <w:tc>
          <w:tcPr>
            <w:tcW w:w="4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21"/>
                <w:szCs w:val="21"/>
              </w:rPr>
            </w:pPr>
            <w:r>
              <w:rPr>
                <w:rFonts w:ascii="Times New Roman"/>
                <w:spacing w:val="-1"/>
                <w:sz w:val="21"/>
              </w:rPr>
              <w:t>1,950.00</w:t>
            </w:r>
            <w:r>
              <w:rPr>
                <w:rFonts w:ascii="Times New Roman"/>
                <w:sz w:val="21"/>
              </w:rPr>
            </w:r>
          </w:p>
        </w:tc>
      </w:tr>
      <w:tr>
        <w:trPr>
          <w:trHeight w:val="575" w:hRule="exact"/>
        </w:trPr>
        <w:tc>
          <w:tcPr>
            <w:tcW w:w="4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54" w:hRule="exact"/>
        </w:trPr>
        <w:tc>
          <w:tcPr>
            <w:tcW w:w="4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诉讼损失</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104"/>
              <w:jc w:val="right"/>
              <w:rPr>
                <w:rFonts w:ascii="Times New Roman" w:hAnsi="Times New Roman" w:cs="Times New Roman" w:eastAsia="Times New Roman" w:hint="default"/>
                <w:sz w:val="21"/>
                <w:szCs w:val="21"/>
              </w:rPr>
            </w:pPr>
            <w:r>
              <w:rPr>
                <w:rFonts w:ascii="Times New Roman"/>
                <w:spacing w:val="-1"/>
                <w:sz w:val="21"/>
              </w:rPr>
              <w:t>11,000,000.00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00" w:right="900"/>
        </w:sectPr>
      </w:pPr>
    </w:p>
    <w:p>
      <w:pPr>
        <w:spacing w:line="240" w:lineRule="auto" w:before="6"/>
        <w:rPr>
          <w:rFonts w:ascii="宋体" w:hAnsi="宋体" w:cs="宋体" w:eastAsia="宋体" w:hint="default"/>
          <w:sz w:val="24"/>
          <w:szCs w:val="24"/>
        </w:rPr>
      </w:pPr>
    </w:p>
    <w:tbl>
      <w:tblPr>
        <w:tblW w:w="0" w:type="auto"/>
        <w:jc w:val="left"/>
        <w:tblInd w:w="356" w:type="dxa"/>
        <w:tblLayout w:type="fixed"/>
        <w:tblCellMar>
          <w:top w:w="0" w:type="dxa"/>
          <w:left w:w="0" w:type="dxa"/>
          <w:bottom w:w="0" w:type="dxa"/>
          <w:right w:w="0" w:type="dxa"/>
        </w:tblCellMar>
        <w:tblLook w:val="01E0"/>
      </w:tblPr>
      <w:tblGrid>
        <w:gridCol w:w="4688"/>
        <w:gridCol w:w="2412"/>
        <w:gridCol w:w="2412"/>
      </w:tblGrid>
      <w:tr>
        <w:trPr>
          <w:trHeight w:val="488" w:hRule="exact"/>
        </w:trPr>
        <w:tc>
          <w:tcPr>
            <w:tcW w:w="46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2"/>
              <w:jc w:val="right"/>
              <w:rPr>
                <w:rFonts w:ascii="Times New Roman" w:hAnsi="Times New Roman" w:cs="Times New Roman" w:eastAsia="Times New Roman" w:hint="default"/>
                <w:sz w:val="21"/>
                <w:szCs w:val="21"/>
              </w:rPr>
            </w:pPr>
            <w:r>
              <w:rPr>
                <w:rFonts w:ascii="Times New Roman"/>
                <w:spacing w:val="-1"/>
                <w:sz w:val="21"/>
              </w:rPr>
              <w:t>4.53</w:t>
            </w:r>
            <w:r>
              <w:rPr>
                <w:rFonts w:ascii="Times New Roman"/>
                <w:sz w:val="21"/>
              </w:rPr>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107"/>
              <w:jc w:val="right"/>
              <w:rPr>
                <w:rFonts w:ascii="Times New Roman" w:hAnsi="Times New Roman" w:cs="Times New Roman" w:eastAsia="Times New Roman" w:hint="default"/>
                <w:sz w:val="21"/>
                <w:szCs w:val="21"/>
              </w:rPr>
            </w:pPr>
            <w:r>
              <w:rPr>
                <w:rFonts w:ascii="Times New Roman"/>
                <w:spacing w:val="-1"/>
                <w:sz w:val="21"/>
              </w:rPr>
              <w:t>149,424.56</w:t>
            </w:r>
            <w:r>
              <w:rPr>
                <w:rFonts w:ascii="Times New Roman"/>
                <w:sz w:val="21"/>
              </w:rPr>
            </w:r>
          </w:p>
        </w:tc>
      </w:tr>
      <w:tr>
        <w:trPr>
          <w:trHeight w:val="426" w:hRule="exact"/>
        </w:trPr>
        <w:tc>
          <w:tcPr>
            <w:tcW w:w="4688"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50"/>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4.53</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21"/>
                <w:szCs w:val="21"/>
              </w:rPr>
            </w:pPr>
            <w:r>
              <w:rPr>
                <w:rFonts w:ascii="Times New Roman"/>
                <w:spacing w:val="-1"/>
                <w:sz w:val="21"/>
              </w:rPr>
              <w:t>12,308,341.38</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27、所得税费用</w:t>
      </w:r>
    </w:p>
    <w:p>
      <w:pPr>
        <w:spacing w:line="240" w:lineRule="auto" w:before="8"/>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4004"/>
        <w:gridCol w:w="2855"/>
        <w:gridCol w:w="2856"/>
      </w:tblGrid>
      <w:tr>
        <w:trPr>
          <w:trHeight w:val="590" w:hRule="exact"/>
        </w:trPr>
        <w:tc>
          <w:tcPr>
            <w:tcW w:w="4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21" w:val="left" w:leader="none"/>
              </w:tabs>
              <w:spacing w:line="240" w:lineRule="auto"/>
              <w:ind w:right="167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90" w:hRule="exact"/>
        </w:trPr>
        <w:tc>
          <w:tcPr>
            <w:tcW w:w="4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12,032,647.90</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4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-507,127.85</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-1,173,372.16</w:t>
            </w:r>
          </w:p>
        </w:tc>
      </w:tr>
      <w:tr>
        <w:trPr>
          <w:trHeight w:val="590" w:hRule="exact"/>
        </w:trPr>
        <w:tc>
          <w:tcPr>
            <w:tcW w:w="4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525" w:val="left" w:leader="none"/>
              </w:tabs>
              <w:spacing w:line="240" w:lineRule="auto"/>
              <w:ind w:right="162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11,525,520.05</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-1,173,372.16</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28、基本每股收益和稀释每股收益的计算过程</w:t>
      </w:r>
    </w:p>
    <w:p>
      <w:pPr>
        <w:spacing w:line="240" w:lineRule="auto" w:before="7"/>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474"/>
        <w:gridCol w:w="1452"/>
        <w:gridCol w:w="1482"/>
        <w:gridCol w:w="1354"/>
      </w:tblGrid>
      <w:tr>
        <w:trPr>
          <w:trHeight w:val="595" w:hRule="exact"/>
        </w:trPr>
        <w:tc>
          <w:tcPr>
            <w:tcW w:w="547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4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P0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21,564,136.77</w:t>
            </w:r>
            <w:r>
              <w:rPr>
                <w:rFonts w:ascii="Times New Roman"/>
                <w:sz w:val="20"/>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188,595,506.14</w:t>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8,453,199.06</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197,443,873.72</w:t>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P0'=P0-F</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13,110,937.71</w:t>
            </w:r>
            <w:r>
              <w:rPr>
                <w:rFonts w:ascii="Times New Roman"/>
                <w:sz w:val="20"/>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-8,848,367.58</w:t>
            </w:r>
          </w:p>
        </w:tc>
      </w:tr>
      <w:tr>
        <w:trPr>
          <w:trHeight w:val="58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r>
      <w:tr>
        <w:trPr>
          <w:trHeight w:val="673"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9"/>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响，按《企业会计准则》及有关规定进行调整。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P1=P0+V</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21,564,136.77</w:t>
            </w:r>
            <w:r>
              <w:rPr>
                <w:rFonts w:ascii="Times New Roman"/>
                <w:sz w:val="20"/>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5" w:right="0"/>
              <w:jc w:val="left"/>
              <w:rPr>
                <w:rFonts w:ascii="Times New Roman" w:hAnsi="Times New Roman" w:cs="Times New Roman" w:eastAsia="Times New Roman" w:hint="default"/>
                <w:sz w:val="18"/>
                <w:szCs w:val="18"/>
              </w:rPr>
            </w:pPr>
            <w:r>
              <w:rPr>
                <w:rFonts w:ascii="Times New Roman"/>
                <w:sz w:val="18"/>
              </w:rPr>
              <w:t>188,595,506.14</w:t>
            </w:r>
          </w:p>
        </w:tc>
      </w:tr>
      <w:tr>
        <w:trPr>
          <w:trHeight w:val="673"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9"/>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影响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V'</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r>
      <w:tr>
        <w:trPr>
          <w:trHeight w:val="673"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50"/>
              <w:ind w:left="122" w:right="1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扣除非经常性损益后归属于公司普通股股东的净利润，并考虑稀释性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潜在普通股对其影响，按《企业会计准则》及有关规定进行调整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P1'=P0'+V'</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2"/>
                <w:sz w:val="20"/>
              </w:rPr>
              <w:t>13,110,937.71</w:t>
            </w:r>
            <w:r>
              <w:rPr>
                <w:rFonts w:ascii="Times New Roman"/>
                <w:sz w:val="20"/>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9" w:right="0"/>
              <w:jc w:val="left"/>
              <w:rPr>
                <w:rFonts w:ascii="Times New Roman" w:hAnsi="Times New Roman" w:cs="Times New Roman" w:eastAsia="Times New Roman" w:hint="default"/>
                <w:sz w:val="18"/>
                <w:szCs w:val="18"/>
              </w:rPr>
            </w:pPr>
            <w:r>
              <w:rPr>
                <w:rFonts w:ascii="Times New Roman"/>
                <w:sz w:val="18"/>
              </w:rPr>
              <w:t>-8,848,367.58</w:t>
            </w:r>
          </w:p>
        </w:tc>
      </w:tr>
      <w:tr>
        <w:trPr>
          <w:trHeight w:val="58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S0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01"/>
              <w:jc w:val="right"/>
              <w:rPr>
                <w:rFonts w:ascii="Times New Roman" w:hAnsi="Times New Roman" w:cs="Times New Roman" w:eastAsia="Times New Roman" w:hint="default"/>
                <w:sz w:val="20"/>
                <w:szCs w:val="20"/>
              </w:rPr>
            </w:pPr>
            <w:r>
              <w:rPr>
                <w:rFonts w:ascii="Times New Roman"/>
                <w:spacing w:val="-1"/>
                <w:sz w:val="20"/>
              </w:rPr>
              <w:t>90,486,000.00</w:t>
            </w:r>
            <w:r>
              <w:rPr>
                <w:rFonts w:ascii="Times New Roman"/>
                <w:sz w:val="20"/>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90,486,000.00</w:t>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S1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5,741,998.00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Si</w:t>
            </w:r>
          </w:p>
        </w:tc>
        <w:tc>
          <w:tcPr>
            <w:tcW w:w="14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Sj</w:t>
            </w:r>
          </w:p>
        </w:tc>
        <w:tc>
          <w:tcPr>
            <w:tcW w:w="14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Sk</w:t>
            </w:r>
          </w:p>
        </w:tc>
        <w:tc>
          <w:tcPr>
            <w:tcW w:w="14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M0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12.00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41" w:top="1100" w:bottom="1140" w:left="900" w:right="98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5474"/>
        <w:gridCol w:w="1452"/>
        <w:gridCol w:w="1482"/>
        <w:gridCol w:w="1354"/>
      </w:tblGrid>
      <w:tr>
        <w:trPr>
          <w:trHeight w:val="595" w:hRule="exact"/>
        </w:trPr>
        <w:tc>
          <w:tcPr>
            <w:tcW w:w="547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4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Mi</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8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Mj</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17"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S=S0   </w:t>
            </w:r>
            <w:r>
              <w:rPr>
                <w:rFonts w:ascii="宋体" w:hAnsi="宋体" w:cs="宋体" w:eastAsia="宋体" w:hint="default"/>
                <w:sz w:val="18"/>
                <w:szCs w:val="18"/>
              </w:rPr>
              <w:t>＋  </w:t>
            </w:r>
            <w:r>
              <w:rPr>
                <w:rFonts w:ascii="Times New Roman" w:hAnsi="Times New Roman" w:cs="Times New Roman" w:eastAsia="Times New Roman" w:hint="default"/>
                <w:sz w:val="18"/>
                <w:szCs w:val="18"/>
              </w:rPr>
              <w:t>S1 </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p>
            <w:pPr>
              <w:pStyle w:val="TableParagraph"/>
              <w:spacing w:line="240" w:lineRule="auto" w:before="10"/>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Si×Mi</w:t>
            </w:r>
          </w:p>
          <w:p>
            <w:pPr>
              <w:pStyle w:val="TableParagraph"/>
              <w:spacing w:line="207" w:lineRule="exact" w:before="156"/>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w:t>
            </w:r>
          </w:p>
          <w:p>
            <w:pPr>
              <w:pStyle w:val="TableParagraph"/>
              <w:spacing w:line="207" w:lineRule="exact"/>
              <w:ind w:left="31" w:right="0"/>
              <w:jc w:val="left"/>
              <w:rPr>
                <w:rFonts w:ascii="Times New Roman" w:hAnsi="Times New Roman" w:cs="Times New Roman" w:eastAsia="Times New Roman" w:hint="default"/>
                <w:sz w:val="18"/>
                <w:szCs w:val="18"/>
              </w:rPr>
            </w:pPr>
            <w:r>
              <w:rPr>
                <w:rFonts w:ascii="Times New Roman"/>
                <w:sz w:val="18"/>
              </w:rPr>
              <w:t>Sk</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96,227,998.00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90,486,000.00</w:t>
            </w:r>
          </w:p>
        </w:tc>
      </w:tr>
      <w:tr>
        <w:trPr>
          <w:trHeight w:val="673"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11"/>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加：假定稀释性潜在普通股转换为已发行普通股而增加的普通股加权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平均数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X1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X2=S+X1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96,227,998.00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90,486,000.00</w:t>
            </w:r>
          </w:p>
        </w:tc>
      </w:tr>
      <w:tr>
        <w:trPr>
          <w:trHeight w:val="5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0.22</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2.08</w:t>
            </w:r>
          </w:p>
        </w:tc>
      </w:tr>
      <w:tr>
        <w:trPr>
          <w:trHeight w:val="5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-0.10</w:t>
            </w:r>
          </w:p>
        </w:tc>
      </w:tr>
      <w:tr>
        <w:trPr>
          <w:trHeight w:val="57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0.22</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2.08</w:t>
            </w:r>
          </w:p>
        </w:tc>
      </w:tr>
      <w:tr>
        <w:trPr>
          <w:trHeight w:val="575" w:hRule="exact"/>
        </w:trPr>
        <w:tc>
          <w:tcPr>
            <w:tcW w:w="547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4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0.14</w:t>
            </w:r>
          </w:p>
        </w:tc>
        <w:tc>
          <w:tcPr>
            <w:tcW w:w="135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-0.10</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29、现金流量表项目注释</w:t>
      </w:r>
    </w:p>
    <w:p>
      <w:pPr>
        <w:spacing w:line="240" w:lineRule="auto" w:before="5"/>
        <w:rPr>
          <w:rFonts w:ascii="宋体" w:hAnsi="宋体" w:cs="宋体" w:eastAsia="宋体" w:hint="default"/>
          <w:sz w:val="20"/>
          <w:szCs w:val="20"/>
        </w:rPr>
      </w:pPr>
    </w:p>
    <w:p>
      <w:pPr>
        <w:spacing w:before="0"/>
        <w:ind w:left="654" w:right="93" w:firstLine="0"/>
        <w:jc w:val="left"/>
        <w:rPr>
          <w:rFonts w:ascii="宋体" w:hAnsi="宋体" w:cs="宋体" w:eastAsia="宋体" w:hint="default"/>
          <w:sz w:val="21"/>
          <w:szCs w:val="21"/>
        </w:rPr>
      </w:pPr>
      <w:r>
        <w:rPr>
          <w:rFonts w:ascii="宋体" w:hAnsi="宋体" w:cs="宋体" w:eastAsia="宋体" w:hint="default"/>
          <w:sz w:val="21"/>
          <w:szCs w:val="21"/>
        </w:rPr>
        <w:t>（1）收到的其他与经营活动有关的现金</w:t>
      </w:r>
    </w:p>
    <w:p>
      <w:pPr>
        <w:spacing w:line="240" w:lineRule="auto" w:before="6"/>
        <w:rPr>
          <w:rFonts w:ascii="宋体" w:hAnsi="宋体" w:cs="宋体" w:eastAsia="宋体" w:hint="default"/>
          <w:sz w:val="5"/>
          <w:szCs w:val="5"/>
        </w:rPr>
      </w:pPr>
    </w:p>
    <w:tbl>
      <w:tblPr>
        <w:tblW w:w="0" w:type="auto"/>
        <w:jc w:val="left"/>
        <w:tblInd w:w="184" w:type="dxa"/>
        <w:tblLayout w:type="fixed"/>
        <w:tblCellMar>
          <w:top w:w="0" w:type="dxa"/>
          <w:left w:w="0" w:type="dxa"/>
          <w:bottom w:w="0" w:type="dxa"/>
          <w:right w:w="0" w:type="dxa"/>
        </w:tblCellMar>
        <w:tblLook w:val="01E0"/>
      </w:tblPr>
      <w:tblGrid>
        <w:gridCol w:w="4864"/>
        <w:gridCol w:w="4849"/>
      </w:tblGrid>
      <w:tr>
        <w:trPr>
          <w:trHeight w:val="589"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218,062.36</w:t>
            </w:r>
          </w:p>
        </w:tc>
      </w:tr>
      <w:tr>
        <w:trPr>
          <w:trHeight w:val="431"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4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6"/>
              <w:jc w:val="right"/>
              <w:rPr>
                <w:rFonts w:ascii="Times New Roman" w:hAnsi="Times New Roman" w:cs="Times New Roman" w:eastAsia="Times New Roman" w:hint="default"/>
                <w:sz w:val="21"/>
                <w:szCs w:val="21"/>
              </w:rPr>
            </w:pPr>
            <w:r>
              <w:rPr>
                <w:rFonts w:ascii="Times New Roman"/>
                <w:spacing w:val="-1"/>
                <w:sz w:val="21"/>
              </w:rPr>
              <w:t>447,264.51</w:t>
            </w:r>
          </w:p>
        </w:tc>
      </w:tr>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665,326.87</w:t>
            </w:r>
          </w:p>
        </w:tc>
      </w:tr>
    </w:tbl>
    <w:p>
      <w:pPr>
        <w:spacing w:line="240" w:lineRule="auto" w:before="2"/>
        <w:rPr>
          <w:rFonts w:ascii="宋体" w:hAnsi="宋体" w:cs="宋体" w:eastAsia="宋体" w:hint="default"/>
          <w:sz w:val="15"/>
          <w:szCs w:val="15"/>
        </w:rPr>
      </w:pPr>
    </w:p>
    <w:p>
      <w:pPr>
        <w:spacing w:before="35"/>
        <w:ind w:left="654" w:right="93" w:firstLine="0"/>
        <w:jc w:val="left"/>
        <w:rPr>
          <w:rFonts w:ascii="宋体" w:hAnsi="宋体" w:cs="宋体" w:eastAsia="宋体" w:hint="default"/>
          <w:sz w:val="21"/>
          <w:szCs w:val="21"/>
        </w:rPr>
      </w:pPr>
      <w:r>
        <w:rPr>
          <w:rFonts w:ascii="宋体" w:hAnsi="宋体" w:cs="宋体" w:eastAsia="宋体" w:hint="default"/>
          <w:sz w:val="21"/>
          <w:szCs w:val="21"/>
        </w:rPr>
        <w:t>（2）支付的其他与经营活动有关的现金</w:t>
      </w:r>
    </w:p>
    <w:p>
      <w:pPr>
        <w:spacing w:line="240" w:lineRule="auto" w:before="6"/>
        <w:rPr>
          <w:rFonts w:ascii="宋体" w:hAnsi="宋体" w:cs="宋体" w:eastAsia="宋体" w:hint="default"/>
          <w:sz w:val="5"/>
          <w:szCs w:val="5"/>
        </w:rPr>
      </w:pPr>
    </w:p>
    <w:tbl>
      <w:tblPr>
        <w:tblW w:w="0" w:type="auto"/>
        <w:jc w:val="left"/>
        <w:tblInd w:w="184" w:type="dxa"/>
        <w:tblLayout w:type="fixed"/>
        <w:tblCellMar>
          <w:top w:w="0" w:type="dxa"/>
          <w:left w:w="0" w:type="dxa"/>
          <w:bottom w:w="0" w:type="dxa"/>
          <w:right w:w="0" w:type="dxa"/>
        </w:tblCellMar>
        <w:tblLook w:val="01E0"/>
      </w:tblPr>
      <w:tblGrid>
        <w:gridCol w:w="4864"/>
        <w:gridCol w:w="4849"/>
      </w:tblGrid>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44" w:right="0"/>
              <w:jc w:val="left"/>
              <w:rPr>
                <w:rFonts w:ascii="宋体" w:hAnsi="宋体" w:cs="宋体" w:eastAsia="宋体" w:hint="default"/>
                <w:sz w:val="21"/>
                <w:szCs w:val="21"/>
              </w:rPr>
            </w:pPr>
            <w:r>
              <w:rPr>
                <w:rFonts w:ascii="宋体" w:hAnsi="宋体" w:cs="宋体" w:eastAsia="宋体" w:hint="default"/>
                <w:sz w:val="21"/>
                <w:szCs w:val="21"/>
              </w:rPr>
              <w:t>销售费用付现</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21"/>
                <w:szCs w:val="21"/>
              </w:rPr>
            </w:pPr>
            <w:r>
              <w:rPr>
                <w:rFonts w:ascii="Times New Roman"/>
                <w:spacing w:val="-1"/>
                <w:sz w:val="21"/>
              </w:rPr>
              <w:t>1,160,171.73</w:t>
            </w:r>
          </w:p>
        </w:tc>
      </w:tr>
      <w:tr>
        <w:trPr>
          <w:trHeight w:val="427"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21"/>
                <w:szCs w:val="21"/>
              </w:rPr>
            </w:pPr>
            <w:r>
              <w:rPr>
                <w:rFonts w:ascii="宋体" w:hAnsi="宋体" w:cs="宋体" w:eastAsia="宋体" w:hint="default"/>
                <w:sz w:val="21"/>
                <w:szCs w:val="21"/>
              </w:rPr>
              <w:t>管理费用付现</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21"/>
                <w:szCs w:val="21"/>
              </w:rPr>
            </w:pPr>
            <w:r>
              <w:rPr>
                <w:rFonts w:ascii="Times New Roman"/>
                <w:spacing w:val="-1"/>
                <w:sz w:val="21"/>
              </w:rPr>
              <w:t>1,939,746.02</w:t>
            </w:r>
          </w:p>
        </w:tc>
      </w:tr>
      <w:tr>
        <w:trPr>
          <w:trHeight w:val="42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 w:right="0"/>
              <w:jc w:val="left"/>
              <w:rPr>
                <w:rFonts w:ascii="宋体" w:hAnsi="宋体" w:cs="宋体" w:eastAsia="宋体" w:hint="default"/>
                <w:sz w:val="21"/>
                <w:szCs w:val="21"/>
              </w:rPr>
            </w:pPr>
            <w:r>
              <w:rPr>
                <w:rFonts w:ascii="宋体" w:hAnsi="宋体" w:cs="宋体" w:eastAsia="宋体" w:hint="default"/>
                <w:sz w:val="21"/>
                <w:szCs w:val="21"/>
              </w:rPr>
              <w:t>往来付现</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21"/>
                <w:szCs w:val="21"/>
              </w:rPr>
            </w:pPr>
            <w:r>
              <w:rPr>
                <w:rFonts w:ascii="Times New Roman"/>
                <w:spacing w:val="-1"/>
                <w:sz w:val="21"/>
              </w:rPr>
              <w:t>44,173,867.79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00" w:right="980"/>
        </w:sectPr>
      </w:pPr>
    </w:p>
    <w:p>
      <w:pPr>
        <w:spacing w:line="240" w:lineRule="auto" w:before="6"/>
        <w:rPr>
          <w:rFonts w:ascii="宋体" w:hAnsi="宋体" w:cs="宋体" w:eastAsia="宋体" w:hint="default"/>
          <w:sz w:val="24"/>
          <w:szCs w:val="24"/>
        </w:rPr>
      </w:pPr>
    </w:p>
    <w:p>
      <w:pPr>
        <w:spacing w:line="604" w:lineRule="exact"/>
        <w:ind w:left="104"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86.15pt;height:30.25pt;mso-position-horizontal-relative:char;mso-position-vertical-relative:line" coordorigin="0,0" coordsize="9723,605">
            <v:group style="position:absolute;left:19;top:5;width:9692;height:2" coordorigin="19,5" coordsize="9692,2">
              <v:shape style="position:absolute;left:19;top:5;width:9692;height:2" coordorigin="19,5" coordsize="9692,0" path="m19,5l9710,5e" filled="false" stroked="true" strokeweight=".48004pt" strokecolor="#000000">
                <v:path arrowok="t"/>
              </v:shape>
            </v:group>
            <v:group style="position:absolute;left:5;top:595;width:4859;height:2" coordorigin="5,595" coordsize="4859,2">
              <v:shape style="position:absolute;left:5;top:595;width:4859;height:2" coordorigin="5,595" coordsize="4859,0" path="m5,595l4864,595e" filled="false" stroked="true" strokeweight=".48004pt" strokecolor="#000000">
                <v:path arrowok="t"/>
              </v:shape>
            </v:group>
            <v:group style="position:absolute;left:4868;top:10;width:2;height:591" coordorigin="4868,10" coordsize="2,591">
              <v:shape style="position:absolute;left:4868;top:10;width:2;height:591" coordorigin="4868,10" coordsize="0,591" path="m4868,10l4868,600e" filled="false" stroked="true" strokeweight=".47998pt" strokecolor="#000000">
                <v:path arrowok="t"/>
              </v:shape>
            </v:group>
            <v:group style="position:absolute;left:4873;top:595;width:4845;height:2" coordorigin="4873,595" coordsize="4845,2">
              <v:shape style="position:absolute;left:4873;top:595;width:4845;height:2" coordorigin="4873,595" coordsize="4845,0" path="m4873,595l9718,595e" filled="false" stroked="true" strokeweight=".48004pt" strokecolor="#000000">
                <v:path arrowok="t"/>
              </v:shape>
              <v:shape style="position:absolute;left:49;top:308;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8480;top:300;width:1209;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47,273,785.54</w:t>
                      </w:r>
                    </w:p>
                  </w:txbxContent>
                </v:textbox>
                <w10:wrap type="none"/>
              </v:shape>
            </v:group>
          </v:group>
        </w:pict>
      </w:r>
      <w:r>
        <w:rPr>
          <w:rFonts w:ascii="宋体" w:hAnsi="宋体" w:cs="宋体" w:eastAsia="宋体" w:hint="default"/>
          <w:position w:val="-11"/>
          <w:sz w:val="20"/>
          <w:szCs w:val="20"/>
        </w:rPr>
      </w:r>
    </w:p>
    <w:p>
      <w:pPr>
        <w:spacing w:line="240" w:lineRule="auto" w:before="11"/>
        <w:rPr>
          <w:rFonts w:ascii="宋体" w:hAnsi="宋体" w:cs="宋体" w:eastAsia="宋体" w:hint="default"/>
          <w:sz w:val="14"/>
          <w:szCs w:val="14"/>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30、现金流量表补充资料</w:t>
      </w:r>
    </w:p>
    <w:p>
      <w:pPr>
        <w:spacing w:line="240" w:lineRule="auto" w:before="3"/>
        <w:rPr>
          <w:rFonts w:ascii="宋体" w:hAnsi="宋体" w:cs="宋体" w:eastAsia="宋体" w:hint="default"/>
          <w:sz w:val="20"/>
          <w:szCs w:val="20"/>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（1）现金流量表补充资料</w:t>
      </w:r>
    </w:p>
    <w:p>
      <w:pPr>
        <w:spacing w:line="240" w:lineRule="auto" w:before="8"/>
        <w:rPr>
          <w:rFonts w:ascii="宋体" w:hAnsi="宋体" w:cs="宋体" w:eastAsia="宋体" w:hint="default"/>
          <w:sz w:val="17"/>
          <w:szCs w:val="17"/>
        </w:rPr>
      </w:pPr>
    </w:p>
    <w:p>
      <w:pPr>
        <w:spacing w:before="35"/>
        <w:ind w:left="0" w:right="15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6256"/>
        <w:gridCol w:w="1700"/>
        <w:gridCol w:w="1698"/>
      </w:tblGrid>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23,838,586.88</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188,440,208.51</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98,352.04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117,230.87</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689,574.09</w:t>
            </w:r>
            <w:r>
              <w:rPr>
                <w:rFonts w:ascii="Times New Roman"/>
                <w:sz w:val="21"/>
              </w:rPr>
            </w: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10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480" w:lineRule="atLeast" w:before="44"/>
              <w:ind w:left="122" w:right="101" w:firstLine="42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 </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1,156,966.82</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2,708,077.74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3,400,000.00</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-69,102,899.22</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-258,037,804.47</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-7,540,461.09</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-14,322,210.14</w:t>
            </w:r>
            <w:r>
              <w:rPr>
                <w:rFonts w:ascii="Times New Roman"/>
                <w:sz w:val="21"/>
              </w:rPr>
            </w: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70,720,435.84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101,034,452.47</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19"/>
          <w:pgSz w:w="11910" w:h="16840"/>
          <w:pgMar w:footer="941" w:header="0" w:top="1100" w:bottom="1140" w:left="980" w:right="98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6256"/>
        <w:gridCol w:w="1700"/>
        <w:gridCol w:w="1698"/>
      </w:tblGrid>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20,332,195.21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22,371,187.28</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144,800,392.95</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32,530,614.74</w:t>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32,530,614.74</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202,246.44</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112,269,778.21</w:t>
            </w:r>
          </w:p>
        </w:tc>
        <w:tc>
          <w:tcPr>
            <w:tcW w:w="1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32,328,368.30</w:t>
            </w:r>
          </w:p>
        </w:tc>
      </w:tr>
    </w:tbl>
    <w:p>
      <w:pPr>
        <w:spacing w:line="240" w:lineRule="auto" w:before="2"/>
        <w:rPr>
          <w:rFonts w:ascii="宋体" w:hAnsi="宋体" w:cs="宋体" w:eastAsia="宋体" w:hint="default"/>
          <w:sz w:val="15"/>
          <w:szCs w:val="15"/>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（2）现金和现金等价物的构成</w:t>
      </w:r>
    </w:p>
    <w:p>
      <w:pPr>
        <w:spacing w:before="135"/>
        <w:ind w:left="0" w:right="14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4938"/>
        <w:gridCol w:w="2358"/>
        <w:gridCol w:w="2358"/>
      </w:tblGrid>
      <w:tr>
        <w:trPr>
          <w:trHeight w:val="58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71"/>
              <w:jc w:val="center"/>
              <w:rPr>
                <w:rFonts w:ascii="宋体" w:hAnsi="宋体" w:cs="宋体" w:eastAsia="宋体" w:hint="default"/>
                <w:sz w:val="21"/>
                <w:szCs w:val="21"/>
              </w:rPr>
            </w:pPr>
            <w:r>
              <w:rPr>
                <w:rFonts w:ascii="宋体" w:hAnsi="宋体" w:cs="宋体" w:eastAsia="宋体" w:hint="default"/>
                <w:sz w:val="21"/>
                <w:szCs w:val="21"/>
              </w:rPr>
              <w:t>项目</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714"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144,800,392.95</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32,530,614.74</w:t>
            </w:r>
          </w:p>
        </w:tc>
      </w:tr>
      <w:tr>
        <w:trPr>
          <w:trHeight w:val="714"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368,919.62</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121,482.07</w:t>
            </w:r>
            <w:r>
              <w:rPr>
                <w:rFonts w:ascii="Times New Roman"/>
                <w:sz w:val="21"/>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144,431,473.33</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32,409,132.67</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48"/>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448"/>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20"/>
          <w:pgSz w:w="11910" w:h="16840"/>
          <w:pgMar w:footer="941" w:header="0" w:top="1100" w:bottom="1140" w:left="980" w:right="980"/>
          <w:pgNumType w:start="101"/>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4938"/>
        <w:gridCol w:w="2358"/>
        <w:gridCol w:w="2358"/>
      </w:tblGrid>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144,800,392.95</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32,530,614.74</w:t>
            </w:r>
          </w:p>
        </w:tc>
      </w:tr>
    </w:tbl>
    <w:p>
      <w:pPr>
        <w:spacing w:line="240" w:lineRule="auto" w:before="6"/>
        <w:rPr>
          <w:rFonts w:ascii="宋体" w:hAnsi="宋体" w:cs="宋体" w:eastAsia="宋体" w:hint="default"/>
          <w:sz w:val="9"/>
          <w:szCs w:val="9"/>
        </w:rPr>
      </w:pPr>
    </w:p>
    <w:p>
      <w:pPr>
        <w:pStyle w:val="BodyText"/>
        <w:spacing w:line="240" w:lineRule="auto" w:before="26"/>
        <w:ind w:left="634" w:right="0"/>
        <w:jc w:val="left"/>
      </w:pPr>
      <w:r>
        <w:rPr/>
        <w:t>六、关联方及关联交易</w:t>
      </w:r>
    </w:p>
    <w:p>
      <w:pPr>
        <w:spacing w:before="99"/>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、本企业的母公司情况</w:t>
      </w:r>
    </w:p>
    <w:p>
      <w:pPr>
        <w:spacing w:line="240" w:lineRule="auto" w:before="11"/>
        <w:rPr>
          <w:rFonts w:ascii="宋体" w:hAnsi="宋体" w:cs="宋体" w:eastAsia="宋体" w:hint="default"/>
          <w:sz w:val="10"/>
          <w:szCs w:val="10"/>
        </w:rPr>
      </w:pPr>
    </w:p>
    <w:p>
      <w:pPr>
        <w:spacing w:before="35"/>
        <w:ind w:left="0" w:right="3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917"/>
        <w:gridCol w:w="719"/>
        <w:gridCol w:w="719"/>
        <w:gridCol w:w="901"/>
        <w:gridCol w:w="719"/>
        <w:gridCol w:w="710"/>
        <w:gridCol w:w="740"/>
        <w:gridCol w:w="1210"/>
        <w:gridCol w:w="1097"/>
        <w:gridCol w:w="797"/>
        <w:gridCol w:w="1232"/>
      </w:tblGrid>
      <w:tr>
        <w:trPr>
          <w:trHeight w:val="439" w:hRule="exact"/>
        </w:trPr>
        <w:tc>
          <w:tcPr>
            <w:tcW w:w="917" w:type="dxa"/>
            <w:tcBorders>
              <w:top w:val="single" w:sz="4" w:space="0" w:color="000000"/>
              <w:left w:val="nil" w:sz="6" w:space="0" w:color="auto"/>
              <w:bottom w:val="nil" w:sz="6" w:space="0" w:color="auto"/>
              <w:right w:val="single" w:sz="4" w:space="0" w:color="000000"/>
            </w:tcBorders>
          </w:tcPr>
          <w:p>
            <w:pPr/>
          </w:p>
        </w:tc>
        <w:tc>
          <w:tcPr>
            <w:tcW w:w="719" w:type="dxa"/>
            <w:tcBorders>
              <w:top w:val="single" w:sz="4" w:space="0" w:color="000000"/>
              <w:left w:val="single" w:sz="4" w:space="0" w:color="000000"/>
              <w:bottom w:val="nil" w:sz="6" w:space="0" w:color="auto"/>
              <w:right w:val="single" w:sz="4" w:space="0" w:color="000000"/>
            </w:tcBorders>
          </w:tcPr>
          <w:p>
            <w:pPr/>
          </w:p>
        </w:tc>
        <w:tc>
          <w:tcPr>
            <w:tcW w:w="719" w:type="dxa"/>
            <w:tcBorders>
              <w:top w:val="single" w:sz="4" w:space="0" w:color="000000"/>
              <w:left w:val="single" w:sz="4" w:space="0" w:color="000000"/>
              <w:bottom w:val="nil" w:sz="6" w:space="0" w:color="auto"/>
              <w:right w:val="single" w:sz="4" w:space="0" w:color="000000"/>
            </w:tcBorders>
          </w:tcPr>
          <w:p>
            <w:pPr/>
          </w:p>
        </w:tc>
        <w:tc>
          <w:tcPr>
            <w:tcW w:w="901" w:type="dxa"/>
            <w:tcBorders>
              <w:top w:val="single" w:sz="4" w:space="0" w:color="000000"/>
              <w:left w:val="single" w:sz="4" w:space="0" w:color="000000"/>
              <w:bottom w:val="nil" w:sz="6" w:space="0" w:color="auto"/>
              <w:right w:val="single" w:sz="4" w:space="0" w:color="000000"/>
            </w:tcBorders>
          </w:tcPr>
          <w:p>
            <w:pPr/>
          </w:p>
        </w:tc>
        <w:tc>
          <w:tcPr>
            <w:tcW w:w="719"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40" w:type="dxa"/>
            <w:tcBorders>
              <w:top w:val="single" w:sz="4" w:space="0" w:color="000000"/>
              <w:left w:val="single" w:sz="4" w:space="0" w:color="000000"/>
              <w:bottom w:val="nil" w:sz="6" w:space="0" w:color="auto"/>
              <w:right w:val="single" w:sz="4" w:space="0" w:color="000000"/>
            </w:tcBorders>
          </w:tcPr>
          <w:p>
            <w:pPr/>
          </w:p>
        </w:tc>
        <w:tc>
          <w:tcPr>
            <w:tcW w:w="12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母公司对</w:t>
            </w:r>
          </w:p>
        </w:tc>
        <w:tc>
          <w:tcPr>
            <w:tcW w:w="10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母公司对</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left="183" w:right="0"/>
              <w:jc w:val="left"/>
              <w:rPr>
                <w:rFonts w:ascii="宋体" w:hAnsi="宋体" w:cs="宋体" w:eastAsia="宋体" w:hint="default"/>
                <w:sz w:val="21"/>
                <w:szCs w:val="21"/>
              </w:rPr>
            </w:pPr>
            <w:r>
              <w:rPr>
                <w:rFonts w:ascii="宋体" w:hAnsi="宋体" w:cs="宋体" w:eastAsia="宋体" w:hint="default"/>
                <w:sz w:val="21"/>
                <w:szCs w:val="21"/>
              </w:rPr>
              <w:t>本企</w:t>
            </w:r>
          </w:p>
        </w:tc>
        <w:tc>
          <w:tcPr>
            <w:tcW w:w="1232" w:type="dxa"/>
            <w:tcBorders>
              <w:top w:val="single" w:sz="4" w:space="0" w:color="000000"/>
              <w:left w:val="single" w:sz="4" w:space="0" w:color="000000"/>
              <w:bottom w:val="nil" w:sz="6" w:space="0" w:color="auto"/>
              <w:right w:val="nil" w:sz="6" w:space="0" w:color="auto"/>
            </w:tcBorders>
          </w:tcPr>
          <w:p>
            <w:pPr/>
          </w:p>
        </w:tc>
      </w:tr>
      <w:tr>
        <w:trPr>
          <w:trHeight w:val="545"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33" w:lineRule="exact"/>
              <w:ind w:left="18" w:right="0"/>
              <w:jc w:val="center"/>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44" w:right="0"/>
              <w:jc w:val="left"/>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44" w:right="0"/>
              <w:jc w:val="left"/>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44" w:right="0"/>
              <w:jc w:val="left"/>
              <w:rPr>
                <w:rFonts w:ascii="宋体" w:hAnsi="宋体" w:cs="宋体" w:eastAsia="宋体" w:hint="default"/>
                <w:sz w:val="21"/>
                <w:szCs w:val="21"/>
              </w:rPr>
            </w:pPr>
            <w:r>
              <w:rPr>
                <w:rFonts w:ascii="宋体" w:hAnsi="宋体" w:cs="宋体" w:eastAsia="宋体" w:hint="default"/>
                <w:sz w:val="21"/>
                <w:szCs w:val="21"/>
              </w:rPr>
              <w:t>法人</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代表</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40" w:right="0"/>
              <w:jc w:val="left"/>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74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56" w:right="0"/>
              <w:jc w:val="left"/>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72" w:lineRule="exact" w:before="2"/>
              <w:ind w:left="178" w:right="179"/>
              <w:jc w:val="left"/>
              <w:rPr>
                <w:rFonts w:ascii="宋体" w:hAnsi="宋体" w:cs="宋体" w:eastAsia="宋体" w:hint="default"/>
                <w:sz w:val="21"/>
                <w:szCs w:val="21"/>
              </w:rPr>
            </w:pPr>
            <w:r>
              <w:rPr>
                <w:rFonts w:ascii="宋体" w:hAnsi="宋体" w:cs="宋体" w:eastAsia="宋体" w:hint="default"/>
                <w:sz w:val="21"/>
                <w:szCs w:val="21"/>
              </w:rPr>
              <w:t>本企业的 持股比例</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23" w:right="0"/>
              <w:jc w:val="left"/>
              <w:rPr>
                <w:rFonts w:ascii="宋体" w:hAnsi="宋体" w:cs="宋体" w:eastAsia="宋体" w:hint="default"/>
                <w:sz w:val="21"/>
                <w:szCs w:val="21"/>
              </w:rPr>
            </w:pPr>
            <w:r>
              <w:rPr>
                <w:rFonts w:ascii="宋体" w:hAnsi="宋体" w:cs="宋体" w:eastAsia="宋体" w:hint="default"/>
                <w:sz w:val="21"/>
                <w:szCs w:val="21"/>
              </w:rPr>
              <w:t>本企业的</w:t>
            </w:r>
          </w:p>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表决权比</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183" w:right="0"/>
              <w:jc w:val="left"/>
              <w:rPr>
                <w:rFonts w:ascii="宋体" w:hAnsi="宋体" w:cs="宋体" w:eastAsia="宋体" w:hint="default"/>
                <w:sz w:val="21"/>
                <w:szCs w:val="21"/>
              </w:rPr>
            </w:pPr>
            <w:r>
              <w:rPr>
                <w:rFonts w:ascii="宋体" w:hAnsi="宋体" w:cs="宋体" w:eastAsia="宋体" w:hint="default"/>
                <w:sz w:val="21"/>
                <w:szCs w:val="21"/>
              </w:rPr>
              <w:t>业最</w:t>
            </w: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终控</w:t>
            </w:r>
          </w:p>
        </w:tc>
        <w:tc>
          <w:tcPr>
            <w:tcW w:w="1232" w:type="dxa"/>
            <w:tcBorders>
              <w:top w:val="nil" w:sz="6" w:space="0" w:color="auto"/>
              <w:left w:val="single" w:sz="4" w:space="0" w:color="000000"/>
              <w:bottom w:val="nil" w:sz="6" w:space="0" w:color="auto"/>
              <w:right w:val="nil" w:sz="6" w:space="0" w:color="auto"/>
            </w:tcBorders>
          </w:tcPr>
          <w:p>
            <w:pPr>
              <w:pStyle w:val="TableParagraph"/>
              <w:spacing w:line="233" w:lineRule="exact"/>
              <w:ind w:right="3"/>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311" w:hRule="exact"/>
        </w:trPr>
        <w:tc>
          <w:tcPr>
            <w:tcW w:w="917" w:type="dxa"/>
            <w:tcBorders>
              <w:top w:val="nil" w:sz="6" w:space="0" w:color="auto"/>
              <w:left w:val="nil" w:sz="6" w:space="0" w:color="auto"/>
              <w:bottom w:val="single" w:sz="4" w:space="0" w:color="000000"/>
              <w:right w:val="single" w:sz="4" w:space="0" w:color="000000"/>
            </w:tcBorders>
          </w:tcPr>
          <w:p>
            <w:pPr/>
          </w:p>
        </w:tc>
        <w:tc>
          <w:tcPr>
            <w:tcW w:w="719" w:type="dxa"/>
            <w:tcBorders>
              <w:top w:val="nil" w:sz="6" w:space="0" w:color="auto"/>
              <w:left w:val="single" w:sz="4" w:space="0" w:color="000000"/>
              <w:bottom w:val="single" w:sz="4" w:space="0" w:color="000000"/>
              <w:right w:val="single" w:sz="4" w:space="0" w:color="000000"/>
            </w:tcBorders>
          </w:tcPr>
          <w:p>
            <w:pPr/>
          </w:p>
        </w:tc>
        <w:tc>
          <w:tcPr>
            <w:tcW w:w="719" w:type="dxa"/>
            <w:tcBorders>
              <w:top w:val="nil" w:sz="6" w:space="0" w:color="auto"/>
              <w:left w:val="single" w:sz="4" w:space="0" w:color="000000"/>
              <w:bottom w:val="single" w:sz="4" w:space="0" w:color="000000"/>
              <w:right w:val="single" w:sz="4" w:space="0" w:color="000000"/>
            </w:tcBorders>
          </w:tcPr>
          <w:p>
            <w:pPr/>
          </w:p>
        </w:tc>
        <w:tc>
          <w:tcPr>
            <w:tcW w:w="901" w:type="dxa"/>
            <w:tcBorders>
              <w:top w:val="nil" w:sz="6" w:space="0" w:color="auto"/>
              <w:left w:val="single" w:sz="4" w:space="0" w:color="000000"/>
              <w:bottom w:val="single" w:sz="4" w:space="0" w:color="000000"/>
              <w:right w:val="single" w:sz="4" w:space="0" w:color="000000"/>
            </w:tcBorders>
          </w:tcPr>
          <w:p>
            <w:pPr/>
          </w:p>
        </w:tc>
        <w:tc>
          <w:tcPr>
            <w:tcW w:w="719"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40" w:type="dxa"/>
            <w:tcBorders>
              <w:top w:val="nil" w:sz="6" w:space="0" w:color="auto"/>
              <w:left w:val="single" w:sz="4" w:space="0" w:color="000000"/>
              <w:bottom w:val="single" w:sz="4" w:space="0" w:color="000000"/>
              <w:right w:val="single" w:sz="4" w:space="0" w:color="000000"/>
            </w:tcBorders>
          </w:tcPr>
          <w:p>
            <w:pPr/>
          </w:p>
        </w:tc>
        <w:tc>
          <w:tcPr>
            <w:tcW w:w="12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w:t>
            </w:r>
          </w:p>
        </w:tc>
        <w:tc>
          <w:tcPr>
            <w:tcW w:w="109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83" w:right="0"/>
              <w:jc w:val="left"/>
              <w:rPr>
                <w:rFonts w:ascii="宋体" w:hAnsi="宋体" w:cs="宋体" w:eastAsia="宋体" w:hint="default"/>
                <w:sz w:val="21"/>
                <w:szCs w:val="21"/>
              </w:rPr>
            </w:pPr>
            <w:r>
              <w:rPr>
                <w:rFonts w:ascii="宋体" w:hAnsi="宋体" w:cs="宋体" w:eastAsia="宋体" w:hint="default"/>
                <w:sz w:val="21"/>
                <w:szCs w:val="21"/>
              </w:rPr>
              <w:t>制方</w:t>
            </w:r>
          </w:p>
        </w:tc>
        <w:tc>
          <w:tcPr>
            <w:tcW w:w="1232" w:type="dxa"/>
            <w:tcBorders>
              <w:top w:val="nil" w:sz="6" w:space="0" w:color="auto"/>
              <w:left w:val="single" w:sz="4" w:space="0" w:color="000000"/>
              <w:bottom w:val="single" w:sz="4" w:space="0" w:color="000000"/>
              <w:right w:val="nil" w:sz="6" w:space="0" w:color="auto"/>
            </w:tcBorders>
          </w:tcPr>
          <w:p>
            <w:pPr/>
          </w:p>
        </w:tc>
      </w:tr>
      <w:tr>
        <w:trPr>
          <w:trHeight w:val="43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120"/>
              <w:ind w:left="122" w:right="0"/>
              <w:jc w:val="left"/>
              <w:rPr>
                <w:rFonts w:ascii="宋体" w:hAnsi="宋体" w:cs="宋体" w:eastAsia="宋体" w:hint="default"/>
                <w:sz w:val="21"/>
                <w:szCs w:val="21"/>
              </w:rPr>
            </w:pPr>
            <w:r>
              <w:rPr>
                <w:rFonts w:ascii="宋体" w:hAnsi="宋体" w:cs="宋体" w:eastAsia="宋体" w:hint="default"/>
                <w:spacing w:val="18"/>
                <w:sz w:val="21"/>
                <w:szCs w:val="21"/>
              </w:rPr>
              <w:t>青岛亚</w:t>
            </w:r>
            <w:r>
              <w:rPr>
                <w:rFonts w:ascii="宋体" w:hAnsi="宋体" w:cs="宋体" w:eastAsia="宋体" w:hint="default"/>
                <w:spacing w:val="-78"/>
                <w:sz w:val="21"/>
                <w:szCs w:val="21"/>
              </w:rPr>
              <w:t> </w:t>
            </w:r>
            <w:r>
              <w:rPr>
                <w:rFonts w:ascii="宋体" w:hAnsi="宋体" w:cs="宋体" w:eastAsia="宋体" w:hint="default"/>
                <w:sz w:val="21"/>
                <w:szCs w:val="21"/>
              </w:rPr>
            </w:r>
          </w:p>
        </w:tc>
        <w:tc>
          <w:tcPr>
            <w:tcW w:w="7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0"/>
              <w:ind w:right="143"/>
              <w:jc w:val="right"/>
              <w:rPr>
                <w:rFonts w:ascii="宋体" w:hAnsi="宋体" w:cs="宋体" w:eastAsia="宋体" w:hint="default"/>
                <w:sz w:val="21"/>
                <w:szCs w:val="21"/>
              </w:rPr>
            </w:pPr>
            <w:r>
              <w:rPr>
                <w:rFonts w:ascii="宋体" w:hAnsi="宋体" w:cs="宋体" w:eastAsia="宋体" w:hint="default"/>
                <w:sz w:val="21"/>
                <w:szCs w:val="21"/>
              </w:rPr>
              <w:t>本公</w:t>
            </w:r>
          </w:p>
        </w:tc>
        <w:tc>
          <w:tcPr>
            <w:tcW w:w="719" w:type="dxa"/>
            <w:tcBorders>
              <w:top w:val="single" w:sz="4" w:space="0" w:color="000000"/>
              <w:left w:val="single" w:sz="4" w:space="0" w:color="000000"/>
              <w:bottom w:val="nil" w:sz="6" w:space="0" w:color="auto"/>
              <w:right w:val="single" w:sz="4" w:space="0" w:color="000000"/>
            </w:tcBorders>
          </w:tcPr>
          <w:p>
            <w:pPr/>
          </w:p>
        </w:tc>
        <w:tc>
          <w:tcPr>
            <w:tcW w:w="901" w:type="dxa"/>
            <w:tcBorders>
              <w:top w:val="single" w:sz="4" w:space="0" w:color="000000"/>
              <w:left w:val="single" w:sz="4" w:space="0" w:color="000000"/>
              <w:bottom w:val="nil" w:sz="6" w:space="0" w:color="auto"/>
              <w:right w:val="single" w:sz="4" w:space="0" w:color="000000"/>
            </w:tcBorders>
          </w:tcPr>
          <w:p>
            <w:pPr/>
          </w:p>
        </w:tc>
        <w:tc>
          <w:tcPr>
            <w:tcW w:w="719"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40" w:type="dxa"/>
            <w:tcBorders>
              <w:top w:val="single" w:sz="4" w:space="0" w:color="000000"/>
              <w:left w:val="single" w:sz="4" w:space="0" w:color="000000"/>
              <w:bottom w:val="nil" w:sz="6" w:space="0" w:color="auto"/>
              <w:right w:val="single" w:sz="4" w:space="0" w:color="000000"/>
            </w:tcBorders>
          </w:tcPr>
          <w:p>
            <w:pPr/>
          </w:p>
        </w:tc>
        <w:tc>
          <w:tcPr>
            <w:tcW w:w="1210"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1232" w:type="dxa"/>
            <w:tcBorders>
              <w:top w:val="single" w:sz="4" w:space="0" w:color="000000"/>
              <w:left w:val="single" w:sz="4" w:space="0" w:color="000000"/>
              <w:bottom w:val="nil" w:sz="6" w:space="0" w:color="auto"/>
              <w:right w:val="nil" w:sz="6" w:space="0" w:color="auto"/>
            </w:tcBorders>
          </w:tcPr>
          <w:p>
            <w:pPr/>
          </w:p>
        </w:tc>
      </w:tr>
      <w:tr>
        <w:trPr>
          <w:trHeight w:val="54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星实业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有限公</w:t>
            </w:r>
            <w:r>
              <w:rPr>
                <w:rFonts w:ascii="宋体" w:hAnsi="宋体" w:cs="宋体" w:eastAsia="宋体" w:hint="default"/>
                <w:spacing w:val="-78"/>
                <w:sz w:val="21"/>
                <w:szCs w:val="21"/>
              </w:rPr>
              <w:t> </w:t>
            </w:r>
            <w:r>
              <w:rPr>
                <w:rFonts w:ascii="宋体" w:hAnsi="宋体" w:cs="宋体" w:eastAsia="宋体" w:hint="default"/>
                <w:sz w:val="21"/>
                <w:szCs w:val="21"/>
              </w:rPr>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司之</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青岛</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43" w:right="0"/>
              <w:jc w:val="left"/>
              <w:rPr>
                <w:rFonts w:ascii="宋体" w:hAnsi="宋体" w:cs="宋体" w:eastAsia="宋体" w:hint="default"/>
                <w:sz w:val="21"/>
                <w:szCs w:val="21"/>
              </w:rPr>
            </w:pPr>
            <w:r>
              <w:rPr>
                <w:rFonts w:ascii="宋体" w:hAnsi="宋体" w:cs="宋体" w:eastAsia="宋体" w:hint="default"/>
                <w:sz w:val="21"/>
                <w:szCs w:val="21"/>
              </w:rPr>
              <w:t>姜剑</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sz w:val="21"/>
                <w:szCs w:val="21"/>
              </w:rPr>
              <w:t>批发</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740" w:type="dxa"/>
            <w:tcBorders>
              <w:top w:val="nil" w:sz="6" w:space="0" w:color="auto"/>
              <w:left w:val="single" w:sz="4" w:space="0" w:color="000000"/>
              <w:bottom w:val="nil" w:sz="6" w:space="0" w:color="auto"/>
              <w:right w:val="single" w:sz="4" w:space="0" w:color="000000"/>
            </w:tcBorders>
          </w:tcPr>
          <w:p>
            <w:pPr>
              <w:pStyle w:val="TableParagraph"/>
              <w:spacing w:line="225" w:lineRule="exact" w:before="14"/>
              <w:ind w:right="0"/>
              <w:jc w:val="center"/>
              <w:rPr>
                <w:rFonts w:ascii="Times New Roman" w:hAnsi="Times New Roman" w:cs="Times New Roman" w:eastAsia="Times New Roman" w:hint="default"/>
                <w:sz w:val="21"/>
                <w:szCs w:val="21"/>
              </w:rPr>
            </w:pPr>
            <w:r>
              <w:rPr>
                <w:rFonts w:ascii="Times New Roman"/>
                <w:sz w:val="21"/>
              </w:rPr>
              <w:t>16000</w:t>
            </w:r>
          </w:p>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万</w:t>
            </w:r>
          </w:p>
        </w:tc>
        <w:tc>
          <w:tcPr>
            <w:tcW w:w="121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10.39</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10.39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83" w:right="0"/>
              <w:jc w:val="left"/>
              <w:rPr>
                <w:rFonts w:ascii="宋体" w:hAnsi="宋体" w:cs="宋体" w:eastAsia="宋体" w:hint="default"/>
                <w:sz w:val="21"/>
                <w:szCs w:val="21"/>
              </w:rPr>
            </w:pPr>
            <w:r>
              <w:rPr>
                <w:rFonts w:ascii="宋体" w:hAnsi="宋体" w:cs="宋体" w:eastAsia="宋体" w:hint="default"/>
                <w:sz w:val="21"/>
                <w:szCs w:val="21"/>
              </w:rPr>
              <w:t>姜剑</w:t>
            </w:r>
          </w:p>
        </w:tc>
        <w:tc>
          <w:tcPr>
            <w:tcW w:w="1232"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left="103" w:right="0"/>
              <w:jc w:val="left"/>
              <w:rPr>
                <w:rFonts w:ascii="Times New Roman" w:hAnsi="Times New Roman" w:cs="Times New Roman" w:eastAsia="Times New Roman" w:hint="default"/>
                <w:sz w:val="21"/>
                <w:szCs w:val="21"/>
              </w:rPr>
            </w:pPr>
            <w:r>
              <w:rPr>
                <w:rFonts w:ascii="Times New Roman"/>
                <w:sz w:val="21"/>
              </w:rPr>
              <w:t>26459132-6</w:t>
            </w:r>
          </w:p>
        </w:tc>
      </w:tr>
      <w:tr>
        <w:trPr>
          <w:trHeight w:val="318"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1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43"/>
              <w:jc w:val="right"/>
              <w:rPr>
                <w:rFonts w:ascii="宋体" w:hAnsi="宋体" w:cs="宋体" w:eastAsia="宋体" w:hint="default"/>
                <w:sz w:val="21"/>
                <w:szCs w:val="21"/>
              </w:rPr>
            </w:pPr>
            <w:r>
              <w:rPr>
                <w:rFonts w:ascii="宋体" w:hAnsi="宋体" w:cs="宋体" w:eastAsia="宋体" w:hint="default"/>
                <w:sz w:val="21"/>
                <w:szCs w:val="21"/>
              </w:rPr>
              <w:t>公司</w:t>
            </w:r>
          </w:p>
        </w:tc>
        <w:tc>
          <w:tcPr>
            <w:tcW w:w="719" w:type="dxa"/>
            <w:tcBorders>
              <w:top w:val="nil" w:sz="6" w:space="0" w:color="auto"/>
              <w:left w:val="single" w:sz="4" w:space="0" w:color="000000"/>
              <w:bottom w:val="single" w:sz="4" w:space="0" w:color="000000"/>
              <w:right w:val="single" w:sz="4" w:space="0" w:color="000000"/>
            </w:tcBorders>
          </w:tcPr>
          <w:p>
            <w:pPr/>
          </w:p>
        </w:tc>
        <w:tc>
          <w:tcPr>
            <w:tcW w:w="901" w:type="dxa"/>
            <w:tcBorders>
              <w:top w:val="nil" w:sz="6" w:space="0" w:color="auto"/>
              <w:left w:val="single" w:sz="4" w:space="0" w:color="000000"/>
              <w:bottom w:val="single" w:sz="4" w:space="0" w:color="000000"/>
              <w:right w:val="single" w:sz="4" w:space="0" w:color="000000"/>
            </w:tcBorders>
          </w:tcPr>
          <w:p>
            <w:pPr/>
          </w:p>
        </w:tc>
        <w:tc>
          <w:tcPr>
            <w:tcW w:w="719"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40" w:type="dxa"/>
            <w:tcBorders>
              <w:top w:val="nil" w:sz="6" w:space="0" w:color="auto"/>
              <w:left w:val="single" w:sz="4" w:space="0" w:color="000000"/>
              <w:bottom w:val="single" w:sz="4" w:space="0" w:color="000000"/>
              <w:right w:val="single" w:sz="4" w:space="0" w:color="000000"/>
            </w:tcBorders>
          </w:tcPr>
          <w:p>
            <w:pPr/>
          </w:p>
        </w:tc>
        <w:tc>
          <w:tcPr>
            <w:tcW w:w="1210"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1232" w:type="dxa"/>
            <w:tcBorders>
              <w:top w:val="nil" w:sz="6" w:space="0" w:color="auto"/>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5"/>
          <w:szCs w:val="5"/>
        </w:rPr>
      </w:pPr>
    </w:p>
    <w:p>
      <w:pPr>
        <w:spacing w:line="386" w:lineRule="auto" w:before="35"/>
        <w:ind w:left="153"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2009</w:t>
      </w:r>
      <w:r>
        <w:rPr>
          <w:rFonts w:ascii="宋体" w:hAnsi="宋体" w:cs="宋体" w:eastAsia="宋体" w:hint="default"/>
          <w:sz w:val="21"/>
          <w:szCs w:val="21"/>
        </w:rPr>
        <w:t>年第一次临时股东大会进行了董事会和监事会的换届选举，潜在控股股东 </w:t>
      </w:r>
      <w:r>
        <w:rPr>
          <w:rFonts w:ascii="宋体" w:hAnsi="宋体" w:cs="宋体" w:eastAsia="宋体" w:hint="default"/>
          <w:spacing w:val="-3"/>
          <w:sz w:val="21"/>
          <w:szCs w:val="21"/>
        </w:rPr>
        <w:t>青岛亚星实业有限公司（以下简称“亚星实业”）推荐的</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名非独立董事许亚楠、张庆文和</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名监事王立军、</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张国华获股东大会通过，许亚楠当选为公司第七届董事会董事长，王立军当选了公司的监事会主席。</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21</w:t>
      </w:r>
      <w:r>
        <w:rPr>
          <w:rFonts w:ascii="宋体" w:hAnsi="宋体" w:cs="宋体" w:eastAsia="宋体" w:hint="default"/>
          <w:spacing w:val="-1"/>
          <w:sz w:val="21"/>
          <w:szCs w:val="21"/>
        </w:rPr>
        <w:t>日，公司召开的</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年第二次临时股东大会，亚星实业推荐的非独立董事孙登义获股东大会通过；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公司董事会</w:t>
      </w:r>
      <w:r>
        <w:rPr>
          <w:rFonts w:ascii="Times New Roman" w:hAnsi="Times New Roman" w:cs="Times New Roman" w:eastAsia="Times New Roman" w:hint="default"/>
          <w:sz w:val="21"/>
          <w:szCs w:val="21"/>
        </w:rPr>
        <w:t>7</w:t>
      </w:r>
      <w:r>
        <w:rPr>
          <w:rFonts w:ascii="宋体" w:hAnsi="宋体" w:cs="宋体" w:eastAsia="宋体" w:hint="default"/>
          <w:sz w:val="21"/>
          <w:szCs w:val="21"/>
        </w:rPr>
        <w:t>名董事（</w:t>
      </w:r>
      <w:r>
        <w:rPr>
          <w:rFonts w:ascii="Times New Roman" w:hAnsi="Times New Roman" w:cs="Times New Roman" w:eastAsia="Times New Roman" w:hint="default"/>
          <w:sz w:val="21"/>
          <w:szCs w:val="21"/>
        </w:rPr>
        <w:t>3</w:t>
      </w:r>
      <w:r>
        <w:rPr>
          <w:rFonts w:ascii="宋体" w:hAnsi="宋体" w:cs="宋体" w:eastAsia="宋体" w:hint="default"/>
          <w:sz w:val="21"/>
          <w:szCs w:val="21"/>
        </w:rPr>
        <w:t>名独立董事、</w:t>
      </w:r>
      <w:r>
        <w:rPr>
          <w:rFonts w:ascii="Times New Roman" w:hAnsi="Times New Roman" w:cs="Times New Roman" w:eastAsia="Times New Roman" w:hint="default"/>
          <w:sz w:val="21"/>
          <w:szCs w:val="21"/>
        </w:rPr>
        <w:t>4</w:t>
      </w:r>
      <w:r>
        <w:rPr>
          <w:rFonts w:ascii="宋体" w:hAnsi="宋体" w:cs="宋体" w:eastAsia="宋体" w:hint="default"/>
          <w:sz w:val="21"/>
          <w:szCs w:val="21"/>
        </w:rPr>
        <w:t>名非独立董事）中，亚星实业推荐的非独立董事</w:t>
      </w:r>
      <w:r>
        <w:rPr>
          <w:rFonts w:ascii="Times New Roman" w:hAnsi="Times New Roman" w:cs="Times New Roman" w:eastAsia="Times New Roman" w:hint="default"/>
          <w:sz w:val="21"/>
          <w:szCs w:val="21"/>
        </w:rPr>
        <w:t>3</w:t>
      </w:r>
      <w:r>
        <w:rPr>
          <w:rFonts w:ascii="宋体" w:hAnsi="宋体" w:cs="宋体" w:eastAsia="宋体" w:hint="default"/>
          <w:sz w:val="21"/>
          <w:szCs w:val="21"/>
        </w:rPr>
        <w:t>名，公司</w:t>
      </w:r>
      <w:r>
        <w:rPr>
          <w:rFonts w:ascii="Times New Roman" w:hAnsi="Times New Roman" w:cs="Times New Roman" w:eastAsia="Times New Roman" w:hint="default"/>
          <w:sz w:val="21"/>
          <w:szCs w:val="21"/>
        </w:rPr>
        <w:t>3</w:t>
      </w:r>
      <w:r>
        <w:rPr>
          <w:rFonts w:ascii="宋体" w:hAnsi="宋体" w:cs="宋体" w:eastAsia="宋体" w:hint="default"/>
          <w:sz w:val="21"/>
          <w:szCs w:val="21"/>
        </w:rPr>
        <w:t>名监事</w:t>
      </w:r>
    </w:p>
    <w:p>
      <w:pPr>
        <w:spacing w:line="398" w:lineRule="auto" w:before="35"/>
        <w:ind w:left="154" w:right="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名股东代表监事、</w:t>
      </w:r>
      <w:r>
        <w:rPr>
          <w:rFonts w:ascii="Times New Roman" w:hAnsi="Times New Roman" w:cs="Times New Roman" w:eastAsia="Times New Roman" w:hint="default"/>
          <w:sz w:val="21"/>
          <w:szCs w:val="21"/>
        </w:rPr>
        <w:t>1</w:t>
      </w:r>
      <w:r>
        <w:rPr>
          <w:rFonts w:ascii="宋体" w:hAnsi="宋体" w:cs="宋体" w:eastAsia="宋体" w:hint="default"/>
          <w:sz w:val="21"/>
          <w:szCs w:val="21"/>
        </w:rPr>
        <w:t>名职工监事）中，亚星实业推荐了</w:t>
      </w:r>
      <w:r>
        <w:rPr>
          <w:rFonts w:ascii="Times New Roman" w:hAnsi="Times New Roman" w:cs="Times New Roman" w:eastAsia="Times New Roman" w:hint="default"/>
          <w:sz w:val="21"/>
          <w:szCs w:val="21"/>
        </w:rPr>
        <w:t>2</w:t>
      </w:r>
      <w:r>
        <w:rPr>
          <w:rFonts w:ascii="宋体" w:hAnsi="宋体" w:cs="宋体" w:eastAsia="宋体" w:hint="default"/>
          <w:sz w:val="21"/>
          <w:szCs w:val="21"/>
        </w:rPr>
        <w:t>名监事。至此，亚星实业实现了对公司的实际 </w:t>
      </w:r>
      <w:r>
        <w:rPr>
          <w:rFonts w:ascii="宋体" w:hAnsi="宋体" w:cs="宋体" w:eastAsia="宋体" w:hint="default"/>
          <w:spacing w:val="-1"/>
          <w:sz w:val="21"/>
          <w:szCs w:val="21"/>
        </w:rPr>
        <w:t>控制。由于亚星实业的实际控制人为姜剑先生，故公司的实际控制人由原来的北京新奥特集团有限公司变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更为姜剑先生。</w:t>
      </w:r>
    </w:p>
    <w:p>
      <w:pPr>
        <w:spacing w:before="93"/>
        <w:ind w:left="574" w:right="0" w:firstLine="0"/>
        <w:jc w:val="left"/>
        <w:rPr>
          <w:rFonts w:ascii="宋体" w:hAnsi="宋体" w:cs="宋体" w:eastAsia="宋体" w:hint="default"/>
          <w:sz w:val="21"/>
          <w:szCs w:val="21"/>
        </w:rPr>
      </w:pPr>
      <w:r>
        <w:rPr>
          <w:rFonts w:ascii="宋体" w:hAnsi="宋体" w:cs="宋体" w:eastAsia="宋体" w:hint="default"/>
          <w:sz w:val="21"/>
          <w:szCs w:val="21"/>
        </w:rPr>
        <w:t>青岛亚星实业有限公司持有本公司股权</w:t>
      </w:r>
      <w:r>
        <w:rPr>
          <w:rFonts w:ascii="宋体" w:hAnsi="宋体" w:cs="宋体" w:eastAsia="宋体" w:hint="default"/>
          <w:spacing w:val="-58"/>
          <w:sz w:val="21"/>
          <w:szCs w:val="21"/>
        </w:rPr>
        <w:t> </w:t>
      </w:r>
      <w:r>
        <w:rPr>
          <w:rFonts w:ascii="宋体" w:hAnsi="宋体" w:cs="宋体" w:eastAsia="宋体" w:hint="default"/>
          <w:sz w:val="21"/>
          <w:szCs w:val="21"/>
        </w:rPr>
        <w:t>1000</w:t>
      </w:r>
      <w:r>
        <w:rPr>
          <w:rFonts w:ascii="宋体" w:hAnsi="宋体" w:cs="宋体" w:eastAsia="宋体" w:hint="default"/>
          <w:spacing w:val="-57"/>
          <w:sz w:val="21"/>
          <w:szCs w:val="21"/>
        </w:rPr>
        <w:t> </w:t>
      </w:r>
      <w:r>
        <w:rPr>
          <w:rFonts w:ascii="宋体" w:hAnsi="宋体" w:cs="宋体" w:eastAsia="宋体" w:hint="default"/>
          <w:spacing w:val="-4"/>
          <w:sz w:val="21"/>
          <w:szCs w:val="21"/>
        </w:rPr>
        <w:t>万股，占本公司股权比例的</w:t>
      </w:r>
      <w:r>
        <w:rPr>
          <w:rFonts w:ascii="宋体" w:hAnsi="宋体" w:cs="宋体" w:eastAsia="宋体" w:hint="default"/>
          <w:spacing w:val="-58"/>
          <w:sz w:val="21"/>
          <w:szCs w:val="21"/>
        </w:rPr>
        <w:t> </w:t>
      </w:r>
      <w:r>
        <w:rPr>
          <w:rFonts w:ascii="宋体" w:hAnsi="宋体" w:cs="宋体" w:eastAsia="宋体" w:hint="default"/>
          <w:spacing w:val="-4"/>
          <w:sz w:val="21"/>
          <w:szCs w:val="21"/>
        </w:rPr>
        <w:t>10.39%，根据公司于</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p>
    <w:p>
      <w:pPr>
        <w:spacing w:line="240" w:lineRule="auto" w:before="10"/>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日公告的《股权分置改革说明书》确定的股权分置改革方案，亚星实业向深大通赠与资产（资产为</w:t>
      </w:r>
    </w:p>
    <w:p>
      <w:pPr>
        <w:spacing w:line="240" w:lineRule="auto" w:before="10"/>
        <w:rPr>
          <w:rFonts w:ascii="宋体" w:hAnsi="宋体" w:cs="宋体" w:eastAsia="宋体" w:hint="default"/>
          <w:sz w:val="14"/>
          <w:szCs w:val="14"/>
        </w:rPr>
      </w:pPr>
    </w:p>
    <w:p>
      <w:pPr>
        <w:spacing w:line="408" w:lineRule="auto" w:before="0"/>
        <w:ind w:left="154" w:right="328" w:firstLine="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家房地产公司股权，股权对应净资产合计约</w:t>
      </w:r>
      <w:r>
        <w:rPr>
          <w:rFonts w:ascii="宋体" w:hAnsi="宋体" w:cs="宋体" w:eastAsia="宋体" w:hint="default"/>
          <w:spacing w:val="-55"/>
          <w:sz w:val="21"/>
          <w:szCs w:val="21"/>
        </w:rPr>
        <w:t> </w:t>
      </w:r>
      <w:r>
        <w:rPr>
          <w:rFonts w:ascii="宋体" w:hAnsi="宋体" w:cs="宋体" w:eastAsia="宋体" w:hint="default"/>
          <w:sz w:val="21"/>
          <w:szCs w:val="21"/>
        </w:rPr>
        <w:t>20,856.22</w:t>
      </w:r>
      <w:r>
        <w:rPr>
          <w:rFonts w:ascii="宋体" w:hAnsi="宋体" w:cs="宋体" w:eastAsia="宋体" w:hint="default"/>
          <w:spacing w:val="-54"/>
          <w:sz w:val="21"/>
          <w:szCs w:val="21"/>
        </w:rPr>
        <w:t> </w:t>
      </w:r>
      <w:r>
        <w:rPr>
          <w:rFonts w:ascii="宋体" w:hAnsi="宋体" w:cs="宋体" w:eastAsia="宋体" w:hint="default"/>
          <w:sz w:val="21"/>
          <w:szCs w:val="21"/>
        </w:rPr>
        <w:t>万元）的对价为原有非流通股股东按</w:t>
      </w:r>
      <w:r>
        <w:rPr>
          <w:rFonts w:ascii="宋体" w:hAnsi="宋体" w:cs="宋体" w:eastAsia="宋体" w:hint="default"/>
          <w:spacing w:val="-55"/>
          <w:sz w:val="21"/>
          <w:szCs w:val="21"/>
        </w:rPr>
        <w:t> </w:t>
      </w:r>
      <w:r>
        <w:rPr>
          <w:rFonts w:ascii="宋体" w:hAnsi="宋体" w:cs="宋体" w:eastAsia="宋体" w:hint="default"/>
          <w:sz w:val="21"/>
          <w:szCs w:val="21"/>
        </w:rPr>
        <w:t>10：6.5</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z w:val="21"/>
          <w:szCs w:val="21"/>
        </w:rPr>
        <w:t> 比例向亚星实业赠送股份，送股完成后，亚星实业持股为</w:t>
      </w:r>
      <w:r>
        <w:rPr>
          <w:rFonts w:ascii="宋体" w:hAnsi="宋体" w:cs="宋体" w:eastAsia="宋体" w:hint="default"/>
          <w:spacing w:val="-45"/>
          <w:sz w:val="21"/>
          <w:szCs w:val="21"/>
        </w:rPr>
        <w:t> </w:t>
      </w:r>
      <w:r>
        <w:rPr>
          <w:rFonts w:ascii="宋体" w:hAnsi="宋体" w:cs="宋体" w:eastAsia="宋体" w:hint="default"/>
          <w:sz w:val="21"/>
          <w:szCs w:val="21"/>
        </w:rPr>
        <w:t>49,874,900</w:t>
      </w:r>
      <w:r>
        <w:rPr>
          <w:rFonts w:ascii="宋体" w:hAnsi="宋体" w:cs="宋体" w:eastAsia="宋体" w:hint="default"/>
          <w:spacing w:val="-44"/>
          <w:sz w:val="21"/>
          <w:szCs w:val="21"/>
        </w:rPr>
        <w:t> </w:t>
      </w:r>
      <w:r>
        <w:rPr>
          <w:rFonts w:ascii="宋体" w:hAnsi="宋体" w:cs="宋体" w:eastAsia="宋体" w:hint="default"/>
          <w:sz w:val="21"/>
          <w:szCs w:val="21"/>
        </w:rPr>
        <w:t>股，持股比例为</w:t>
      </w:r>
      <w:r>
        <w:rPr>
          <w:rFonts w:ascii="宋体" w:hAnsi="宋体" w:cs="宋体" w:eastAsia="宋体" w:hint="default"/>
          <w:spacing w:val="-45"/>
          <w:sz w:val="21"/>
          <w:szCs w:val="21"/>
        </w:rPr>
        <w:t> </w:t>
      </w:r>
      <w:r>
        <w:rPr>
          <w:rFonts w:ascii="宋体" w:hAnsi="宋体" w:cs="宋体" w:eastAsia="宋体" w:hint="default"/>
          <w:sz w:val="21"/>
          <w:szCs w:val="21"/>
        </w:rPr>
        <w:t>51.83%，由于部分</w:t>
      </w:r>
      <w:r>
        <w:rPr>
          <w:rFonts w:ascii="宋体" w:hAnsi="宋体" w:cs="宋体" w:eastAsia="宋体" w:hint="default"/>
          <w:sz w:val="21"/>
          <w:szCs w:val="21"/>
        </w:rPr>
        <w:t> 股东拟送股份存在司法冻结情况，因此没有得以实施；2010 年 4 月 19</w:t>
      </w:r>
      <w:r>
        <w:rPr>
          <w:rFonts w:ascii="宋体" w:hAnsi="宋体" w:cs="宋体" w:eastAsia="宋体" w:hint="default"/>
          <w:spacing w:val="-27"/>
          <w:sz w:val="21"/>
          <w:szCs w:val="21"/>
        </w:rPr>
        <w:t> </w:t>
      </w:r>
      <w:r>
        <w:rPr>
          <w:rFonts w:ascii="宋体" w:hAnsi="宋体" w:cs="宋体" w:eastAsia="宋体" w:hint="default"/>
          <w:sz w:val="21"/>
          <w:szCs w:val="21"/>
        </w:rPr>
        <w:t>日方正延中传媒有限公司将其所</w:t>
      </w:r>
    </w:p>
    <w:p>
      <w:pPr>
        <w:spacing w:line="408" w:lineRule="auto" w:before="46"/>
        <w:ind w:left="154" w:right="0" w:firstLine="0"/>
        <w:jc w:val="left"/>
        <w:rPr>
          <w:rFonts w:ascii="宋体" w:hAnsi="宋体" w:cs="宋体" w:eastAsia="宋体" w:hint="default"/>
          <w:sz w:val="21"/>
          <w:szCs w:val="21"/>
        </w:rPr>
      </w:pPr>
      <w:r>
        <w:rPr>
          <w:rFonts w:ascii="宋体" w:hAnsi="宋体" w:cs="宋体" w:eastAsia="宋体" w:hint="default"/>
          <w:sz w:val="21"/>
          <w:szCs w:val="21"/>
        </w:rPr>
        <w:t>持本公司的</w:t>
      </w:r>
      <w:r>
        <w:rPr>
          <w:rFonts w:ascii="宋体" w:hAnsi="宋体" w:cs="宋体" w:eastAsia="宋体" w:hint="default"/>
          <w:spacing w:val="-54"/>
          <w:sz w:val="21"/>
          <w:szCs w:val="21"/>
        </w:rPr>
        <w:t> </w:t>
      </w:r>
      <w:r>
        <w:rPr>
          <w:rFonts w:ascii="宋体" w:hAnsi="宋体" w:cs="宋体" w:eastAsia="宋体" w:hint="default"/>
          <w:sz w:val="21"/>
          <w:szCs w:val="21"/>
        </w:rPr>
        <w:t>680</w:t>
      </w:r>
      <w:r>
        <w:rPr>
          <w:rFonts w:ascii="宋体" w:hAnsi="宋体" w:cs="宋体" w:eastAsia="宋体" w:hint="default"/>
          <w:spacing w:val="-1"/>
          <w:sz w:val="21"/>
          <w:szCs w:val="21"/>
        </w:rPr>
        <w:t> </w:t>
      </w:r>
      <w:r>
        <w:rPr>
          <w:rFonts w:ascii="宋体" w:hAnsi="宋体" w:cs="宋体" w:eastAsia="宋体" w:hint="default"/>
          <w:spacing w:val="-4"/>
          <w:sz w:val="21"/>
          <w:szCs w:val="21"/>
        </w:rPr>
        <w:t>万股股份登记过户给青岛亚星实业有限公司，截至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日青岛亚星实业有限公</w:t>
      </w:r>
      <w:r>
        <w:rPr>
          <w:rFonts w:ascii="宋体" w:hAnsi="宋体" w:cs="宋体" w:eastAsia="宋体" w:hint="default"/>
          <w:spacing w:val="-1"/>
          <w:sz w:val="21"/>
          <w:szCs w:val="21"/>
        </w:rPr>
        <w:t> </w:t>
      </w:r>
      <w:r>
        <w:rPr>
          <w:rFonts w:ascii="宋体" w:hAnsi="宋体" w:cs="宋体" w:eastAsia="宋体" w:hint="default"/>
          <w:sz w:val="21"/>
          <w:szCs w:val="21"/>
        </w:rPr>
        <w:t>司合计持有本公司非流通股股份</w:t>
      </w:r>
      <w:r>
        <w:rPr>
          <w:rFonts w:ascii="宋体" w:hAnsi="宋体" w:cs="宋体" w:eastAsia="宋体" w:hint="default"/>
          <w:spacing w:val="-54"/>
          <w:sz w:val="21"/>
          <w:szCs w:val="21"/>
        </w:rPr>
        <w:t> </w:t>
      </w:r>
      <w:r>
        <w:rPr>
          <w:rFonts w:ascii="宋体" w:hAnsi="宋体" w:cs="宋体" w:eastAsia="宋体" w:hint="default"/>
          <w:sz w:val="21"/>
          <w:szCs w:val="21"/>
        </w:rPr>
        <w:t>1680</w:t>
      </w:r>
      <w:r>
        <w:rPr>
          <w:rFonts w:ascii="宋体" w:hAnsi="宋体" w:cs="宋体" w:eastAsia="宋体" w:hint="default"/>
          <w:spacing w:val="-1"/>
          <w:sz w:val="21"/>
          <w:szCs w:val="21"/>
        </w:rPr>
        <w:t> </w:t>
      </w:r>
      <w:r>
        <w:rPr>
          <w:rFonts w:ascii="宋体" w:hAnsi="宋体" w:cs="宋体" w:eastAsia="宋体" w:hint="default"/>
          <w:sz w:val="21"/>
          <w:szCs w:val="21"/>
        </w:rPr>
        <w:t>万股，占本公司总股本的</w:t>
      </w:r>
      <w:r>
        <w:rPr>
          <w:rFonts w:ascii="宋体" w:hAnsi="宋体" w:cs="宋体" w:eastAsia="宋体" w:hint="default"/>
          <w:spacing w:val="-54"/>
          <w:sz w:val="21"/>
          <w:szCs w:val="21"/>
        </w:rPr>
        <w:t> </w:t>
      </w:r>
      <w:r>
        <w:rPr>
          <w:rFonts w:ascii="宋体" w:hAnsi="宋体" w:cs="宋体" w:eastAsia="宋体" w:hint="default"/>
          <w:sz w:val="21"/>
          <w:szCs w:val="21"/>
        </w:rPr>
        <w:t>17.46%。</w:t>
      </w:r>
    </w:p>
    <w:p>
      <w:pPr>
        <w:spacing w:before="46"/>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、本企业的子公司情况</w:t>
      </w:r>
    </w:p>
    <w:p>
      <w:pPr>
        <w:spacing w:before="177"/>
        <w:ind w:left="0" w:right="3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622"/>
        <w:gridCol w:w="898"/>
        <w:gridCol w:w="720"/>
        <w:gridCol w:w="914"/>
        <w:gridCol w:w="904"/>
        <w:gridCol w:w="900"/>
        <w:gridCol w:w="901"/>
        <w:gridCol w:w="722"/>
        <w:gridCol w:w="902"/>
        <w:gridCol w:w="1388"/>
      </w:tblGrid>
      <w:tr>
        <w:trPr>
          <w:trHeight w:val="479" w:hRule="exact"/>
        </w:trPr>
        <w:tc>
          <w:tcPr>
            <w:tcW w:w="1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29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8"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5"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2" w:right="0"/>
              <w:jc w:val="left"/>
              <w:rPr>
                <w:rFonts w:ascii="宋体" w:hAnsi="宋体" w:cs="宋体" w:eastAsia="宋体" w:hint="default"/>
                <w:sz w:val="21"/>
                <w:szCs w:val="21"/>
              </w:rPr>
            </w:pPr>
            <w:r>
              <w:rPr>
                <w:rFonts w:ascii="宋体" w:hAnsi="宋体" w:cs="宋体" w:eastAsia="宋体" w:hint="default"/>
                <w:sz w:val="21"/>
                <w:szCs w:val="21"/>
              </w:rPr>
              <w:t>法人代</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0" w:right="0"/>
              <w:jc w:val="left"/>
              <w:rPr>
                <w:rFonts w:ascii="宋体" w:hAnsi="宋体" w:cs="宋体" w:eastAsia="宋体" w:hint="default"/>
                <w:sz w:val="21"/>
                <w:szCs w:val="21"/>
              </w:rPr>
            </w:pPr>
            <w:r>
              <w:rPr>
                <w:rFonts w:ascii="宋体" w:hAnsi="宋体" w:cs="宋体" w:eastAsia="宋体" w:hint="default"/>
                <w:sz w:val="21"/>
                <w:szCs w:val="21"/>
              </w:rPr>
              <w:t>业务性</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0" w:right="0"/>
              <w:jc w:val="left"/>
              <w:rPr>
                <w:rFonts w:ascii="宋体" w:hAnsi="宋体" w:cs="宋体" w:eastAsia="宋体" w:hint="default"/>
                <w:sz w:val="21"/>
                <w:szCs w:val="21"/>
              </w:rPr>
            </w:pPr>
            <w:r>
              <w:rPr>
                <w:rFonts w:ascii="宋体" w:hAnsi="宋体" w:cs="宋体" w:eastAsia="宋体" w:hint="default"/>
                <w:sz w:val="21"/>
                <w:szCs w:val="21"/>
              </w:rPr>
              <w:t>注册资</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6"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2"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64" w:right="0"/>
              <w:jc w:val="left"/>
              <w:rPr>
                <w:rFonts w:ascii="宋体" w:hAnsi="宋体" w:cs="宋体" w:eastAsia="宋体" w:hint="default"/>
                <w:sz w:val="21"/>
                <w:szCs w:val="21"/>
              </w:rPr>
            </w:pPr>
            <w:r>
              <w:rPr>
                <w:rFonts w:ascii="宋体" w:hAnsi="宋体" w:cs="宋体" w:eastAsia="宋体" w:hint="default"/>
                <w:sz w:val="21"/>
                <w:szCs w:val="21"/>
              </w:rPr>
              <w:t>组织机构代</w:t>
            </w:r>
          </w:p>
        </w:tc>
      </w:tr>
    </w:tbl>
    <w:p>
      <w:pPr>
        <w:spacing w:after="0" w:line="240" w:lineRule="auto"/>
        <w:jc w:val="left"/>
        <w:rPr>
          <w:rFonts w:ascii="宋体" w:hAnsi="宋体" w:cs="宋体" w:eastAsia="宋体" w:hint="default"/>
          <w:sz w:val="21"/>
          <w:szCs w:val="21"/>
        </w:rPr>
        <w:sectPr>
          <w:pgSz w:w="11910" w:h="16840"/>
          <w:pgMar w:header="0" w:footer="941" w:top="1100" w:bottom="1140" w:left="980" w:right="80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622"/>
        <w:gridCol w:w="898"/>
        <w:gridCol w:w="720"/>
        <w:gridCol w:w="914"/>
        <w:gridCol w:w="904"/>
        <w:gridCol w:w="900"/>
        <w:gridCol w:w="901"/>
        <w:gridCol w:w="722"/>
        <w:gridCol w:w="902"/>
        <w:gridCol w:w="1388"/>
      </w:tblGrid>
      <w:tr>
        <w:trPr>
          <w:trHeight w:val="564" w:hRule="exact"/>
        </w:trPr>
        <w:tc>
          <w:tcPr>
            <w:tcW w:w="1622" w:type="dxa"/>
            <w:tcBorders>
              <w:top w:val="single" w:sz="4" w:space="0" w:color="000000"/>
              <w:left w:val="nil" w:sz="6" w:space="0" w:color="auto"/>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914"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9" w:right="0"/>
              <w:jc w:val="left"/>
              <w:rPr>
                <w:rFonts w:ascii="Times New Roman" w:hAnsi="Times New Roman" w:cs="Times New Roman" w:eastAsia="Times New Roman" w:hint="default"/>
                <w:sz w:val="21"/>
                <w:szCs w:val="21"/>
              </w:rPr>
            </w:pPr>
            <w:r>
              <w:rPr>
                <w:rFonts w:ascii="Times New Roman"/>
                <w:sz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89" w:right="0"/>
              <w:jc w:val="left"/>
              <w:rPr>
                <w:rFonts w:ascii="Times New Roman" w:hAnsi="Times New Roman" w:cs="Times New Roman" w:eastAsia="Times New Roman" w:hint="default"/>
                <w:sz w:val="21"/>
                <w:szCs w:val="21"/>
              </w:rPr>
            </w:pPr>
            <w:r>
              <w:rPr>
                <w:rFonts w:ascii="Times New Roman"/>
                <w:sz w:val="21"/>
              </w:rPr>
              <w:t>(%)</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1090" w:hRule="exact"/>
        </w:trPr>
        <w:tc>
          <w:tcPr>
            <w:tcW w:w="1622"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35"/>
              <w:ind w:left="292" w:right="167" w:hanging="105"/>
              <w:jc w:val="left"/>
              <w:rPr>
                <w:rFonts w:ascii="宋体" w:hAnsi="宋体" w:cs="宋体" w:eastAsia="宋体" w:hint="default"/>
                <w:sz w:val="21"/>
                <w:szCs w:val="21"/>
              </w:rPr>
            </w:pPr>
            <w:r>
              <w:rPr>
                <w:rFonts w:ascii="宋体" w:hAnsi="宋体" w:cs="宋体" w:eastAsia="宋体" w:hint="default"/>
                <w:sz w:val="21"/>
                <w:szCs w:val="21"/>
              </w:rPr>
              <w:t>青岛广顺房地 产有限公司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444" w:lineRule="auto" w:before="116"/>
              <w:ind w:left="128" w:right="127" w:firstLine="105"/>
              <w:jc w:val="left"/>
              <w:rPr>
                <w:rFonts w:ascii="宋体" w:hAnsi="宋体" w:cs="宋体" w:eastAsia="宋体" w:hint="default"/>
                <w:sz w:val="21"/>
                <w:szCs w:val="21"/>
              </w:rPr>
            </w:pPr>
            <w:r>
              <w:rPr>
                <w:rFonts w:ascii="宋体" w:hAnsi="宋体" w:cs="宋体" w:eastAsia="宋体" w:hint="default"/>
                <w:sz w:val="21"/>
                <w:szCs w:val="21"/>
              </w:rPr>
              <w:t>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45" w:right="143"/>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0"/>
              <w:jc w:val="right"/>
              <w:rPr>
                <w:rFonts w:ascii="宋体" w:hAnsi="宋体" w:cs="宋体" w:eastAsia="宋体" w:hint="default"/>
                <w:sz w:val="21"/>
                <w:szCs w:val="21"/>
              </w:rPr>
            </w:pPr>
            <w:r>
              <w:rPr>
                <w:rFonts w:ascii="宋体" w:hAnsi="宋体" w:cs="宋体" w:eastAsia="宋体" w:hint="default"/>
                <w:sz w:val="21"/>
                <w:szCs w:val="21"/>
              </w:rPr>
              <w:t>青岛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朱兰英</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8"/>
              <w:ind w:left="235" w:right="127" w:hanging="105"/>
              <w:jc w:val="left"/>
              <w:rPr>
                <w:rFonts w:ascii="宋体" w:hAnsi="宋体" w:cs="宋体" w:eastAsia="宋体" w:hint="default"/>
                <w:sz w:val="21"/>
                <w:szCs w:val="21"/>
              </w:rPr>
            </w:pPr>
            <w:r>
              <w:rPr>
                <w:rFonts w:ascii="宋体" w:hAnsi="宋体" w:cs="宋体" w:eastAsia="宋体" w:hint="default"/>
                <w:sz w:val="21"/>
                <w:szCs w:val="21"/>
              </w:rPr>
              <w:t>房地产 开发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8" w:right="0"/>
              <w:jc w:val="left"/>
              <w:rPr>
                <w:rFonts w:ascii="Times New Roman" w:hAnsi="Times New Roman" w:cs="Times New Roman" w:eastAsia="Times New Roman" w:hint="default"/>
                <w:sz w:val="21"/>
                <w:szCs w:val="21"/>
              </w:rPr>
            </w:pPr>
            <w:r>
              <w:rPr>
                <w:rFonts w:ascii="Times New Roman"/>
                <w:sz w:val="21"/>
              </w:rPr>
              <w:t>83.00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9" w:right="0"/>
              <w:jc w:val="left"/>
              <w:rPr>
                <w:rFonts w:ascii="Times New Roman" w:hAnsi="Times New Roman" w:cs="Times New Roman" w:eastAsia="Times New Roman" w:hint="default"/>
                <w:sz w:val="21"/>
                <w:szCs w:val="21"/>
              </w:rPr>
            </w:pPr>
            <w:r>
              <w:rPr>
                <w:rFonts w:ascii="Times New Roman"/>
                <w:sz w:val="21"/>
              </w:rPr>
              <w:t>83.00</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72559132-X</w:t>
            </w:r>
          </w:p>
        </w:tc>
      </w:tr>
      <w:tr>
        <w:trPr>
          <w:trHeight w:val="1091" w:hRule="exact"/>
        </w:trPr>
        <w:tc>
          <w:tcPr>
            <w:tcW w:w="1622" w:type="dxa"/>
            <w:tcBorders>
              <w:top w:val="single" w:sz="4" w:space="0" w:color="000000"/>
              <w:left w:val="nil" w:sz="6" w:space="0" w:color="auto"/>
              <w:bottom w:val="single" w:sz="4" w:space="0" w:color="000000"/>
              <w:right w:val="single" w:sz="4" w:space="0" w:color="000000"/>
            </w:tcBorders>
          </w:tcPr>
          <w:p>
            <w:pPr>
              <w:pStyle w:val="TableParagraph"/>
              <w:spacing w:line="410" w:lineRule="auto" w:before="135"/>
              <w:ind w:left="398" w:right="167" w:hanging="210"/>
              <w:jc w:val="left"/>
              <w:rPr>
                <w:rFonts w:ascii="宋体" w:hAnsi="宋体" w:cs="宋体" w:eastAsia="宋体" w:hint="default"/>
                <w:sz w:val="21"/>
                <w:szCs w:val="21"/>
              </w:rPr>
            </w:pPr>
            <w:r>
              <w:rPr>
                <w:rFonts w:ascii="宋体" w:hAnsi="宋体" w:cs="宋体" w:eastAsia="宋体" w:hint="default"/>
                <w:sz w:val="21"/>
                <w:szCs w:val="21"/>
              </w:rPr>
              <w:t>兖州海情置业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444" w:lineRule="auto" w:before="116"/>
              <w:ind w:left="128" w:right="127" w:firstLine="105"/>
              <w:jc w:val="left"/>
              <w:rPr>
                <w:rFonts w:ascii="宋体" w:hAnsi="宋体" w:cs="宋体" w:eastAsia="宋体" w:hint="default"/>
                <w:sz w:val="21"/>
                <w:szCs w:val="21"/>
              </w:rPr>
            </w:pPr>
            <w:r>
              <w:rPr>
                <w:rFonts w:ascii="宋体" w:hAnsi="宋体" w:cs="宋体" w:eastAsia="宋体" w:hint="default"/>
                <w:sz w:val="21"/>
                <w:szCs w:val="21"/>
              </w:rPr>
              <w:t>控股 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410" w:lineRule="auto" w:before="135"/>
              <w:ind w:left="145" w:right="143"/>
              <w:jc w:val="left"/>
              <w:rPr>
                <w:rFonts w:ascii="宋体" w:hAnsi="宋体" w:cs="宋体" w:eastAsia="宋体" w:hint="default"/>
                <w:sz w:val="21"/>
                <w:szCs w:val="21"/>
              </w:rPr>
            </w:pPr>
            <w:r>
              <w:rPr>
                <w:rFonts w:ascii="宋体" w:hAnsi="宋体" w:cs="宋体" w:eastAsia="宋体" w:hint="default"/>
                <w:sz w:val="21"/>
                <w:szCs w:val="21"/>
              </w:rPr>
              <w:t>有限 责任</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0"/>
              <w:jc w:val="right"/>
              <w:rPr>
                <w:rFonts w:ascii="宋体" w:hAnsi="宋体" w:cs="宋体" w:eastAsia="宋体" w:hint="default"/>
                <w:sz w:val="21"/>
                <w:szCs w:val="21"/>
              </w:rPr>
            </w:pPr>
            <w:r>
              <w:rPr>
                <w:rFonts w:ascii="宋体" w:hAnsi="宋体" w:cs="宋体" w:eastAsia="宋体" w:hint="default"/>
                <w:sz w:val="21"/>
                <w:szCs w:val="21"/>
              </w:rPr>
              <w:t>兖州</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姜剑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500" w:lineRule="atLeast" w:before="8"/>
              <w:ind w:left="235" w:right="127" w:hanging="105"/>
              <w:jc w:val="left"/>
              <w:rPr>
                <w:rFonts w:ascii="宋体" w:hAnsi="宋体" w:cs="宋体" w:eastAsia="宋体" w:hint="default"/>
                <w:sz w:val="21"/>
                <w:szCs w:val="21"/>
              </w:rPr>
            </w:pPr>
            <w:r>
              <w:rPr>
                <w:rFonts w:ascii="宋体" w:hAnsi="宋体" w:cs="宋体" w:eastAsia="宋体" w:hint="default"/>
                <w:sz w:val="21"/>
                <w:szCs w:val="21"/>
              </w:rPr>
              <w:t>房地产 开发</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8" w:right="0"/>
              <w:jc w:val="left"/>
              <w:rPr>
                <w:rFonts w:ascii="Times New Roman" w:hAnsi="Times New Roman" w:cs="Times New Roman" w:eastAsia="Times New Roman" w:hint="default"/>
                <w:sz w:val="21"/>
                <w:szCs w:val="21"/>
              </w:rPr>
            </w:pPr>
            <w:r>
              <w:rPr>
                <w:rFonts w:ascii="Times New Roman"/>
                <w:sz w:val="21"/>
              </w:rPr>
              <w:t>90.00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9" w:right="0"/>
              <w:jc w:val="left"/>
              <w:rPr>
                <w:rFonts w:ascii="Times New Roman" w:hAnsi="Times New Roman" w:cs="Times New Roman" w:eastAsia="Times New Roman" w:hint="default"/>
                <w:sz w:val="21"/>
                <w:szCs w:val="21"/>
              </w:rPr>
            </w:pPr>
            <w:r>
              <w:rPr>
                <w:rFonts w:ascii="Times New Roman"/>
                <w:sz w:val="21"/>
              </w:rPr>
              <w:t>90.00</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69967797-0</w:t>
            </w:r>
          </w:p>
        </w:tc>
      </w:tr>
    </w:tbl>
    <w:p>
      <w:pPr>
        <w:spacing w:before="63"/>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、本企业的其他关联方情况</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3133"/>
        <w:gridCol w:w="4976"/>
        <w:gridCol w:w="1544"/>
      </w:tblGrid>
      <w:tr>
        <w:trPr>
          <w:trHeight w:val="5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3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89"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青岛亚星实业有限公司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控股股东</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26459132-6</w:t>
            </w:r>
          </w:p>
        </w:tc>
      </w:tr>
      <w:tr>
        <w:trPr>
          <w:trHeight w:val="4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青岛亚星置业有限公司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受同一控股股东控制</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sz w:val="21"/>
              </w:rPr>
              <w:t>71807662-9</w:t>
            </w:r>
          </w:p>
        </w:tc>
      </w:tr>
      <w:tr>
        <w:trPr>
          <w:trHeight w:val="41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青岛亚星投资有限公司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受同一控股股东控制</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sz w:val="21"/>
              </w:rPr>
              <w:t>74036022-0</w:t>
            </w:r>
          </w:p>
        </w:tc>
      </w:tr>
      <w:tr>
        <w:trPr>
          <w:trHeight w:val="654"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青岛美丰置业有限公司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受同一控股股东控制</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79080041-5</w:t>
            </w:r>
          </w:p>
        </w:tc>
      </w:tr>
      <w:tr>
        <w:trPr>
          <w:trHeight w:val="655"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绵阳亿嘉和投资有限公司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受同一控股股东控制</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68612416-2</w:t>
            </w:r>
          </w:p>
        </w:tc>
      </w:tr>
      <w:tr>
        <w:trPr>
          <w:trHeight w:val="655"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青岛嘉合福远置业有限公司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受同一控股股东控制</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68675275-9</w:t>
            </w:r>
          </w:p>
        </w:tc>
      </w:tr>
      <w:tr>
        <w:trPr>
          <w:trHeight w:val="655"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青岛亿合福远置业有限公司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受同一控股股东控制</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68675272-4</w:t>
            </w:r>
          </w:p>
        </w:tc>
      </w:tr>
      <w:tr>
        <w:trPr>
          <w:trHeight w:val="5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北京天和致远投资有限公司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本公司最终控制方</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66314249-9</w:t>
            </w:r>
          </w:p>
        </w:tc>
      </w:tr>
      <w:tr>
        <w:trPr>
          <w:trHeight w:val="59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北京信泽智恒投资有限公司</w:t>
            </w:r>
          </w:p>
        </w:tc>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控股股东之母公司</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66248142-1</w:t>
            </w:r>
          </w:p>
        </w:tc>
      </w:tr>
    </w:tbl>
    <w:p>
      <w:pPr>
        <w:spacing w:line="386" w:lineRule="auto" w:before="63"/>
        <w:ind w:left="574" w:right="7956"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、关联交易情况 关联担保情况</w:t>
      </w:r>
    </w:p>
    <w:p>
      <w:pPr>
        <w:spacing w:before="65"/>
        <w:ind w:left="0" w:right="3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1"/>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1124"/>
        <w:gridCol w:w="1546"/>
        <w:gridCol w:w="1268"/>
        <w:gridCol w:w="1224"/>
        <w:gridCol w:w="1224"/>
        <w:gridCol w:w="3326"/>
      </w:tblGrid>
      <w:tr>
        <w:trPr>
          <w:trHeight w:val="590"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1090"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8"/>
              <w:ind w:left="44" w:right="23"/>
              <w:jc w:val="left"/>
              <w:rPr>
                <w:rFonts w:ascii="宋体" w:hAnsi="宋体" w:cs="宋体" w:eastAsia="宋体" w:hint="default"/>
                <w:sz w:val="21"/>
                <w:szCs w:val="21"/>
              </w:rPr>
            </w:pPr>
            <w:r>
              <w:rPr>
                <w:rFonts w:ascii="宋体" w:hAnsi="宋体" w:cs="宋体" w:eastAsia="宋体" w:hint="default"/>
                <w:sz w:val="21"/>
                <w:szCs w:val="21"/>
              </w:rPr>
              <w:t>青岛亚星实 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36,370,842.28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2009.12.31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结清贷款</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947"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3"/>
              <w:ind w:left="44" w:right="23"/>
              <w:jc w:val="left"/>
              <w:rPr>
                <w:rFonts w:ascii="宋体" w:hAnsi="宋体" w:cs="宋体" w:eastAsia="宋体" w:hint="default"/>
                <w:sz w:val="21"/>
                <w:szCs w:val="21"/>
              </w:rPr>
            </w:pPr>
            <w:r>
              <w:rPr>
                <w:rFonts w:ascii="宋体" w:hAnsi="宋体" w:cs="宋体" w:eastAsia="宋体" w:hint="default"/>
                <w:sz w:val="21"/>
                <w:szCs w:val="21"/>
              </w:rPr>
              <w:t>青岛亚星实 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452" w:right="31" w:hanging="420"/>
              <w:jc w:val="left"/>
              <w:rPr>
                <w:rFonts w:ascii="宋体" w:hAnsi="宋体" w:cs="宋体" w:eastAsia="宋体" w:hint="default"/>
                <w:sz w:val="21"/>
                <w:szCs w:val="21"/>
              </w:rPr>
            </w:pPr>
            <w:r>
              <w:rPr>
                <w:rFonts w:ascii="宋体" w:hAnsi="宋体" w:cs="宋体" w:eastAsia="宋体" w:hint="default"/>
                <w:sz w:val="21"/>
                <w:szCs w:val="21"/>
              </w:rPr>
              <w:t>兖州海情置业有 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2009.8.26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2011.8.25</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78"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1"/>
                <w:szCs w:val="21"/>
              </w:rPr>
            </w:pPr>
            <w:r>
              <w:rPr>
                <w:rFonts w:ascii="宋体" w:hAnsi="宋体" w:cs="宋体" w:eastAsia="宋体" w:hint="default"/>
                <w:sz w:val="21"/>
                <w:szCs w:val="21"/>
              </w:rPr>
              <w:t>青岛亚星实</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青岛广顺房地产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69,000,000.00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2009.3.31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2012.3.23</w:t>
            </w:r>
          </w:p>
        </w:tc>
        <w:tc>
          <w:tcPr>
            <w:tcW w:w="33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0" w:footer="941" w:top="1100" w:bottom="1140" w:left="980" w:right="80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124"/>
        <w:gridCol w:w="1546"/>
        <w:gridCol w:w="1268"/>
        <w:gridCol w:w="1224"/>
        <w:gridCol w:w="1224"/>
        <w:gridCol w:w="3326"/>
      </w:tblGrid>
      <w:tr>
        <w:trPr>
          <w:trHeight w:val="479" w:hRule="exact"/>
        </w:trPr>
        <w:tc>
          <w:tcPr>
            <w:tcW w:w="1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4"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4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3326" w:type="dxa"/>
            <w:tcBorders>
              <w:top w:val="single" w:sz="4" w:space="0" w:color="000000"/>
              <w:left w:val="single" w:sz="4" w:space="0" w:color="000000"/>
              <w:bottom w:val="single" w:sz="4" w:space="0" w:color="000000"/>
              <w:right w:val="nil" w:sz="6" w:space="0" w:color="auto"/>
            </w:tcBorders>
          </w:tcPr>
          <w:p>
            <w:pPr/>
          </w:p>
        </w:tc>
      </w:tr>
    </w:tbl>
    <w:p>
      <w:pPr>
        <w:spacing w:before="63"/>
        <w:ind w:left="574" w:right="2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、关联方应收应付款项</w:t>
      </w:r>
    </w:p>
    <w:p>
      <w:pPr>
        <w:spacing w:line="240" w:lineRule="auto" w:before="11"/>
        <w:rPr>
          <w:rFonts w:ascii="宋体" w:hAnsi="宋体" w:cs="宋体" w:eastAsia="宋体" w:hint="default"/>
          <w:sz w:val="10"/>
          <w:szCs w:val="10"/>
        </w:rPr>
      </w:pPr>
    </w:p>
    <w:p>
      <w:pPr>
        <w:spacing w:before="35"/>
        <w:ind w:left="0" w:right="20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2314"/>
        <w:gridCol w:w="2694"/>
        <w:gridCol w:w="2267"/>
        <w:gridCol w:w="2438"/>
      </w:tblGrid>
      <w:tr>
        <w:trPr>
          <w:trHeight w:val="47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0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94"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47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方正延中传媒有限公司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21"/>
                <w:szCs w:val="21"/>
              </w:rPr>
            </w:pPr>
            <w:r>
              <w:rPr>
                <w:rFonts w:ascii="Times New Roman"/>
                <w:spacing w:val="-1"/>
                <w:sz w:val="21"/>
              </w:rPr>
              <w:t>27,198.72</w:t>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21"/>
                <w:szCs w:val="21"/>
              </w:rPr>
            </w:pPr>
            <w:r>
              <w:rPr>
                <w:rFonts w:ascii="Times New Roman"/>
                <w:spacing w:val="-1"/>
                <w:sz w:val="21"/>
              </w:rPr>
              <w:t>27,198.72</w:t>
            </w:r>
          </w:p>
        </w:tc>
      </w:tr>
      <w:tr>
        <w:trPr>
          <w:trHeight w:val="47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青岛亚星置业有限公司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21"/>
                <w:szCs w:val="21"/>
              </w:rPr>
            </w:pPr>
            <w:r>
              <w:rPr>
                <w:rFonts w:ascii="Times New Roman"/>
                <w:spacing w:val="-1"/>
                <w:sz w:val="21"/>
              </w:rPr>
              <w:t>26,741,982.42</w:t>
            </w:r>
          </w:p>
        </w:tc>
      </w:tr>
      <w:tr>
        <w:trPr>
          <w:trHeight w:val="47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青岛亚星投资有限公司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21"/>
                <w:szCs w:val="21"/>
              </w:rPr>
            </w:pPr>
            <w:r>
              <w:rPr>
                <w:rFonts w:ascii="Times New Roman"/>
                <w:spacing w:val="-1"/>
                <w:sz w:val="21"/>
              </w:rPr>
              <w:t>16,549,930.78</w:t>
            </w:r>
          </w:p>
        </w:tc>
      </w:tr>
      <w:tr>
        <w:trPr>
          <w:trHeight w:val="47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青岛嘉合福远置业有限公司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21"/>
                <w:szCs w:val="21"/>
              </w:rPr>
            </w:pPr>
            <w:r>
              <w:rPr>
                <w:rFonts w:ascii="Times New Roman"/>
                <w:spacing w:val="-1"/>
                <w:sz w:val="21"/>
              </w:rPr>
              <w:t>20,058,900.80</w:t>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青岛亚星实业有限公司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1"/>
                <w:szCs w:val="21"/>
              </w:rPr>
            </w:pPr>
            <w:r>
              <w:rPr>
                <w:rFonts w:ascii="Times New Roman"/>
                <w:spacing w:val="-1"/>
                <w:sz w:val="21"/>
              </w:rPr>
              <w:t>5,822,542.91</w:t>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21"/>
                <w:szCs w:val="21"/>
              </w:rPr>
            </w:pPr>
            <w:r>
              <w:rPr>
                <w:rFonts w:ascii="Times New Roman"/>
                <w:spacing w:val="-1"/>
                <w:sz w:val="21"/>
              </w:rPr>
              <w:t>27,128,000.00</w:t>
            </w:r>
          </w:p>
        </w:tc>
      </w:tr>
      <w:tr>
        <w:trPr>
          <w:trHeight w:val="478"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青岛美丰置业有限公司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21"/>
                <w:szCs w:val="21"/>
              </w:rPr>
            </w:pPr>
            <w:r>
              <w:rPr>
                <w:rFonts w:ascii="Times New Roman"/>
                <w:spacing w:val="-1"/>
                <w:sz w:val="21"/>
              </w:rPr>
              <w:t>5,718,541.25</w:t>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9" w:hRule="exact"/>
        </w:trPr>
        <w:tc>
          <w:tcPr>
            <w:tcW w:w="2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方正延中传媒有限公司</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Times New Roman" w:hAnsi="Times New Roman" w:cs="Times New Roman" w:eastAsia="Times New Roman" w:hint="default"/>
                <w:sz w:val="21"/>
                <w:szCs w:val="21"/>
              </w:rPr>
            </w:pPr>
            <w:r>
              <w:rPr>
                <w:rFonts w:ascii="Times New Roman"/>
                <w:spacing w:val="-1"/>
                <w:sz w:val="21"/>
              </w:rPr>
              <w:t>422,122.00</w:t>
            </w:r>
            <w:r>
              <w:rPr>
                <w:rFonts w:ascii="Times New Roman"/>
                <w:sz w:val="21"/>
              </w:rPr>
            </w:r>
          </w:p>
        </w:tc>
        <w:tc>
          <w:tcPr>
            <w:tcW w:w="2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9"/>
              <w:jc w:val="right"/>
              <w:rPr>
                <w:rFonts w:ascii="Times New Roman" w:hAnsi="Times New Roman" w:cs="Times New Roman" w:eastAsia="Times New Roman" w:hint="default"/>
                <w:sz w:val="21"/>
                <w:szCs w:val="21"/>
              </w:rPr>
            </w:pPr>
            <w:r>
              <w:rPr>
                <w:rFonts w:ascii="Times New Roman"/>
                <w:spacing w:val="-1"/>
                <w:sz w:val="21"/>
              </w:rPr>
              <w:t>422,122.00</w:t>
            </w:r>
            <w:r>
              <w:rPr>
                <w:rFonts w:ascii="Times New Roman"/>
                <w:sz w:val="21"/>
              </w:rPr>
            </w:r>
          </w:p>
        </w:tc>
      </w:tr>
    </w:tbl>
    <w:p>
      <w:pPr>
        <w:spacing w:line="240" w:lineRule="auto" w:before="6"/>
        <w:rPr>
          <w:rFonts w:ascii="宋体" w:hAnsi="宋体" w:cs="宋体" w:eastAsia="宋体" w:hint="default"/>
          <w:sz w:val="9"/>
          <w:szCs w:val="9"/>
        </w:rPr>
      </w:pPr>
    </w:p>
    <w:p>
      <w:pPr>
        <w:pStyle w:val="BodyText"/>
        <w:spacing w:line="240" w:lineRule="auto" w:before="26"/>
        <w:ind w:left="634" w:right="209"/>
        <w:jc w:val="left"/>
      </w:pPr>
      <w:r>
        <w:rPr/>
        <w:t>七、或有事项</w:t>
      </w:r>
    </w:p>
    <w:p>
      <w:pPr>
        <w:spacing w:line="386" w:lineRule="auto" w:before="99"/>
        <w:ind w:left="153" w:right="21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、深大通为深圳益生堂在上海浦东发展银行深圳红荔路支行</w:t>
      </w:r>
      <w:r>
        <w:rPr>
          <w:rFonts w:ascii="Times New Roman" w:hAnsi="Times New Roman" w:cs="Times New Roman" w:eastAsia="Times New Roman" w:hint="default"/>
          <w:sz w:val="21"/>
          <w:szCs w:val="21"/>
        </w:rPr>
        <w:t>(</w:t>
      </w:r>
      <w:r>
        <w:rPr>
          <w:rFonts w:ascii="宋体" w:hAnsi="宋体" w:cs="宋体" w:eastAsia="宋体" w:hint="default"/>
          <w:sz w:val="21"/>
          <w:szCs w:val="21"/>
        </w:rPr>
        <w:t>现更名为上海浦东发展银行股份有限公 司深圳凤凰大厦支行</w:t>
      </w:r>
      <w:r>
        <w:rPr>
          <w:rFonts w:ascii="Times New Roman" w:hAnsi="Times New Roman" w:cs="Times New Roman" w:eastAsia="Times New Roman" w:hint="default"/>
          <w:sz w:val="21"/>
          <w:szCs w:val="21"/>
        </w:rPr>
        <w:t>)</w:t>
      </w:r>
      <w:r>
        <w:rPr>
          <w:rFonts w:ascii="宋体" w:hAnsi="宋体" w:cs="宋体" w:eastAsia="宋体" w:hint="default"/>
          <w:sz w:val="21"/>
          <w:szCs w:val="21"/>
        </w:rPr>
        <w:t>贷款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万元提供担保，上海浦东发展银行深圳红荔路支行在深圳市中级人民法院</w:t>
      </w: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诉益生堂</w:t>
      </w:r>
      <w:r>
        <w:rPr>
          <w:rFonts w:ascii="宋体" w:hAnsi="宋体" w:cs="宋体" w:eastAsia="宋体" w:hint="default"/>
          <w:spacing w:val="-90"/>
          <w:sz w:val="21"/>
          <w:szCs w:val="21"/>
        </w:rPr>
        <w:t>、</w:t>
      </w:r>
      <w:r>
        <w:rPr>
          <w:rFonts w:ascii="宋体" w:hAnsi="宋体" w:cs="宋体" w:eastAsia="宋体" w:hint="default"/>
          <w:sz w:val="21"/>
          <w:szCs w:val="21"/>
        </w:rPr>
        <w:t>深大通借款担保合同纠纷案涉及本金</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 </w:t>
      </w:r>
      <w:r>
        <w:rPr>
          <w:rFonts w:ascii="宋体" w:hAnsi="宋体" w:cs="宋体" w:eastAsia="宋体" w:hint="default"/>
          <w:sz w:val="21"/>
          <w:szCs w:val="21"/>
        </w:rPr>
        <w:t>万元及</w:t>
      </w:r>
      <w:r>
        <w:rPr>
          <w:rFonts w:ascii="宋体" w:hAnsi="宋体" w:cs="宋体" w:eastAsia="宋体" w:hint="default"/>
          <w:spacing w:val="-2"/>
          <w:sz w:val="21"/>
          <w:szCs w:val="21"/>
        </w:rPr>
        <w:t>利</w:t>
      </w:r>
      <w:r>
        <w:rPr>
          <w:rFonts w:ascii="宋体" w:hAnsi="宋体" w:cs="宋体" w:eastAsia="宋体" w:hint="default"/>
          <w:sz w:val="21"/>
          <w:szCs w:val="21"/>
        </w:rPr>
        <w:t>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pacing w:val="-90"/>
          <w:sz w:val="21"/>
          <w:szCs w:val="21"/>
        </w:rPr>
        <w:t>，</w:t>
      </w:r>
      <w:r>
        <w:rPr>
          <w:rFonts w:ascii="宋体" w:hAnsi="宋体" w:cs="宋体" w:eastAsia="宋体" w:hint="default"/>
          <w:sz w:val="21"/>
          <w:szCs w:val="21"/>
        </w:rPr>
        <w:t>已经法院立案并正在审理中。</w:t>
      </w:r>
    </w:p>
    <w:p>
      <w:pPr>
        <w:spacing w:line="393" w:lineRule="auto" w:before="177"/>
        <w:ind w:left="153" w:right="18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日，青岛亚星实业有限公司、深圳大通实业股份有限公司、上海浦东发展银行股份有 </w:t>
      </w:r>
      <w:r>
        <w:rPr>
          <w:rFonts w:ascii="宋体" w:hAnsi="宋体" w:cs="宋体" w:eastAsia="宋体" w:hint="default"/>
          <w:spacing w:val="-1"/>
          <w:sz w:val="21"/>
          <w:szCs w:val="21"/>
        </w:rPr>
        <w:t>限公司深圳凤凰大厦支行、上海文慧投资有限公司、上海港银投资管理有限公司及其他相关各方包括河南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方正信息技术有限公司、深圳市益生堂药业有限公司和创益生物科技有限公司签署了浦银深保字（</w:t>
      </w:r>
      <w:r>
        <w:rPr>
          <w:rFonts w:ascii="Times New Roman" w:hAnsi="Times New Roman" w:cs="Times New Roman" w:eastAsia="Times New Roman" w:hint="default"/>
          <w:sz w:val="21"/>
          <w:szCs w:val="21"/>
        </w:rPr>
        <w:t>2008</w:t>
      </w:r>
      <w:r>
        <w:rPr>
          <w:rFonts w:ascii="宋体" w:hAnsi="宋体" w:cs="宋体" w:eastAsia="宋体" w:hint="default"/>
          <w:sz w:val="21"/>
          <w:szCs w:val="21"/>
        </w:rPr>
        <w:t>） 第 </w:t>
      </w:r>
      <w:r>
        <w:rPr>
          <w:rFonts w:ascii="Times New Roman" w:hAnsi="Times New Roman" w:cs="Times New Roman" w:eastAsia="Times New Roman" w:hint="default"/>
          <w:sz w:val="21"/>
          <w:szCs w:val="21"/>
        </w:rPr>
        <w:t>001</w:t>
      </w:r>
      <w:r>
        <w:rPr>
          <w:rFonts w:ascii="Times New Roman" w:hAnsi="Times New Roman" w:cs="Times New Roman" w:eastAsia="Times New Roman" w:hint="default"/>
          <w:spacing w:val="49"/>
          <w:sz w:val="21"/>
          <w:szCs w:val="21"/>
        </w:rPr>
        <w:t> </w:t>
      </w:r>
      <w:r>
        <w:rPr>
          <w:rFonts w:ascii="宋体" w:hAnsi="宋体" w:cs="宋体" w:eastAsia="宋体" w:hint="default"/>
          <w:spacing w:val="-3"/>
          <w:sz w:val="21"/>
          <w:szCs w:val="21"/>
        </w:rPr>
        <w:t>号《协议书》，在满足约定条件下，上海浦东发展银行股份有限公司深圳凤凰大厦支行同意免除深</w:t>
      </w:r>
    </w:p>
    <w:p>
      <w:pPr>
        <w:spacing w:line="386" w:lineRule="auto" w:before="28"/>
        <w:ind w:left="153" w:right="196" w:firstLine="0"/>
        <w:jc w:val="left"/>
        <w:rPr>
          <w:rFonts w:ascii="宋体" w:hAnsi="宋体" w:cs="宋体" w:eastAsia="宋体" w:hint="default"/>
          <w:sz w:val="21"/>
          <w:szCs w:val="21"/>
        </w:rPr>
      </w:pPr>
      <w:r>
        <w:rPr>
          <w:rFonts w:ascii="宋体" w:hAnsi="宋体" w:cs="宋体" w:eastAsia="宋体" w:hint="default"/>
          <w:sz w:val="21"/>
          <w:szCs w:val="21"/>
        </w:rPr>
        <w:t>圳大通实业股份有限公司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万元的担保责任，并撤回相关诉讼。目前约定条件尚未满足，浦发银行尚 未撤回相关诉讼。</w:t>
      </w:r>
    </w:p>
    <w:p>
      <w:pPr>
        <w:spacing w:line="386" w:lineRule="auto" w:before="65"/>
        <w:ind w:left="153" w:right="208" w:firstLine="419"/>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、中联实业股份有限公司诉深大通、深圳益生堂生物企业有限公司</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益生堂</w:t>
      </w:r>
      <w:r>
        <w:rPr>
          <w:rFonts w:ascii="Times New Roman" w:hAnsi="Times New Roman" w:cs="Times New Roman" w:eastAsia="Times New Roman" w:hint="default"/>
          <w:sz w:val="21"/>
          <w:szCs w:val="21"/>
        </w:rPr>
        <w:t>”)</w:t>
      </w:r>
      <w:r>
        <w:rPr>
          <w:rFonts w:ascii="宋体" w:hAnsi="宋体" w:cs="宋体" w:eastAsia="宋体" w:hint="default"/>
          <w:sz w:val="21"/>
          <w:szCs w:val="21"/>
        </w:rPr>
        <w:t>反担保合同 </w:t>
      </w:r>
      <w:r>
        <w:rPr>
          <w:rFonts w:ascii="宋体" w:hAnsi="宋体" w:cs="宋体" w:eastAsia="宋体" w:hint="default"/>
          <w:spacing w:val="-8"/>
          <w:sz w:val="21"/>
          <w:szCs w:val="21"/>
        </w:rPr>
        <w:t>纠纷上诉案（民生银行深圳分行（</w:t>
      </w:r>
      <w:r>
        <w:rPr>
          <w:rFonts w:ascii="Times New Roman" w:hAnsi="Times New Roman" w:cs="Times New Roman" w:eastAsia="Times New Roman" w:hint="default"/>
          <w:spacing w:val="-8"/>
          <w:sz w:val="21"/>
          <w:szCs w:val="21"/>
        </w:rPr>
        <w:t>2004</w:t>
      </w:r>
      <w:r>
        <w:rPr>
          <w:rFonts w:ascii="宋体" w:hAnsi="宋体" w:cs="宋体" w:eastAsia="宋体" w:hint="default"/>
          <w:spacing w:val="-8"/>
          <w:sz w:val="21"/>
          <w:szCs w:val="21"/>
        </w:rPr>
        <w:t>）年深振业贷字（</w:t>
      </w:r>
      <w:r>
        <w:rPr>
          <w:rFonts w:ascii="Times New Roman" w:hAnsi="Times New Roman" w:cs="Times New Roman" w:eastAsia="Times New Roman" w:hint="default"/>
          <w:spacing w:val="-8"/>
          <w:sz w:val="21"/>
          <w:szCs w:val="21"/>
        </w:rPr>
        <w:t>027</w:t>
      </w:r>
      <w:r>
        <w:rPr>
          <w:rFonts w:ascii="Times New Roman" w:hAnsi="Times New Roman" w:cs="Times New Roman" w:eastAsia="Times New Roman" w:hint="default"/>
          <w:sz w:val="21"/>
          <w:szCs w:val="21"/>
        </w:rPr>
        <w:t> </w:t>
      </w:r>
      <w:r>
        <w:rPr>
          <w:rFonts w:ascii="宋体" w:hAnsi="宋体" w:cs="宋体" w:eastAsia="宋体" w:hint="default"/>
          <w:spacing w:val="-12"/>
          <w:sz w:val="21"/>
          <w:szCs w:val="21"/>
        </w:rPr>
        <w:t>号</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）《保证合同》和光大银行深南支行</w:t>
      </w:r>
      <w:r>
        <w:rPr>
          <w:rFonts w:ascii="宋体" w:hAnsi="宋体" w:cs="宋体" w:eastAsia="宋体" w:hint="default"/>
          <w:spacing w:val="-34"/>
          <w:sz w:val="21"/>
          <w:szCs w:val="21"/>
        </w:rPr>
        <w:t> </w:t>
      </w:r>
      <w:r>
        <w:rPr>
          <w:rFonts w:ascii="Times New Roman" w:hAnsi="Times New Roman" w:cs="Times New Roman" w:eastAsia="Times New Roman" w:hint="default"/>
          <w:spacing w:val="-1"/>
          <w:sz w:val="21"/>
          <w:szCs w:val="21"/>
        </w:rPr>
        <w:t>03022</w:t>
      </w:r>
    </w:p>
    <w:p>
      <w:pPr>
        <w:spacing w:before="35"/>
        <w:ind w:left="153" w:right="0" w:firstLine="0"/>
        <w:jc w:val="left"/>
        <w:rPr>
          <w:rFonts w:ascii="宋体" w:hAnsi="宋体" w:cs="宋体" w:eastAsia="宋体" w:hint="default"/>
          <w:sz w:val="21"/>
          <w:szCs w:val="21"/>
        </w:rPr>
      </w:pPr>
      <w:r>
        <w:rPr>
          <w:rFonts w:ascii="宋体" w:hAnsi="宋体" w:cs="宋体" w:eastAsia="宋体" w:hint="default"/>
          <w:spacing w:val="-68"/>
          <w:sz w:val="21"/>
          <w:szCs w:val="21"/>
        </w:rPr>
        <w:t>号</w:t>
      </w:r>
      <w:r>
        <w:rPr>
          <w:rFonts w:ascii="宋体" w:hAnsi="宋体" w:cs="宋体" w:eastAsia="宋体" w:hint="default"/>
          <w:sz w:val="21"/>
          <w:szCs w:val="21"/>
        </w:rPr>
        <w:t>《最高额保证合同</w:t>
      </w:r>
      <w:r>
        <w:rPr>
          <w:rFonts w:ascii="宋体" w:hAnsi="宋体" w:cs="宋体" w:eastAsia="宋体" w:hint="default"/>
          <w:spacing w:val="-105"/>
          <w:sz w:val="21"/>
          <w:szCs w:val="21"/>
        </w:rPr>
        <w:t>》）</w:t>
      </w:r>
      <w:r>
        <w:rPr>
          <w:rFonts w:ascii="宋体" w:hAnsi="宋体" w:cs="宋体" w:eastAsia="宋体" w:hint="default"/>
          <w:spacing w:val="-68"/>
          <w:sz w:val="21"/>
          <w:szCs w:val="21"/>
        </w:rPr>
        <w:t>，</w:t>
      </w:r>
      <w:r>
        <w:rPr>
          <w:rFonts w:ascii="宋体" w:hAnsi="宋体" w:cs="宋体" w:eastAsia="宋体" w:hint="default"/>
          <w:spacing w:val="-2"/>
          <w:sz w:val="21"/>
          <w:szCs w:val="21"/>
        </w:rPr>
        <w:t>涉</w:t>
      </w:r>
      <w:r>
        <w:rPr>
          <w:rFonts w:ascii="宋体" w:hAnsi="宋体" w:cs="宋体" w:eastAsia="宋体" w:hint="default"/>
          <w:sz w:val="21"/>
          <w:szCs w:val="21"/>
        </w:rPr>
        <w:t>及担保金额为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宋体" w:hAnsi="宋体" w:cs="宋体" w:eastAsia="宋体" w:hint="default"/>
          <w:spacing w:val="-68"/>
          <w:sz w:val="21"/>
          <w:szCs w:val="21"/>
        </w:rPr>
        <w:t>，</w:t>
      </w:r>
      <w:r>
        <w:rPr>
          <w:rFonts w:ascii="宋体" w:hAnsi="宋体" w:cs="宋体" w:eastAsia="宋体" w:hint="default"/>
          <w:sz w:val="21"/>
          <w:szCs w:val="21"/>
        </w:rPr>
        <w:t>已经深圳市中级人民法院立案受</w:t>
      </w:r>
      <w:r>
        <w:rPr>
          <w:rFonts w:ascii="宋体" w:hAnsi="宋体" w:cs="宋体" w:eastAsia="宋体" w:hint="default"/>
          <w:spacing w:val="-68"/>
          <w:sz w:val="21"/>
          <w:szCs w:val="21"/>
        </w:rPr>
        <w:t>理</w:t>
      </w:r>
      <w:r>
        <w:rPr>
          <w:rFonts w:ascii="宋体" w:hAnsi="宋体" w:cs="宋体" w:eastAsia="宋体" w:hint="default"/>
          <w:sz w:val="21"/>
          <w:szCs w:val="21"/>
        </w:rPr>
        <w:t>（案号为</w:t>
      </w:r>
      <w:r>
        <w:rPr>
          <w:rFonts w:ascii="宋体" w:hAnsi="宋体" w:cs="宋体" w:eastAsia="宋体" w:hint="default"/>
          <w:spacing w:val="-173"/>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7</w:t>
      </w:r>
      <w:r>
        <w:rPr>
          <w:rFonts w:ascii="宋体" w:hAnsi="宋体" w:cs="宋体" w:eastAsia="宋体" w:hint="default"/>
          <w:sz w:val="21"/>
          <w:szCs w:val="21"/>
        </w:rPr>
        <w:t>）</w:t>
      </w:r>
    </w:p>
    <w:p>
      <w:pPr>
        <w:spacing w:line="386" w:lineRule="auto" w:before="177"/>
        <w:ind w:left="573" w:right="209" w:hanging="420"/>
        <w:jc w:val="left"/>
        <w:rPr>
          <w:rFonts w:ascii="宋体" w:hAnsi="宋体" w:cs="宋体" w:eastAsia="宋体" w:hint="default"/>
          <w:sz w:val="21"/>
          <w:szCs w:val="21"/>
        </w:rPr>
      </w:pPr>
      <w:r>
        <w:rPr>
          <w:rFonts w:ascii="宋体" w:hAnsi="宋体" w:cs="宋体" w:eastAsia="宋体" w:hint="default"/>
          <w:sz w:val="21"/>
          <w:szCs w:val="21"/>
        </w:rPr>
        <w:t>深中法民二终字第</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820 </w:t>
      </w:r>
      <w:r>
        <w:rPr>
          <w:rFonts w:ascii="宋体" w:hAnsi="宋体" w:cs="宋体" w:eastAsia="宋体" w:hint="default"/>
          <w:spacing w:val="-35"/>
          <w:sz w:val="21"/>
          <w:szCs w:val="21"/>
        </w:rPr>
        <w:t>号）。</w:t>
      </w:r>
      <w:r>
        <w:rPr>
          <w:rFonts w:ascii="宋体" w:hAnsi="宋体" w:cs="宋体" w:eastAsia="宋体" w:hint="default"/>
          <w:sz w:val="21"/>
          <w:szCs w:val="21"/>
        </w:rPr>
        <w:t> </w:t>
      </w:r>
      <w:r>
        <w:rPr>
          <w:rFonts w:ascii="宋体" w:hAnsi="宋体" w:cs="宋体" w:eastAsia="宋体" w:hint="default"/>
          <w:spacing w:val="-1"/>
          <w:sz w:val="21"/>
          <w:szCs w:val="21"/>
        </w:rPr>
        <w:t>中联实业股份有限公司诉深大通、益生堂反担保合同纠纷案（民生银行深圳分行（</w:t>
      </w:r>
      <w:r>
        <w:rPr>
          <w:rFonts w:ascii="Times New Roman" w:hAnsi="Times New Roman" w:cs="Times New Roman" w:eastAsia="Times New Roman" w:hint="default"/>
          <w:spacing w:val="-1"/>
          <w:sz w:val="21"/>
          <w:szCs w:val="21"/>
        </w:rPr>
        <w:t>2004</w:t>
      </w:r>
      <w:r>
        <w:rPr>
          <w:rFonts w:ascii="宋体" w:hAnsi="宋体" w:cs="宋体" w:eastAsia="宋体" w:hint="default"/>
          <w:spacing w:val="-1"/>
          <w:sz w:val="21"/>
          <w:szCs w:val="21"/>
        </w:rPr>
        <w:t>）年深振业贷</w:t>
      </w:r>
    </w:p>
    <w:p>
      <w:pPr>
        <w:spacing w:before="35"/>
        <w:ind w:left="153" w:right="102" w:firstLine="0"/>
        <w:jc w:val="left"/>
        <w:rPr>
          <w:rFonts w:ascii="Times New Roman" w:hAnsi="Times New Roman" w:cs="Times New Roman" w:eastAsia="Times New Roman" w:hint="default"/>
          <w:sz w:val="21"/>
          <w:szCs w:val="21"/>
        </w:rPr>
      </w:pPr>
      <w:r>
        <w:rPr>
          <w:rFonts w:ascii="宋体" w:hAnsi="宋体" w:cs="宋体" w:eastAsia="宋体" w:hint="default"/>
          <w:spacing w:val="-47"/>
          <w:sz w:val="21"/>
          <w:szCs w:val="21"/>
        </w:rPr>
        <w:t>字</w:t>
      </w:r>
      <w:r>
        <w:rPr>
          <w:rFonts w:ascii="宋体" w:hAnsi="宋体" w:cs="宋体" w:eastAsia="宋体" w:hint="default"/>
          <w:sz w:val="21"/>
          <w:szCs w:val="21"/>
        </w:rPr>
        <w:t>（</w:t>
      </w:r>
      <w:r>
        <w:rPr>
          <w:rFonts w:ascii="Times New Roman" w:hAnsi="Times New Roman" w:cs="Times New Roman" w:eastAsia="Times New Roman" w:hint="default"/>
          <w:sz w:val="21"/>
          <w:szCs w:val="21"/>
        </w:rPr>
        <w:t>027 </w:t>
      </w:r>
      <w:r>
        <w:rPr>
          <w:rFonts w:ascii="宋体" w:hAnsi="宋体" w:cs="宋体" w:eastAsia="宋体" w:hint="default"/>
          <w:sz w:val="21"/>
          <w:szCs w:val="21"/>
        </w:rPr>
        <w:t>号</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1</w:t>
      </w:r>
      <w:r>
        <w:rPr>
          <w:rFonts w:ascii="宋体" w:hAnsi="宋体" w:cs="宋体" w:eastAsia="宋体" w:hint="default"/>
          <w:spacing w:val="-152"/>
          <w:sz w:val="21"/>
          <w:szCs w:val="21"/>
        </w:rPr>
        <w:t>）</w:t>
      </w:r>
      <w:r>
        <w:rPr>
          <w:rFonts w:ascii="宋体" w:hAnsi="宋体" w:cs="宋体" w:eastAsia="宋体" w:hint="default"/>
          <w:sz w:val="21"/>
          <w:szCs w:val="21"/>
        </w:rPr>
        <w:t>《保证合</w:t>
      </w:r>
      <w:r>
        <w:rPr>
          <w:rFonts w:ascii="宋体" w:hAnsi="宋体" w:cs="宋体" w:eastAsia="宋体" w:hint="default"/>
          <w:spacing w:val="-2"/>
          <w:sz w:val="21"/>
          <w:szCs w:val="21"/>
        </w:rPr>
        <w:t>同</w:t>
      </w:r>
      <w:r>
        <w:rPr>
          <w:rFonts w:ascii="宋体" w:hAnsi="宋体" w:cs="宋体" w:eastAsia="宋体" w:hint="default"/>
          <w:spacing w:val="-47"/>
          <w:sz w:val="21"/>
          <w:szCs w:val="21"/>
        </w:rPr>
        <w:t>》</w:t>
      </w:r>
      <w:r>
        <w:rPr>
          <w:rFonts w:ascii="宋体" w:hAnsi="宋体" w:cs="宋体" w:eastAsia="宋体" w:hint="default"/>
          <w:sz w:val="21"/>
          <w:szCs w:val="21"/>
        </w:rPr>
        <w:t>和光大银行深南支行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30</w:t>
      </w:r>
      <w:r>
        <w:rPr>
          <w:rFonts w:ascii="Times New Roman" w:hAnsi="Times New Roman" w:cs="Times New Roman" w:eastAsia="Times New Roman" w:hint="default"/>
          <w:sz w:val="21"/>
          <w:szCs w:val="21"/>
        </w:rPr>
        <w:t>22 </w:t>
      </w:r>
      <w:r>
        <w:rPr>
          <w:rFonts w:ascii="宋体" w:hAnsi="宋体" w:cs="宋体" w:eastAsia="宋体" w:hint="default"/>
          <w:spacing w:val="-47"/>
          <w:sz w:val="21"/>
          <w:szCs w:val="21"/>
        </w:rPr>
        <w:t>号</w:t>
      </w:r>
      <w:r>
        <w:rPr>
          <w:rFonts w:ascii="宋体" w:hAnsi="宋体" w:cs="宋体" w:eastAsia="宋体" w:hint="default"/>
          <w:sz w:val="21"/>
          <w:szCs w:val="21"/>
        </w:rPr>
        <w:t>《最</w:t>
      </w:r>
      <w:r>
        <w:rPr>
          <w:rFonts w:ascii="宋体" w:hAnsi="宋体" w:cs="宋体" w:eastAsia="宋体" w:hint="default"/>
          <w:spacing w:val="-2"/>
          <w:sz w:val="21"/>
          <w:szCs w:val="21"/>
        </w:rPr>
        <w:t>高</w:t>
      </w:r>
      <w:r>
        <w:rPr>
          <w:rFonts w:ascii="宋体" w:hAnsi="宋体" w:cs="宋体" w:eastAsia="宋体" w:hint="default"/>
          <w:sz w:val="21"/>
          <w:szCs w:val="21"/>
        </w:rPr>
        <w:t>额保证合同</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pacing w:val="-47"/>
          <w:sz w:val="21"/>
          <w:szCs w:val="21"/>
        </w:rPr>
        <w:t>，</w:t>
      </w:r>
      <w:r>
        <w:rPr>
          <w:rFonts w:ascii="宋体" w:hAnsi="宋体" w:cs="宋体" w:eastAsia="宋体" w:hint="default"/>
          <w:sz w:val="21"/>
          <w:szCs w:val="21"/>
        </w:rPr>
        <w:t>涉及担保金额为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000</w:t>
      </w:r>
    </w:p>
    <w:p>
      <w:pPr>
        <w:spacing w:before="177"/>
        <w:ind w:left="153" w:right="102" w:firstLine="0"/>
        <w:jc w:val="left"/>
        <w:rPr>
          <w:rFonts w:ascii="宋体" w:hAnsi="宋体" w:cs="宋体" w:eastAsia="宋体" w:hint="default"/>
          <w:sz w:val="21"/>
          <w:szCs w:val="21"/>
        </w:rPr>
      </w:pPr>
      <w:r>
        <w:rPr>
          <w:rFonts w:ascii="宋体" w:hAnsi="宋体" w:cs="宋体" w:eastAsia="宋体" w:hint="default"/>
          <w:sz w:val="21"/>
          <w:szCs w:val="21"/>
        </w:rPr>
        <w:t>元，已经深圳市福田区人民法院立案受理（案号为</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07</w:t>
      </w:r>
      <w:r>
        <w:rPr>
          <w:rFonts w:ascii="宋体" w:hAnsi="宋体" w:cs="宋体" w:eastAsia="宋体" w:hint="default"/>
          <w:sz w:val="21"/>
          <w:szCs w:val="21"/>
        </w:rPr>
        <w:t>）深福法民二初字第</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5</w:t>
      </w:r>
      <w:r>
        <w:rPr>
          <w:rFonts w:ascii="Times New Roman" w:hAnsi="Times New Roman" w:cs="Times New Roman" w:eastAsia="Times New Roman" w:hint="default"/>
          <w:sz w:val="21"/>
          <w:szCs w:val="21"/>
        </w:rPr>
        <w:t>04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尚</w:t>
      </w:r>
      <w:r>
        <w:rPr>
          <w:rFonts w:ascii="宋体" w:hAnsi="宋体" w:cs="宋体" w:eastAsia="宋体" w:hint="default"/>
          <w:sz w:val="21"/>
          <w:szCs w:val="21"/>
        </w:rPr>
        <w:t>未起诉的金</w:t>
      </w:r>
    </w:p>
    <w:p>
      <w:pPr>
        <w:spacing w:after="0"/>
        <w:jc w:val="left"/>
        <w:rPr>
          <w:rFonts w:ascii="宋体" w:hAnsi="宋体" w:cs="宋体" w:eastAsia="宋体" w:hint="default"/>
          <w:sz w:val="21"/>
          <w:szCs w:val="21"/>
        </w:rPr>
        <w:sectPr>
          <w:pgSz w:w="11910" w:h="16840"/>
          <w:pgMar w:header="0" w:footer="941" w:top="1100" w:bottom="1140" w:left="980" w:right="920"/>
        </w:sectPr>
      </w:pPr>
    </w:p>
    <w:p>
      <w:pPr>
        <w:spacing w:line="240" w:lineRule="auto" w:before="8"/>
        <w:rPr>
          <w:rFonts w:ascii="宋体" w:hAnsi="宋体" w:cs="宋体" w:eastAsia="宋体" w:hint="default"/>
          <w:sz w:val="26"/>
          <w:szCs w:val="26"/>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额人民币 </w:t>
      </w:r>
      <w:r>
        <w:rPr>
          <w:rFonts w:ascii="Times New Roman" w:hAnsi="Times New Roman" w:cs="Times New Roman" w:eastAsia="Times New Roman" w:hint="default"/>
          <w:sz w:val="21"/>
          <w:szCs w:val="21"/>
        </w:rPr>
        <w:t>2,810,000.00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元以及执行费，上述三项金额合计中联实业股份有限公司代深圳益生堂生物企业有</w:t>
      </w:r>
    </w:p>
    <w:p>
      <w:pPr>
        <w:spacing w:before="177"/>
        <w:ind w:left="154" w:right="0" w:firstLine="0"/>
        <w:jc w:val="both"/>
        <w:rPr>
          <w:rFonts w:ascii="宋体" w:hAnsi="宋体" w:cs="宋体" w:eastAsia="宋体" w:hint="default"/>
          <w:sz w:val="21"/>
          <w:szCs w:val="21"/>
        </w:rPr>
      </w:pPr>
      <w:r>
        <w:rPr>
          <w:rFonts w:ascii="宋体" w:hAnsi="宋体" w:cs="宋体" w:eastAsia="宋体" w:hint="default"/>
          <w:sz w:val="21"/>
          <w:szCs w:val="21"/>
        </w:rPr>
        <w:t>限公司偿还款项为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9,365,510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398" w:lineRule="auto" w:before="177"/>
        <w:ind w:left="153" w:right="21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日，本公司与中联实业股份有限公司、青岛亚星实业有限公司、益生堂四方签订和解 </w:t>
      </w:r>
      <w:r>
        <w:rPr>
          <w:rFonts w:ascii="宋体" w:hAnsi="宋体" w:cs="宋体" w:eastAsia="宋体" w:hint="default"/>
          <w:spacing w:val="-1"/>
          <w:sz w:val="21"/>
          <w:szCs w:val="21"/>
        </w:rPr>
        <w:t>协议书，深大通潜在股东青岛亚星实业公司承诺在其通过重组取得深大通股份后按照和解协议书约定条件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向中联实业股份有限公司承担债务清偿责任，解除深大通反担保责任及相应的连带清偿责任。</w:t>
      </w:r>
    </w:p>
    <w:p>
      <w:pPr>
        <w:spacing w:before="54"/>
        <w:ind w:left="57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r>
        <w:rPr>
          <w:rFonts w:ascii="宋体" w:hAnsi="宋体" w:cs="宋体" w:eastAsia="宋体" w:hint="default"/>
          <w:spacing w:val="-23"/>
          <w:sz w:val="21"/>
          <w:szCs w:val="21"/>
        </w:rPr>
        <w:t>，</w:t>
      </w:r>
      <w:r>
        <w:rPr>
          <w:rFonts w:ascii="宋体" w:hAnsi="宋体" w:cs="宋体" w:eastAsia="宋体" w:hint="default"/>
          <w:spacing w:val="-2"/>
          <w:sz w:val="21"/>
          <w:szCs w:val="21"/>
        </w:rPr>
        <w:t>本</w:t>
      </w:r>
      <w:r>
        <w:rPr>
          <w:rFonts w:ascii="宋体" w:hAnsi="宋体" w:cs="宋体" w:eastAsia="宋体" w:hint="default"/>
          <w:sz w:val="21"/>
          <w:szCs w:val="21"/>
        </w:rPr>
        <w:t>公司与中联实业股份有限公司签订</w:t>
      </w:r>
      <w:r>
        <w:rPr>
          <w:rFonts w:ascii="宋体" w:hAnsi="宋体" w:cs="宋体" w:eastAsia="宋体" w:hint="default"/>
          <w:spacing w:val="-23"/>
          <w:sz w:val="21"/>
          <w:szCs w:val="21"/>
        </w:rPr>
        <w:t>了</w:t>
      </w:r>
      <w:r>
        <w:rPr>
          <w:rFonts w:ascii="宋体" w:hAnsi="宋体" w:cs="宋体" w:eastAsia="宋体" w:hint="default"/>
          <w:sz w:val="21"/>
          <w:szCs w:val="21"/>
        </w:rPr>
        <w:t>《谅解补充备忘录</w:t>
      </w:r>
      <w:r>
        <w:rPr>
          <w:rFonts w:ascii="宋体" w:hAnsi="宋体" w:cs="宋体" w:eastAsia="宋体" w:hint="default"/>
          <w:spacing w:val="-105"/>
          <w:sz w:val="21"/>
          <w:szCs w:val="21"/>
        </w:rPr>
        <w:t>》</w:t>
      </w:r>
      <w:r>
        <w:rPr>
          <w:rFonts w:ascii="宋体" w:hAnsi="宋体" w:cs="宋体" w:eastAsia="宋体" w:hint="default"/>
          <w:spacing w:val="-23"/>
          <w:sz w:val="21"/>
          <w:szCs w:val="21"/>
        </w:rPr>
        <w:t>，</w:t>
      </w:r>
      <w:r>
        <w:rPr>
          <w:rFonts w:ascii="宋体" w:hAnsi="宋体" w:cs="宋体" w:eastAsia="宋体" w:hint="default"/>
          <w:sz w:val="21"/>
          <w:szCs w:val="21"/>
        </w:rPr>
        <w:t>将和解协议的时间延</w:t>
      </w:r>
    </w:p>
    <w:p>
      <w:pPr>
        <w:spacing w:before="177"/>
        <w:ind w:left="153" w:right="0" w:firstLine="0"/>
        <w:jc w:val="both"/>
        <w:rPr>
          <w:rFonts w:ascii="宋体" w:hAnsi="宋体" w:cs="宋体" w:eastAsia="宋体" w:hint="default"/>
          <w:sz w:val="21"/>
          <w:szCs w:val="21"/>
        </w:rPr>
      </w:pPr>
      <w:r>
        <w:rPr>
          <w:rFonts w:ascii="宋体" w:hAnsi="宋体" w:cs="宋体" w:eastAsia="宋体" w:hint="default"/>
          <w:sz w:val="21"/>
          <w:szCs w:val="21"/>
        </w:rPr>
        <w:t>期至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386" w:lineRule="auto" w:before="177"/>
        <w:ind w:left="153" w:right="210"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、本公司就深圳市益田集团股份有限公司（下称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益田集团公司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）为深圳市益生堂生物企业有限公司</w:t>
      </w:r>
      <w:r>
        <w:rPr>
          <w:rFonts w:ascii="宋体" w:hAnsi="宋体" w:cs="宋体" w:eastAsia="宋体" w:hint="default"/>
          <w:sz w:val="21"/>
          <w:szCs w:val="21"/>
        </w:rPr>
        <w:t> 向上海浦东发展银行深圳红荔路支行</w:t>
      </w:r>
      <w:r>
        <w:rPr>
          <w:rFonts w:ascii="Times New Roman" w:hAnsi="Times New Roman" w:cs="Times New Roman" w:eastAsia="Times New Roman" w:hint="default"/>
          <w:sz w:val="21"/>
          <w:szCs w:val="21"/>
        </w:rPr>
        <w:t>(</w:t>
      </w:r>
      <w:r>
        <w:rPr>
          <w:rFonts w:ascii="宋体" w:hAnsi="宋体" w:cs="宋体" w:eastAsia="宋体" w:hint="default"/>
          <w:sz w:val="21"/>
          <w:szCs w:val="21"/>
        </w:rPr>
        <w:t>现更名为上海浦东发展银行股份有限公司深圳凤凰路支行</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 </w:t>
      </w:r>
      <w:r>
        <w:rPr>
          <w:rFonts w:ascii="宋体" w:hAnsi="宋体" w:cs="宋体" w:eastAsia="宋体" w:hint="default"/>
          <w:spacing w:val="-1"/>
          <w:sz w:val="21"/>
          <w:szCs w:val="21"/>
        </w:rPr>
        <w:t>贷款（借款合同为浦银深（红荔）借字第（</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）第</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13</w:t>
      </w:r>
      <w:r>
        <w:rPr>
          <w:rFonts w:ascii="Times New Roman" w:hAnsi="Times New Roman" w:cs="Times New Roman" w:eastAsia="Times New Roman" w:hint="default"/>
          <w:spacing w:val="-30"/>
          <w:sz w:val="21"/>
          <w:szCs w:val="21"/>
        </w:rPr>
        <w:t> </w:t>
      </w:r>
      <w:r>
        <w:rPr>
          <w:rFonts w:ascii="宋体" w:hAnsi="宋体" w:cs="宋体" w:eastAsia="宋体" w:hint="default"/>
          <w:spacing w:val="-6"/>
          <w:sz w:val="21"/>
          <w:szCs w:val="21"/>
        </w:rPr>
        <w:t>号《借款合同》）提供担保而向益田集团公司提供</w:t>
      </w:r>
    </w:p>
    <w:p>
      <w:pPr>
        <w:spacing w:before="35"/>
        <w:ind w:left="153" w:right="0" w:firstLine="0"/>
        <w:jc w:val="both"/>
        <w:rPr>
          <w:rFonts w:ascii="宋体" w:hAnsi="宋体" w:cs="宋体" w:eastAsia="宋体" w:hint="default"/>
          <w:sz w:val="21"/>
          <w:szCs w:val="21"/>
        </w:rPr>
      </w:pPr>
      <w:r>
        <w:rPr>
          <w:rFonts w:ascii="宋体" w:hAnsi="宋体" w:cs="宋体" w:eastAsia="宋体" w:hint="default"/>
          <w:sz w:val="21"/>
          <w:szCs w:val="21"/>
        </w:rPr>
        <w:t>连带保证的反担保，并于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日向益田集团公司出具了《不可撤销反担保函</w:t>
      </w:r>
      <w:r>
        <w:rPr>
          <w:rFonts w:ascii="宋体" w:hAnsi="宋体" w:cs="宋体" w:eastAsia="宋体" w:hint="default"/>
          <w:spacing w:val="-105"/>
          <w:sz w:val="21"/>
          <w:szCs w:val="21"/>
        </w:rPr>
        <w:t>》</w:t>
      </w:r>
      <w:r>
        <w:rPr>
          <w:rFonts w:ascii="宋体" w:hAnsi="宋体" w:cs="宋体" w:eastAsia="宋体" w:hint="default"/>
          <w:sz w:val="21"/>
          <w:szCs w:val="21"/>
        </w:rPr>
        <w:t>。益</w:t>
      </w:r>
      <w:r>
        <w:rPr>
          <w:rFonts w:ascii="宋体" w:hAnsi="宋体" w:cs="宋体" w:eastAsia="宋体" w:hint="default"/>
          <w:spacing w:val="-2"/>
          <w:sz w:val="21"/>
          <w:szCs w:val="21"/>
        </w:rPr>
        <w:t>田</w:t>
      </w:r>
      <w:r>
        <w:rPr>
          <w:rFonts w:ascii="宋体" w:hAnsi="宋体" w:cs="宋体" w:eastAsia="宋体" w:hint="default"/>
          <w:sz w:val="21"/>
          <w:szCs w:val="21"/>
        </w:rPr>
        <w:t>集团公司</w:t>
      </w:r>
    </w:p>
    <w:p>
      <w:pPr>
        <w:spacing w:line="386" w:lineRule="auto" w:before="177"/>
        <w:ind w:left="153" w:right="206" w:firstLine="0"/>
        <w:jc w:val="both"/>
        <w:rPr>
          <w:rFonts w:ascii="宋体" w:hAnsi="宋体" w:cs="宋体" w:eastAsia="宋体" w:hint="default"/>
          <w:sz w:val="21"/>
          <w:szCs w:val="21"/>
        </w:rPr>
      </w:pPr>
      <w:r>
        <w:rPr>
          <w:rFonts w:ascii="宋体" w:hAnsi="宋体" w:cs="宋体" w:eastAsia="宋体" w:hint="default"/>
          <w:sz w:val="21"/>
          <w:szCs w:val="21"/>
        </w:rPr>
        <w:t>已经履行担保责任，代深圳市益生堂生物企业有限公司偿付上海浦东发展银行贷款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万元。益田集团 </w:t>
      </w:r>
      <w:r>
        <w:rPr>
          <w:rFonts w:ascii="宋体" w:hAnsi="宋体" w:cs="宋体" w:eastAsia="宋体" w:hint="default"/>
          <w:spacing w:val="-1"/>
          <w:sz w:val="21"/>
          <w:szCs w:val="21"/>
        </w:rPr>
        <w:t>公司诉深大通担保合同纠纷一案已经深圳市中级人民法院立案受理（案号为：（</w:t>
      </w:r>
      <w:r>
        <w:rPr>
          <w:rFonts w:ascii="Times New Roman" w:hAnsi="Times New Roman" w:cs="Times New Roman" w:eastAsia="Times New Roman" w:hint="default"/>
          <w:spacing w:val="-1"/>
          <w:sz w:val="21"/>
          <w:szCs w:val="21"/>
        </w:rPr>
        <w:t>2007</w:t>
      </w:r>
      <w:r>
        <w:rPr>
          <w:rFonts w:ascii="宋体" w:hAnsi="宋体" w:cs="宋体" w:eastAsia="宋体" w:hint="default"/>
          <w:spacing w:val="-1"/>
          <w:sz w:val="21"/>
          <w:szCs w:val="21"/>
        </w:rPr>
        <w:t>）深中法民四初字第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162 </w:t>
      </w:r>
      <w:r>
        <w:rPr>
          <w:rFonts w:ascii="宋体" w:hAnsi="宋体" w:cs="宋体" w:eastAsia="宋体" w:hint="default"/>
          <w:sz w:val="21"/>
          <w:szCs w:val="21"/>
        </w:rPr>
        <w:t>号）并正在审理过程中。益田房地产要求深大通承担反担保责任并向其支付本金及利息</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48,078,715.36 </w:t>
      </w:r>
      <w:r>
        <w:rPr>
          <w:rFonts w:ascii="宋体" w:hAnsi="宋体" w:cs="宋体" w:eastAsia="宋体" w:hint="default"/>
          <w:sz w:val="21"/>
          <w:szCs w:val="21"/>
        </w:rPr>
        <w:t>元。</w:t>
      </w:r>
    </w:p>
    <w:p>
      <w:pPr>
        <w:spacing w:line="398" w:lineRule="auto" w:before="65"/>
        <w:ind w:left="153" w:right="20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日，青岛亚星实业有限公司、深大通、益田集团公司三方签订《和解协议书》，青岛</w:t>
      </w:r>
      <w:r>
        <w:rPr>
          <w:rFonts w:ascii="宋体" w:hAnsi="宋体" w:cs="宋体" w:eastAsia="宋体" w:hint="default"/>
          <w:sz w:val="21"/>
          <w:szCs w:val="21"/>
        </w:rPr>
        <w:t> </w:t>
      </w:r>
      <w:r>
        <w:rPr>
          <w:rFonts w:ascii="宋体" w:hAnsi="宋体" w:cs="宋体" w:eastAsia="宋体" w:hint="default"/>
          <w:spacing w:val="3"/>
          <w:sz w:val="21"/>
          <w:szCs w:val="21"/>
        </w:rPr>
        <w:t>亚星实业有限公司承诺在其通过重组取得深大通股份后按照和解协议书约定条件向益田房地产支付约定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对价，益田集团公司解除深大通对其的反担保责任并放弃就代偿的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万元借款向深大通追偿的权利。</w:t>
      </w:r>
    </w:p>
    <w:p>
      <w:pPr>
        <w:spacing w:before="24"/>
        <w:ind w:left="153" w:right="0" w:firstLine="0"/>
        <w:jc w:val="both"/>
        <w:rPr>
          <w:rFonts w:ascii="宋体" w:hAnsi="宋体" w:cs="宋体" w:eastAsia="宋体" w:hint="default"/>
          <w:sz w:val="21"/>
          <w:szCs w:val="21"/>
        </w:rPr>
      </w:pPr>
      <w:r>
        <w:rPr>
          <w:rFonts w:ascii="宋体" w:hAnsi="宋体" w:cs="宋体" w:eastAsia="宋体" w:hint="default"/>
          <w:sz w:val="21"/>
          <w:szCs w:val="21"/>
        </w:rPr>
        <w:t>按和解协议约定益田集团公司已向法院申请撤诉。</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日，深圳市中级人民法院出具了（</w:t>
      </w:r>
      <w:r>
        <w:rPr>
          <w:rFonts w:ascii="Times New Roman" w:hAnsi="Times New Roman" w:cs="Times New Roman" w:eastAsia="Times New Roman" w:hint="default"/>
          <w:spacing w:val="-3"/>
          <w:sz w:val="21"/>
          <w:szCs w:val="21"/>
        </w:rPr>
        <w:t>2007</w:t>
      </w:r>
      <w:r>
        <w:rPr>
          <w:rFonts w:ascii="宋体" w:hAnsi="宋体" w:cs="宋体" w:eastAsia="宋体" w:hint="default"/>
          <w:spacing w:val="-3"/>
          <w:sz w:val="21"/>
          <w:szCs w:val="21"/>
        </w:rPr>
        <w:t>）</w:t>
      </w:r>
    </w:p>
    <w:p>
      <w:pPr>
        <w:spacing w:before="177"/>
        <w:ind w:left="153" w:right="0" w:firstLine="0"/>
        <w:jc w:val="both"/>
        <w:rPr>
          <w:rFonts w:ascii="宋体" w:hAnsi="宋体" w:cs="宋体" w:eastAsia="宋体" w:hint="default"/>
          <w:sz w:val="21"/>
          <w:szCs w:val="21"/>
        </w:rPr>
      </w:pPr>
      <w:r>
        <w:rPr>
          <w:rFonts w:ascii="宋体" w:hAnsi="宋体" w:cs="宋体" w:eastAsia="宋体" w:hint="default"/>
          <w:sz w:val="21"/>
          <w:szCs w:val="21"/>
        </w:rPr>
        <w:t>深中法民四初字第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号，准许益田集团公司撤诉。</w:t>
      </w:r>
    </w:p>
    <w:p>
      <w:pPr>
        <w:spacing w:before="177"/>
        <w:ind w:left="57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日，协</w:t>
      </w:r>
      <w:r>
        <w:rPr>
          <w:rFonts w:ascii="宋体" w:hAnsi="宋体" w:cs="宋体" w:eastAsia="宋体" w:hint="default"/>
          <w:spacing w:val="-2"/>
          <w:sz w:val="21"/>
          <w:szCs w:val="21"/>
        </w:rPr>
        <w:t>议</w:t>
      </w:r>
      <w:r>
        <w:rPr>
          <w:rFonts w:ascii="宋体" w:hAnsi="宋体" w:cs="宋体" w:eastAsia="宋体" w:hint="default"/>
          <w:sz w:val="21"/>
          <w:szCs w:val="21"/>
        </w:rPr>
        <w:t>各方签订了补充协议书（五</w:t>
      </w:r>
      <w:r>
        <w:rPr>
          <w:rFonts w:ascii="宋体" w:hAnsi="宋体" w:cs="宋体" w:eastAsia="宋体" w:hint="default"/>
          <w:spacing w:val="-105"/>
          <w:sz w:val="21"/>
          <w:szCs w:val="21"/>
        </w:rPr>
        <w:t>）</w:t>
      </w:r>
      <w:r>
        <w:rPr>
          <w:rFonts w:ascii="宋体" w:hAnsi="宋体" w:cs="宋体" w:eastAsia="宋体" w:hint="default"/>
          <w:sz w:val="21"/>
          <w:szCs w:val="21"/>
        </w:rPr>
        <w:t>，将</w:t>
      </w:r>
      <w:r>
        <w:rPr>
          <w:rFonts w:ascii="宋体" w:hAnsi="宋体" w:cs="宋体" w:eastAsia="宋体" w:hint="default"/>
          <w:spacing w:val="-2"/>
          <w:sz w:val="21"/>
          <w:szCs w:val="21"/>
        </w:rPr>
        <w:t>和</w:t>
      </w:r>
      <w:r>
        <w:rPr>
          <w:rFonts w:ascii="宋体" w:hAnsi="宋体" w:cs="宋体" w:eastAsia="宋体" w:hint="default"/>
          <w:sz w:val="21"/>
          <w:szCs w:val="21"/>
        </w:rPr>
        <w:t>解协议的期限延长到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20"/>
          <w:szCs w:val="20"/>
        </w:rPr>
      </w:pPr>
    </w:p>
    <w:p>
      <w:pPr>
        <w:pStyle w:val="BodyText"/>
        <w:spacing w:line="240" w:lineRule="auto" w:before="0"/>
        <w:ind w:left="634" w:right="209"/>
        <w:jc w:val="left"/>
      </w:pPr>
      <w:r>
        <w:rPr/>
        <w:t>八、承诺事项</w:t>
      </w:r>
    </w:p>
    <w:p>
      <w:pPr>
        <w:spacing w:before="100"/>
        <w:ind w:left="574" w:right="209"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日，本公司无需披露的承诺事项</w:t>
      </w:r>
    </w:p>
    <w:p>
      <w:pPr>
        <w:spacing w:line="240" w:lineRule="auto" w:before="2"/>
        <w:rPr>
          <w:rFonts w:ascii="宋体" w:hAnsi="宋体" w:cs="宋体" w:eastAsia="宋体" w:hint="default"/>
          <w:sz w:val="20"/>
          <w:szCs w:val="20"/>
        </w:rPr>
      </w:pPr>
    </w:p>
    <w:p>
      <w:pPr>
        <w:pStyle w:val="BodyText"/>
        <w:spacing w:line="240" w:lineRule="auto" w:before="0"/>
        <w:ind w:left="634" w:right="209"/>
        <w:jc w:val="left"/>
      </w:pPr>
      <w:r>
        <w:rPr/>
        <w:t>九、资产负债表日后事项</w:t>
      </w:r>
    </w:p>
    <w:p>
      <w:pPr>
        <w:spacing w:line="386" w:lineRule="auto" w:before="99"/>
        <w:ind w:left="154" w:right="21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、公司之子公司兖州海情置业有限公司于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日出资壹仟万元人民币，于泗水县成立泗 水海情置业有公司。</w:t>
      </w:r>
    </w:p>
    <w:p>
      <w:pPr>
        <w:spacing w:before="65"/>
        <w:ind w:left="574" w:right="102" w:firstLine="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2010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日方正延中传媒有限公司将其所持本公司的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680  </w:t>
      </w:r>
      <w:r>
        <w:rPr>
          <w:rFonts w:ascii="宋体" w:hAnsi="宋体" w:cs="宋体" w:eastAsia="宋体" w:hint="default"/>
          <w:sz w:val="21"/>
          <w:szCs w:val="21"/>
        </w:rPr>
        <w:t>万股股份登记过户给青岛亚星实</w:t>
      </w:r>
    </w:p>
    <w:p>
      <w:pPr>
        <w:spacing w:line="386" w:lineRule="auto" w:before="177"/>
        <w:ind w:left="154" w:right="206" w:hanging="1"/>
        <w:jc w:val="left"/>
        <w:rPr>
          <w:rFonts w:ascii="宋体" w:hAnsi="宋体" w:cs="宋体" w:eastAsia="宋体" w:hint="default"/>
          <w:sz w:val="21"/>
          <w:szCs w:val="21"/>
        </w:rPr>
      </w:pPr>
      <w:r>
        <w:rPr>
          <w:rFonts w:ascii="宋体" w:hAnsi="宋体" w:cs="宋体" w:eastAsia="宋体" w:hint="default"/>
          <w:sz w:val="21"/>
          <w:szCs w:val="21"/>
        </w:rPr>
        <w:t>业有限公司，截至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日青岛亚星实业有限公司合计持有本公司非流通股股份</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1680</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万股，占 本公司总股本的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17.46%</w:t>
      </w:r>
      <w:r>
        <w:rPr>
          <w:rFonts w:ascii="宋体" w:hAnsi="宋体" w:cs="宋体" w:eastAsia="宋体" w:hint="default"/>
          <w:sz w:val="21"/>
          <w:szCs w:val="21"/>
        </w:rPr>
        <w:t>。</w:t>
      </w:r>
    </w:p>
    <w:p>
      <w:pPr>
        <w:spacing w:after="0" w:line="386" w:lineRule="auto"/>
        <w:jc w:val="left"/>
        <w:rPr>
          <w:rFonts w:ascii="宋体" w:hAnsi="宋体" w:cs="宋体" w:eastAsia="宋体" w:hint="default"/>
          <w:sz w:val="21"/>
          <w:szCs w:val="21"/>
        </w:rPr>
        <w:sectPr>
          <w:pgSz w:w="11910" w:h="16840"/>
          <w:pgMar w:header="0" w:footer="941" w:top="1100" w:bottom="114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26"/>
        <w:ind w:left="714" w:right="6820"/>
        <w:jc w:val="left"/>
      </w:pPr>
      <w:r>
        <w:rPr/>
        <w:t>十、其他重要事项</w:t>
      </w:r>
    </w:p>
    <w:p>
      <w:pPr>
        <w:spacing w:before="100"/>
        <w:ind w:left="654" w:right="184"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日，无需披露的其他重要事项。</w:t>
      </w:r>
    </w:p>
    <w:p>
      <w:pPr>
        <w:spacing w:line="240" w:lineRule="auto" w:before="2"/>
        <w:rPr>
          <w:rFonts w:ascii="宋体" w:hAnsi="宋体" w:cs="宋体" w:eastAsia="宋体" w:hint="default"/>
          <w:sz w:val="20"/>
          <w:szCs w:val="20"/>
        </w:rPr>
      </w:pPr>
    </w:p>
    <w:p>
      <w:pPr>
        <w:pStyle w:val="BodyText"/>
        <w:spacing w:line="240" w:lineRule="auto" w:before="0"/>
        <w:ind w:left="714" w:right="184"/>
        <w:jc w:val="left"/>
      </w:pPr>
      <w:r>
        <w:rPr/>
        <w:t>十一、母公司财务报表主要项目注释</w:t>
      </w:r>
    </w:p>
    <w:p>
      <w:pPr>
        <w:spacing w:before="99"/>
        <w:ind w:left="654" w:right="68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w:t>
      </w:r>
    </w:p>
    <w:p>
      <w:pPr>
        <w:spacing w:line="240" w:lineRule="auto" w:before="11"/>
        <w:rPr>
          <w:rFonts w:ascii="宋体" w:hAnsi="宋体" w:cs="宋体" w:eastAsia="宋体" w:hint="default"/>
          <w:sz w:val="10"/>
          <w:szCs w:val="10"/>
        </w:rPr>
      </w:pPr>
    </w:p>
    <w:p>
      <w:pPr>
        <w:spacing w:before="35"/>
        <w:ind w:left="0" w:right="26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2"/>
        <w:rPr>
          <w:rFonts w:ascii="宋体" w:hAnsi="宋体" w:cs="宋体" w:eastAsia="宋体" w:hint="default"/>
          <w:sz w:val="9"/>
          <w:szCs w:val="9"/>
        </w:rPr>
      </w:pPr>
    </w:p>
    <w:tbl>
      <w:tblPr>
        <w:tblW w:w="0" w:type="auto"/>
        <w:jc w:val="left"/>
        <w:tblInd w:w="214" w:type="dxa"/>
        <w:tblLayout w:type="fixed"/>
        <w:tblCellMar>
          <w:top w:w="0" w:type="dxa"/>
          <w:left w:w="0" w:type="dxa"/>
          <w:bottom w:w="0" w:type="dxa"/>
          <w:right w:w="0" w:type="dxa"/>
        </w:tblCellMar>
        <w:tblLook w:val="01E0"/>
      </w:tblPr>
      <w:tblGrid>
        <w:gridCol w:w="804"/>
        <w:gridCol w:w="506"/>
        <w:gridCol w:w="1154"/>
        <w:gridCol w:w="1153"/>
        <w:gridCol w:w="547"/>
        <w:gridCol w:w="547"/>
        <w:gridCol w:w="949"/>
        <w:gridCol w:w="991"/>
        <w:gridCol w:w="1302"/>
        <w:gridCol w:w="547"/>
        <w:gridCol w:w="714"/>
        <w:gridCol w:w="580"/>
      </w:tblGrid>
      <w:tr>
        <w:trPr>
          <w:trHeight w:val="1140" w:hRule="exact"/>
        </w:trPr>
        <w:tc>
          <w:tcPr>
            <w:tcW w:w="8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7" w:right="119"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58" w:right="156"/>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82" w:right="120"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78" w:right="176"/>
              <w:jc w:val="both"/>
              <w:rPr>
                <w:rFonts w:ascii="宋体" w:hAnsi="宋体" w:cs="宋体" w:eastAsia="宋体" w:hint="default"/>
                <w:sz w:val="18"/>
                <w:szCs w:val="18"/>
              </w:rPr>
            </w:pPr>
            <w:r>
              <w:rPr>
                <w:rFonts w:ascii="宋体" w:hAnsi="宋体" w:cs="宋体" w:eastAsia="宋体" w:hint="default"/>
                <w:sz w:val="18"/>
                <w:szCs w:val="18"/>
              </w:rPr>
              <w:t>增 减 变 动</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78" w:right="176"/>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109"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39"/>
              <w:ind w:left="130" w:right="128"/>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05" w:right="104"/>
              <w:jc w:val="center"/>
              <w:rPr>
                <w:rFonts w:ascii="宋体" w:hAnsi="宋体" w:cs="宋体" w:eastAsia="宋体" w:hint="default"/>
                <w:sz w:val="18"/>
                <w:szCs w:val="18"/>
              </w:rPr>
            </w:pPr>
            <w:r>
              <w:rPr>
                <w:rFonts w:ascii="宋体" w:hAnsi="宋体" w:cs="宋体" w:eastAsia="宋体" w:hint="default"/>
                <w:sz w:val="18"/>
                <w:szCs w:val="18"/>
              </w:rPr>
              <w:t>在被投资单位 持股比例与表 决权比例不一 致的说明</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78" w:right="176"/>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72" w:right="169"/>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5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4" w:right="108"/>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513" w:hRule="exact"/>
        </w:trPr>
        <w:tc>
          <w:tcPr>
            <w:tcW w:w="804" w:type="dxa"/>
            <w:tcBorders>
              <w:top w:val="single" w:sz="4" w:space="0" w:color="000000"/>
              <w:left w:val="nil" w:sz="6" w:space="0" w:color="auto"/>
              <w:bottom w:val="nil" w:sz="6" w:space="0" w:color="auto"/>
              <w:right w:val="single" w:sz="4" w:space="0" w:color="000000"/>
            </w:tcBorders>
          </w:tcPr>
          <w:p>
            <w:pPr>
              <w:pStyle w:val="TableParagraph"/>
              <w:spacing w:line="240" w:lineRule="auto" w:before="129"/>
              <w:ind w:left="138" w:right="0"/>
              <w:jc w:val="left"/>
              <w:rPr>
                <w:rFonts w:ascii="宋体" w:hAnsi="宋体" w:cs="宋体" w:eastAsia="宋体" w:hint="default"/>
                <w:sz w:val="18"/>
                <w:szCs w:val="18"/>
              </w:rPr>
            </w:pPr>
            <w:r>
              <w:rPr>
                <w:rFonts w:ascii="宋体" w:hAnsi="宋体" w:cs="宋体" w:eastAsia="宋体" w:hint="default"/>
                <w:sz w:val="18"/>
                <w:szCs w:val="18"/>
              </w:rPr>
              <w:t>青岛广</w:t>
            </w:r>
          </w:p>
        </w:tc>
        <w:tc>
          <w:tcPr>
            <w:tcW w:w="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37" w:lineRule="auto"/>
              <w:ind w:left="158" w:right="156"/>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154"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949"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302"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nil" w:sz="6" w:space="0" w:color="auto"/>
            </w:tcBorders>
          </w:tcPr>
          <w:p>
            <w:pPr/>
          </w:p>
        </w:tc>
      </w:tr>
      <w:tr>
        <w:trPr>
          <w:trHeight w:val="361" w:hRule="exact"/>
        </w:trPr>
        <w:tc>
          <w:tcPr>
            <w:tcW w:w="804"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38" w:right="0"/>
              <w:jc w:val="left"/>
              <w:rPr>
                <w:rFonts w:ascii="宋体" w:hAnsi="宋体" w:cs="宋体" w:eastAsia="宋体" w:hint="default"/>
                <w:sz w:val="18"/>
                <w:szCs w:val="18"/>
              </w:rPr>
            </w:pPr>
            <w:r>
              <w:rPr>
                <w:rFonts w:ascii="宋体" w:hAnsi="宋体" w:cs="宋体" w:eastAsia="宋体" w:hint="default"/>
                <w:sz w:val="18"/>
                <w:szCs w:val="18"/>
              </w:rPr>
              <w:t>顺房地</w:t>
            </w:r>
          </w:p>
        </w:tc>
        <w:tc>
          <w:tcPr>
            <w:tcW w:w="5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302"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nil" w:sz="6" w:space="0" w:color="auto"/>
            </w:tcBorders>
          </w:tcPr>
          <w:p>
            <w:pPr/>
          </w:p>
        </w:tc>
      </w:tr>
      <w:tr>
        <w:trPr>
          <w:trHeight w:val="575" w:hRule="exact"/>
        </w:trPr>
        <w:tc>
          <w:tcPr>
            <w:tcW w:w="80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产有限</w:t>
            </w:r>
          </w:p>
        </w:tc>
        <w:tc>
          <w:tcPr>
            <w:tcW w:w="5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5"/>
                <w:szCs w:val="15"/>
              </w:rPr>
            </w:pPr>
            <w:r>
              <w:rPr>
                <w:rFonts w:ascii="Times New Roman"/>
                <w:sz w:val="15"/>
              </w:rPr>
              <w:t>46,384,740.35</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37"/>
              <w:jc w:val="right"/>
              <w:rPr>
                <w:rFonts w:ascii="Times New Roman" w:hAnsi="Times New Roman" w:cs="Times New Roman" w:eastAsia="Times New Roman" w:hint="default"/>
                <w:sz w:val="15"/>
                <w:szCs w:val="15"/>
              </w:rPr>
            </w:pPr>
            <w:r>
              <w:rPr>
                <w:rFonts w:ascii="Times New Roman"/>
                <w:spacing w:val="-1"/>
                <w:sz w:val="15"/>
              </w:rPr>
              <w:t>46,384,740.35</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66" w:right="0"/>
              <w:jc w:val="left"/>
              <w:rPr>
                <w:rFonts w:ascii="Times New Roman" w:hAnsi="Times New Roman" w:cs="Times New Roman" w:eastAsia="Times New Roman" w:hint="default"/>
                <w:sz w:val="18"/>
                <w:szCs w:val="18"/>
              </w:rPr>
            </w:pPr>
            <w:r>
              <w:rPr>
                <w:rFonts w:ascii="Times New Roman"/>
                <w:sz w:val="18"/>
              </w:rPr>
              <w:t>83.00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87" w:right="0"/>
              <w:jc w:val="left"/>
              <w:rPr>
                <w:rFonts w:ascii="Times New Roman" w:hAnsi="Times New Roman" w:cs="Times New Roman" w:eastAsia="Times New Roman" w:hint="default"/>
                <w:sz w:val="18"/>
                <w:szCs w:val="18"/>
              </w:rPr>
            </w:pPr>
            <w:r>
              <w:rPr>
                <w:rFonts w:ascii="Times New Roman"/>
                <w:sz w:val="18"/>
              </w:rPr>
              <w:t>83.00</w:t>
            </w:r>
          </w:p>
        </w:tc>
        <w:tc>
          <w:tcPr>
            <w:tcW w:w="1302"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0"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3" w:hRule="exact"/>
        </w:trPr>
        <w:tc>
          <w:tcPr>
            <w:tcW w:w="804" w:type="dxa"/>
            <w:tcBorders>
              <w:top w:val="nil" w:sz="6" w:space="0" w:color="auto"/>
              <w:left w:val="nil" w:sz="6" w:space="0" w:color="auto"/>
              <w:bottom w:val="single" w:sz="4" w:space="0" w:color="000000"/>
              <w:right w:val="single" w:sz="4" w:space="0" w:color="000000"/>
            </w:tcBorders>
          </w:tcPr>
          <w:p>
            <w:pPr>
              <w:pStyle w:val="TableParagraph"/>
              <w:spacing w:line="240" w:lineRule="auto" w:before="89"/>
              <w:ind w:left="22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06" w:type="dxa"/>
            <w:vMerge/>
            <w:tcBorders>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nil" w:sz="6" w:space="0" w:color="auto"/>
            </w:tcBorders>
          </w:tcPr>
          <w:p>
            <w:pPr/>
          </w:p>
        </w:tc>
      </w:tr>
      <w:tr>
        <w:trPr>
          <w:trHeight w:val="513" w:hRule="exact"/>
        </w:trPr>
        <w:tc>
          <w:tcPr>
            <w:tcW w:w="804" w:type="dxa"/>
            <w:tcBorders>
              <w:top w:val="single" w:sz="4" w:space="0" w:color="000000"/>
              <w:left w:val="nil" w:sz="6" w:space="0" w:color="auto"/>
              <w:bottom w:val="nil" w:sz="6" w:space="0" w:color="auto"/>
              <w:right w:val="single" w:sz="4" w:space="0" w:color="000000"/>
            </w:tcBorders>
          </w:tcPr>
          <w:p>
            <w:pPr>
              <w:pStyle w:val="TableParagraph"/>
              <w:spacing w:line="240" w:lineRule="auto" w:before="129"/>
              <w:ind w:left="138" w:right="0"/>
              <w:jc w:val="left"/>
              <w:rPr>
                <w:rFonts w:ascii="宋体" w:hAnsi="宋体" w:cs="宋体" w:eastAsia="宋体" w:hint="default"/>
                <w:sz w:val="18"/>
                <w:szCs w:val="18"/>
              </w:rPr>
            </w:pPr>
            <w:r>
              <w:rPr>
                <w:rFonts w:ascii="宋体" w:hAnsi="宋体" w:cs="宋体" w:eastAsia="宋体" w:hint="default"/>
                <w:sz w:val="18"/>
                <w:szCs w:val="18"/>
              </w:rPr>
              <w:t>兖州海</w:t>
            </w:r>
          </w:p>
        </w:tc>
        <w:tc>
          <w:tcPr>
            <w:tcW w:w="5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508" w:lineRule="auto"/>
              <w:ind w:left="158" w:right="156"/>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154"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949"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302"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
        </w:tc>
        <w:tc>
          <w:tcPr>
            <w:tcW w:w="580" w:type="dxa"/>
            <w:tcBorders>
              <w:top w:val="single" w:sz="4" w:space="0" w:color="000000"/>
              <w:left w:val="single" w:sz="4" w:space="0" w:color="000000"/>
              <w:bottom w:val="nil" w:sz="6" w:space="0" w:color="auto"/>
              <w:right w:val="nil" w:sz="6" w:space="0" w:color="auto"/>
            </w:tcBorders>
          </w:tcPr>
          <w:p>
            <w:pPr/>
          </w:p>
        </w:tc>
      </w:tr>
      <w:tr>
        <w:trPr>
          <w:trHeight w:val="361" w:hRule="exact"/>
        </w:trPr>
        <w:tc>
          <w:tcPr>
            <w:tcW w:w="804"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38" w:right="0"/>
              <w:jc w:val="left"/>
              <w:rPr>
                <w:rFonts w:ascii="宋体" w:hAnsi="宋体" w:cs="宋体" w:eastAsia="宋体" w:hint="default"/>
                <w:sz w:val="18"/>
                <w:szCs w:val="18"/>
              </w:rPr>
            </w:pPr>
            <w:r>
              <w:rPr>
                <w:rFonts w:ascii="宋体" w:hAnsi="宋体" w:cs="宋体" w:eastAsia="宋体" w:hint="default"/>
                <w:sz w:val="18"/>
                <w:szCs w:val="18"/>
              </w:rPr>
              <w:t>情置业</w:t>
            </w:r>
          </w:p>
        </w:tc>
        <w:tc>
          <w:tcPr>
            <w:tcW w:w="5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949"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302"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580" w:type="dxa"/>
            <w:tcBorders>
              <w:top w:val="nil" w:sz="6" w:space="0" w:color="auto"/>
              <w:left w:val="single" w:sz="4" w:space="0" w:color="000000"/>
              <w:bottom w:val="nil" w:sz="6" w:space="0" w:color="auto"/>
              <w:right w:val="nil" w:sz="6" w:space="0" w:color="auto"/>
            </w:tcBorders>
          </w:tcPr>
          <w:p>
            <w:pPr/>
          </w:p>
        </w:tc>
      </w:tr>
      <w:tr>
        <w:trPr>
          <w:trHeight w:val="575" w:hRule="exact"/>
        </w:trPr>
        <w:tc>
          <w:tcPr>
            <w:tcW w:w="80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0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5"/>
                <w:szCs w:val="15"/>
              </w:rPr>
            </w:pPr>
            <w:r>
              <w:rPr>
                <w:rFonts w:ascii="Times New Roman"/>
                <w:sz w:val="15"/>
              </w:rPr>
              <w:t>162,177,496.65</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5"/>
                <w:szCs w:val="15"/>
              </w:rPr>
            </w:pPr>
            <w:r>
              <w:rPr>
                <w:rFonts w:ascii="Times New Roman"/>
                <w:spacing w:val="-1"/>
                <w:sz w:val="15"/>
              </w:rPr>
              <w:t>162,177,496.65</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66" w:right="0"/>
              <w:jc w:val="left"/>
              <w:rPr>
                <w:rFonts w:ascii="Times New Roman" w:hAnsi="Times New Roman" w:cs="Times New Roman" w:eastAsia="Times New Roman" w:hint="default"/>
                <w:sz w:val="18"/>
                <w:szCs w:val="18"/>
              </w:rPr>
            </w:pPr>
            <w:r>
              <w:rPr>
                <w:rFonts w:ascii="Times New Roman"/>
                <w:sz w:val="18"/>
              </w:rPr>
              <w:t>90.00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87" w:right="0"/>
              <w:jc w:val="left"/>
              <w:rPr>
                <w:rFonts w:ascii="Times New Roman" w:hAnsi="Times New Roman" w:cs="Times New Roman" w:eastAsia="Times New Roman" w:hint="default"/>
                <w:sz w:val="18"/>
                <w:szCs w:val="18"/>
              </w:rPr>
            </w:pPr>
            <w:r>
              <w:rPr>
                <w:rFonts w:ascii="Times New Roman"/>
                <w:sz w:val="18"/>
              </w:rPr>
              <w:t>90.00</w:t>
            </w:r>
          </w:p>
        </w:tc>
        <w:tc>
          <w:tcPr>
            <w:tcW w:w="1302"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0" w:type="dxa"/>
            <w:tcBorders>
              <w:top w:val="nil" w:sz="6" w:space="0" w:color="auto"/>
              <w:left w:val="single" w:sz="4" w:space="0" w:color="000000"/>
              <w:bottom w:val="nil" w:sz="6" w:space="0" w:color="auto"/>
              <w:right w:val="nil" w:sz="6" w:space="0" w:color="auto"/>
            </w:tcBorders>
          </w:tcPr>
          <w:p>
            <w:pPr>
              <w:pStyle w:val="TableParagraph"/>
              <w:spacing w:line="240" w:lineRule="auto" w:before="145"/>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3" w:hRule="exact"/>
        </w:trPr>
        <w:tc>
          <w:tcPr>
            <w:tcW w:w="804" w:type="dxa"/>
            <w:tcBorders>
              <w:top w:val="nil" w:sz="6" w:space="0" w:color="auto"/>
              <w:left w:val="nil" w:sz="6" w:space="0" w:color="auto"/>
              <w:bottom w:val="single" w:sz="4" w:space="0" w:color="000000"/>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506" w:type="dxa"/>
            <w:vMerge/>
            <w:tcBorders>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949"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
        </w:tc>
        <w:tc>
          <w:tcPr>
            <w:tcW w:w="580" w:type="dxa"/>
            <w:tcBorders>
              <w:top w:val="nil" w:sz="6" w:space="0" w:color="auto"/>
              <w:left w:val="single" w:sz="4" w:space="0" w:color="000000"/>
              <w:bottom w:val="single" w:sz="4" w:space="0" w:color="000000"/>
              <w:right w:val="nil" w:sz="6" w:space="0" w:color="auto"/>
            </w:tcBorders>
          </w:tcPr>
          <w:p>
            <w:pPr/>
          </w:p>
        </w:tc>
      </w:tr>
      <w:tr>
        <w:trPr>
          <w:trHeight w:val="590" w:hRule="exact"/>
        </w:trPr>
        <w:tc>
          <w:tcPr>
            <w:tcW w:w="8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208,562,237.00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208,562,237.00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63"/>
        <w:ind w:left="654" w:right="68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、现金流量表补充资料</w:t>
      </w:r>
    </w:p>
    <w:p>
      <w:pPr>
        <w:spacing w:line="240" w:lineRule="auto" w:before="11"/>
        <w:rPr>
          <w:rFonts w:ascii="宋体" w:hAnsi="宋体" w:cs="宋体" w:eastAsia="宋体" w:hint="default"/>
          <w:sz w:val="10"/>
          <w:szCs w:val="10"/>
        </w:rPr>
      </w:pPr>
    </w:p>
    <w:p>
      <w:pPr>
        <w:spacing w:before="35"/>
        <w:ind w:left="0" w:right="26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6644"/>
        <w:gridCol w:w="1612"/>
        <w:gridCol w:w="1613"/>
      </w:tblGrid>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4,693,488.65</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189,865,142.69</w:t>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71,607.07</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636,064.56</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处置固定资产、无形资产和其他长期资产的损失（收益以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号填</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1,156,966.82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00" w:right="86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6644"/>
        <w:gridCol w:w="1612"/>
        <w:gridCol w:w="1613"/>
      </w:tblGrid>
      <w:tr>
        <w:trPr>
          <w:trHeight w:val="55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2,708,077.74</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3,400,000.00</w:t>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18"/>
              <w:jc w:val="righ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48,884.18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988,894.90</w:t>
            </w:r>
            <w:r>
              <w:rPr>
                <w:rFonts w:ascii="Times New Roman"/>
                <w:sz w:val="21"/>
              </w:rPr>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18"/>
              <w:jc w:val="righ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-7,558,551.61</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-21,327,609.18</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-174,729,459.79</w:t>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-36,493.97</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-146,032.88</w:t>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612"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19,719.59</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
                <w:sz w:val="21"/>
              </w:rPr>
              <w:t>56,213.56</w:t>
            </w:r>
          </w:p>
        </w:tc>
      </w:tr>
      <w:tr>
        <w:trPr>
          <w:trHeight w:val="589"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56,213.56</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202,246.44</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90"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-36,493.97</w:t>
            </w:r>
            <w:r>
              <w:rPr>
                <w:rFonts w:ascii="Times New Roman"/>
                <w:sz w:val="21"/>
              </w:rPr>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-146,032.88</w:t>
            </w:r>
          </w:p>
        </w:tc>
      </w:tr>
    </w:tbl>
    <w:p>
      <w:pPr>
        <w:spacing w:line="240" w:lineRule="auto" w:before="6"/>
        <w:rPr>
          <w:rFonts w:ascii="宋体" w:hAnsi="宋体" w:cs="宋体" w:eastAsia="宋体" w:hint="default"/>
          <w:sz w:val="9"/>
          <w:szCs w:val="9"/>
        </w:rPr>
      </w:pPr>
    </w:p>
    <w:p>
      <w:pPr>
        <w:pStyle w:val="BodyText"/>
        <w:spacing w:line="240" w:lineRule="auto" w:before="26"/>
        <w:ind w:left="714" w:right="115"/>
        <w:jc w:val="left"/>
      </w:pPr>
      <w:r>
        <w:rPr/>
        <w:t>十二、补充资料</w:t>
      </w:r>
    </w:p>
    <w:p>
      <w:pPr>
        <w:spacing w:before="99"/>
        <w:ind w:left="654" w:right="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、当期非经常性损益明细表</w:t>
      </w:r>
    </w:p>
    <w:p>
      <w:pPr>
        <w:spacing w:after="0"/>
        <w:jc w:val="left"/>
        <w:rPr>
          <w:rFonts w:ascii="宋体" w:hAnsi="宋体" w:cs="宋体" w:eastAsia="宋体" w:hint="default"/>
          <w:sz w:val="21"/>
          <w:szCs w:val="21"/>
        </w:rPr>
        <w:sectPr>
          <w:pgSz w:w="11910" w:h="16840"/>
          <w:pgMar w:header="0" w:footer="941" w:top="1100" w:bottom="1140" w:left="900" w:right="900"/>
        </w:sectPr>
      </w:pPr>
    </w:p>
    <w:p>
      <w:pPr>
        <w:spacing w:line="240" w:lineRule="auto" w:before="8"/>
        <w:rPr>
          <w:rFonts w:ascii="宋体" w:hAnsi="宋体" w:cs="宋体" w:eastAsia="宋体" w:hint="default"/>
          <w:sz w:val="26"/>
          <w:szCs w:val="26"/>
        </w:rPr>
      </w:pPr>
    </w:p>
    <w:p>
      <w:pPr>
        <w:spacing w:before="35"/>
        <w:ind w:left="0" w:right="2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6252"/>
        <w:gridCol w:w="1560"/>
        <w:gridCol w:w="1922"/>
      </w:tblGrid>
      <w:tr>
        <w:trPr>
          <w:trHeight w:val="590" w:hRule="exact"/>
        </w:trPr>
        <w:tc>
          <w:tcPr>
            <w:tcW w:w="6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64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89" w:hRule="exact"/>
        </w:trPr>
        <w:tc>
          <w:tcPr>
            <w:tcW w:w="6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10,566,266.22</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pacing w:val="-8"/>
                <w:sz w:val="21"/>
                <w:szCs w:val="21"/>
              </w:rPr>
              <w:t>详见附注五、</w:t>
            </w:r>
            <w:r>
              <w:rPr>
                <w:rFonts w:ascii="Times New Roman" w:hAnsi="Times New Roman" w:cs="Times New Roman" w:eastAsia="Times New Roman" w:hint="default"/>
                <w:spacing w:val="-8"/>
                <w:sz w:val="21"/>
                <w:szCs w:val="21"/>
              </w:rPr>
              <w:t>8</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w:t>
            </w:r>
          </w:p>
        </w:tc>
      </w:tr>
      <w:tr>
        <w:trPr>
          <w:trHeight w:val="590" w:hRule="exact"/>
        </w:trPr>
        <w:tc>
          <w:tcPr>
            <w:tcW w:w="6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275.69</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-2,113,322.17</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6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-20.68</w:t>
            </w:r>
          </w:p>
        </w:tc>
        <w:tc>
          <w:tcPr>
            <w:tcW w:w="192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6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64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8,453,199.06</w:t>
            </w:r>
          </w:p>
        </w:tc>
        <w:tc>
          <w:tcPr>
            <w:tcW w:w="1922" w:type="dxa"/>
            <w:tcBorders>
              <w:top w:val="single" w:sz="4" w:space="0" w:color="000000"/>
              <w:left w:val="single" w:sz="4" w:space="0" w:color="000000"/>
              <w:bottom w:val="single" w:sz="4" w:space="0" w:color="000000"/>
              <w:right w:val="nil" w:sz="6" w:space="0" w:color="auto"/>
            </w:tcBorders>
          </w:tcPr>
          <w:p>
            <w:pPr/>
          </w:p>
        </w:tc>
      </w:tr>
    </w:tbl>
    <w:p>
      <w:pPr>
        <w:spacing w:before="63"/>
        <w:ind w:left="574"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、净资产收益率及每股收益</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850"/>
        <w:gridCol w:w="2924"/>
        <w:gridCol w:w="1956"/>
        <w:gridCol w:w="1980"/>
      </w:tblGrid>
      <w:tr>
        <w:trPr>
          <w:trHeight w:val="590"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0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9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93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90" w:hRule="exact"/>
        </w:trPr>
        <w:tc>
          <w:tcPr>
            <w:tcW w:w="2850" w:type="dxa"/>
            <w:vMerge/>
            <w:tcBorders>
              <w:left w:val="nil" w:sz="6" w:space="0" w:color="auto"/>
              <w:bottom w:val="single" w:sz="4" w:space="0" w:color="000000"/>
              <w:right w:val="single" w:sz="4" w:space="0" w:color="000000"/>
            </w:tcBorders>
          </w:tcPr>
          <w:p>
            <w:pPr/>
          </w:p>
        </w:tc>
        <w:tc>
          <w:tcPr>
            <w:tcW w:w="2924"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109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8"/>
              <w:ind w:left="122" w:right="95"/>
              <w:jc w:val="left"/>
              <w:rPr>
                <w:rFonts w:ascii="宋体" w:hAnsi="宋体" w:cs="宋体" w:eastAsia="宋体" w:hint="default"/>
                <w:sz w:val="21"/>
                <w:szCs w:val="21"/>
              </w:rPr>
            </w:pPr>
            <w:r>
              <w:rPr>
                <w:rFonts w:ascii="宋体" w:hAnsi="宋体" w:cs="宋体" w:eastAsia="宋体" w:hint="default"/>
                <w:spacing w:val="8"/>
                <w:sz w:val="21"/>
                <w:szCs w:val="21"/>
              </w:rPr>
              <w:t>归属于公司普通股股东的净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18.91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0.22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6"/>
              <w:jc w:val="right"/>
              <w:rPr>
                <w:rFonts w:ascii="Times New Roman" w:hAnsi="Times New Roman" w:cs="Times New Roman" w:eastAsia="Times New Roman" w:hint="default"/>
                <w:sz w:val="21"/>
                <w:szCs w:val="21"/>
              </w:rPr>
            </w:pPr>
            <w:r>
              <w:rPr>
                <w:rFonts w:ascii="Times New Roman"/>
                <w:spacing w:val="-1"/>
                <w:sz w:val="21"/>
              </w:rPr>
              <w:t>0.22</w:t>
            </w:r>
          </w:p>
        </w:tc>
      </w:tr>
      <w:tr>
        <w:trPr>
          <w:trHeight w:val="751"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200"/>
              <w:jc w:val="left"/>
              <w:rPr>
                <w:rFonts w:ascii="宋体" w:hAnsi="宋体" w:cs="宋体" w:eastAsia="宋体" w:hint="default"/>
                <w:sz w:val="21"/>
                <w:szCs w:val="21"/>
              </w:rPr>
            </w:pPr>
            <w:r>
              <w:rPr>
                <w:rFonts w:ascii="宋体" w:hAnsi="宋体" w:cs="宋体" w:eastAsia="宋体" w:hint="default"/>
                <w:sz w:val="21"/>
                <w:szCs w:val="21"/>
              </w:rPr>
              <w:t>扣除非经常性损益后归属于 公司普通股股东的净利润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11.50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0.14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0.14</w:t>
            </w:r>
          </w:p>
        </w:tc>
      </w:tr>
    </w:tbl>
    <w:p>
      <w:pPr>
        <w:spacing w:before="63"/>
        <w:ind w:left="574"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、公司主要会计报表项目的异常情况及原因的说明</w:t>
      </w:r>
    </w:p>
    <w:p>
      <w:pPr>
        <w:spacing w:line="386" w:lineRule="auto" w:before="177"/>
        <w:ind w:left="574" w:right="93" w:hanging="1"/>
        <w:jc w:val="left"/>
        <w:rPr>
          <w:rFonts w:ascii="宋体" w:hAnsi="宋体" w:cs="宋体" w:eastAsia="宋体" w:hint="default"/>
          <w:sz w:val="21"/>
          <w:szCs w:val="21"/>
        </w:rPr>
      </w:pPr>
      <w:r>
        <w:rPr>
          <w:rFonts w:ascii="宋体" w:hAnsi="宋体" w:cs="宋体" w:eastAsia="宋体" w:hint="default"/>
          <w:sz w:val="21"/>
          <w:szCs w:val="21"/>
        </w:rPr>
        <w:t>根据公开发行证券的公司信息披露编报规则第 </w:t>
      </w:r>
      <w:r>
        <w:rPr>
          <w:rFonts w:ascii="Times New Roman" w:hAnsi="Times New Roman" w:cs="Times New Roman" w:eastAsia="Times New Roman" w:hint="default"/>
          <w:sz w:val="21"/>
          <w:szCs w:val="21"/>
        </w:rPr>
        <w:t>15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财务报告的一般规定（</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年修订）第四章</w:t>
      </w:r>
      <w:r>
        <w:rPr>
          <w:rFonts w:ascii="宋体" w:hAnsi="宋体" w:cs="宋体" w:eastAsia="宋体" w:hint="default"/>
          <w:sz w:val="21"/>
          <w:szCs w:val="21"/>
        </w:rPr>
        <w:t> </w:t>
      </w:r>
      <w:r>
        <w:rPr>
          <w:rFonts w:ascii="宋体" w:hAnsi="宋体" w:cs="宋体" w:eastAsia="宋体" w:hint="default"/>
          <w:spacing w:val="-1"/>
          <w:sz w:val="21"/>
          <w:szCs w:val="21"/>
        </w:rPr>
        <w:t>补充资料第六十一条的规定：“金额异常或比较期间变动异常的报表项目（如两个期间的数据变动幅</w:t>
      </w:r>
      <w:r>
        <w:rPr>
          <w:rFonts w:ascii="宋体" w:hAnsi="宋体" w:cs="宋体" w:eastAsia="宋体" w:hint="default"/>
          <w:sz w:val="21"/>
          <w:szCs w:val="21"/>
        </w:rPr>
      </w:r>
    </w:p>
    <w:p>
      <w:pPr>
        <w:spacing w:line="386" w:lineRule="auto" w:before="65"/>
        <w:ind w:left="154" w:right="223" w:firstLine="0"/>
        <w:jc w:val="left"/>
        <w:rPr>
          <w:rFonts w:ascii="宋体" w:hAnsi="宋体" w:cs="宋体" w:eastAsia="宋体" w:hint="default"/>
          <w:sz w:val="21"/>
          <w:szCs w:val="21"/>
        </w:rPr>
      </w:pPr>
      <w:r>
        <w:rPr>
          <w:rFonts w:ascii="宋体" w:hAnsi="宋体" w:cs="宋体" w:eastAsia="宋体" w:hint="default"/>
          <w:sz w:val="21"/>
          <w:szCs w:val="21"/>
        </w:rPr>
        <w:t>度达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w:t>
      </w:r>
      <w:r>
        <w:rPr>
          <w:rFonts w:ascii="宋体" w:hAnsi="宋体" w:cs="宋体" w:eastAsia="宋体" w:hint="default"/>
          <w:spacing w:val="-2"/>
          <w:sz w:val="21"/>
          <w:szCs w:val="21"/>
        </w:rPr>
        <w:t>以</w:t>
      </w:r>
      <w:r>
        <w:rPr>
          <w:rFonts w:ascii="宋体" w:hAnsi="宋体" w:cs="宋体" w:eastAsia="宋体" w:hint="default"/>
          <w:sz w:val="21"/>
          <w:szCs w:val="21"/>
        </w:rPr>
        <w:t>上</w:t>
      </w:r>
      <w:r>
        <w:rPr>
          <w:rFonts w:ascii="宋体" w:hAnsi="宋体" w:cs="宋体" w:eastAsia="宋体" w:hint="default"/>
          <w:spacing w:val="-38"/>
          <w:sz w:val="21"/>
          <w:szCs w:val="21"/>
        </w:rPr>
        <w:t>，</w:t>
      </w:r>
      <w:r>
        <w:rPr>
          <w:rFonts w:ascii="宋体" w:hAnsi="宋体" w:cs="宋体" w:eastAsia="宋体" w:hint="default"/>
          <w:sz w:val="21"/>
          <w:szCs w:val="21"/>
        </w:rPr>
        <w:t>或占公司报表日资产总额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w:t>
      </w:r>
      <w:r>
        <w:rPr>
          <w:rFonts w:ascii="宋体" w:hAnsi="宋体" w:cs="宋体" w:eastAsia="宋体" w:hint="default"/>
          <w:spacing w:val="-2"/>
          <w:sz w:val="21"/>
          <w:szCs w:val="21"/>
        </w:rPr>
        <w:t>报</w:t>
      </w:r>
      <w:r>
        <w:rPr>
          <w:rFonts w:ascii="宋体" w:hAnsi="宋体" w:cs="宋体" w:eastAsia="宋体" w:hint="default"/>
          <w:sz w:val="21"/>
          <w:szCs w:val="21"/>
        </w:rPr>
        <w:t>告期利润总额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以</w:t>
      </w:r>
      <w:r>
        <w:rPr>
          <w:rFonts w:ascii="宋体" w:hAnsi="宋体" w:cs="宋体" w:eastAsia="宋体" w:hint="default"/>
          <w:spacing w:val="-2"/>
          <w:sz w:val="21"/>
          <w:szCs w:val="21"/>
        </w:rPr>
        <w:t>上</w:t>
      </w:r>
      <w:r>
        <w:rPr>
          <w:rFonts w:ascii="宋体" w:hAnsi="宋体" w:cs="宋体" w:eastAsia="宋体" w:hint="default"/>
          <w:sz w:val="21"/>
          <w:szCs w:val="21"/>
        </w:rPr>
        <w:t>的</w:t>
      </w:r>
      <w:r>
        <w:rPr>
          <w:rFonts w:ascii="宋体" w:hAnsi="宋体" w:cs="宋体" w:eastAsia="宋体" w:hint="default"/>
          <w:spacing w:val="-105"/>
          <w:sz w:val="21"/>
          <w:szCs w:val="21"/>
        </w:rPr>
        <w:t>）</w:t>
      </w:r>
      <w:r>
        <w:rPr>
          <w:rFonts w:ascii="宋体" w:hAnsi="宋体" w:cs="宋体" w:eastAsia="宋体" w:hint="default"/>
          <w:spacing w:val="-38"/>
          <w:sz w:val="21"/>
          <w:szCs w:val="21"/>
        </w:rPr>
        <w:t>、</w:t>
      </w:r>
      <w:r>
        <w:rPr>
          <w:rFonts w:ascii="宋体" w:hAnsi="宋体" w:cs="宋体" w:eastAsia="宋体" w:hint="default"/>
          <w:sz w:val="21"/>
          <w:szCs w:val="21"/>
        </w:rPr>
        <w:t>非会计准则指定的的报表项</w:t>
      </w:r>
      <w:r>
        <w:rPr>
          <w:rFonts w:ascii="宋体" w:hAnsi="宋体" w:cs="宋体" w:eastAsia="宋体" w:hint="default"/>
          <w:sz w:val="21"/>
          <w:szCs w:val="21"/>
        </w:rPr>
        <w:t> 目、名称反映不出其性质或内容的报表项目，应说明该项目的具体情况及变动原因</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65"/>
        <w:ind w:left="574" w:right="93" w:firstLine="0"/>
        <w:jc w:val="left"/>
        <w:rPr>
          <w:rFonts w:ascii="宋体" w:hAnsi="宋体" w:cs="宋体" w:eastAsia="宋体" w:hint="default"/>
          <w:sz w:val="21"/>
          <w:szCs w:val="21"/>
        </w:rPr>
      </w:pPr>
      <w:r>
        <w:rPr>
          <w:rFonts w:ascii="宋体" w:hAnsi="宋体" w:cs="宋体" w:eastAsia="宋体" w:hint="default"/>
          <w:sz w:val="21"/>
          <w:szCs w:val="21"/>
        </w:rPr>
        <w:t>公司主要财务报表项目、财务指标出现的异常情况及原因的说明：</w:t>
      </w:r>
    </w:p>
    <w:p>
      <w:pPr>
        <w:spacing w:line="240" w:lineRule="auto" w:before="10"/>
        <w:rPr>
          <w:rFonts w:ascii="宋体" w:hAnsi="宋体" w:cs="宋体" w:eastAsia="宋体" w:hint="default"/>
          <w:sz w:val="27"/>
          <w:szCs w:val="27"/>
        </w:rPr>
      </w:pPr>
    </w:p>
    <w:p>
      <w:pPr>
        <w:spacing w:before="0"/>
        <w:ind w:left="0" w:right="22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910"/>
        <w:gridCol w:w="1969"/>
        <w:gridCol w:w="2423"/>
        <w:gridCol w:w="1804"/>
        <w:gridCol w:w="1655"/>
      </w:tblGrid>
      <w:tr>
        <w:trPr>
          <w:trHeight w:val="59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本报告期末</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5"/>
              <w:jc w:val="right"/>
              <w:rPr>
                <w:rFonts w:ascii="宋体" w:hAnsi="宋体" w:cs="宋体" w:eastAsia="宋体" w:hint="default"/>
                <w:sz w:val="21"/>
                <w:szCs w:val="21"/>
              </w:rPr>
            </w:pPr>
            <w:r>
              <w:rPr>
                <w:rFonts w:ascii="宋体" w:hAnsi="宋体" w:cs="宋体" w:eastAsia="宋体" w:hint="default"/>
                <w:sz w:val="21"/>
                <w:szCs w:val="21"/>
              </w:rPr>
              <w:t>增减比例</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1</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144,800,392.95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32,530,614.74</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345.12%</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2</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59,300.00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4,967,905.96</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-98.81%</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3</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3,373,668.80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10,430,603.32</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-67.66%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41" w:top="1100" w:bottom="1140" w:left="980" w:right="90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910"/>
        <w:gridCol w:w="1969"/>
        <w:gridCol w:w="2423"/>
        <w:gridCol w:w="1804"/>
        <w:gridCol w:w="1655"/>
      </w:tblGrid>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4</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327,140,703.69</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258,037,804.47</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26.78%</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507,127.85</w:t>
            </w:r>
            <w:r>
              <w:rPr>
                <w:rFonts w:ascii="Times New Roman"/>
                <w:sz w:val="21"/>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1,173,372.16</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-56.78%</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6</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10,000,000.00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46,370,842.28</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-78.43%</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77,876,431.31</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8,215,291.21</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847.94%</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29,743,802.05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875,431.15</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3297.62%</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 w:right="0"/>
              <w:jc w:val="center"/>
              <w:rPr>
                <w:rFonts w:ascii="Times New Roman" w:hAnsi="Times New Roman" w:cs="Times New Roman" w:eastAsia="Times New Roman" w:hint="default"/>
                <w:sz w:val="21"/>
                <w:szCs w:val="21"/>
              </w:rPr>
            </w:pPr>
            <w:r>
              <w:rPr>
                <w:rFonts w:ascii="Times New Roman"/>
                <w:sz w:val="21"/>
              </w:rPr>
              <w:t>9</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24,068,917.25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11,343,563.15</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112.18%</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10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11,984,750.28</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61,736,355.84</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98,134,441.67</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-37.09%</w:t>
            </w:r>
          </w:p>
        </w:tc>
      </w:tr>
      <w:tr>
        <w:trPr>
          <w:trHeight w:val="714"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12</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118,370,842.28</w:t>
            </w:r>
          </w:p>
        </w:tc>
        <w:tc>
          <w:tcPr>
            <w:tcW w:w="1804"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386" w:lineRule="auto" w:before="63"/>
        <w:ind w:left="153" w:right="93" w:firstLine="1078"/>
        <w:jc w:val="left"/>
        <w:rPr>
          <w:rFonts w:ascii="宋体" w:hAnsi="宋体" w:cs="宋体" w:eastAsia="宋体" w:hint="default"/>
          <w:sz w:val="21"/>
          <w:szCs w:val="21"/>
        </w:rPr>
      </w:pPr>
      <w:r>
        <w:rPr>
          <w:rFonts w:ascii="宋体" w:hAnsi="宋体" w:cs="宋体" w:eastAsia="宋体" w:hint="default"/>
          <w:sz w:val="21"/>
          <w:szCs w:val="21"/>
        </w:rPr>
        <w:t>说明：</w:t>
      </w: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、货币资金期末较期初大幅增加的主要原因：一方面子公司青岛广顺和兖州海情公司</w:t>
      </w:r>
      <w:r>
        <w:rPr>
          <w:rFonts w:ascii="宋体" w:hAnsi="宋体" w:cs="宋体" w:eastAsia="宋体" w:hint="default"/>
          <w:spacing w:val="1"/>
          <w:sz w:val="21"/>
          <w:szCs w:val="21"/>
        </w:rPr>
        <w:t> </w:t>
      </w:r>
      <w:r>
        <w:rPr>
          <w:rFonts w:ascii="宋体" w:hAnsi="宋体" w:cs="宋体" w:eastAsia="宋体" w:hint="default"/>
          <w:sz w:val="21"/>
          <w:szCs w:val="21"/>
        </w:rPr>
        <w:t>本期向银行借款增加货币资金，另一方面子公司房产开发项目年度实现销售增加期末货币资金。</w:t>
      </w:r>
    </w:p>
    <w:p>
      <w:pPr>
        <w:spacing w:before="65"/>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、预付账款大幅减少的主要原因是预付工程款均已结算并结转到存货中。</w:t>
      </w:r>
    </w:p>
    <w:p>
      <w:pPr>
        <w:spacing w:before="177"/>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、其他应收款减少的主要原因为前期往来款收回所致。</w:t>
      </w:r>
    </w:p>
    <w:p>
      <w:pPr>
        <w:spacing w:before="177"/>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、存货增加的主要原因为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年子公司开发项目已动工，导致在建开发产品大幅增加。</w:t>
      </w:r>
    </w:p>
    <w:p>
      <w:pPr>
        <w:spacing w:before="177"/>
        <w:ind w:left="1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、递延所得税资产减少的主要原因为，前期可弥补亏损，本年弥补减少上期递延所得税资产。</w:t>
      </w:r>
    </w:p>
    <w:p>
      <w:pPr>
        <w:spacing w:before="177"/>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、短期借款减少主要为归还前期借款所致。</w:t>
      </w:r>
    </w:p>
    <w:p>
      <w:pPr>
        <w:spacing w:line="386" w:lineRule="auto" w:before="177"/>
        <w:ind w:left="154" w:right="168" w:firstLine="1078"/>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、应付账款大幅增加主要为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年子公司开发项目已动工，导致材料款及工程款相应增加， 应付供应商款相应增加。</w:t>
      </w:r>
    </w:p>
    <w:p>
      <w:pPr>
        <w:spacing w:line="386" w:lineRule="auto" w:before="65"/>
        <w:ind w:left="154" w:right="93" w:firstLine="1078"/>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、预收账款大幅增加主要为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年度销售的房屋，因未达到收入确认条件，暂挂账，</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年公司没有房产销售，因此增幅较大。</w:t>
      </w:r>
    </w:p>
    <w:p>
      <w:pPr>
        <w:spacing w:before="65"/>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、应交税费增加主要原因为房屋销售的增长，使税金随之增长。</w:t>
      </w:r>
    </w:p>
    <w:p>
      <w:pPr>
        <w:spacing w:before="177"/>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、应付利息大幅减少主要为公司根据重组协议的约定归还应付利息所致。</w:t>
      </w:r>
    </w:p>
    <w:p>
      <w:pPr>
        <w:spacing w:before="177"/>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、其他应付款减少主要原因为公司收到前期关联方往来款所致。</w:t>
      </w:r>
    </w:p>
    <w:p>
      <w:pPr>
        <w:spacing w:before="177"/>
        <w:ind w:left="1232"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、长期借款本期大幅增加主要为本期子公司新增贷款所致。</w:t>
      </w:r>
    </w:p>
    <w:p>
      <w:pPr>
        <w:spacing w:after="0"/>
        <w:jc w:val="left"/>
        <w:rPr>
          <w:rFonts w:ascii="宋体" w:hAnsi="宋体" w:cs="宋体" w:eastAsia="宋体" w:hint="default"/>
          <w:sz w:val="21"/>
          <w:szCs w:val="21"/>
        </w:rPr>
        <w:sectPr>
          <w:pgSz w:w="11910" w:h="16840"/>
          <w:pgMar w:header="0" w:footer="941" w:top="1100" w:bottom="1140" w:left="98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910"/>
        <w:gridCol w:w="2640"/>
        <w:gridCol w:w="1752"/>
        <w:gridCol w:w="1804"/>
        <w:gridCol w:w="1655"/>
      </w:tblGrid>
      <w:tr>
        <w:trPr>
          <w:trHeight w:val="59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89"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本报告期末</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6"/>
              <w:jc w:val="right"/>
              <w:rPr>
                <w:rFonts w:ascii="宋体" w:hAnsi="宋体" w:cs="宋体" w:eastAsia="宋体" w:hint="default"/>
                <w:sz w:val="21"/>
                <w:szCs w:val="21"/>
              </w:rPr>
            </w:pPr>
            <w:r>
              <w:rPr>
                <w:rFonts w:ascii="宋体" w:hAnsi="宋体" w:cs="宋体" w:eastAsia="宋体" w:hint="default"/>
                <w:sz w:val="21"/>
                <w:szCs w:val="21"/>
              </w:rPr>
              <w:t>增减比例</w:t>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1</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pacing w:val="-1"/>
                <w:sz w:val="21"/>
              </w:rPr>
              <w:t>110,043,571.90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2</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70,124,034.22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3</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7,169,500.82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4</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1,160,171.73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13,475.00</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spacing w:val="-1"/>
                <w:sz w:val="21"/>
              </w:rPr>
              <w:t>8509.81%</w:t>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5</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2,524,447.72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4,006,203.81</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spacing w:val="-1"/>
                <w:sz w:val="21"/>
              </w:rPr>
              <w:t>-36.99%</w:t>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6</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98,352.04</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spacing w:val="-1"/>
                <w:sz w:val="21"/>
              </w:rPr>
              <w:t>883.52%</w:t>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10,566,546.44</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208,578,842.9</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spacing w:val="-1"/>
                <w:sz w:val="21"/>
              </w:rPr>
              <w:t>-94.93%</w:t>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8</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4.53</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12,308,341.38</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8" w:right="0"/>
              <w:jc w:val="center"/>
              <w:rPr>
                <w:rFonts w:ascii="Times New Roman" w:hAnsi="Times New Roman" w:cs="Times New Roman" w:eastAsia="Times New Roman" w:hint="default"/>
                <w:sz w:val="21"/>
                <w:szCs w:val="21"/>
              </w:rPr>
            </w:pPr>
            <w:r>
              <w:rPr>
                <w:rFonts w:ascii="Times New Roman"/>
                <w:sz w:val="21"/>
              </w:rPr>
              <w:t>9</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pacing w:val="-2"/>
                <w:sz w:val="21"/>
              </w:rPr>
              <w:t>11,525,520.05</w:t>
            </w:r>
            <w:r>
              <w:rPr>
                <w:rFonts w:ascii="Times New Roman"/>
                <w:sz w:val="21"/>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pacing w:val="-1"/>
                <w:sz w:val="21"/>
              </w:rPr>
              <w:t>-1,173,372.16</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386" w:lineRule="auto" w:before="63"/>
        <w:ind w:left="154" w:right="229" w:firstLine="1078"/>
        <w:jc w:val="both"/>
        <w:rPr>
          <w:rFonts w:ascii="宋体" w:hAnsi="宋体" w:cs="宋体" w:eastAsia="宋体" w:hint="default"/>
          <w:sz w:val="21"/>
          <w:szCs w:val="21"/>
        </w:rPr>
      </w:pPr>
      <w:r>
        <w:rPr>
          <w:rFonts w:ascii="宋体" w:hAnsi="宋体" w:cs="宋体" w:eastAsia="宋体" w:hint="default"/>
          <w:spacing w:val="-4"/>
          <w:sz w:val="21"/>
          <w:szCs w:val="21"/>
        </w:rPr>
        <w:t>说明：利润表项目报告期末数较年初数均有较大增加，</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年子公司房地产项目均处于项目建 </w:t>
      </w:r>
      <w:r>
        <w:rPr>
          <w:rFonts w:ascii="宋体" w:hAnsi="宋体" w:cs="宋体" w:eastAsia="宋体" w:hint="default"/>
          <w:spacing w:val="-2"/>
          <w:sz w:val="21"/>
          <w:szCs w:val="21"/>
        </w:rPr>
        <w:t>设期，没有实现销售，</w:t>
      </w:r>
      <w:r>
        <w:rPr>
          <w:rFonts w:ascii="Times New Roman" w:hAnsi="Times New Roman" w:cs="Times New Roman" w:eastAsia="Times New Roman" w:hint="default"/>
          <w:spacing w:val="-2"/>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年子公司房地产项目已实现销售，导致相应收入、成本、费用、所得税费用增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w:t>
      </w:r>
    </w:p>
    <w:p>
      <w:pPr>
        <w:spacing w:after="0" w:line="386" w:lineRule="auto"/>
        <w:jc w:val="both"/>
        <w:rPr>
          <w:rFonts w:ascii="宋体" w:hAnsi="宋体" w:cs="宋体" w:eastAsia="宋体" w:hint="default"/>
          <w:sz w:val="21"/>
          <w:szCs w:val="21"/>
        </w:rPr>
        <w:sectPr>
          <w:footerReference w:type="default" r:id="rId21"/>
          <w:pgSz w:w="11910" w:h="16840"/>
          <w:pgMar w:footer="941" w:header="0" w:top="1100" w:bottom="1140" w:left="980" w:right="900"/>
          <w:pgNumType w:start="110"/>
        </w:sectPr>
      </w:pPr>
    </w:p>
    <w:p>
      <w:pPr>
        <w:spacing w:line="240" w:lineRule="auto" w:before="5"/>
        <w:rPr>
          <w:rFonts w:ascii="宋体" w:hAnsi="宋体" w:cs="宋体" w:eastAsia="宋体" w:hint="default"/>
          <w:sz w:val="28"/>
          <w:szCs w:val="28"/>
        </w:rPr>
      </w:pPr>
    </w:p>
    <w:p>
      <w:pPr>
        <w:pStyle w:val="Heading1"/>
        <w:spacing w:line="240" w:lineRule="auto" w:before="1"/>
        <w:ind w:left="3286" w:right="0"/>
        <w:jc w:val="left"/>
        <w:rPr>
          <w:b w:val="0"/>
          <w:bCs w:val="0"/>
        </w:rPr>
      </w:pPr>
      <w:bookmarkStart w:name="_TOC_250000" w:id="12"/>
      <w:r>
        <w:rPr/>
        <w:t>第十二章</w:t>
      </w:r>
      <w:r>
        <w:rPr>
          <w:spacing w:val="-9"/>
        </w:rPr>
        <w:t> </w:t>
      </w:r>
      <w:r>
        <w:rPr/>
        <w:t>备查文件目录</w:t>
      </w:r>
      <w:bookmarkEnd w:id="12"/>
      <w:r>
        <w:rPr>
          <w:b w:val="0"/>
          <w:bCs w:val="0"/>
        </w:rPr>
      </w:r>
    </w:p>
    <w:p>
      <w:pPr>
        <w:spacing w:line="240" w:lineRule="auto" w:before="1"/>
        <w:rPr>
          <w:rFonts w:ascii="宋体" w:hAnsi="宋体" w:cs="宋体" w:eastAsia="宋体" w:hint="default"/>
          <w:b/>
          <w:bCs/>
          <w:sz w:val="33"/>
          <w:szCs w:val="33"/>
        </w:rPr>
      </w:pPr>
    </w:p>
    <w:p>
      <w:pPr>
        <w:pStyle w:val="BodyText"/>
        <w:spacing w:line="240" w:lineRule="auto" w:before="0"/>
        <w:ind w:left="634" w:right="0"/>
        <w:jc w:val="left"/>
      </w:pPr>
      <w:r>
        <w:rPr/>
        <w:t>（一）载有法定代表人、主管会计工作负责人、会计主管人员签名并盖章的财务报表。</w:t>
      </w:r>
    </w:p>
    <w:p>
      <w:pPr>
        <w:pStyle w:val="BodyText"/>
        <w:spacing w:line="240" w:lineRule="auto" w:before="154"/>
        <w:ind w:left="634" w:right="0"/>
        <w:jc w:val="left"/>
      </w:pPr>
      <w:r>
        <w:rPr/>
        <w:t>（二）载有会计师事务所盖章、注册会计师签名并盖章的审计报告原件。</w:t>
      </w:r>
    </w:p>
    <w:p>
      <w:pPr>
        <w:pStyle w:val="BodyText"/>
        <w:spacing w:line="357" w:lineRule="auto" w:before="154"/>
        <w:ind w:left="153" w:right="0" w:firstLine="480"/>
        <w:jc w:val="left"/>
      </w:pPr>
      <w:r>
        <w:rPr/>
        <w:t>（三）报告期内在中国证监会指定报纸上公开披露过的所有公司文件的正本及公告的原</w:t>
      </w:r>
      <w:r>
        <w:rPr>
          <w:spacing w:val="1"/>
        </w:rPr>
        <w:t> </w:t>
      </w:r>
      <w:r>
        <w:rPr/>
        <w:t>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BodyText"/>
        <w:spacing w:line="357" w:lineRule="auto" w:before="0"/>
        <w:ind w:left="6874" w:right="890" w:hanging="720"/>
        <w:jc w:val="left"/>
      </w:pPr>
      <w:r>
        <w:rPr/>
        <w:t>深圳大通实业股份有限公司 2010年4月23日</w:t>
      </w:r>
    </w:p>
    <w:sectPr>
      <w:pgSz w:w="11910" w:h="16840"/>
      <w:pgMar w:header="0" w:footer="941" w:top="1100" w:bottom="11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97.557312pt;width:13pt;height:11pt;mso-position-horizontal-relative:page;mso-position-vertical-relative:page;z-index:-496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37.338257pt;width:13pt;height:11pt;mso-position-horizontal-relative:page;mso-position-vertical-relative:page;z-index:-496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3.937866pt;width:13pt;height:11pt;mso-position-horizontal-relative:page;mso-position-vertical-relative:page;z-index:-49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3.937866pt;width:13pt;height:11pt;mso-position-horizontal-relative:page;mso-position-vertical-relative:page;z-index:-496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797pt;margin-top:783.937866pt;width:15.5pt;height:11pt;mso-position-horizontal-relative:page;mso-position-vertical-relative:page;z-index:-496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3.937866pt;width:17.5pt;height:11pt;mso-position-horizontal-relative:page;mso-position-vertical-relative:page;z-index:-496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3.937866pt;width:17.150pt;height:11pt;mso-position-horizontal-relative:page;mso-position-vertical-relative:page;z-index:-49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496552"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8.400002pt;margin-top:36.325325pt;width:110pt;height:11pt;mso-position-horizontal-relative:page;mso-position-vertical-relative:page;z-index:-496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xbxContent>
          </v:textbox>
          <w10:wrap type="none"/>
        </v:shape>
      </w:pict>
    </w:r>
    <w:r>
      <w:rPr/>
      <w:pict>
        <v:shape style="position:absolute;margin-left:472.399994pt;margin-top:36.325325pt;width:67.25pt;height:11.5pt;mso-position-horizontal-relative:page;mso-position-vertical-relative:page;z-index:-496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496456"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304.990509pt;margin-top:42.865623pt;width:110pt;height:11pt;mso-position-horizontal-relative:page;mso-position-vertical-relative:page;z-index:-496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xbxContent>
          </v:textbox>
          <w10:wrap type="none"/>
        </v:shape>
      </w:pict>
    </w:r>
    <w:r>
      <w:rPr/>
      <w:pict>
        <v:shape style="position:absolute;margin-left:718.990479pt;margin-top:42.865623pt;width:67.25pt;height:11.5pt;mso-position-horizontal-relative:page;mso-position-vertical-relative:page;z-index:-496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49636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58.400002pt;margin-top:42.865326pt;width:110pt;height:11pt;mso-position-horizontal-relative:page;mso-position-vertical-relative:page;z-index:-496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xbxContent>
          </v:textbox>
          <w10:wrap type="none"/>
        </v:shape>
      </w:pict>
    </w:r>
    <w:r>
      <w:rPr/>
      <w:pict>
        <v:shape style="position:absolute;margin-left:472.399994pt;margin-top:42.865326pt;width:67.25pt;height:11.5pt;mso-position-horizontal-relative:page;mso-position-vertical-relative:page;z-index:-496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53"/>
    </w:pPr>
    <w:rPr>
      <w:rFonts w:ascii="宋体" w:hAnsi="宋体" w:eastAsia="宋体"/>
      <w:sz w:val="28"/>
      <w:szCs w:val="28"/>
    </w:rPr>
  </w:style>
  <w:style w:styleId="BodyText" w:type="paragraph">
    <w:name w:val="Body Text"/>
    <w:basedOn w:val="Normal"/>
    <w:uiPriority w:val="1"/>
    <w:qFormat/>
    <w:pPr>
      <w:spacing w:before="35"/>
      <w:ind w:left="154"/>
    </w:pPr>
    <w:rPr>
      <w:rFonts w:ascii="宋体" w:hAnsi="宋体" w:eastAsia="宋体"/>
      <w:sz w:val="24"/>
      <w:szCs w:val="24"/>
    </w:rPr>
  </w:style>
  <w:style w:styleId="Heading1" w:type="paragraph">
    <w:name w:val="Heading 1"/>
    <w:basedOn w:val="Normal"/>
    <w:uiPriority w:val="1"/>
    <w:qFormat/>
    <w:pPr>
      <w:spacing w:before="136"/>
      <w:outlineLvl w:val="1"/>
    </w:pPr>
    <w:rPr>
      <w:rFonts w:ascii="宋体" w:hAnsi="宋体" w:eastAsia="宋体"/>
      <w:b/>
      <w:bCs/>
      <w:sz w:val="32"/>
      <w:szCs w:val="32"/>
    </w:rPr>
  </w:style>
  <w:style w:styleId="Heading2" w:type="paragraph">
    <w:name w:val="Heading 2"/>
    <w:basedOn w:val="Normal"/>
    <w:uiPriority w:val="1"/>
    <w:qFormat/>
    <w:pPr>
      <w:outlineLvl w:val="2"/>
    </w:pPr>
    <w:rPr>
      <w:rFonts w:ascii="黑体" w:hAnsi="黑体" w:eastAsia="黑体"/>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iushibao2002@163.com" TargetMode="External"/><Relationship Id="rId8" Type="http://schemas.openxmlformats.org/officeDocument/2006/relationships/hyperlink" Target="mailto:dtstock@yahoo.cn" TargetMode="External"/><Relationship Id="rId9" Type="http://schemas.openxmlformats.org/officeDocument/2006/relationships/hyperlink" Target="http://www.cninfo.com.c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luogl</dc:creator>
  <dc:title>Microsoft Word - AR2009000038b定期报告全文_Word中文版_[1].doc</dc:title>
  <dcterms:created xsi:type="dcterms:W3CDTF">2020-04-02T11:56:15Z</dcterms:created>
  <dcterms:modified xsi:type="dcterms:W3CDTF">2020-04-02T11:56:15Z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2010-04-23T00:00:00Z</vt:filetime>
  </property>
  <property fmtid="{D5CDD505-2E9C-101B-9397-08002B2CF9AE}" pid="3" name="Creator">
    <vt:lpwstr>PScript5.dll Version 5.2.2</vt:lpwstr>
  </property>
  <property fmtid="{D5CDD505-2E9C-101B-9397-08002B2CF9AE}" pid="4" name="LastSaved">
    <vt:filetime>2020-04-02T00:00:00Z</vt:filetime>
  </property>
</Properties>
</file>