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p>
      <w:pPr>
        <w:spacing w:line="902" w:lineRule="exact" w:before="0"/>
        <w:ind w:left="101" w:right="1534" w:firstLine="0"/>
        <w:jc w:val="center"/>
        <w:rPr>
          <w:rFonts w:ascii="Microsoft JhengHei" w:hAnsi="Microsoft JhengHei" w:cs="Microsoft JhengHei" w:eastAsia="Microsoft JhengHei" w:hint="default"/>
          <w:sz w:val="72"/>
          <w:szCs w:val="72"/>
        </w:rPr>
      </w:pPr>
      <w:r>
        <w:rPr>
          <w:rFonts w:ascii="Microsoft JhengHei" w:hAnsi="Microsoft JhengHei" w:cs="Microsoft JhengHei" w:eastAsia="Microsoft JhengHei" w:hint="default"/>
          <w:b/>
          <w:bCs/>
          <w:color w:val="0000FF"/>
          <w:sz w:val="72"/>
          <w:szCs w:val="72"/>
        </w:rPr>
        <w:t>深圳大通实业股份有限公司</w:t>
      </w:r>
      <w:r>
        <w:rPr>
          <w:rFonts w:ascii="Microsoft JhengHei" w:hAnsi="Microsoft JhengHei" w:cs="Microsoft JhengHei" w:eastAsia="Microsoft JhengHei" w:hint="default"/>
          <w:sz w:val="72"/>
          <w:szCs w:val="72"/>
        </w:rPr>
      </w:r>
    </w:p>
    <w:p>
      <w:pPr>
        <w:spacing w:before="269"/>
        <w:ind w:left="109" w:right="1534" w:firstLine="0"/>
        <w:jc w:val="center"/>
        <w:rPr>
          <w:rFonts w:ascii="Microsoft JhengHei" w:hAnsi="Microsoft JhengHei" w:cs="Microsoft JhengHei" w:eastAsia="Microsoft JhengHei" w:hint="default"/>
          <w:sz w:val="72"/>
          <w:szCs w:val="72"/>
        </w:rPr>
      </w:pPr>
      <w:r>
        <w:rPr>
          <w:rFonts w:ascii="Arial" w:hAnsi="Arial" w:cs="Arial" w:eastAsia="Arial" w:hint="default"/>
          <w:b/>
          <w:bCs/>
          <w:color w:val="0000FF"/>
          <w:sz w:val="72"/>
          <w:szCs w:val="72"/>
        </w:rPr>
        <w:t>2010</w:t>
      </w:r>
      <w:r>
        <w:rPr>
          <w:rFonts w:ascii="Microsoft JhengHei" w:hAnsi="Microsoft JhengHei" w:cs="Microsoft JhengHei" w:eastAsia="Microsoft JhengHei" w:hint="default"/>
          <w:b/>
          <w:bCs/>
          <w:color w:val="0000FF"/>
          <w:sz w:val="72"/>
          <w:szCs w:val="72"/>
        </w:rPr>
        <w:t>年年度报告（更正后）</w:t>
      </w:r>
      <w:r>
        <w:rPr>
          <w:rFonts w:ascii="Microsoft JhengHei" w:hAnsi="Microsoft JhengHei" w:cs="Microsoft JhengHei" w:eastAsia="Microsoft JhengHei" w:hint="default"/>
          <w:sz w:val="72"/>
          <w:szCs w:val="72"/>
        </w:rPr>
      </w:r>
    </w:p>
    <w:p>
      <w:pPr>
        <w:spacing w:before="616"/>
        <w:ind w:left="109" w:right="1530" w:firstLine="0"/>
        <w:jc w:val="center"/>
        <w:rPr>
          <w:rFonts w:ascii="Arial" w:hAnsi="Arial" w:cs="Arial" w:eastAsia="Arial" w:hint="default"/>
          <w:sz w:val="44"/>
          <w:szCs w:val="44"/>
        </w:rPr>
      </w:pPr>
      <w:r>
        <w:rPr>
          <w:rFonts w:ascii="Arial"/>
          <w:b/>
          <w:color w:val="0000FF"/>
          <w:sz w:val="44"/>
        </w:rPr>
        <w:t>Annual Report</w:t>
      </w:r>
      <w:r>
        <w:rPr>
          <w:rFonts w:ascii="Arial"/>
          <w:b/>
          <w:color w:val="0000FF"/>
          <w:spacing w:val="-4"/>
          <w:sz w:val="44"/>
        </w:rPr>
        <w:t> </w:t>
      </w:r>
      <w:r>
        <w:rPr>
          <w:rFonts w:ascii="Arial"/>
          <w:b/>
          <w:color w:val="0000FF"/>
          <w:sz w:val="44"/>
        </w:rPr>
        <w:t>2010</w:t>
      </w:r>
      <w:r>
        <w:rPr>
          <w:rFonts w:ascii="Arial"/>
          <w:sz w:val="44"/>
        </w:rPr>
      </w:r>
    </w:p>
    <w:p>
      <w:pPr>
        <w:spacing w:line="240" w:lineRule="auto" w:before="0"/>
        <w:rPr>
          <w:rFonts w:ascii="Arial" w:hAnsi="Arial" w:cs="Arial" w:eastAsia="Arial" w:hint="default"/>
          <w:b/>
          <w:bCs/>
          <w:sz w:val="44"/>
          <w:szCs w:val="44"/>
        </w:rPr>
      </w:pPr>
    </w:p>
    <w:p>
      <w:pPr>
        <w:spacing w:line="240" w:lineRule="auto" w:before="0"/>
        <w:rPr>
          <w:rFonts w:ascii="Arial" w:hAnsi="Arial" w:cs="Arial" w:eastAsia="Arial" w:hint="default"/>
          <w:b/>
          <w:bCs/>
          <w:sz w:val="44"/>
          <w:szCs w:val="44"/>
        </w:rPr>
      </w:pPr>
    </w:p>
    <w:p>
      <w:pPr>
        <w:spacing w:line="240" w:lineRule="auto" w:before="0"/>
        <w:rPr>
          <w:rFonts w:ascii="Arial" w:hAnsi="Arial" w:cs="Arial" w:eastAsia="Arial" w:hint="default"/>
          <w:b/>
          <w:bCs/>
          <w:sz w:val="44"/>
          <w:szCs w:val="44"/>
        </w:rPr>
      </w:pPr>
    </w:p>
    <w:p>
      <w:pPr>
        <w:spacing w:line="240" w:lineRule="auto" w:before="0"/>
        <w:rPr>
          <w:rFonts w:ascii="Arial" w:hAnsi="Arial" w:cs="Arial" w:eastAsia="Arial" w:hint="default"/>
          <w:b/>
          <w:bCs/>
          <w:sz w:val="44"/>
          <w:szCs w:val="44"/>
        </w:rPr>
      </w:pPr>
    </w:p>
    <w:p>
      <w:pPr>
        <w:spacing w:line="240" w:lineRule="auto" w:before="0"/>
        <w:rPr>
          <w:rFonts w:ascii="Arial" w:hAnsi="Arial" w:cs="Arial" w:eastAsia="Arial" w:hint="default"/>
          <w:b/>
          <w:bCs/>
          <w:sz w:val="44"/>
          <w:szCs w:val="44"/>
        </w:rPr>
      </w:pPr>
    </w:p>
    <w:p>
      <w:pPr>
        <w:spacing w:line="240" w:lineRule="auto" w:before="0"/>
        <w:rPr>
          <w:rFonts w:ascii="Arial" w:hAnsi="Arial" w:cs="Arial" w:eastAsia="Arial" w:hint="default"/>
          <w:b/>
          <w:bCs/>
          <w:sz w:val="44"/>
          <w:szCs w:val="44"/>
        </w:rPr>
      </w:pPr>
    </w:p>
    <w:p>
      <w:pPr>
        <w:spacing w:before="393"/>
        <w:ind w:left="109" w:right="1530"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二Ｏ一一年五月十六日</w:t>
      </w:r>
      <w:r>
        <w:rPr>
          <w:rFonts w:ascii="Microsoft JhengHei" w:hAnsi="Microsoft JhengHei" w:cs="Microsoft JhengHei" w:eastAsia="Microsoft JhengHei" w:hint="default"/>
          <w:sz w:val="44"/>
          <w:szCs w:val="44"/>
        </w:rPr>
      </w:r>
    </w:p>
    <w:p>
      <w:pPr>
        <w:spacing w:after="0"/>
        <w:jc w:val="center"/>
        <w:rPr>
          <w:rFonts w:ascii="Microsoft JhengHei" w:hAnsi="Microsoft JhengHei" w:cs="Microsoft JhengHei" w:eastAsia="Microsoft JhengHei" w:hint="default"/>
          <w:sz w:val="44"/>
          <w:szCs w:val="44"/>
        </w:rPr>
        <w:sectPr>
          <w:footerReference w:type="default" r:id="rId5"/>
          <w:type w:val="continuous"/>
          <w:pgSz w:w="11910" w:h="16840"/>
          <w:pgMar w:footer="956" w:top="1580" w:bottom="1140" w:left="1420" w:right="0"/>
          <w:pgNumType w:start="1"/>
        </w:sectPr>
      </w:pPr>
    </w:p>
    <w:p>
      <w:pPr>
        <w:tabs>
          <w:tab w:pos="724" w:val="left" w:leader="none"/>
        </w:tabs>
        <w:spacing w:line="445" w:lineRule="exact" w:before="0"/>
        <w:ind w:left="0" w:right="1018"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1233" w:val="left" w:leader="none"/>
              <w:tab w:pos="9744" w:val="right" w:leader="dot"/>
            </w:tabs>
            <w:spacing w:line="240" w:lineRule="auto" w:before="482"/>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第一章</w:t>
              <w:tab/>
              <w:t>重要提示</w:t>
            </w:r>
            <w:r>
              <w:rPr>
                <w:rFonts w:ascii="Times New Roman" w:hAnsi="Times New Roman" w:cs="Times New Roman" w:eastAsia="Times New Roman" w:hint="default"/>
              </w:rPr>
              <w:tab/>
              <w:t>3</w:t>
            </w:r>
          </w:hyperlink>
        </w:p>
        <w:p>
          <w:pPr>
            <w:pStyle w:val="TOC1"/>
            <w:tabs>
              <w:tab w:pos="1233" w:val="left" w:leader="none"/>
              <w:tab w:pos="9744" w:val="right" w:leader="dot"/>
            </w:tabs>
            <w:spacing w:line="240" w:lineRule="auto"/>
            <w:ind w:right="0"/>
            <w:jc w:val="left"/>
            <w:rPr>
              <w:rFonts w:ascii="Times New Roman" w:hAnsi="Times New Roman" w:cs="Times New Roman" w:eastAsia="Times New Roman" w:hint="default"/>
            </w:rPr>
          </w:pPr>
          <w:hyperlink w:history="true" w:anchor="_TOC_250010">
            <w:r>
              <w:rPr/>
              <w:t>第二章</w:t>
              <w:tab/>
              <w:t>公司基本情况简介</w:t>
            </w:r>
            <w:r>
              <w:rPr>
                <w:rFonts w:ascii="Times New Roman" w:hAnsi="Times New Roman" w:cs="Times New Roman" w:eastAsia="Times New Roman" w:hint="default"/>
              </w:rPr>
              <w:tab/>
              <w:t>4</w:t>
            </w:r>
          </w:hyperlink>
        </w:p>
        <w:p>
          <w:pPr>
            <w:pStyle w:val="TOC1"/>
            <w:tabs>
              <w:tab w:pos="1233" w:val="left" w:leader="none"/>
              <w:tab w:pos="9744" w:val="right" w:leader="dot"/>
            </w:tabs>
            <w:spacing w:line="240" w:lineRule="auto"/>
            <w:ind w:right="0"/>
            <w:jc w:val="left"/>
            <w:rPr>
              <w:rFonts w:ascii="Times New Roman" w:hAnsi="Times New Roman" w:cs="Times New Roman" w:eastAsia="Times New Roman" w:hint="default"/>
            </w:rPr>
          </w:pPr>
          <w:hyperlink w:history="true" w:anchor="_TOC_250009">
            <w:r>
              <w:rPr/>
              <w:t>第三章</w:t>
              <w:tab/>
              <w:t>会计数据和业务数据摘要</w:t>
            </w:r>
            <w:r>
              <w:rPr>
                <w:rFonts w:ascii="Times New Roman" w:hAnsi="Times New Roman" w:cs="Times New Roman" w:eastAsia="Times New Roman" w:hint="default"/>
              </w:rPr>
              <w:tab/>
              <w:t>5</w:t>
            </w:r>
          </w:hyperlink>
        </w:p>
        <w:p>
          <w:pPr>
            <w:pStyle w:val="TOC1"/>
            <w:tabs>
              <w:tab w:pos="1233" w:val="left" w:leader="none"/>
              <w:tab w:pos="9744" w:val="right" w:leader="dot"/>
            </w:tabs>
            <w:spacing w:line="240" w:lineRule="auto"/>
            <w:ind w:right="0"/>
            <w:jc w:val="left"/>
            <w:rPr>
              <w:rFonts w:ascii="Times New Roman" w:hAnsi="Times New Roman" w:cs="Times New Roman" w:eastAsia="Times New Roman" w:hint="default"/>
            </w:rPr>
          </w:pPr>
          <w:hyperlink w:history="true" w:anchor="_TOC_250008">
            <w:r>
              <w:rPr/>
              <w:t>第四章</w:t>
              <w:tab/>
              <w:t>股本变动及股东情况</w:t>
            </w:r>
            <w:r>
              <w:rPr>
                <w:rFonts w:ascii="Times New Roman" w:hAnsi="Times New Roman" w:cs="Times New Roman" w:eastAsia="Times New Roman" w:hint="default"/>
              </w:rPr>
              <w:tab/>
              <w:t>7</w:t>
            </w:r>
          </w:hyperlink>
        </w:p>
        <w:p>
          <w:pPr>
            <w:pStyle w:val="TOC1"/>
            <w:tabs>
              <w:tab w:pos="1233" w:val="left" w:leader="none"/>
              <w:tab w:pos="9745" w:val="right" w:leader="dot"/>
            </w:tabs>
            <w:spacing w:line="240" w:lineRule="auto"/>
            <w:ind w:right="0"/>
            <w:jc w:val="left"/>
            <w:rPr>
              <w:rFonts w:ascii="Times New Roman" w:hAnsi="Times New Roman" w:cs="Times New Roman" w:eastAsia="Times New Roman" w:hint="default"/>
            </w:rPr>
          </w:pPr>
          <w:hyperlink w:history="true" w:anchor="_TOC_250007">
            <w:r>
              <w:rPr/>
              <w:t>第五章</w:t>
              <w:tab/>
              <w:t>董事、监事、高级管理人员和员工情况</w:t>
            </w:r>
            <w:r>
              <w:rPr>
                <w:rFonts w:ascii="Times New Roman" w:hAnsi="Times New Roman" w:cs="Times New Roman" w:eastAsia="Times New Roman" w:hint="default"/>
              </w:rPr>
              <w:tab/>
              <w:t>12</w:t>
            </w:r>
          </w:hyperlink>
        </w:p>
        <w:p>
          <w:pPr>
            <w:pStyle w:val="TOC1"/>
            <w:tabs>
              <w:tab w:pos="1233" w:val="left" w:leader="none"/>
              <w:tab w:pos="9745" w:val="right" w:leader="dot"/>
            </w:tabs>
            <w:spacing w:line="240" w:lineRule="auto"/>
            <w:ind w:right="0"/>
            <w:jc w:val="left"/>
            <w:rPr>
              <w:rFonts w:ascii="Times New Roman" w:hAnsi="Times New Roman" w:cs="Times New Roman" w:eastAsia="Times New Roman" w:hint="default"/>
            </w:rPr>
          </w:pPr>
          <w:hyperlink w:history="true" w:anchor="_TOC_250006">
            <w:r>
              <w:rPr/>
              <w:t>第六章</w:t>
              <w:tab/>
              <w:t>公司治理结构</w:t>
            </w:r>
            <w:r>
              <w:rPr>
                <w:rFonts w:ascii="Times New Roman" w:hAnsi="Times New Roman" w:cs="Times New Roman" w:eastAsia="Times New Roman" w:hint="default"/>
              </w:rPr>
              <w:tab/>
              <w:t>15</w:t>
            </w:r>
          </w:hyperlink>
        </w:p>
        <w:p>
          <w:pPr>
            <w:pStyle w:val="TOC1"/>
            <w:tabs>
              <w:tab w:pos="1233" w:val="left" w:leader="none"/>
              <w:tab w:pos="9745" w:val="right" w:leader="dot"/>
            </w:tabs>
            <w:spacing w:line="240" w:lineRule="auto" w:before="158"/>
            <w:ind w:right="0"/>
            <w:jc w:val="left"/>
            <w:rPr>
              <w:rFonts w:ascii="Times New Roman" w:hAnsi="Times New Roman" w:cs="Times New Roman" w:eastAsia="Times New Roman" w:hint="default"/>
            </w:rPr>
          </w:pPr>
          <w:hyperlink w:history="true" w:anchor="_TOC_250005">
            <w:r>
              <w:rPr/>
              <w:t>第七章</w:t>
              <w:tab/>
              <w:t>股东大会情况简介</w:t>
            </w:r>
            <w:r>
              <w:rPr>
                <w:rFonts w:ascii="Times New Roman" w:hAnsi="Times New Roman" w:cs="Times New Roman" w:eastAsia="Times New Roman" w:hint="default"/>
              </w:rPr>
              <w:tab/>
              <w:t>24</w:t>
            </w:r>
          </w:hyperlink>
        </w:p>
        <w:p>
          <w:pPr>
            <w:pStyle w:val="TOC1"/>
            <w:tabs>
              <w:tab w:pos="1233" w:val="left" w:leader="none"/>
              <w:tab w:pos="9745" w:val="right" w:leader="dot"/>
            </w:tabs>
            <w:spacing w:line="240" w:lineRule="auto"/>
            <w:ind w:right="0"/>
            <w:jc w:val="left"/>
            <w:rPr>
              <w:rFonts w:ascii="Times New Roman" w:hAnsi="Times New Roman" w:cs="Times New Roman" w:eastAsia="Times New Roman" w:hint="default"/>
            </w:rPr>
          </w:pPr>
          <w:hyperlink w:history="true" w:anchor="_TOC_250004">
            <w:r>
              <w:rPr/>
              <w:t>第八章</w:t>
              <w:tab/>
              <w:t>董事会报告</w:t>
            </w:r>
            <w:r>
              <w:rPr>
                <w:rFonts w:ascii="Times New Roman" w:hAnsi="Times New Roman" w:cs="Times New Roman" w:eastAsia="Times New Roman" w:hint="default"/>
              </w:rPr>
              <w:tab/>
              <w:t>26</w:t>
            </w:r>
          </w:hyperlink>
        </w:p>
        <w:p>
          <w:pPr>
            <w:pStyle w:val="TOC1"/>
            <w:tabs>
              <w:tab w:pos="1233" w:val="left" w:leader="none"/>
              <w:tab w:pos="9745" w:val="right" w:leader="dot"/>
            </w:tabs>
            <w:spacing w:line="240" w:lineRule="auto"/>
            <w:ind w:right="0"/>
            <w:jc w:val="left"/>
            <w:rPr>
              <w:rFonts w:ascii="Times New Roman" w:hAnsi="Times New Roman" w:cs="Times New Roman" w:eastAsia="Times New Roman" w:hint="default"/>
            </w:rPr>
          </w:pPr>
          <w:hyperlink w:history="true" w:anchor="_TOC_250003">
            <w:r>
              <w:rPr/>
              <w:t>第九章</w:t>
              <w:tab/>
              <w:t>监事会报告</w:t>
            </w:r>
            <w:r>
              <w:rPr>
                <w:rFonts w:ascii="Times New Roman" w:hAnsi="Times New Roman" w:cs="Times New Roman" w:eastAsia="Times New Roman" w:hint="default"/>
              </w:rPr>
              <w:tab/>
              <w:t>37</w:t>
            </w:r>
          </w:hyperlink>
        </w:p>
        <w:p>
          <w:pPr>
            <w:pStyle w:val="TOC1"/>
            <w:tabs>
              <w:tab w:pos="1233" w:val="left" w:leader="none"/>
              <w:tab w:pos="9745" w:val="right" w:leader="dot"/>
            </w:tabs>
            <w:spacing w:line="240" w:lineRule="auto"/>
            <w:ind w:right="0"/>
            <w:jc w:val="left"/>
            <w:rPr>
              <w:rFonts w:ascii="Times New Roman" w:hAnsi="Times New Roman" w:cs="Times New Roman" w:eastAsia="Times New Roman" w:hint="default"/>
            </w:rPr>
          </w:pPr>
          <w:hyperlink w:history="true" w:anchor="_TOC_250002">
            <w:r>
              <w:rPr/>
              <w:t>第十章</w:t>
              <w:tab/>
              <w:t>重要事项</w:t>
            </w:r>
            <w:r>
              <w:rPr>
                <w:rFonts w:ascii="Times New Roman" w:hAnsi="Times New Roman" w:cs="Times New Roman" w:eastAsia="Times New Roman" w:hint="default"/>
              </w:rPr>
              <w:tab/>
              <w:t>39</w:t>
            </w:r>
          </w:hyperlink>
        </w:p>
        <w:p>
          <w:pPr>
            <w:pStyle w:val="TOC1"/>
            <w:tabs>
              <w:tab w:pos="1514" w:val="left" w:leader="none"/>
              <w:tab w:pos="9745" w:val="right" w:leader="dot"/>
            </w:tabs>
            <w:spacing w:line="240" w:lineRule="auto"/>
            <w:ind w:right="0"/>
            <w:jc w:val="left"/>
            <w:rPr>
              <w:rFonts w:ascii="Times New Roman" w:hAnsi="Times New Roman" w:cs="Times New Roman" w:eastAsia="Times New Roman" w:hint="default"/>
            </w:rPr>
          </w:pPr>
          <w:hyperlink w:history="true" w:anchor="_TOC_250001">
            <w:r>
              <w:rPr/>
              <w:t>第十一章</w:t>
              <w:tab/>
              <w:t>财务会计报告</w:t>
            </w:r>
            <w:r>
              <w:rPr>
                <w:rFonts w:ascii="Times New Roman" w:hAnsi="Times New Roman" w:cs="Times New Roman" w:eastAsia="Times New Roman" w:hint="default"/>
              </w:rPr>
              <w:tab/>
              <w:t>49</w:t>
            </w:r>
          </w:hyperlink>
        </w:p>
        <w:p>
          <w:pPr>
            <w:pStyle w:val="TOC1"/>
            <w:tabs>
              <w:tab w:pos="9744" w:val="right" w:leader="dot"/>
            </w:tabs>
            <w:spacing w:line="240" w:lineRule="auto"/>
            <w:ind w:right="0"/>
            <w:jc w:val="left"/>
            <w:rPr>
              <w:rFonts w:ascii="Times New Roman" w:hAnsi="Times New Roman" w:cs="Times New Roman" w:eastAsia="Times New Roman" w:hint="default"/>
            </w:rPr>
          </w:pPr>
          <w:hyperlink w:history="true" w:anchor="_TOC_250000">
            <w:r>
              <w:rPr/>
              <w:t>第十二章</w:t>
            </w:r>
            <w:r>
              <w:rPr>
                <w:spacing w:val="-1"/>
              </w:rPr>
              <w:t> </w:t>
            </w:r>
            <w:r>
              <w:rPr/>
              <w:t>备查文件目录</w:t>
            </w:r>
            <w:r>
              <w:rPr>
                <w:rFonts w:ascii="Times New Roman" w:hAnsi="Times New Roman" w:cs="Times New Roman" w:eastAsia="Times New Roman" w:hint="default"/>
              </w:rPr>
              <w:tab/>
              <w:t>131</w:t>
            </w:r>
          </w:hyperlink>
        </w:p>
        <w:p>
          <w:pPr/>
          <w:r>
            <w:fldChar w:fldCharType="end"/>
          </w:r>
        </w:p>
      </w:sdtContent>
    </w:sdt>
    <w:p>
      <w:pPr>
        <w:spacing w:after="0"/>
        <w:sectPr>
          <w:pgSz w:w="11910" w:h="16840"/>
          <w:pgMar w:header="0" w:footer="956" w:top="1080" w:bottom="1140" w:left="1020" w:right="0"/>
        </w:sectPr>
      </w:pPr>
    </w:p>
    <w:p>
      <w:pPr>
        <w:pStyle w:val="Heading1"/>
        <w:tabs>
          <w:tab w:pos="1286" w:val="left" w:leader="none"/>
        </w:tabs>
        <w:spacing w:line="401" w:lineRule="exact"/>
        <w:ind w:right="1023"/>
        <w:jc w:val="center"/>
        <w:rPr>
          <w:b w:val="0"/>
          <w:bCs w:val="0"/>
        </w:rPr>
      </w:pPr>
      <w:bookmarkStart w:name="_TOC_250011" w:id="1"/>
      <w:r>
        <w:rPr>
          <w:w w:val="95"/>
        </w:rPr>
        <w:t>第一章</w:t>
        <w:tab/>
      </w:r>
      <w:r>
        <w:rPr/>
        <w:t>重要提示</w:t>
      </w:r>
      <w:bookmarkEnd w:id="1"/>
      <w:r>
        <w:rPr>
          <w:b w:val="0"/>
          <w:bCs w:val="0"/>
        </w:rPr>
      </w:r>
    </w:p>
    <w:p>
      <w:pPr>
        <w:spacing w:line="240" w:lineRule="auto" w:before="13"/>
        <w:rPr>
          <w:rFonts w:ascii="宋体" w:hAnsi="宋体" w:cs="宋体" w:eastAsia="宋体" w:hint="default"/>
          <w:b/>
          <w:bCs/>
          <w:sz w:val="34"/>
          <w:szCs w:val="34"/>
        </w:rPr>
      </w:pPr>
    </w:p>
    <w:p>
      <w:pPr>
        <w:pStyle w:val="BodyText"/>
        <w:spacing w:line="355" w:lineRule="auto" w:before="0"/>
        <w:ind w:right="1171" w:firstLine="480"/>
        <w:jc w:val="both"/>
      </w:pPr>
      <w:r>
        <w:rPr/>
        <w:t>本公司董事会及其董事保证本报告所载资料不存在任何虚假记载、误导性陈述或者重大 遗漏，并对其内容的真实性、准确性和完整性承担个别及连带责任。</w:t>
      </w:r>
    </w:p>
    <w:p>
      <w:pPr>
        <w:pStyle w:val="BodyText"/>
        <w:spacing w:line="357" w:lineRule="auto" w:before="38"/>
        <w:ind w:right="1134" w:firstLine="480"/>
        <w:jc w:val="both"/>
      </w:pPr>
      <w:r>
        <w:rPr/>
        <w:t>公司本年度报告已经公司第七届董事会第十一次会议以现场会议审议的方式通过。会议 应到董事</w:t>
      </w:r>
      <w:r>
        <w:rPr>
          <w:rFonts w:ascii="宋体" w:hAnsi="宋体" w:cs="宋体" w:eastAsia="宋体" w:hint="default"/>
        </w:rPr>
        <w:t>7</w:t>
      </w:r>
      <w:r>
        <w:rPr/>
        <w:t>名，实到董事</w:t>
      </w:r>
      <w:r>
        <w:rPr>
          <w:spacing w:val="1"/>
        </w:rPr>
        <w:t> </w:t>
      </w:r>
      <w:r>
        <w:rPr>
          <w:spacing w:val="-3"/>
        </w:rPr>
        <w:t>名。没有董事、监事、高级管理人员声明对年度报告的真实性、准</w:t>
      </w:r>
      <w:r>
        <w:rPr/>
        <w:t> 确性和完整性无法保证或存在异议。</w:t>
      </w:r>
    </w:p>
    <w:p>
      <w:pPr>
        <w:pStyle w:val="BodyText"/>
        <w:spacing w:line="240" w:lineRule="auto" w:before="36"/>
        <w:ind w:left="593" w:right="0"/>
        <w:jc w:val="left"/>
      </w:pPr>
      <w:r>
        <w:rPr/>
        <w:t>公司本年度报告已经深圳市鹏城会计师事务所审计，并出具了标准无保留意见的审计报</w:t>
      </w:r>
    </w:p>
    <w:p>
      <w:pPr>
        <w:spacing w:line="240" w:lineRule="auto" w:before="8"/>
        <w:rPr>
          <w:rFonts w:ascii="宋体" w:hAnsi="宋体" w:cs="宋体" w:eastAsia="宋体" w:hint="default"/>
          <w:sz w:val="9"/>
          <w:szCs w:val="9"/>
        </w:rPr>
      </w:pPr>
    </w:p>
    <w:p>
      <w:pPr>
        <w:pStyle w:val="BodyText"/>
        <w:spacing w:line="240" w:lineRule="auto" w:before="26"/>
        <w:ind w:right="0"/>
        <w:jc w:val="left"/>
      </w:pPr>
      <w:r>
        <w:rPr/>
        <w:t>告。</w:t>
      </w:r>
    </w:p>
    <w:p>
      <w:pPr>
        <w:pStyle w:val="BodyText"/>
        <w:spacing w:line="240" w:lineRule="auto" w:before="154"/>
        <w:ind w:left="593" w:right="0"/>
        <w:jc w:val="left"/>
      </w:pPr>
      <w:r>
        <w:rPr>
          <w:spacing w:val="-3"/>
        </w:rPr>
        <w:t>公司负责人董事长许亚楠先生、主管会计工作负责人易平良及会计机构负责人</w:t>
      </w:r>
      <w:r>
        <w:rPr>
          <w:rFonts w:ascii="宋体" w:hAnsi="宋体" w:cs="宋体" w:eastAsia="宋体" w:hint="default"/>
          <w:spacing w:val="-3"/>
        </w:rPr>
        <w:t>(</w:t>
      </w:r>
      <w:r>
        <w:rPr>
          <w:spacing w:val="-3"/>
        </w:rPr>
        <w:t>会计主管</w:t>
      </w:r>
    </w:p>
    <w:p>
      <w:pPr>
        <w:spacing w:line="240" w:lineRule="auto" w:before="8"/>
        <w:rPr>
          <w:rFonts w:ascii="宋体" w:hAnsi="宋体" w:cs="宋体" w:eastAsia="宋体" w:hint="default"/>
          <w:sz w:val="9"/>
          <w:szCs w:val="9"/>
        </w:rPr>
      </w:pPr>
    </w:p>
    <w:p>
      <w:pPr>
        <w:pStyle w:val="BodyText"/>
        <w:spacing w:line="240" w:lineRule="auto" w:before="26"/>
        <w:ind w:right="0"/>
        <w:jc w:val="left"/>
      </w:pPr>
      <w:r>
        <w:rPr/>
        <w:t>人员</w:t>
      </w:r>
      <w:r>
        <w:rPr>
          <w:rFonts w:ascii="宋体" w:hAnsi="宋体" w:cs="宋体" w:eastAsia="宋体" w:hint="default"/>
        </w:rPr>
        <w:t>)</w:t>
      </w:r>
      <w:r>
        <w:rPr/>
        <w:t>陈璇：保证年度报告中财务会计报告的真实、完整。</w:t>
      </w:r>
    </w:p>
    <w:p>
      <w:pPr>
        <w:spacing w:after="0" w:line="240" w:lineRule="auto"/>
        <w:jc w:val="left"/>
        <w:sectPr>
          <w:pgSz w:w="11910" w:h="16840"/>
          <w:pgMar w:header="0" w:footer="956" w:top="1080" w:bottom="1140" w:left="1020" w:right="0"/>
        </w:sectPr>
      </w:pPr>
    </w:p>
    <w:p>
      <w:pPr>
        <w:pStyle w:val="Heading1"/>
        <w:tabs>
          <w:tab w:pos="4392" w:val="left" w:leader="none"/>
        </w:tabs>
        <w:spacing w:line="401" w:lineRule="exact"/>
        <w:ind w:left="3105" w:right="1034"/>
        <w:jc w:val="left"/>
        <w:rPr>
          <w:b w:val="0"/>
          <w:bCs w:val="0"/>
        </w:rPr>
      </w:pPr>
      <w:bookmarkStart w:name="_TOC_250010" w:id="2"/>
      <w:r>
        <w:rPr>
          <w:w w:val="95"/>
        </w:rPr>
        <w:t>第二章</w:t>
        <w:tab/>
      </w:r>
      <w:r>
        <w:rPr/>
        <w:t>公司基本情况简介</w:t>
      </w:r>
      <w:bookmarkEnd w:id="2"/>
      <w:r>
        <w:rPr>
          <w:b w:val="0"/>
          <w:bCs w:val="0"/>
        </w:rPr>
      </w:r>
    </w:p>
    <w:p>
      <w:pPr>
        <w:spacing w:line="240" w:lineRule="auto" w:before="13"/>
        <w:rPr>
          <w:rFonts w:ascii="宋体" w:hAnsi="宋体" w:cs="宋体" w:eastAsia="宋体" w:hint="default"/>
          <w:b/>
          <w:bCs/>
          <w:sz w:val="34"/>
          <w:szCs w:val="34"/>
        </w:rPr>
      </w:pPr>
    </w:p>
    <w:p>
      <w:pPr>
        <w:pStyle w:val="BodyText"/>
        <w:spacing w:line="446" w:lineRule="auto" w:before="0"/>
        <w:ind w:left="933" w:right="4164" w:hanging="721"/>
        <w:jc w:val="left"/>
        <w:rPr>
          <w:rFonts w:ascii="Times New Roman" w:hAnsi="Times New Roman" w:cs="Times New Roman" w:eastAsia="Times New Roman" w:hint="default"/>
        </w:rPr>
      </w:pPr>
      <w:r>
        <w:rPr/>
        <w:t>（一）公司法定中文名称：深圳大通实业股份有限公司 公司法定英文名称：</w:t>
      </w:r>
      <w:r>
        <w:rPr>
          <w:rFonts w:ascii="Times New Roman" w:hAnsi="Times New Roman" w:cs="Times New Roman" w:eastAsia="Times New Roman" w:hint="default"/>
        </w:rPr>
        <w:t>Shenzhen Capstone Industrial</w:t>
      </w:r>
      <w:r>
        <w:rPr>
          <w:rFonts w:ascii="Times New Roman" w:hAnsi="Times New Roman" w:cs="Times New Roman" w:eastAsia="Times New Roman" w:hint="default"/>
          <w:spacing w:val="-10"/>
        </w:rPr>
        <w:t> </w:t>
      </w:r>
      <w:r>
        <w:rPr>
          <w:rFonts w:ascii="Times New Roman" w:hAnsi="Times New Roman" w:cs="Times New Roman" w:eastAsia="Times New Roman" w:hint="default"/>
        </w:rPr>
        <w:t>Co.,Ltd.</w:t>
      </w:r>
    </w:p>
    <w:p>
      <w:pPr>
        <w:pStyle w:val="BodyText"/>
        <w:spacing w:line="240" w:lineRule="auto" w:before="27"/>
        <w:ind w:left="212" w:right="1034"/>
        <w:jc w:val="left"/>
      </w:pPr>
      <w:r>
        <w:rPr/>
        <w:t>（二）公司法定代表人：许亚楠</w:t>
      </w:r>
    </w:p>
    <w:p>
      <w:pPr>
        <w:spacing w:line="240" w:lineRule="auto" w:before="10"/>
        <w:rPr>
          <w:rFonts w:ascii="宋体" w:hAnsi="宋体" w:cs="宋体" w:eastAsia="宋体" w:hint="default"/>
          <w:sz w:val="20"/>
          <w:szCs w:val="20"/>
        </w:rPr>
      </w:pPr>
    </w:p>
    <w:p>
      <w:pPr>
        <w:pStyle w:val="BodyText"/>
        <w:spacing w:line="240" w:lineRule="auto" w:before="0"/>
        <w:ind w:left="212" w:right="1034"/>
        <w:jc w:val="left"/>
      </w:pPr>
      <w:r>
        <w:rPr/>
        <w:t>（三）公司联系人和联系方式</w:t>
      </w:r>
    </w:p>
    <w:p>
      <w:pPr>
        <w:spacing w:line="240" w:lineRule="auto" w:before="11"/>
        <w:rPr>
          <w:rFonts w:ascii="宋体" w:hAnsi="宋体" w:cs="宋体" w:eastAsia="宋体" w:hint="default"/>
          <w:sz w:val="14"/>
          <w:szCs w:val="14"/>
        </w:rPr>
      </w:pPr>
    </w:p>
    <w:tbl>
      <w:tblPr>
        <w:tblW w:w="0" w:type="auto"/>
        <w:jc w:val="left"/>
        <w:tblInd w:w="207" w:type="dxa"/>
        <w:tblLayout w:type="fixed"/>
        <w:tblCellMar>
          <w:top w:w="0" w:type="dxa"/>
          <w:left w:w="0" w:type="dxa"/>
          <w:bottom w:w="0" w:type="dxa"/>
          <w:right w:w="0" w:type="dxa"/>
        </w:tblCellMar>
        <w:tblLook w:val="01E0"/>
      </w:tblPr>
      <w:tblGrid>
        <w:gridCol w:w="2340"/>
        <w:gridCol w:w="3745"/>
        <w:gridCol w:w="3745"/>
      </w:tblGrid>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8"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刘仕保</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王本刚</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深圳市福田区都市阳光名苑 </w:t>
            </w:r>
            <w:r>
              <w:rPr>
                <w:rFonts w:ascii="Times New Roman" w:hAnsi="Times New Roman" w:cs="Times New Roman" w:eastAsia="Times New Roman" w:hint="default"/>
                <w:sz w:val="21"/>
                <w:szCs w:val="21"/>
              </w:rPr>
              <w:t>1 </w:t>
            </w:r>
            <w:r>
              <w:rPr>
                <w:rFonts w:ascii="宋体" w:hAnsi="宋体" w:cs="宋体" w:eastAsia="宋体" w:hint="default"/>
                <w:sz w:val="21"/>
                <w:szCs w:val="21"/>
              </w:rPr>
              <w:t>栋</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6B</w:t>
            </w:r>
            <w:r>
              <w:rPr>
                <w:rFonts w:ascii="Times New Roman" w:hAnsi="Times New Roman" w:cs="Times New Roman" w:eastAsia="Times New Roman" w:hint="default"/>
                <w:sz w:val="21"/>
                <w:szCs w:val="21"/>
              </w:rPr>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深圳市福田区都市阳光名苑 </w:t>
            </w:r>
            <w:r>
              <w:rPr>
                <w:rFonts w:ascii="Times New Roman" w:hAnsi="Times New Roman" w:cs="Times New Roman" w:eastAsia="Times New Roman" w:hint="default"/>
                <w:sz w:val="21"/>
                <w:szCs w:val="21"/>
              </w:rPr>
              <w:t>1 </w:t>
            </w:r>
            <w:r>
              <w:rPr>
                <w:rFonts w:ascii="宋体" w:hAnsi="宋体" w:cs="宋体" w:eastAsia="宋体" w:hint="default"/>
                <w:sz w:val="21"/>
                <w:szCs w:val="21"/>
              </w:rPr>
              <w:t>栋</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6B</w:t>
            </w:r>
            <w:r>
              <w:rPr>
                <w:rFonts w:ascii="Times New Roman" w:hAnsi="Times New Roman" w:cs="Times New Roman" w:eastAsia="Times New Roman" w:hint="default"/>
                <w:sz w:val="21"/>
                <w:szCs w:val="21"/>
              </w:rPr>
            </w:r>
          </w:p>
        </w:tc>
      </w:tr>
      <w:tr>
        <w:trPr>
          <w:trHeight w:val="28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0755-26921699</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0755-26921699</w:t>
            </w:r>
          </w:p>
        </w:tc>
      </w:tr>
      <w:tr>
        <w:trPr>
          <w:trHeight w:val="28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0755-26910599</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0755-26910599</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hyperlink r:id="rId6">
              <w:r>
                <w:rPr>
                  <w:rFonts w:ascii="Times New Roman"/>
                  <w:sz w:val="21"/>
                </w:rPr>
                <w:t>liushibao2002@163.com</w:t>
              </w:r>
            </w:hyperlink>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hyperlink r:id="rId7">
              <w:r>
                <w:rPr>
                  <w:rFonts w:ascii="Times New Roman"/>
                  <w:sz w:val="21"/>
                </w:rPr>
                <w:t>dtstock@yahoo.cn</w:t>
              </w:r>
            </w:hyperlink>
          </w:p>
        </w:tc>
      </w:tr>
    </w:tbl>
    <w:p>
      <w:pPr>
        <w:pStyle w:val="BodyText"/>
        <w:spacing w:line="240" w:lineRule="auto" w:before="79"/>
        <w:ind w:left="212" w:right="1034"/>
        <w:jc w:val="left"/>
      </w:pPr>
      <w:r>
        <w:rPr/>
        <w:t>（四）基本情况简介</w:t>
      </w:r>
    </w:p>
    <w:p>
      <w:pPr>
        <w:spacing w:line="240" w:lineRule="auto" w:before="11"/>
        <w:rPr>
          <w:rFonts w:ascii="宋体" w:hAnsi="宋体" w:cs="宋体" w:eastAsia="宋体" w:hint="default"/>
          <w:sz w:val="14"/>
          <w:szCs w:val="14"/>
        </w:rPr>
      </w:pPr>
    </w:p>
    <w:tbl>
      <w:tblPr>
        <w:tblW w:w="0" w:type="auto"/>
        <w:jc w:val="left"/>
        <w:tblInd w:w="207" w:type="dxa"/>
        <w:tblLayout w:type="fixed"/>
        <w:tblCellMar>
          <w:top w:w="0" w:type="dxa"/>
          <w:left w:w="0" w:type="dxa"/>
          <w:bottom w:w="0" w:type="dxa"/>
          <w:right w:w="0" w:type="dxa"/>
        </w:tblCellMar>
        <w:tblLook w:val="01E0"/>
      </w:tblPr>
      <w:tblGrid>
        <w:gridCol w:w="2862"/>
        <w:gridCol w:w="6968"/>
      </w:tblGrid>
      <w:tr>
        <w:trPr>
          <w:trHeight w:val="281"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深圳华侨城东部工业区</w:t>
            </w:r>
          </w:p>
        </w:tc>
      </w:tr>
      <w:tr>
        <w:trPr>
          <w:trHeight w:val="28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518000</w:t>
            </w:r>
          </w:p>
        </w:tc>
      </w:tr>
      <w:tr>
        <w:trPr>
          <w:trHeight w:val="281"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深圳市福田区都市阳光名苑 </w:t>
            </w:r>
            <w:r>
              <w:rPr>
                <w:rFonts w:ascii="Times New Roman" w:hAnsi="Times New Roman" w:cs="Times New Roman" w:eastAsia="Times New Roman" w:hint="default"/>
                <w:sz w:val="21"/>
                <w:szCs w:val="21"/>
              </w:rPr>
              <w:t>1 </w:t>
            </w:r>
            <w:r>
              <w:rPr>
                <w:rFonts w:ascii="宋体" w:hAnsi="宋体" w:cs="宋体" w:eastAsia="宋体" w:hint="default"/>
                <w:sz w:val="21"/>
                <w:szCs w:val="21"/>
              </w:rPr>
              <w:t>栋</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6B</w:t>
            </w:r>
            <w:r>
              <w:rPr>
                <w:rFonts w:ascii="Times New Roman" w:hAnsi="Times New Roman" w:cs="Times New Roman" w:eastAsia="Times New Roman" w:hint="default"/>
                <w:sz w:val="21"/>
                <w:szCs w:val="21"/>
              </w:rPr>
            </w:r>
          </w:p>
        </w:tc>
      </w:tr>
      <w:tr>
        <w:trPr>
          <w:trHeight w:val="28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518000</w:t>
            </w:r>
          </w:p>
        </w:tc>
      </w:tr>
      <w:tr>
        <w:trPr>
          <w:trHeight w:val="28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hyperlink r:id="rId7">
              <w:r>
                <w:rPr>
                  <w:rFonts w:ascii="Times New Roman"/>
                  <w:sz w:val="21"/>
                </w:rPr>
                <w:t>dtstock@yahoo.cn</w:t>
              </w:r>
            </w:hyperlink>
          </w:p>
        </w:tc>
      </w:tr>
    </w:tbl>
    <w:p>
      <w:pPr>
        <w:pStyle w:val="BodyText"/>
        <w:spacing w:line="240" w:lineRule="auto" w:before="79"/>
        <w:ind w:left="212" w:right="1034"/>
        <w:jc w:val="left"/>
      </w:pPr>
      <w:r>
        <w:rPr/>
        <w:t>（五）信息披露及备置地点</w:t>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4928"/>
        <w:gridCol w:w="4928"/>
      </w:tblGrid>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《证券时报》、《中国证券报》</w:t>
            </w:r>
          </w:p>
        </w:tc>
      </w:tr>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证监会指定登载公司年度报告的网站网址</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hyperlink r:id="rId8">
              <w:r>
                <w:rPr>
                  <w:rFonts w:ascii="Times New Roman"/>
                  <w:sz w:val="21"/>
                </w:rPr>
                <w:t>http://www.cninfo.com.cn</w:t>
              </w:r>
            </w:hyperlink>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pStyle w:val="BodyText"/>
        <w:spacing w:line="240" w:lineRule="auto" w:before="79"/>
        <w:ind w:left="212" w:right="1034"/>
        <w:jc w:val="left"/>
      </w:pPr>
      <w:r>
        <w:rPr/>
        <w:t>（六）公司股票简况</w:t>
      </w:r>
    </w:p>
    <w:p>
      <w:pPr>
        <w:spacing w:line="240" w:lineRule="auto" w:before="9"/>
        <w:rPr>
          <w:rFonts w:ascii="宋体" w:hAnsi="宋体" w:cs="宋体" w:eastAsia="宋体" w:hint="default"/>
          <w:sz w:val="14"/>
          <w:szCs w:val="14"/>
        </w:rPr>
      </w:pPr>
    </w:p>
    <w:tbl>
      <w:tblPr>
        <w:tblW w:w="0" w:type="auto"/>
        <w:jc w:val="left"/>
        <w:tblInd w:w="207" w:type="dxa"/>
        <w:tblLayout w:type="fixed"/>
        <w:tblCellMar>
          <w:top w:w="0" w:type="dxa"/>
          <w:left w:w="0" w:type="dxa"/>
          <w:bottom w:w="0" w:type="dxa"/>
          <w:right w:w="0" w:type="dxa"/>
        </w:tblCellMar>
        <w:tblLook w:val="01E0"/>
      </w:tblPr>
      <w:tblGrid>
        <w:gridCol w:w="2862"/>
        <w:gridCol w:w="6968"/>
      </w:tblGrid>
      <w:tr>
        <w:trPr>
          <w:trHeight w:val="28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*ST </w:t>
            </w:r>
            <w:r>
              <w:rPr>
                <w:rFonts w:ascii="宋体" w:hAnsi="宋体" w:cs="宋体" w:eastAsia="宋体" w:hint="default"/>
                <w:sz w:val="21"/>
                <w:szCs w:val="21"/>
              </w:rPr>
              <w:t>大通</w:t>
            </w:r>
          </w:p>
        </w:tc>
      </w:tr>
      <w:tr>
        <w:trPr>
          <w:trHeight w:val="281"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000038</w:t>
            </w:r>
          </w:p>
        </w:tc>
      </w:tr>
      <w:tr>
        <w:trPr>
          <w:trHeight w:val="28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上市交易所</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bl>
    <w:p>
      <w:pPr>
        <w:pStyle w:val="BodyText"/>
        <w:spacing w:line="240" w:lineRule="auto" w:before="79"/>
        <w:ind w:left="212" w:right="1034"/>
        <w:jc w:val="left"/>
      </w:pPr>
      <w:r>
        <w:rPr/>
        <w:t>（七）其他有关资料</w:t>
      </w:r>
    </w:p>
    <w:p>
      <w:pPr>
        <w:spacing w:line="240" w:lineRule="auto" w:before="11"/>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4928"/>
        <w:gridCol w:w="4928"/>
      </w:tblGrid>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1987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深圳市华侨城东部工业区</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公司法人营业执照注册号</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440301104515702</w:t>
            </w:r>
          </w:p>
        </w:tc>
      </w:tr>
      <w:tr>
        <w:trPr>
          <w:trHeight w:val="281" w:hRule="exact"/>
        </w:trPr>
        <w:tc>
          <w:tcPr>
            <w:tcW w:w="4928" w:type="dxa"/>
            <w:vMerge w:val="restart"/>
            <w:tcBorders>
              <w:top w:val="single" w:sz="4" w:space="0" w:color="000000"/>
              <w:left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公司税务登记证号</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国税深字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4403011618850293</w:t>
            </w:r>
          </w:p>
        </w:tc>
      </w:tr>
      <w:tr>
        <w:trPr>
          <w:trHeight w:val="283" w:hRule="exact"/>
        </w:trPr>
        <w:tc>
          <w:tcPr>
            <w:tcW w:w="4928" w:type="dxa"/>
            <w:vMerge/>
            <w:tcBorders>
              <w:left w:val="single" w:sz="4" w:space="0" w:color="000000"/>
              <w:bottom w:val="single" w:sz="4" w:space="0" w:color="000000"/>
              <w:right w:val="single" w:sz="4" w:space="0" w:color="000000"/>
            </w:tcBorders>
          </w:tcPr>
          <w:p>
            <w:pP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深地税登字</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440305618850293</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公司聘请的会计师事务所</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深圳市鹏城会计师事务所有限公司</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深圳市东门南路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号宝丰大厦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楼</w:t>
            </w:r>
          </w:p>
        </w:tc>
      </w:tr>
    </w:tbl>
    <w:p>
      <w:pPr>
        <w:spacing w:after="0" w:line="257" w:lineRule="exact"/>
        <w:jc w:val="left"/>
        <w:rPr>
          <w:rFonts w:ascii="宋体" w:hAnsi="宋体" w:cs="宋体" w:eastAsia="宋体" w:hint="default"/>
          <w:sz w:val="21"/>
          <w:szCs w:val="21"/>
        </w:rPr>
        <w:sectPr>
          <w:pgSz w:w="11910" w:h="16840"/>
          <w:pgMar w:header="0" w:footer="956" w:top="1080" w:bottom="1140" w:left="920" w:right="0"/>
        </w:sectPr>
      </w:pPr>
    </w:p>
    <w:p>
      <w:pPr>
        <w:pStyle w:val="Heading1"/>
        <w:tabs>
          <w:tab w:pos="3989" w:val="left" w:leader="none"/>
        </w:tabs>
        <w:spacing w:line="401" w:lineRule="exact"/>
        <w:ind w:left="2702" w:right="0"/>
        <w:jc w:val="left"/>
        <w:rPr>
          <w:b w:val="0"/>
          <w:bCs w:val="0"/>
        </w:rPr>
      </w:pPr>
      <w:bookmarkStart w:name="_TOC_250009" w:id="3"/>
      <w:r>
        <w:rPr>
          <w:w w:val="95"/>
        </w:rPr>
        <w:t>第三章</w:t>
        <w:tab/>
      </w:r>
      <w:r>
        <w:rPr/>
        <w:t>会计数据和业务数据摘要</w:t>
      </w:r>
      <w:bookmarkEnd w:id="3"/>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0" w:footer="956" w:top="1080" w:bottom="1140" w:left="840" w:right="0"/>
        </w:sectPr>
      </w:pPr>
    </w:p>
    <w:p>
      <w:pPr>
        <w:pStyle w:val="BodyText"/>
        <w:spacing w:line="240" w:lineRule="auto" w:before="195"/>
        <w:ind w:left="292" w:right="-18"/>
        <w:jc w:val="left"/>
      </w:pPr>
      <w:r>
        <w:rPr/>
        <w:t>（一）公司</w:t>
      </w:r>
      <w:r>
        <w:rPr>
          <w:spacing w:val="-61"/>
        </w:rPr>
        <w:t> </w:t>
      </w:r>
      <w:r>
        <w:rPr>
          <w:rFonts w:ascii="Times New Roman" w:hAnsi="Times New Roman" w:cs="Times New Roman" w:eastAsia="Times New Roman" w:hint="default"/>
        </w:rPr>
        <w:t>2010 </w:t>
      </w:r>
      <w:r>
        <w:rPr/>
        <w:t>年度主要会计数据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44"/>
        <w:ind w:left="292"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1910" w:h="16840"/>
          <w:pgMar w:top="1580" w:bottom="1140" w:left="840" w:right="0"/>
          <w:cols w:num="2" w:equalWidth="0">
            <w:col w:w="4014" w:space="3735"/>
            <w:col w:w="3321"/>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5329"/>
        <w:gridCol w:w="4527"/>
      </w:tblGrid>
      <w:tr>
        <w:trPr>
          <w:trHeight w:val="283" w:hRule="exact"/>
        </w:trPr>
        <w:tc>
          <w:tcPr>
            <w:tcW w:w="5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5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50,175,243.57</w:t>
            </w:r>
          </w:p>
        </w:tc>
      </w:tr>
      <w:tr>
        <w:trPr>
          <w:trHeight w:val="283" w:hRule="exact"/>
        </w:trPr>
        <w:tc>
          <w:tcPr>
            <w:tcW w:w="5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50,252,793.47</w:t>
            </w:r>
          </w:p>
        </w:tc>
      </w:tr>
      <w:tr>
        <w:trPr>
          <w:trHeight w:val="281" w:hRule="exact"/>
        </w:trPr>
        <w:tc>
          <w:tcPr>
            <w:tcW w:w="5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26,716,195.17</w:t>
            </w:r>
          </w:p>
        </w:tc>
      </w:tr>
      <w:tr>
        <w:trPr>
          <w:trHeight w:val="283" w:hRule="exact"/>
        </w:trPr>
        <w:tc>
          <w:tcPr>
            <w:tcW w:w="53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26,242,130.21</w:t>
            </w:r>
          </w:p>
        </w:tc>
      </w:tr>
      <w:tr>
        <w:trPr>
          <w:trHeight w:val="331" w:hRule="exact"/>
        </w:trPr>
        <w:tc>
          <w:tcPr>
            <w:tcW w:w="5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pacing w:val="-1"/>
                <w:sz w:val="21"/>
              </w:rPr>
              <w:t>-70,488,383.29</w:t>
            </w:r>
          </w:p>
        </w:tc>
      </w:tr>
    </w:tbl>
    <w:p>
      <w:pPr>
        <w:spacing w:before="86"/>
        <w:ind w:left="292" w:right="0" w:firstLine="0"/>
        <w:jc w:val="left"/>
        <w:rPr>
          <w:rFonts w:ascii="宋体" w:hAnsi="宋体" w:cs="宋体" w:eastAsia="宋体" w:hint="default"/>
          <w:sz w:val="21"/>
          <w:szCs w:val="21"/>
        </w:rPr>
      </w:pPr>
      <w:r>
        <w:rPr>
          <w:rFonts w:ascii="宋体" w:hAnsi="宋体" w:cs="宋体" w:eastAsia="宋体" w:hint="default"/>
          <w:sz w:val="21"/>
          <w:szCs w:val="21"/>
        </w:rPr>
        <w:t>注：扣除非经常性损益的项目及金额</w:t>
      </w:r>
    </w:p>
    <w:p>
      <w:pPr>
        <w:spacing w:before="135"/>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5149"/>
        <w:gridCol w:w="4707"/>
      </w:tblGrid>
      <w:tr>
        <w:trPr>
          <w:trHeight w:val="284"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62"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362"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362"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493,452.44</w:t>
            </w:r>
          </w:p>
        </w:tc>
      </w:tr>
      <w:tr>
        <w:trPr>
          <w:trHeight w:val="362"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19,387.48</w:t>
            </w:r>
          </w:p>
        </w:tc>
      </w:tr>
      <w:tr>
        <w:trPr>
          <w:trHeight w:val="362"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362"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474,064.96</w:t>
            </w:r>
          </w:p>
        </w:tc>
      </w:tr>
    </w:tbl>
    <w:p>
      <w:pPr>
        <w:pStyle w:val="BodyText"/>
        <w:spacing w:line="240" w:lineRule="auto" w:before="79"/>
        <w:ind w:left="292" w:right="0"/>
        <w:jc w:val="left"/>
      </w:pPr>
      <w:r>
        <w:rPr/>
        <w:t>（二）截至报告期末公司前三年的主要会计数据和财务指标</w:t>
      </w:r>
    </w:p>
    <w:p>
      <w:pPr>
        <w:spacing w:line="240" w:lineRule="auto" w:before="10"/>
        <w:rPr>
          <w:rFonts w:ascii="宋体" w:hAnsi="宋体" w:cs="宋体" w:eastAsia="宋体" w:hint="default"/>
          <w:sz w:val="20"/>
          <w:szCs w:val="20"/>
        </w:rPr>
      </w:pPr>
    </w:p>
    <w:p>
      <w:pPr>
        <w:pStyle w:val="BodyText"/>
        <w:spacing w:line="240" w:lineRule="auto" w:before="0"/>
        <w:ind w:left="292" w:right="0"/>
        <w:jc w:val="left"/>
      </w:pPr>
      <w:r>
        <w:rPr>
          <w:rFonts w:ascii="Times New Roman" w:hAnsi="Times New Roman" w:cs="Times New Roman" w:eastAsia="Times New Roman" w:hint="default"/>
        </w:rPr>
        <w:t>1</w:t>
      </w:r>
      <w:r>
        <w:rPr/>
        <w:t>、主要会计数据</w:t>
      </w:r>
    </w:p>
    <w:p>
      <w:pPr>
        <w:spacing w:line="240" w:lineRule="auto" w:before="1"/>
        <w:rPr>
          <w:rFonts w:ascii="宋体" w:hAnsi="宋体" w:cs="宋体" w:eastAsia="宋体" w:hint="default"/>
          <w:sz w:val="8"/>
          <w:szCs w:val="8"/>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800"/>
        <w:gridCol w:w="1441"/>
        <w:gridCol w:w="1465"/>
        <w:gridCol w:w="1415"/>
        <w:gridCol w:w="1080"/>
        <w:gridCol w:w="1441"/>
        <w:gridCol w:w="1440"/>
      </w:tblGrid>
      <w:tr>
        <w:trPr>
          <w:trHeight w:val="828" w:hRule="exact"/>
        </w:trPr>
        <w:tc>
          <w:tcPr>
            <w:tcW w:w="18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w:t>
            </w:r>
          </w:p>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年增减</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8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301,294,136.49</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2"/>
              <w:jc w:val="right"/>
              <w:rPr>
                <w:rFonts w:ascii="Times New Roman" w:hAnsi="Times New Roman" w:cs="Times New Roman" w:eastAsia="Times New Roman" w:hint="default"/>
                <w:sz w:val="21"/>
                <w:szCs w:val="21"/>
              </w:rPr>
            </w:pPr>
            <w:r>
              <w:rPr>
                <w:rFonts w:ascii="Times New Roman"/>
                <w:spacing w:val="-2"/>
                <w:sz w:val="21"/>
              </w:rPr>
              <w:t>110,043,571.90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110,043,571.90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173.80%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50,252,793.47</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Times New Roman" w:hAnsi="Times New Roman" w:cs="Times New Roman" w:eastAsia="Times New Roman" w:hint="default"/>
                <w:sz w:val="21"/>
                <w:szCs w:val="21"/>
              </w:rPr>
            </w:pPr>
            <w:r>
              <w:rPr>
                <w:rFonts w:ascii="Times New Roman"/>
                <w:spacing w:val="-1"/>
                <w:sz w:val="21"/>
              </w:rPr>
              <w:t>35,339,569.83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35,339,569.83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42.20%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187,873,743.83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187,266,836.35</w:t>
            </w: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东的净利润</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26,716,195.17</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2"/>
              <w:jc w:val="right"/>
              <w:rPr>
                <w:rFonts w:ascii="Times New Roman" w:hAnsi="Times New Roman" w:cs="Times New Roman" w:eastAsia="Times New Roman" w:hint="default"/>
                <w:sz w:val="21"/>
                <w:szCs w:val="21"/>
              </w:rPr>
            </w:pPr>
            <w:r>
              <w:rPr>
                <w:rFonts w:ascii="Times New Roman"/>
                <w:spacing w:val="-1"/>
                <w:sz w:val="21"/>
              </w:rPr>
              <w:t>21,564,136.77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21,564,136.77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23.89%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154,196,264.25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188,595,506.14</w:t>
            </w:r>
          </w:p>
        </w:tc>
      </w:tr>
      <w:tr>
        <w:trPr>
          <w:trHeight w:val="82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2" w:lineRule="exact" w:before="27"/>
              <w:ind w:left="266" w:right="50" w:hanging="212"/>
              <w:jc w:val="left"/>
              <w:rPr>
                <w:rFonts w:ascii="宋体" w:hAnsi="宋体" w:cs="宋体" w:eastAsia="宋体" w:hint="default"/>
                <w:sz w:val="21"/>
                <w:szCs w:val="21"/>
              </w:rPr>
            </w:pP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z w:val="21"/>
                <w:szCs w:val="21"/>
              </w:rPr>
              <w:t>损益的净利润</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26,242,130.21</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2"/>
              <w:jc w:val="right"/>
              <w:rPr>
                <w:rFonts w:ascii="Times New Roman" w:hAnsi="Times New Roman" w:cs="Times New Roman" w:eastAsia="Times New Roman" w:hint="default"/>
                <w:sz w:val="21"/>
                <w:szCs w:val="21"/>
              </w:rPr>
            </w:pPr>
            <w:r>
              <w:rPr>
                <w:rFonts w:ascii="Times New Roman"/>
                <w:spacing w:val="-2"/>
                <w:sz w:val="21"/>
              </w:rPr>
              <w:t>13,110,937.71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13,110,937.71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100.15%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-8,396,757.73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-8,848,367.58</w:t>
            </w:r>
          </w:p>
        </w:tc>
      </w:tr>
      <w:tr>
        <w:trPr>
          <w:trHeight w:val="55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金流量净额</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spacing w:val="-1"/>
                <w:sz w:val="21"/>
              </w:rPr>
              <w:t>-70,488,383.29</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42"/>
              <w:jc w:val="right"/>
              <w:rPr>
                <w:rFonts w:ascii="Times New Roman" w:hAnsi="Times New Roman" w:cs="Times New Roman" w:eastAsia="Times New Roman" w:hint="default"/>
                <w:sz w:val="21"/>
                <w:szCs w:val="21"/>
              </w:rPr>
            </w:pPr>
            <w:r>
              <w:rPr>
                <w:rFonts w:ascii="Times New Roman"/>
                <w:spacing w:val="-1"/>
                <w:sz w:val="21"/>
              </w:rPr>
              <w:t>20,332,195.21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spacing w:val="-1"/>
                <w:sz w:val="21"/>
              </w:rPr>
              <w:t>20,332,195.21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8"/>
              <w:jc w:val="right"/>
              <w:rPr>
                <w:rFonts w:ascii="Times New Roman" w:hAnsi="Times New Roman" w:cs="Times New Roman" w:eastAsia="Times New Roman" w:hint="default"/>
                <w:sz w:val="21"/>
                <w:szCs w:val="21"/>
              </w:rPr>
            </w:pPr>
            <w:r>
              <w:rPr>
                <w:rFonts w:ascii="Times New Roman"/>
                <w:spacing w:val="-1"/>
                <w:sz w:val="21"/>
              </w:rPr>
              <w:t>-446.68%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spacing w:val="-1"/>
                <w:sz w:val="21"/>
              </w:rPr>
              <w:t>22,371,187.28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spacing w:val="-1"/>
                <w:sz w:val="21"/>
              </w:rPr>
              <w:t>22,371,187.28</w:t>
            </w:r>
          </w:p>
        </w:tc>
      </w:tr>
      <w:tr>
        <w:trPr>
          <w:trHeight w:val="826" w:hRule="exact"/>
        </w:trPr>
        <w:tc>
          <w:tcPr>
            <w:tcW w:w="18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本年末比</w:t>
            </w:r>
          </w:p>
          <w:p>
            <w:pPr>
              <w:pStyle w:val="TableParagraph"/>
              <w:spacing w:line="240" w:lineRule="auto"/>
              <w:ind w:left="115" w:right="110"/>
              <w:jc w:val="left"/>
              <w:rPr>
                <w:rFonts w:ascii="宋体" w:hAnsi="宋体" w:cs="宋体" w:eastAsia="宋体" w:hint="default"/>
                <w:sz w:val="21"/>
                <w:szCs w:val="21"/>
              </w:rPr>
            </w:pPr>
            <w:r>
              <w:rPr>
                <w:rFonts w:ascii="宋体" w:hAnsi="宋体" w:cs="宋体" w:eastAsia="宋体" w:hint="default"/>
                <w:sz w:val="21"/>
                <w:szCs w:val="21"/>
              </w:rPr>
              <w:t>上年末增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9"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517,799,621.08</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Times New Roman" w:hAnsi="Times New Roman" w:cs="Times New Roman" w:eastAsia="Times New Roman" w:hint="default"/>
                <w:sz w:val="21"/>
                <w:szCs w:val="21"/>
              </w:rPr>
            </w:pPr>
            <w:r>
              <w:rPr>
                <w:rFonts w:ascii="Times New Roman"/>
                <w:spacing w:val="-1"/>
                <w:sz w:val="21"/>
              </w:rPr>
              <w:t>476,293,615.67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476,293,615.67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8.71%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306,434,164.74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307,607,536.90</w:t>
            </w: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东的所有者权益</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152,421,200.58</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
              <w:jc w:val="right"/>
              <w:rPr>
                <w:rFonts w:ascii="Times New Roman" w:hAnsi="Times New Roman" w:cs="Times New Roman" w:eastAsia="Times New Roman" w:hint="default"/>
                <w:sz w:val="21"/>
                <w:szCs w:val="21"/>
              </w:rPr>
            </w:pPr>
            <w:r>
              <w:rPr>
                <w:rFonts w:ascii="Times New Roman"/>
                <w:spacing w:val="-1"/>
                <w:sz w:val="21"/>
              </w:rPr>
              <w:t>124,801,485.41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124,801,485.41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22.13%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69,688,607.27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103,237,348.64</w:t>
            </w:r>
          </w:p>
        </w:tc>
      </w:tr>
      <w:tr>
        <w:trPr>
          <w:trHeight w:val="28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96,227,998.00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Times New Roman" w:hAnsi="Times New Roman" w:cs="Times New Roman" w:eastAsia="Times New Roman" w:hint="default"/>
                <w:sz w:val="21"/>
                <w:szCs w:val="21"/>
              </w:rPr>
            </w:pPr>
            <w:r>
              <w:rPr>
                <w:rFonts w:ascii="Times New Roman"/>
                <w:spacing w:val="-1"/>
                <w:sz w:val="21"/>
              </w:rPr>
              <w:t>96,227,998.00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r>
            <w:r>
              <w:rPr>
                <w:rFonts w:ascii="Times New Roman"/>
                <w:spacing w:val="-1"/>
                <w:sz w:val="21"/>
                <w:u w:val="single" w:color="000000"/>
              </w:rPr>
              <w:t>96,227,998.00</w:t>
            </w:r>
            <w:r>
              <w:rPr>
                <w:rFonts w:ascii="Times New Roman"/>
                <w:spacing w:val="-1"/>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90,486,000.00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90,486,000.00</w:t>
            </w:r>
          </w:p>
        </w:tc>
      </w:tr>
    </w:tbl>
    <w:p>
      <w:pPr>
        <w:pStyle w:val="BodyText"/>
        <w:spacing w:line="240" w:lineRule="auto" w:before="79"/>
        <w:ind w:left="292" w:right="0"/>
        <w:jc w:val="left"/>
      </w:pPr>
      <w:r>
        <w:rPr>
          <w:rFonts w:ascii="Times New Roman" w:hAnsi="Times New Roman" w:cs="Times New Roman" w:eastAsia="Times New Roman" w:hint="default"/>
        </w:rPr>
        <w:t>2</w:t>
      </w:r>
      <w:r>
        <w:rPr/>
        <w:t>、主要财务指标</w:t>
      </w:r>
    </w:p>
    <w:p>
      <w:pPr>
        <w:spacing w:after="0" w:line="240" w:lineRule="auto"/>
        <w:jc w:val="left"/>
        <w:sectPr>
          <w:type w:val="continuous"/>
          <w:pgSz w:w="11910" w:h="16840"/>
          <w:pgMar w:top="1580" w:bottom="1140" w:left="840" w:right="0"/>
        </w:sectPr>
      </w:pPr>
    </w:p>
    <w:p>
      <w:pPr>
        <w:spacing w:line="240" w:lineRule="auto" w:before="5"/>
        <w:rPr>
          <w:rFonts w:ascii="Times New Roman" w:hAnsi="Times New Roman" w:cs="Times New Roman" w:eastAsia="Times New Roman"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700"/>
        <w:gridCol w:w="1081"/>
        <w:gridCol w:w="1027"/>
        <w:gridCol w:w="233"/>
        <w:gridCol w:w="1068"/>
        <w:gridCol w:w="1301"/>
        <w:gridCol w:w="1299"/>
        <w:gridCol w:w="1301"/>
      </w:tblGrid>
      <w:tr>
        <w:trPr>
          <w:trHeight w:val="557" w:hRule="exact"/>
        </w:trPr>
        <w:tc>
          <w:tcPr>
            <w:tcW w:w="270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3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2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281" w:hRule="exact"/>
        </w:trPr>
        <w:tc>
          <w:tcPr>
            <w:tcW w:w="270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8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0.28</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0.22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0.22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27.27%</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1.70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2.08</w:t>
            </w:r>
          </w:p>
        </w:tc>
      </w:tr>
      <w:tr>
        <w:trPr>
          <w:trHeight w:val="28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0.28</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0.22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0.22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27.27%</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1.70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2.08</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用最新股本计算的每股收益</w:t>
            </w:r>
          </w:p>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0.277</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58" w:right="0"/>
              <w:jc w:val="left"/>
              <w:rPr>
                <w:rFonts w:ascii="Times New Roman" w:hAnsi="Times New Roman" w:cs="Times New Roman" w:eastAsia="Times New Roman" w:hint="default"/>
                <w:sz w:val="21"/>
                <w:szCs w:val="21"/>
              </w:rPr>
            </w:pPr>
            <w:r>
              <w:rPr>
                <w:rFonts w:ascii="Times New Roman"/>
                <w:sz w:val="21"/>
              </w:rPr>
              <w:t>0.22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z w:val="21"/>
              </w:rPr>
              <w:t>0.22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4"/>
              <w:jc w:val="right"/>
              <w:rPr>
                <w:rFonts w:ascii="Times New Roman" w:hAnsi="Times New Roman" w:cs="Times New Roman" w:eastAsia="Times New Roman" w:hint="default"/>
                <w:sz w:val="21"/>
                <w:szCs w:val="21"/>
              </w:rPr>
            </w:pPr>
            <w:r>
              <w:rPr>
                <w:rFonts w:ascii="Times New Roman"/>
                <w:spacing w:val="-1"/>
                <w:sz w:val="21"/>
              </w:rPr>
              <w:t>26.20%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w:t>
            </w:r>
          </w:p>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0.272</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0.14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z w:val="21"/>
              </w:rPr>
              <w:t>94.79%</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-0.09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-0.10</w:t>
            </w:r>
          </w:p>
        </w:tc>
      </w:tr>
      <w:tr>
        <w:trPr>
          <w:trHeight w:val="28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32"/>
              <w:jc w:val="left"/>
              <w:rPr>
                <w:rFonts w:ascii="宋体" w:hAnsi="宋体" w:cs="宋体" w:eastAsia="宋体" w:hint="default"/>
                <w:sz w:val="21"/>
                <w:szCs w:val="21"/>
              </w:rPr>
            </w:pPr>
            <w:r>
              <w:rPr>
                <w:rFonts w:ascii="宋体" w:hAnsi="宋体" w:cs="宋体" w:eastAsia="宋体" w:hint="default"/>
                <w:spacing w:val="-2"/>
                <w:sz w:val="21"/>
                <w:szCs w:val="21"/>
              </w:rPr>
              <w:t>加权平均净资产收益率（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19.34%</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2" w:right="0"/>
              <w:jc w:val="left"/>
              <w:rPr>
                <w:rFonts w:ascii="Times New Roman" w:hAnsi="Times New Roman" w:cs="Times New Roman" w:eastAsia="Times New Roman" w:hint="default"/>
                <w:sz w:val="21"/>
                <w:szCs w:val="21"/>
              </w:rPr>
            </w:pPr>
            <w:r>
              <w:rPr>
                <w:rFonts w:ascii="Times New Roman"/>
                <w:sz w:val="21"/>
              </w:rPr>
              <w:t>18.91%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18.91%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2.27%</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Times New Roman" w:hAnsi="Times New Roman" w:cs="Times New Roman" w:eastAsia="Times New Roman" w:hint="default"/>
                <w:sz w:val="21"/>
                <w:szCs w:val="21"/>
              </w:rPr>
            </w:pPr>
            <w:r>
              <w:rPr>
                <w:rFonts w:ascii="Times New Roman"/>
                <w:sz w:val="21"/>
              </w:rPr>
              <w:t>2,109.66%</w:t>
            </w:r>
          </w:p>
        </w:tc>
      </w:tr>
      <w:tr>
        <w:trPr>
          <w:trHeight w:val="557"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w:t>
            </w:r>
          </w:p>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sz w:val="21"/>
              </w:rPr>
              <w:t>18.99%</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04" w:right="0"/>
              <w:jc w:val="left"/>
              <w:rPr>
                <w:rFonts w:ascii="Times New Roman" w:hAnsi="Times New Roman" w:cs="Times New Roman" w:eastAsia="Times New Roman" w:hint="default"/>
                <w:sz w:val="21"/>
                <w:szCs w:val="21"/>
              </w:rPr>
            </w:pPr>
            <w:r>
              <w:rPr>
                <w:rFonts w:ascii="Times New Roman"/>
                <w:sz w:val="21"/>
              </w:rPr>
              <w:t>11.50%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spacing w:val="-2"/>
                <w:sz w:val="21"/>
              </w:rPr>
              <w:t>11.50%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sz w:val="21"/>
              </w:rPr>
              <w:t>65.13%</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85" w:right="0"/>
              <w:jc w:val="left"/>
              <w:rPr>
                <w:rFonts w:ascii="Times New Roman" w:hAnsi="Times New Roman" w:cs="Times New Roman" w:eastAsia="Times New Roman" w:hint="default"/>
                <w:sz w:val="21"/>
                <w:szCs w:val="21"/>
              </w:rPr>
            </w:pPr>
            <w:r>
              <w:rPr>
                <w:rFonts w:ascii="Times New Roman"/>
                <w:sz w:val="21"/>
              </w:rPr>
              <w:t>-98.98%</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w:t>
            </w:r>
          </w:p>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-0.73</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63" w:right="0"/>
              <w:jc w:val="left"/>
              <w:rPr>
                <w:rFonts w:ascii="Times New Roman" w:hAnsi="Times New Roman" w:cs="Times New Roman" w:eastAsia="Times New Roman" w:hint="default"/>
                <w:sz w:val="21"/>
                <w:szCs w:val="21"/>
              </w:rPr>
            </w:pPr>
            <w:r>
              <w:rPr>
                <w:rFonts w:ascii="Times New Roman"/>
                <w:sz w:val="21"/>
              </w:rPr>
              <w:t>0.211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2"/>
                <w:sz w:val="21"/>
              </w:rPr>
              <w:t>0.211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-447.16%</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0.247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0.247</w:t>
            </w:r>
          </w:p>
        </w:tc>
      </w:tr>
      <w:tr>
        <w:trPr>
          <w:trHeight w:val="826" w:hRule="exact"/>
        </w:trPr>
        <w:tc>
          <w:tcPr>
            <w:tcW w:w="270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84"/>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3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7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本年末比上</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8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3" w:hRule="exact"/>
        </w:trPr>
        <w:tc>
          <w:tcPr>
            <w:tcW w:w="270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1.58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28" w:right="0"/>
              <w:jc w:val="left"/>
              <w:rPr>
                <w:rFonts w:ascii="Times New Roman" w:hAnsi="Times New Roman" w:cs="Times New Roman" w:eastAsia="Times New Roman" w:hint="default"/>
                <w:sz w:val="21"/>
                <w:szCs w:val="21"/>
              </w:rPr>
            </w:pPr>
            <w:r>
              <w:rPr>
                <w:rFonts w:ascii="Times New Roman"/>
                <w:sz w:val="21"/>
              </w:rPr>
              <w:t>1.30</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1.30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z w:val="21"/>
              </w:rPr>
              <w:t>21.84%</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0.77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1.14</w:t>
            </w:r>
          </w:p>
        </w:tc>
      </w:tr>
    </w:tbl>
    <w:p>
      <w:pPr>
        <w:spacing w:after="0" w:line="240" w:lineRule="auto"/>
        <w:jc w:val="right"/>
        <w:rPr>
          <w:rFonts w:ascii="Times New Roman" w:hAnsi="Times New Roman" w:cs="Times New Roman" w:eastAsia="Times New Roman" w:hint="default"/>
          <w:sz w:val="21"/>
          <w:szCs w:val="21"/>
        </w:rPr>
        <w:sectPr>
          <w:footerReference w:type="default" r:id="rId9"/>
          <w:pgSz w:w="11910" w:h="16840"/>
          <w:pgMar w:footer="761" w:header="0" w:top="1040" w:bottom="960" w:left="840" w:right="0"/>
          <w:pgNumType w:start="6"/>
        </w:sectPr>
      </w:pPr>
    </w:p>
    <w:p>
      <w:pPr>
        <w:pStyle w:val="Heading1"/>
        <w:tabs>
          <w:tab w:pos="4131" w:val="left" w:leader="none"/>
        </w:tabs>
        <w:spacing w:line="401" w:lineRule="exact"/>
        <w:ind w:left="2845" w:right="0"/>
        <w:jc w:val="left"/>
        <w:rPr>
          <w:b w:val="0"/>
          <w:bCs w:val="0"/>
        </w:rPr>
      </w:pPr>
      <w:bookmarkStart w:name="_TOC_250008" w:id="4"/>
      <w:r>
        <w:rPr>
          <w:w w:val="95"/>
        </w:rPr>
        <w:t>第四章</w:t>
        <w:tab/>
      </w:r>
      <w:r>
        <w:rPr/>
        <w:t>股本变动及股东情况</w:t>
      </w:r>
      <w:bookmarkEnd w:id="4"/>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95"/>
        <w:ind w:right="0"/>
        <w:jc w:val="left"/>
      </w:pPr>
      <w:r>
        <w:rPr/>
        <w:t>（一）股份变动情况表</w:t>
      </w:r>
    </w:p>
    <w:p>
      <w:pPr>
        <w:spacing w:line="240" w:lineRule="auto" w:before="3"/>
        <w:rPr>
          <w:rFonts w:ascii="宋体" w:hAnsi="宋体" w:cs="宋体" w:eastAsia="宋体" w:hint="default"/>
          <w:sz w:val="12"/>
          <w:szCs w:val="12"/>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8"/>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640"/>
        <w:gridCol w:w="1061"/>
        <w:gridCol w:w="900"/>
        <w:gridCol w:w="1080"/>
        <w:gridCol w:w="675"/>
        <w:gridCol w:w="910"/>
        <w:gridCol w:w="833"/>
        <w:gridCol w:w="1064"/>
        <w:gridCol w:w="1097"/>
        <w:gridCol w:w="900"/>
      </w:tblGrid>
      <w:tr>
        <w:trPr>
          <w:trHeight w:val="283" w:hRule="exact"/>
        </w:trPr>
        <w:tc>
          <w:tcPr>
            <w:tcW w:w="1640" w:type="dxa"/>
            <w:vMerge w:val="restart"/>
            <w:tcBorders>
              <w:top w:val="single" w:sz="4" w:space="0" w:color="000000"/>
              <w:left w:val="single" w:sz="4" w:space="0" w:color="000000"/>
              <w:right w:val="single" w:sz="4" w:space="0" w:color="000000"/>
            </w:tcBorders>
          </w:tcPr>
          <w:p>
            <w:pP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23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4" w:hRule="exact"/>
        </w:trPr>
        <w:tc>
          <w:tcPr>
            <w:tcW w:w="1640"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54"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4" w:right="0"/>
              <w:jc w:val="center"/>
              <w:rPr>
                <w:rFonts w:ascii="Times New Roman" w:hAnsi="Times New Roman" w:cs="Times New Roman" w:eastAsia="Times New Roman" w:hint="default"/>
                <w:sz w:val="21"/>
                <w:szCs w:val="21"/>
              </w:rPr>
            </w:pPr>
            <w:r>
              <w:rPr>
                <w:rFonts w:ascii="Times New Roman"/>
                <w:sz w:val="21"/>
              </w:rPr>
              <w:t>71,346,000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74.14%</w:t>
            </w:r>
          </w:p>
        </w:tc>
        <w:tc>
          <w:tcPr>
            <w:tcW w:w="108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6" w:right="0"/>
              <w:jc w:val="center"/>
              <w:rPr>
                <w:rFonts w:ascii="Times New Roman" w:hAnsi="Times New Roman" w:cs="Times New Roman" w:eastAsia="Times New Roman" w:hint="default"/>
                <w:sz w:val="21"/>
                <w:szCs w:val="21"/>
              </w:rPr>
            </w:pPr>
            <w:r>
              <w:rPr>
                <w:rFonts w:ascii="Times New Roman"/>
                <w:sz w:val="21"/>
              </w:rPr>
              <w:t>71,346,000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74.14%</w:t>
            </w:r>
          </w:p>
        </w:tc>
      </w:tr>
      <w:tr>
        <w:trPr>
          <w:trHeight w:val="283"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6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06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 w:right="0"/>
              <w:jc w:val="center"/>
              <w:rPr>
                <w:rFonts w:ascii="Times New Roman" w:hAnsi="Times New Roman" w:cs="Times New Roman" w:eastAsia="Times New Roman" w:hint="default"/>
                <w:sz w:val="21"/>
                <w:szCs w:val="21"/>
              </w:rPr>
            </w:pPr>
            <w:r>
              <w:rPr>
                <w:rFonts w:ascii="Times New Roman"/>
                <w:sz w:val="21"/>
              </w:rPr>
              <w:t>71,346,000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74.14%</w:t>
            </w:r>
          </w:p>
        </w:tc>
        <w:tc>
          <w:tcPr>
            <w:tcW w:w="108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6" w:right="0"/>
              <w:jc w:val="center"/>
              <w:rPr>
                <w:rFonts w:ascii="Times New Roman" w:hAnsi="Times New Roman" w:cs="Times New Roman" w:eastAsia="Times New Roman" w:hint="default"/>
                <w:sz w:val="21"/>
                <w:szCs w:val="21"/>
              </w:rPr>
            </w:pPr>
            <w:r>
              <w:rPr>
                <w:rFonts w:ascii="Times New Roman"/>
                <w:sz w:val="21"/>
              </w:rPr>
              <w:t>71,346,000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74.14%</w:t>
            </w:r>
          </w:p>
        </w:tc>
      </w:tr>
      <w:tr>
        <w:trPr>
          <w:trHeight w:val="555"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4" w:right="0"/>
              <w:jc w:val="center"/>
              <w:rPr>
                <w:rFonts w:ascii="Times New Roman" w:hAnsi="Times New Roman" w:cs="Times New Roman" w:eastAsia="Times New Roman" w:hint="default"/>
                <w:sz w:val="21"/>
                <w:szCs w:val="21"/>
              </w:rPr>
            </w:pPr>
            <w:r>
              <w:rPr>
                <w:rFonts w:ascii="Times New Roman"/>
                <w:sz w:val="21"/>
              </w:rPr>
              <w:t>71,346,000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6"/>
              <w:jc w:val="right"/>
              <w:rPr>
                <w:rFonts w:ascii="Times New Roman" w:hAnsi="Times New Roman" w:cs="Times New Roman" w:eastAsia="Times New Roman" w:hint="default"/>
                <w:sz w:val="21"/>
                <w:szCs w:val="21"/>
              </w:rPr>
            </w:pPr>
            <w:r>
              <w:rPr>
                <w:rFonts w:ascii="Times New Roman"/>
                <w:sz w:val="21"/>
              </w:rPr>
              <w:t>74.14%</w:t>
            </w:r>
          </w:p>
        </w:tc>
        <w:tc>
          <w:tcPr>
            <w:tcW w:w="108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6" w:right="0"/>
              <w:jc w:val="center"/>
              <w:rPr>
                <w:rFonts w:ascii="Times New Roman" w:hAnsi="Times New Roman" w:cs="Times New Roman" w:eastAsia="Times New Roman" w:hint="default"/>
                <w:sz w:val="21"/>
                <w:szCs w:val="21"/>
              </w:rPr>
            </w:pPr>
            <w:r>
              <w:rPr>
                <w:rFonts w:ascii="Times New Roman"/>
                <w:sz w:val="21"/>
              </w:rPr>
              <w:t>71,346,000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6"/>
              <w:jc w:val="right"/>
              <w:rPr>
                <w:rFonts w:ascii="Times New Roman" w:hAnsi="Times New Roman" w:cs="Times New Roman" w:eastAsia="Times New Roman" w:hint="default"/>
                <w:sz w:val="21"/>
                <w:szCs w:val="21"/>
              </w:rPr>
            </w:pPr>
            <w:r>
              <w:rPr>
                <w:rFonts w:ascii="Times New Roman"/>
                <w:sz w:val="21"/>
              </w:rPr>
              <w:t>74.14%</w:t>
            </w:r>
          </w:p>
        </w:tc>
      </w:tr>
      <w:tr>
        <w:trPr>
          <w:trHeight w:val="554"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0"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6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6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6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0"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6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06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4" w:right="0"/>
              <w:jc w:val="center"/>
              <w:rPr>
                <w:rFonts w:ascii="Times New Roman" w:hAnsi="Times New Roman" w:cs="Times New Roman" w:eastAsia="Times New Roman" w:hint="default"/>
                <w:sz w:val="21"/>
                <w:szCs w:val="21"/>
              </w:rPr>
            </w:pPr>
            <w:r>
              <w:rPr>
                <w:rFonts w:ascii="Times New Roman"/>
                <w:sz w:val="21"/>
              </w:rPr>
              <w:t>24,881,998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25.86%</w:t>
            </w:r>
          </w:p>
        </w:tc>
        <w:tc>
          <w:tcPr>
            <w:tcW w:w="108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6" w:right="0"/>
              <w:jc w:val="center"/>
              <w:rPr>
                <w:rFonts w:ascii="Times New Roman" w:hAnsi="Times New Roman" w:cs="Times New Roman" w:eastAsia="Times New Roman" w:hint="default"/>
                <w:sz w:val="21"/>
                <w:szCs w:val="21"/>
              </w:rPr>
            </w:pPr>
            <w:r>
              <w:rPr>
                <w:rFonts w:ascii="Times New Roman"/>
                <w:sz w:val="21"/>
              </w:rPr>
              <w:t>24,881,998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25.86%</w:t>
            </w:r>
          </w:p>
        </w:tc>
      </w:tr>
      <w:tr>
        <w:trPr>
          <w:trHeight w:val="283"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 w:right="0"/>
              <w:jc w:val="center"/>
              <w:rPr>
                <w:rFonts w:ascii="Times New Roman" w:hAnsi="Times New Roman" w:cs="Times New Roman" w:eastAsia="Times New Roman" w:hint="default"/>
                <w:sz w:val="21"/>
                <w:szCs w:val="21"/>
              </w:rPr>
            </w:pPr>
            <w:r>
              <w:rPr>
                <w:rFonts w:ascii="Times New Roman"/>
                <w:sz w:val="21"/>
              </w:rPr>
              <w:t>24,881,998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25.86%</w:t>
            </w:r>
          </w:p>
        </w:tc>
        <w:tc>
          <w:tcPr>
            <w:tcW w:w="108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6" w:right="0"/>
              <w:jc w:val="center"/>
              <w:rPr>
                <w:rFonts w:ascii="Times New Roman" w:hAnsi="Times New Roman" w:cs="Times New Roman" w:eastAsia="Times New Roman" w:hint="default"/>
                <w:sz w:val="21"/>
                <w:szCs w:val="21"/>
              </w:rPr>
            </w:pPr>
            <w:r>
              <w:rPr>
                <w:rFonts w:ascii="Times New Roman"/>
                <w:sz w:val="21"/>
              </w:rPr>
              <w:t>24,881,998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25.86%</w:t>
            </w:r>
          </w:p>
        </w:tc>
      </w:tr>
      <w:tr>
        <w:trPr>
          <w:trHeight w:val="555"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06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06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6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 w:right="0"/>
              <w:jc w:val="center"/>
              <w:rPr>
                <w:rFonts w:ascii="Times New Roman" w:hAnsi="Times New Roman" w:cs="Times New Roman" w:eastAsia="Times New Roman" w:hint="default"/>
                <w:sz w:val="21"/>
                <w:szCs w:val="21"/>
              </w:rPr>
            </w:pPr>
            <w:r>
              <w:rPr>
                <w:rFonts w:ascii="Times New Roman"/>
                <w:sz w:val="21"/>
              </w:rPr>
              <w:t>96,227,998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6" w:right="0"/>
              <w:jc w:val="center"/>
              <w:rPr>
                <w:rFonts w:ascii="Times New Roman" w:hAnsi="Times New Roman" w:cs="Times New Roman" w:eastAsia="Times New Roman" w:hint="default"/>
                <w:sz w:val="21"/>
                <w:szCs w:val="21"/>
              </w:rPr>
            </w:pPr>
            <w:r>
              <w:rPr>
                <w:rFonts w:ascii="Times New Roman"/>
                <w:sz w:val="21"/>
              </w:rPr>
              <w:t>96,227,998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7"/>
        <w:rPr>
          <w:rFonts w:ascii="宋体" w:hAnsi="宋体" w:cs="宋体" w:eastAsia="宋体" w:hint="default"/>
          <w:sz w:val="25"/>
          <w:szCs w:val="25"/>
        </w:rPr>
      </w:pPr>
    </w:p>
    <w:p>
      <w:pPr>
        <w:pStyle w:val="BodyText"/>
        <w:spacing w:line="240" w:lineRule="auto" w:before="26"/>
        <w:ind w:right="0"/>
        <w:jc w:val="left"/>
      </w:pPr>
      <w:r>
        <w:rPr/>
        <w:t>（二）证券发行与上市情况</w:t>
      </w:r>
    </w:p>
    <w:p>
      <w:pPr>
        <w:spacing w:line="240" w:lineRule="auto" w:before="12"/>
        <w:rPr>
          <w:rFonts w:ascii="宋体" w:hAnsi="宋体" w:cs="宋体" w:eastAsia="宋体" w:hint="default"/>
          <w:sz w:val="20"/>
          <w:szCs w:val="20"/>
        </w:rPr>
      </w:pPr>
    </w:p>
    <w:p>
      <w:pPr>
        <w:pStyle w:val="BodyText"/>
        <w:spacing w:line="240" w:lineRule="auto" w:before="0"/>
        <w:ind w:left="653" w:right="0"/>
        <w:jc w:val="left"/>
      </w:pPr>
      <w:r>
        <w:rPr>
          <w:rFonts w:ascii="Times New Roman" w:hAnsi="Times New Roman" w:cs="Times New Roman" w:eastAsia="Times New Roman" w:hint="default"/>
        </w:rPr>
        <w:t>1</w:t>
      </w:r>
      <w:r>
        <w:rPr/>
        <w:t>、资本公积金转增股本</w:t>
      </w:r>
    </w:p>
    <w:p>
      <w:pPr>
        <w:spacing w:line="240" w:lineRule="auto" w:before="7"/>
        <w:rPr>
          <w:rFonts w:ascii="宋体" w:hAnsi="宋体" w:cs="宋体" w:eastAsia="宋体" w:hint="default"/>
          <w:sz w:val="19"/>
          <w:szCs w:val="19"/>
        </w:rPr>
      </w:pPr>
    </w:p>
    <w:p>
      <w:pPr>
        <w:pStyle w:val="BodyText"/>
        <w:spacing w:line="240" w:lineRule="auto" w:before="0"/>
        <w:ind w:left="653"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日，公司由于实施股权分置改革方案，向全体流通股东以</w:t>
      </w:r>
      <w:r>
        <w:rPr>
          <w:spacing w:val="-54"/>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定向转</w:t>
      </w:r>
    </w:p>
    <w:p>
      <w:pPr>
        <w:pStyle w:val="BodyText"/>
        <w:spacing w:line="240" w:lineRule="auto" w:before="134"/>
        <w:ind w:right="0"/>
        <w:jc w:val="left"/>
      </w:pPr>
      <w:r>
        <w:rPr/>
        <w:t>增股份，总股本由</w:t>
      </w:r>
      <w:r>
        <w:rPr>
          <w:spacing w:val="-60"/>
        </w:rPr>
        <w:t> </w:t>
      </w:r>
      <w:r>
        <w:rPr>
          <w:rFonts w:ascii="Times New Roman" w:hAnsi="Times New Roman" w:cs="Times New Roman" w:eastAsia="Times New Roman" w:hint="default"/>
        </w:rPr>
        <w:t>90,486,000 </w:t>
      </w:r>
      <w:r>
        <w:rPr/>
        <w:t>股增加为</w:t>
      </w:r>
      <w:r>
        <w:rPr>
          <w:spacing w:val="-60"/>
        </w:rPr>
        <w:t> </w:t>
      </w:r>
      <w:r>
        <w:rPr>
          <w:rFonts w:ascii="Times New Roman" w:hAnsi="Times New Roman" w:cs="Times New Roman" w:eastAsia="Times New Roman" w:hint="default"/>
        </w:rPr>
        <w:t>96,227,998 </w:t>
      </w:r>
      <w:r>
        <w:rPr/>
        <w:t>股。</w:t>
      </w:r>
    </w:p>
    <w:p>
      <w:pPr>
        <w:spacing w:line="240" w:lineRule="auto" w:before="7"/>
        <w:rPr>
          <w:rFonts w:ascii="宋体" w:hAnsi="宋体" w:cs="宋体" w:eastAsia="宋体" w:hint="default"/>
          <w:sz w:val="19"/>
          <w:szCs w:val="19"/>
        </w:rPr>
      </w:pPr>
    </w:p>
    <w:p>
      <w:pPr>
        <w:pStyle w:val="BodyText"/>
        <w:spacing w:line="240" w:lineRule="auto" w:before="0"/>
        <w:ind w:left="653" w:right="0"/>
        <w:jc w:val="left"/>
      </w:pPr>
      <w:r>
        <w:rPr>
          <w:rFonts w:ascii="Times New Roman" w:hAnsi="Times New Roman" w:cs="Times New Roman" w:eastAsia="Times New Roman" w:hint="default"/>
        </w:rPr>
        <w:t>2</w:t>
      </w:r>
      <w:r>
        <w:rPr/>
        <w:t>、除上述资本公积金转增股本外，公司最近三年内没有新发行股票及衍生证券。</w:t>
      </w:r>
    </w:p>
    <w:p>
      <w:pPr>
        <w:spacing w:line="240" w:lineRule="auto" w:before="5"/>
        <w:rPr>
          <w:rFonts w:ascii="宋体" w:hAnsi="宋体" w:cs="宋体" w:eastAsia="宋体" w:hint="default"/>
          <w:sz w:val="19"/>
          <w:szCs w:val="19"/>
        </w:rPr>
      </w:pPr>
    </w:p>
    <w:p>
      <w:pPr>
        <w:pStyle w:val="BodyText"/>
        <w:spacing w:line="240" w:lineRule="auto" w:before="0"/>
        <w:ind w:left="653" w:right="0"/>
        <w:jc w:val="left"/>
      </w:pPr>
      <w:r>
        <w:rPr>
          <w:rFonts w:ascii="Times New Roman" w:hAnsi="Times New Roman" w:cs="Times New Roman" w:eastAsia="Times New Roman" w:hint="default"/>
        </w:rPr>
        <w:t>3</w:t>
      </w:r>
      <w:r>
        <w:rPr>
          <w:spacing w:val="-15"/>
        </w:rPr>
        <w:t>、</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23 </w:t>
      </w:r>
      <w:r>
        <w:rPr/>
        <w:t>日</w:t>
      </w:r>
      <w:r>
        <w:rPr>
          <w:spacing w:val="-15"/>
        </w:rPr>
        <w:t>，</w:t>
      </w:r>
      <w:r>
        <w:rPr/>
        <w:t>青岛亚星实业有限公</w:t>
      </w:r>
      <w:r>
        <w:rPr>
          <w:spacing w:val="-15"/>
        </w:rPr>
        <w:t>司</w:t>
      </w:r>
      <w:r>
        <w:rPr/>
        <w:t>（以下简</w:t>
      </w:r>
      <w:r>
        <w:rPr>
          <w:spacing w:val="-14"/>
        </w:rPr>
        <w:t>称</w:t>
      </w:r>
      <w:r>
        <w:rPr/>
        <w:t>“亚星实业</w:t>
      </w:r>
      <w:r>
        <w:rPr>
          <w:spacing w:val="-120"/>
        </w:rPr>
        <w:t>”</w:t>
      </w:r>
      <w:r>
        <w:rPr>
          <w:spacing w:val="-15"/>
        </w:rPr>
        <w:t>）</w:t>
      </w:r>
      <w:r>
        <w:rPr/>
        <w:t>与深大通第一</w:t>
      </w:r>
    </w:p>
    <w:p>
      <w:pPr>
        <w:pStyle w:val="BodyText"/>
        <w:spacing w:line="240" w:lineRule="auto" w:before="135"/>
        <w:ind w:right="0"/>
        <w:jc w:val="left"/>
        <w:rPr>
          <w:rFonts w:ascii="Times New Roman" w:hAnsi="Times New Roman" w:cs="Times New Roman" w:eastAsia="Times New Roman" w:hint="default"/>
        </w:rPr>
      </w:pPr>
      <w:r>
        <w:rPr/>
        <w:t>大股东方正延中传媒有限公</w:t>
      </w:r>
      <w:r>
        <w:rPr>
          <w:spacing w:val="-35"/>
        </w:rPr>
        <w:t>司</w:t>
      </w:r>
      <w:r>
        <w:rPr/>
        <w:t>（以下简</w:t>
      </w:r>
      <w:r>
        <w:rPr>
          <w:spacing w:val="-36"/>
        </w:rPr>
        <w:t>称</w:t>
      </w:r>
      <w:r>
        <w:rPr/>
        <w:t>“方正延中</w:t>
      </w:r>
      <w:r>
        <w:rPr>
          <w:spacing w:val="-120"/>
        </w:rPr>
        <w:t>”</w:t>
      </w:r>
      <w:r>
        <w:rPr>
          <w:spacing w:val="-36"/>
        </w:rPr>
        <w:t>）</w:t>
      </w:r>
      <w:r>
        <w:rPr/>
        <w:t>签订股权转让协议</w:t>
      </w:r>
      <w:r>
        <w:rPr>
          <w:spacing w:val="-36"/>
        </w:rPr>
        <w:t>，</w:t>
      </w:r>
      <w:r>
        <w:rPr/>
        <w:t>受让深大通</w:t>
      </w:r>
      <w:r>
        <w:rPr>
          <w:spacing w:val="-60"/>
        </w:rPr>
        <w:t> </w:t>
      </w:r>
      <w:r>
        <w:rPr>
          <w:rFonts w:ascii="Times New Roman" w:hAnsi="Times New Roman" w:cs="Times New Roman" w:eastAsia="Times New Roman" w:hint="default"/>
        </w:rPr>
        <w:t>1000</w:t>
      </w:r>
    </w:p>
    <w:p>
      <w:pPr>
        <w:pStyle w:val="BodyText"/>
        <w:spacing w:line="338" w:lineRule="auto" w:before="133"/>
        <w:ind w:right="1118"/>
        <w:jc w:val="left"/>
      </w:pPr>
      <w:r>
        <w:rPr/>
        <w:t>万股股权；</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24"/>
        </w:rPr>
        <w:t> </w:t>
      </w:r>
      <w:r>
        <w:rPr/>
        <w:t>日，该股份已经办理完成过户登记手续，亚星实业成为公司的并 列第三大股东。</w:t>
      </w:r>
    </w:p>
    <w:p>
      <w:pPr>
        <w:spacing w:after="0" w:line="338" w:lineRule="auto"/>
        <w:jc w:val="left"/>
        <w:sectPr>
          <w:pgSz w:w="11910" w:h="16840"/>
          <w:pgMar w:header="0" w:footer="761" w:top="1080" w:bottom="960" w:left="1020" w:right="0"/>
        </w:sectPr>
      </w:pPr>
    </w:p>
    <w:p>
      <w:pPr>
        <w:pStyle w:val="BodyText"/>
        <w:spacing w:line="240" w:lineRule="auto" w:before="14"/>
        <w:ind w:left="653" w:right="0"/>
        <w:jc w:val="left"/>
      </w:pPr>
      <w:r>
        <w:rPr>
          <w:rFonts w:ascii="Times New Roman" w:hAnsi="Times New Roman" w:cs="Times New Roman" w:eastAsia="Times New Roman" w:hint="default"/>
        </w:rPr>
        <w:t>4</w:t>
      </w:r>
      <w:r>
        <w:rPr>
          <w:spacing w:val="-1"/>
        </w:rPr>
        <w:t>、</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spacing w:val="2"/>
        </w:rPr>
        <w:t>日</w:t>
      </w:r>
      <w:r>
        <w:rPr/>
        <w:t>，亚星实业与方正延中签署《垫付对价偿还协议</w:t>
      </w:r>
      <w:r>
        <w:rPr>
          <w:spacing w:val="-120"/>
        </w:rPr>
        <w:t>》</w:t>
      </w:r>
      <w:r>
        <w:rPr/>
        <w:t>，约定方正延中</w:t>
      </w:r>
    </w:p>
    <w:p>
      <w:pPr>
        <w:pStyle w:val="BodyText"/>
        <w:spacing w:line="240" w:lineRule="auto" w:before="136"/>
        <w:ind w:right="0"/>
        <w:jc w:val="left"/>
        <w:rPr>
          <w:rFonts w:ascii="Times New Roman" w:hAnsi="Times New Roman" w:cs="Times New Roman" w:eastAsia="Times New Roman" w:hint="default"/>
        </w:rPr>
      </w:pPr>
      <w:r>
        <w:rPr/>
        <w:t>将所持深大通 </w:t>
      </w:r>
      <w:r>
        <w:rPr>
          <w:rFonts w:ascii="Times New Roman" w:hAnsi="Times New Roman" w:cs="Times New Roman" w:eastAsia="Times New Roman" w:hint="default"/>
        </w:rPr>
        <w:t>680 </w:t>
      </w:r>
      <w:r>
        <w:rPr/>
        <w:t>万股股份以股权分置改革垫付对价偿还的方式过户给亚星实业；</w:t>
      </w:r>
      <w:r>
        <w:rPr>
          <w:rFonts w:ascii="Times New Roman" w:hAnsi="Times New Roman" w:cs="Times New Roman" w:eastAsia="Times New Roman" w:hint="default"/>
        </w:rPr>
        <w:t>2010 </w:t>
      </w:r>
      <w:r>
        <w:rPr/>
        <w:t>年</w:t>
      </w:r>
      <w:r>
        <w:rPr>
          <w:spacing w:val="-83"/>
        </w:rPr>
        <w:t> </w:t>
      </w:r>
      <w:r>
        <w:rPr>
          <w:rFonts w:ascii="Times New Roman" w:hAnsi="Times New Roman" w:cs="Times New Roman" w:eastAsia="Times New Roman" w:hint="default"/>
        </w:rPr>
        <w:t>6</w:t>
      </w:r>
    </w:p>
    <w:p>
      <w:pPr>
        <w:pStyle w:val="BodyText"/>
        <w:spacing w:line="240" w:lineRule="auto" w:before="135"/>
        <w:ind w:right="0"/>
        <w:jc w:val="left"/>
      </w:pPr>
      <w:r>
        <w:rPr/>
        <w:t>月</w:t>
      </w:r>
      <w:r>
        <w:rPr>
          <w:spacing w:val="-50"/>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日之前，方正延中将所持的深大通</w:t>
      </w:r>
      <w:r>
        <w:rPr>
          <w:spacing w:val="-50"/>
        </w:rPr>
        <w:t> </w:t>
      </w:r>
      <w:r>
        <w:rPr>
          <w:rFonts w:ascii="Times New Roman" w:hAnsi="Times New Roman" w:cs="Times New Roman" w:eastAsia="Times New Roman" w:hint="default"/>
        </w:rPr>
        <w:t>2,437,850</w:t>
      </w:r>
      <w:r>
        <w:rPr>
          <w:rFonts w:ascii="Times New Roman" w:hAnsi="Times New Roman" w:cs="Times New Roman" w:eastAsia="Times New Roman" w:hint="default"/>
          <w:spacing w:val="10"/>
        </w:rPr>
        <w:t> </w:t>
      </w:r>
      <w:r>
        <w:rPr/>
        <w:t>股股份以股权分置改革垫付对价偿还的方</w:t>
      </w:r>
    </w:p>
    <w:p>
      <w:pPr>
        <w:pStyle w:val="BodyText"/>
        <w:spacing w:line="240" w:lineRule="auto" w:before="133"/>
        <w:ind w:right="0"/>
        <w:jc w:val="left"/>
      </w:pPr>
      <w:r>
        <w:rPr/>
        <w:t>式过户至亚星实业名下；其余</w:t>
      </w:r>
      <w:r>
        <w:rPr>
          <w:spacing w:val="-64"/>
        </w:rPr>
        <w:t> </w:t>
      </w:r>
      <w:r>
        <w:rPr>
          <w:rFonts w:ascii="Times New Roman" w:hAnsi="Times New Roman" w:cs="Times New Roman" w:eastAsia="Times New Roman" w:hint="default"/>
        </w:rPr>
        <w:t>1,812,150</w:t>
      </w:r>
      <w:r>
        <w:rPr>
          <w:rFonts w:ascii="Times New Roman" w:hAnsi="Times New Roman" w:cs="Times New Roman" w:eastAsia="Times New Roman" w:hint="default"/>
          <w:spacing w:val="-4"/>
        </w:rPr>
        <w:t> </w:t>
      </w:r>
      <w:r>
        <w:rPr/>
        <w:t>股，方正延中将按每股</w:t>
      </w:r>
      <w:r>
        <w:rPr>
          <w:spacing w:val="-64"/>
        </w:rPr>
        <w:t> </w:t>
      </w:r>
      <w:r>
        <w:rPr>
          <w:rFonts w:ascii="Times New Roman" w:hAnsi="Times New Roman" w:cs="Times New Roman" w:eastAsia="Times New Roman" w:hint="default"/>
        </w:rPr>
        <w:t>9.92</w:t>
      </w:r>
      <w:r>
        <w:rPr>
          <w:rFonts w:ascii="Times New Roman" w:hAnsi="Times New Roman" w:cs="Times New Roman" w:eastAsia="Times New Roman" w:hint="default"/>
          <w:spacing w:val="-4"/>
        </w:rPr>
        <w:t> </w:t>
      </w:r>
      <w:r>
        <w:rPr/>
        <w:t>元（深大通停牌前</w:t>
      </w:r>
      <w:r>
        <w:rPr>
          <w:spacing w:val="-64"/>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w:t>
      </w:r>
    </w:p>
    <w:p>
      <w:pPr>
        <w:pStyle w:val="BodyText"/>
        <w:spacing w:line="240" w:lineRule="auto" w:before="135"/>
        <w:ind w:right="0"/>
        <w:jc w:val="left"/>
      </w:pPr>
      <w:r>
        <w:rPr/>
        <w:t>的均价</w:t>
      </w:r>
      <w:r>
        <w:rPr>
          <w:spacing w:val="-120"/>
        </w:rPr>
        <w:t>）</w:t>
      </w:r>
      <w:r>
        <w:rPr/>
        <w:t>，将合计</w:t>
      </w:r>
      <w:r>
        <w:rPr>
          <w:spacing w:val="-60"/>
        </w:rPr>
        <w:t> </w:t>
      </w:r>
      <w:r>
        <w:rPr>
          <w:rFonts w:ascii="Times New Roman" w:hAnsi="Times New Roman" w:cs="Times New Roman" w:eastAsia="Times New Roman" w:hint="default"/>
        </w:rPr>
        <w:t>17,976,528 </w:t>
      </w:r>
      <w:r>
        <w:rPr/>
        <w:t>元人民币于</w:t>
      </w:r>
      <w:r>
        <w:rPr>
          <w:spacing w:val="-60"/>
        </w:rPr>
        <w:t> </w:t>
      </w:r>
      <w:r>
        <w:rPr>
          <w:rFonts w:ascii="Times New Roman" w:hAnsi="Times New Roman" w:cs="Times New Roman" w:eastAsia="Times New Roman" w:hint="default"/>
        </w:rPr>
        <w:t>680 </w:t>
      </w:r>
      <w:r>
        <w:rPr/>
        <w:t>万股过户之同时支付给亚星实业。</w:t>
      </w:r>
    </w:p>
    <w:p>
      <w:pPr>
        <w:spacing w:line="240" w:lineRule="auto" w:before="5"/>
        <w:rPr>
          <w:rFonts w:ascii="宋体" w:hAnsi="宋体" w:cs="宋体" w:eastAsia="宋体" w:hint="default"/>
          <w:sz w:val="19"/>
          <w:szCs w:val="19"/>
        </w:rPr>
      </w:pPr>
    </w:p>
    <w:p>
      <w:pPr>
        <w:pStyle w:val="BodyText"/>
        <w:spacing w:line="240" w:lineRule="auto" w:before="0"/>
        <w:ind w:left="653" w:right="0"/>
        <w:jc w:val="left"/>
      </w:pPr>
      <w:r>
        <w:rPr/>
        <w:t>目前方正延中 </w:t>
      </w:r>
      <w:r>
        <w:rPr>
          <w:rFonts w:ascii="Times New Roman" w:hAnsi="Times New Roman" w:cs="Times New Roman" w:eastAsia="Times New Roman" w:hint="default"/>
        </w:rPr>
        <w:t>680 </w:t>
      </w:r>
      <w:r>
        <w:rPr/>
        <w:t>万股股份的过户手续及 </w:t>
      </w:r>
      <w:r>
        <w:rPr>
          <w:rFonts w:ascii="Times New Roman" w:hAnsi="Times New Roman" w:cs="Times New Roman" w:eastAsia="Times New Roman" w:hint="default"/>
        </w:rPr>
        <w:t>2,437,850</w:t>
      </w:r>
      <w:r>
        <w:rPr>
          <w:rFonts w:ascii="Times New Roman" w:hAnsi="Times New Roman" w:cs="Times New Roman" w:eastAsia="Times New Roman" w:hint="default"/>
          <w:spacing w:val="-25"/>
        </w:rPr>
        <w:t> </w:t>
      </w:r>
      <w:r>
        <w:rPr/>
        <w:t>股股份已以垫付对价偿还方式过户</w:t>
      </w:r>
    </w:p>
    <w:p>
      <w:pPr>
        <w:pStyle w:val="BodyText"/>
        <w:spacing w:line="240" w:lineRule="auto" w:before="135"/>
        <w:ind w:right="0"/>
        <w:jc w:val="left"/>
      </w:pPr>
      <w:r>
        <w:rPr/>
        <w:t>至亚星实业名下，方正延中与亚星实业仍在办理其余 </w:t>
      </w:r>
      <w:r>
        <w:rPr>
          <w:rFonts w:ascii="Times New Roman" w:hAnsi="Times New Roman" w:cs="Times New Roman" w:eastAsia="Times New Roman" w:hint="default"/>
        </w:rPr>
        <w:t>1,812,150 </w:t>
      </w:r>
      <w:r>
        <w:rPr/>
        <w:t>股按每股 </w:t>
      </w:r>
      <w:r>
        <w:rPr>
          <w:rFonts w:ascii="Times New Roman" w:hAnsi="Times New Roman" w:cs="Times New Roman" w:eastAsia="Times New Roman" w:hint="default"/>
        </w:rPr>
        <w:t>9.92</w:t>
      </w:r>
      <w:r>
        <w:rPr>
          <w:rFonts w:ascii="Times New Roman" w:hAnsi="Times New Roman" w:cs="Times New Roman" w:eastAsia="Times New Roman" w:hint="default"/>
          <w:spacing w:val="-24"/>
        </w:rPr>
        <w:t> </w:t>
      </w:r>
      <w:r>
        <w:rPr/>
        <w:t>元（深大通停</w:t>
      </w:r>
    </w:p>
    <w:p>
      <w:pPr>
        <w:pStyle w:val="BodyText"/>
        <w:spacing w:line="240" w:lineRule="auto" w:before="133"/>
        <w:ind w:right="0"/>
        <w:jc w:val="left"/>
      </w:pPr>
      <w:r>
        <w:rPr/>
        <w:t>牌前</w:t>
      </w:r>
      <w:r>
        <w:rPr>
          <w:spacing w:val="-60"/>
        </w:rPr>
        <w:t> </w:t>
      </w:r>
      <w:r>
        <w:rPr>
          <w:rFonts w:ascii="Times New Roman" w:hAnsi="Times New Roman" w:cs="Times New Roman" w:eastAsia="Times New Roman" w:hint="default"/>
        </w:rPr>
        <w:t>20 </w:t>
      </w:r>
      <w:r>
        <w:rPr/>
        <w:t>日的均价）合计</w:t>
      </w:r>
      <w:r>
        <w:rPr>
          <w:spacing w:val="-61"/>
        </w:rPr>
        <w:t> </w:t>
      </w:r>
      <w:r>
        <w:rPr>
          <w:rFonts w:ascii="Times New Roman" w:hAnsi="Times New Roman" w:cs="Times New Roman" w:eastAsia="Times New Roman" w:hint="default"/>
        </w:rPr>
        <w:t>17,976,528 </w:t>
      </w:r>
      <w:r>
        <w:rPr/>
        <w:t>元人民币支付的相关事宜。</w:t>
      </w:r>
    </w:p>
    <w:p>
      <w:pPr>
        <w:spacing w:line="240" w:lineRule="auto" w:before="8"/>
        <w:rPr>
          <w:rFonts w:ascii="宋体" w:hAnsi="宋体" w:cs="宋体" w:eastAsia="宋体" w:hint="default"/>
          <w:sz w:val="19"/>
          <w:szCs w:val="19"/>
        </w:rPr>
      </w:pPr>
    </w:p>
    <w:p>
      <w:pPr>
        <w:pStyle w:val="BodyText"/>
        <w:spacing w:line="343" w:lineRule="auto" w:before="0"/>
        <w:ind w:right="1131" w:firstLine="540"/>
        <w:jc w:val="both"/>
      </w:pP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spacing w:val="-3"/>
        </w:rPr>
        <w:t>日，原非流通股股东上海港银投资管理有限公司（以下简称“上海港</w:t>
      </w:r>
      <w:r>
        <w:rPr/>
        <w:t> </w:t>
      </w:r>
      <w:r>
        <w:rPr>
          <w:spacing w:val="-11"/>
        </w:rPr>
        <w:t>银”）、上海文慧投资有限公司（以下简称“上海文慧”）与亚星实业分别签署《垫付对价偿还</w:t>
      </w:r>
      <w:r>
        <w:rPr>
          <w:spacing w:val="-102"/>
        </w:rPr>
        <w:t> </w:t>
      </w:r>
      <w:r>
        <w:rPr>
          <w:spacing w:val="-102"/>
        </w:rPr>
      </w:r>
      <w:r>
        <w:rPr>
          <w:spacing w:val="-6"/>
        </w:rPr>
        <w:t>协议》，约定上海港银、上海文慧分别将所持深大通</w:t>
      </w:r>
      <w:r>
        <w:rPr/>
        <w:t> </w:t>
      </w:r>
      <w:r>
        <w:rPr>
          <w:rFonts w:ascii="Times New Roman" w:hAnsi="Times New Roman" w:cs="Times New Roman" w:eastAsia="Times New Roman" w:hint="default"/>
        </w:rPr>
        <w:t>6,500,000 </w:t>
      </w:r>
      <w:r>
        <w:rPr>
          <w:spacing w:val="-1"/>
        </w:rPr>
        <w:t>股、</w:t>
      </w:r>
      <w:r>
        <w:rPr>
          <w:rFonts w:ascii="Times New Roman" w:hAnsi="Times New Roman" w:cs="Times New Roman" w:eastAsia="Times New Roman" w:hint="default"/>
          <w:spacing w:val="-1"/>
        </w:rPr>
        <w:t>11,513,248</w:t>
      </w:r>
      <w:r>
        <w:rPr>
          <w:rFonts w:ascii="Times New Roman" w:hAnsi="Times New Roman" w:cs="Times New Roman" w:eastAsia="Times New Roman" w:hint="default"/>
          <w:spacing w:val="7"/>
        </w:rPr>
        <w:t> </w:t>
      </w:r>
      <w:r>
        <w:rPr/>
        <w:t>股份以股权分 置改革垫付对价偿还的方式过户给亚星实业。</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月上述股份已以垫付对价偿还方式过 户至亚星实业名下。</w:t>
      </w:r>
    </w:p>
    <w:p>
      <w:pPr>
        <w:pStyle w:val="BodyText"/>
        <w:spacing w:line="240" w:lineRule="auto" w:before="168"/>
        <w:ind w:left="653" w:right="0"/>
        <w:jc w:val="left"/>
      </w:pPr>
      <w:r>
        <w:rPr>
          <w:rFonts w:ascii="Times New Roman" w:hAnsi="Times New Roman" w:cs="Times New Roman" w:eastAsia="Times New Roman" w:hint="default"/>
        </w:rPr>
        <w:t>6</w:t>
      </w:r>
      <w:r>
        <w:rPr/>
        <w:t>、公司现无内部职工股。</w:t>
      </w:r>
    </w:p>
    <w:p>
      <w:pPr>
        <w:spacing w:line="240" w:lineRule="auto" w:before="7"/>
        <w:rPr>
          <w:rFonts w:ascii="宋体" w:hAnsi="宋体" w:cs="宋体" w:eastAsia="宋体" w:hint="default"/>
          <w:sz w:val="19"/>
          <w:szCs w:val="19"/>
        </w:rPr>
      </w:pPr>
    </w:p>
    <w:p>
      <w:pPr>
        <w:pStyle w:val="BodyText"/>
        <w:spacing w:line="240" w:lineRule="auto" w:before="0"/>
        <w:ind w:right="0"/>
        <w:jc w:val="left"/>
      </w:pPr>
      <w:r>
        <w:rPr/>
        <w:t>（三）股东情况介绍</w:t>
      </w:r>
    </w:p>
    <w:p>
      <w:pPr>
        <w:spacing w:line="240" w:lineRule="auto" w:before="10"/>
        <w:rPr>
          <w:rFonts w:ascii="宋体" w:hAnsi="宋体" w:cs="宋体" w:eastAsia="宋体" w:hint="default"/>
          <w:sz w:val="20"/>
          <w:szCs w:val="20"/>
        </w:rPr>
      </w:pPr>
    </w:p>
    <w:p>
      <w:pPr>
        <w:pStyle w:val="BodyText"/>
        <w:spacing w:line="240" w:lineRule="auto" w:before="0"/>
        <w:ind w:left="653" w:right="0"/>
        <w:jc w:val="left"/>
      </w:pPr>
      <w:r>
        <w:rPr>
          <w:rFonts w:ascii="Times New Roman" w:hAnsi="Times New Roman" w:cs="Times New Roman" w:eastAsia="Times New Roman" w:hint="default"/>
        </w:rPr>
        <w:t>1</w:t>
      </w:r>
      <w:r>
        <w:rPr/>
        <w:t>、截止</w:t>
      </w:r>
      <w:r>
        <w:rPr>
          <w:spacing w:val="-61"/>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日，公司共有股东</w:t>
      </w:r>
      <w:r>
        <w:rPr>
          <w:spacing w:val="-60"/>
        </w:rPr>
        <w:t> </w:t>
      </w:r>
      <w:r>
        <w:rPr>
          <w:rFonts w:ascii="Times New Roman" w:hAnsi="Times New Roman" w:cs="Times New Roman" w:eastAsia="Times New Roman" w:hint="default"/>
        </w:rPr>
        <w:t>4292 </w:t>
      </w:r>
      <w:r>
        <w:rPr/>
        <w:t>名。</w:t>
      </w:r>
    </w:p>
    <w:p>
      <w:pPr>
        <w:spacing w:line="240" w:lineRule="auto" w:before="7"/>
        <w:rPr>
          <w:rFonts w:ascii="宋体" w:hAnsi="宋体" w:cs="宋体" w:eastAsia="宋体" w:hint="default"/>
          <w:sz w:val="19"/>
          <w:szCs w:val="19"/>
        </w:rPr>
      </w:pPr>
    </w:p>
    <w:p>
      <w:pPr>
        <w:pStyle w:val="BodyText"/>
        <w:spacing w:line="240" w:lineRule="auto" w:before="0"/>
        <w:ind w:left="653" w:right="0"/>
        <w:jc w:val="left"/>
      </w:pPr>
      <w:r>
        <w:rPr>
          <w:rFonts w:ascii="Times New Roman" w:hAnsi="Times New Roman" w:cs="Times New Roman" w:eastAsia="Times New Roman" w:hint="default"/>
        </w:rPr>
        <w:t>2</w:t>
      </w:r>
      <w:r>
        <w:rPr/>
        <w:t>、截止</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日，公司前</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名股东持股情况如下：</w:t>
      </w:r>
    </w:p>
    <w:p>
      <w:pPr>
        <w:spacing w:line="240" w:lineRule="auto" w:before="6"/>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2340"/>
        <w:gridCol w:w="1301"/>
        <w:gridCol w:w="319"/>
        <w:gridCol w:w="979"/>
        <w:gridCol w:w="1301"/>
        <w:gridCol w:w="521"/>
        <w:gridCol w:w="1299"/>
        <w:gridCol w:w="1769"/>
      </w:tblGrid>
      <w:tr>
        <w:trPr>
          <w:trHeight w:val="281" w:hRule="exact"/>
        </w:trPr>
        <w:tc>
          <w:tcPr>
            <w:tcW w:w="9830" w:type="dxa"/>
            <w:gridSpan w:val="8"/>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名股东持股情况</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0"/>
              <w:jc w:val="right"/>
              <w:rPr>
                <w:rFonts w:ascii="宋体" w:hAnsi="宋体" w:cs="宋体" w:eastAsia="宋体" w:hint="default"/>
                <w:sz w:val="21"/>
                <w:szCs w:val="21"/>
              </w:rPr>
            </w:pPr>
            <w:r>
              <w:rPr>
                <w:rFonts w:ascii="宋体" w:hAnsi="宋体" w:cs="宋体" w:eastAsia="宋体" w:hint="default"/>
                <w:spacing w:val="-1"/>
                <w:sz w:val="21"/>
                <w:szCs w:val="21"/>
              </w:rPr>
              <w:t>持股比例</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持有有限售条件股</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份数量</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质押或冻结的股份</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青岛亚星实业有限公司</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0" w:right="0"/>
              <w:jc w:val="left"/>
              <w:rPr>
                <w:rFonts w:ascii="Times New Roman" w:hAnsi="Times New Roman" w:cs="Times New Roman" w:eastAsia="Times New Roman" w:hint="default"/>
                <w:sz w:val="21"/>
                <w:szCs w:val="21"/>
              </w:rPr>
            </w:pPr>
            <w:r>
              <w:rPr>
                <w:rFonts w:ascii="Times New Roman"/>
                <w:sz w:val="21"/>
              </w:rPr>
              <w:t>38.71%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2"/>
              <w:jc w:val="right"/>
              <w:rPr>
                <w:rFonts w:ascii="Times New Roman" w:hAnsi="Times New Roman" w:cs="Times New Roman" w:eastAsia="Times New Roman" w:hint="default"/>
                <w:sz w:val="21"/>
                <w:szCs w:val="21"/>
              </w:rPr>
            </w:pPr>
            <w:r>
              <w:rPr>
                <w:rFonts w:ascii="Times New Roman"/>
                <w:spacing w:val="-1"/>
                <w:sz w:val="21"/>
              </w:rPr>
              <w:t>37,251,098</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42" w:right="0"/>
              <w:jc w:val="left"/>
              <w:rPr>
                <w:rFonts w:ascii="Times New Roman" w:hAnsi="Times New Roman" w:cs="Times New Roman" w:eastAsia="Times New Roman" w:hint="default"/>
                <w:sz w:val="21"/>
                <w:szCs w:val="21"/>
              </w:rPr>
            </w:pPr>
            <w:r>
              <w:rPr>
                <w:rFonts w:ascii="Times New Roman"/>
                <w:sz w:val="21"/>
              </w:rPr>
              <w:t>37,251,098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2"/>
              <w:jc w:val="right"/>
              <w:rPr>
                <w:rFonts w:ascii="Times New Roman" w:hAnsi="Times New Roman" w:cs="Times New Roman" w:eastAsia="Times New Roman" w:hint="default"/>
                <w:sz w:val="21"/>
                <w:szCs w:val="21"/>
              </w:rPr>
            </w:pPr>
            <w:r>
              <w:rPr>
                <w:rFonts w:ascii="Times New Roman"/>
                <w:spacing w:val="-1"/>
                <w:sz w:val="21"/>
              </w:rPr>
              <w:t>9,500,000</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江西省电子物资公司</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9.35</w:t>
            </w:r>
            <w:r>
              <w:rPr>
                <w:rFonts w:ascii="Times New Roman"/>
                <w:spacing w:val="3"/>
                <w:sz w:val="21"/>
              </w:rPr>
              <w:t> </w:t>
            </w:r>
            <w:r>
              <w:rPr>
                <w:rFonts w:ascii="Times New Roman"/>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2"/>
              <w:jc w:val="right"/>
              <w:rPr>
                <w:rFonts w:ascii="Times New Roman" w:hAnsi="Times New Roman" w:cs="Times New Roman" w:eastAsia="Times New Roman" w:hint="default"/>
                <w:sz w:val="21"/>
                <w:szCs w:val="21"/>
              </w:rPr>
            </w:pPr>
            <w:r>
              <w:rPr>
                <w:rFonts w:ascii="Times New Roman"/>
                <w:spacing w:val="-1"/>
                <w:sz w:val="21"/>
              </w:rPr>
              <w:t>9,000,000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5" w:right="0"/>
              <w:jc w:val="left"/>
              <w:rPr>
                <w:rFonts w:ascii="Times New Roman" w:hAnsi="Times New Roman" w:cs="Times New Roman" w:eastAsia="Times New Roman" w:hint="default"/>
                <w:sz w:val="21"/>
                <w:szCs w:val="21"/>
              </w:rPr>
            </w:pPr>
            <w:r>
              <w:rPr>
                <w:rFonts w:ascii="Times New Roman"/>
                <w:sz w:val="21"/>
              </w:rPr>
              <w:t>9,000,000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方正延中传媒有限公司</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8.07</w:t>
            </w:r>
            <w:r>
              <w:rPr>
                <w:rFonts w:ascii="Times New Roman"/>
                <w:spacing w:val="3"/>
                <w:sz w:val="21"/>
              </w:rPr>
              <w:t> </w:t>
            </w:r>
            <w:r>
              <w:rPr>
                <w:rFonts w:ascii="Times New Roman"/>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2"/>
              <w:jc w:val="right"/>
              <w:rPr>
                <w:rFonts w:ascii="Times New Roman" w:hAnsi="Times New Roman" w:cs="Times New Roman" w:eastAsia="Times New Roman" w:hint="default"/>
                <w:sz w:val="21"/>
                <w:szCs w:val="21"/>
              </w:rPr>
            </w:pPr>
            <w:r>
              <w:rPr>
                <w:rFonts w:ascii="Times New Roman"/>
                <w:spacing w:val="-1"/>
                <w:sz w:val="21"/>
              </w:rPr>
              <w:t>7,762,150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5" w:right="0"/>
              <w:jc w:val="left"/>
              <w:rPr>
                <w:rFonts w:ascii="Times New Roman" w:hAnsi="Times New Roman" w:cs="Times New Roman" w:eastAsia="Times New Roman" w:hint="default"/>
                <w:sz w:val="21"/>
                <w:szCs w:val="21"/>
              </w:rPr>
            </w:pPr>
            <w:r>
              <w:rPr>
                <w:rFonts w:ascii="Times New Roman"/>
                <w:sz w:val="21"/>
              </w:rPr>
              <w:t>7,762,150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2"/>
              <w:jc w:val="right"/>
              <w:rPr>
                <w:rFonts w:ascii="Times New Roman" w:hAnsi="Times New Roman" w:cs="Times New Roman" w:eastAsia="Times New Roman" w:hint="default"/>
                <w:sz w:val="21"/>
                <w:szCs w:val="21"/>
              </w:rPr>
            </w:pPr>
            <w:r>
              <w:rPr>
                <w:rFonts w:ascii="Times New Roman"/>
                <w:spacing w:val="-1"/>
                <w:sz w:val="21"/>
              </w:rPr>
              <w:t>7,762,150</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上海文慧投资有限公司</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6.44</w:t>
            </w:r>
            <w:r>
              <w:rPr>
                <w:rFonts w:ascii="Times New Roman"/>
                <w:spacing w:val="3"/>
                <w:sz w:val="21"/>
              </w:rPr>
              <w:t> </w:t>
            </w:r>
            <w:r>
              <w:rPr>
                <w:rFonts w:ascii="Times New Roman"/>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2"/>
              <w:jc w:val="right"/>
              <w:rPr>
                <w:rFonts w:ascii="Times New Roman" w:hAnsi="Times New Roman" w:cs="Times New Roman" w:eastAsia="Times New Roman" w:hint="default"/>
                <w:sz w:val="21"/>
                <w:szCs w:val="21"/>
              </w:rPr>
            </w:pPr>
            <w:r>
              <w:rPr>
                <w:rFonts w:ascii="Times New Roman"/>
                <w:spacing w:val="-1"/>
                <w:sz w:val="21"/>
              </w:rPr>
              <w:t>6,199,442</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5" w:right="0"/>
              <w:jc w:val="left"/>
              <w:rPr>
                <w:rFonts w:ascii="Times New Roman" w:hAnsi="Times New Roman" w:cs="Times New Roman" w:eastAsia="Times New Roman" w:hint="default"/>
                <w:sz w:val="21"/>
                <w:szCs w:val="21"/>
              </w:rPr>
            </w:pPr>
            <w:r>
              <w:rPr>
                <w:rFonts w:ascii="Times New Roman"/>
                <w:sz w:val="21"/>
              </w:rPr>
              <w:t>6,199,442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2"/>
              <w:jc w:val="right"/>
              <w:rPr>
                <w:rFonts w:ascii="Times New Roman" w:hAnsi="Times New Roman" w:cs="Times New Roman" w:eastAsia="Times New Roman" w:hint="default"/>
                <w:sz w:val="21"/>
                <w:szCs w:val="21"/>
              </w:rPr>
            </w:pPr>
            <w:r>
              <w:rPr>
                <w:rFonts w:ascii="Times New Roman"/>
                <w:spacing w:val="-1"/>
                <w:sz w:val="21"/>
              </w:rPr>
              <w:t>6,199,442</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北京科希盟科技集团有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5.19</w:t>
            </w:r>
            <w:r>
              <w:rPr>
                <w:rFonts w:ascii="Times New Roman"/>
                <w:spacing w:val="3"/>
                <w:sz w:val="21"/>
              </w:rPr>
              <w:t> </w:t>
            </w:r>
            <w:r>
              <w:rPr>
                <w:rFonts w:ascii="Times New Roman"/>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4,994,220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48" w:right="0"/>
              <w:jc w:val="left"/>
              <w:rPr>
                <w:rFonts w:ascii="Times New Roman" w:hAnsi="Times New Roman" w:cs="Times New Roman" w:eastAsia="Times New Roman" w:hint="default"/>
                <w:sz w:val="21"/>
                <w:szCs w:val="21"/>
              </w:rPr>
            </w:pPr>
            <w:r>
              <w:rPr>
                <w:rFonts w:ascii="Times New Roman"/>
                <w:sz w:val="21"/>
              </w:rPr>
              <w:t>4,994,220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z w:val="21"/>
              </w:rPr>
              <w:t>0-</w:t>
            </w:r>
          </w:p>
        </w:tc>
      </w:tr>
      <w:tr>
        <w:trPr>
          <w:trHeight w:val="55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上海港银投资管理有限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6"/>
              <w:jc w:val="right"/>
              <w:rPr>
                <w:rFonts w:ascii="Times New Roman" w:hAnsi="Times New Roman" w:cs="Times New Roman" w:eastAsia="Times New Roman" w:hint="default"/>
                <w:sz w:val="21"/>
                <w:szCs w:val="21"/>
              </w:rPr>
            </w:pPr>
            <w:r>
              <w:rPr>
                <w:rFonts w:ascii="Times New Roman"/>
                <w:sz w:val="21"/>
              </w:rPr>
              <w:t>3.64</w:t>
            </w:r>
            <w:r>
              <w:rPr>
                <w:rFonts w:ascii="Times New Roman"/>
                <w:spacing w:val="3"/>
                <w:sz w:val="21"/>
              </w:rPr>
              <w:t> </w:t>
            </w:r>
            <w:r>
              <w:rPr>
                <w:rFonts w:ascii="Times New Roman"/>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2"/>
              <w:jc w:val="right"/>
              <w:rPr>
                <w:rFonts w:ascii="Times New Roman" w:hAnsi="Times New Roman" w:cs="Times New Roman" w:eastAsia="Times New Roman" w:hint="default"/>
                <w:sz w:val="21"/>
                <w:szCs w:val="21"/>
              </w:rPr>
            </w:pPr>
            <w:r>
              <w:rPr>
                <w:rFonts w:ascii="Times New Roman"/>
                <w:spacing w:val="-1"/>
                <w:sz w:val="21"/>
              </w:rPr>
              <w:t>3,500,000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895" w:right="0"/>
              <w:jc w:val="left"/>
              <w:rPr>
                <w:rFonts w:ascii="Times New Roman" w:hAnsi="Times New Roman" w:cs="Times New Roman" w:eastAsia="Times New Roman" w:hint="default"/>
                <w:sz w:val="21"/>
                <w:szCs w:val="21"/>
              </w:rPr>
            </w:pPr>
            <w:r>
              <w:rPr>
                <w:rFonts w:ascii="Times New Roman"/>
                <w:sz w:val="21"/>
              </w:rPr>
              <w:t>3,500,000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8"/>
              <w:jc w:val="right"/>
              <w:rPr>
                <w:rFonts w:ascii="Times New Roman" w:hAnsi="Times New Roman" w:cs="Times New Roman" w:eastAsia="Times New Roman" w:hint="default"/>
                <w:sz w:val="21"/>
                <w:szCs w:val="21"/>
              </w:rPr>
            </w:pPr>
            <w:r>
              <w:rPr>
                <w:rFonts w:ascii="Times New Roman"/>
                <w:sz w:val="21"/>
              </w:rPr>
              <w:t>3,500,000  </w:t>
            </w:r>
            <w:r>
              <w:rPr>
                <w:rFonts w:ascii="Times New Roman"/>
                <w:spacing w:val="2"/>
                <w:sz w:val="21"/>
              </w:rPr>
              <w:t> </w:t>
            </w:r>
            <w:r>
              <w:rPr>
                <w:rFonts w:ascii="Times New Roman"/>
                <w:sz w:val="21"/>
              </w:rPr>
              <w:t>-</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深圳市立信创展投资有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2.22%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2,140,380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48" w:right="0"/>
              <w:jc w:val="left"/>
              <w:rPr>
                <w:rFonts w:ascii="Times New Roman" w:hAnsi="Times New Roman" w:cs="Times New Roman" w:eastAsia="Times New Roman" w:hint="default"/>
                <w:sz w:val="21"/>
                <w:szCs w:val="21"/>
              </w:rPr>
            </w:pPr>
            <w:r>
              <w:rPr>
                <w:rFonts w:ascii="Times New Roman"/>
                <w:sz w:val="21"/>
              </w:rPr>
              <w:t>2,140,380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林仁平</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1.28%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1,236,164</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林仁忠</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1.05%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1,008,540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杜进军</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0.41%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397,930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362" w:hRule="exact"/>
        </w:trPr>
        <w:tc>
          <w:tcPr>
            <w:tcW w:w="983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36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6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林仁平</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1,236,164</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9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0" w:lineRule="auto"/>
        <w:jc w:val="left"/>
        <w:rPr>
          <w:rFonts w:ascii="宋体" w:hAnsi="宋体" w:cs="宋体" w:eastAsia="宋体" w:hint="default"/>
          <w:sz w:val="21"/>
          <w:szCs w:val="21"/>
        </w:rPr>
        <w:sectPr>
          <w:footerReference w:type="default" r:id="rId10"/>
          <w:pgSz w:w="11910" w:h="16840"/>
          <w:pgMar w:footer="956" w:header="0" w:top="1060" w:bottom="1140" w:left="1020" w:right="0"/>
          <w:pgNumType w:start="8"/>
        </w:sectPr>
      </w:pPr>
    </w:p>
    <w:p>
      <w:pPr>
        <w:spacing w:line="240" w:lineRule="auto" w:before="9"/>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642"/>
        <w:gridCol w:w="3120"/>
        <w:gridCol w:w="3068"/>
      </w:tblGrid>
      <w:tr>
        <w:trPr>
          <w:trHeight w:val="362" w:hRule="exact"/>
        </w:trPr>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林仁忠</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1,008,540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3" w:hRule="exact"/>
        </w:trPr>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杜进军</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397,930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朱欣怡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358,150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张建青</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340,470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章德华</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285,281</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吴黛云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282,100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秦辉</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231,953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金明飞</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231,166</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易清明</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215,540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before="86"/>
        <w:ind w:left="112" w:right="0" w:firstLine="0"/>
        <w:jc w:val="both"/>
        <w:rPr>
          <w:rFonts w:ascii="宋体" w:hAnsi="宋体" w:cs="宋体" w:eastAsia="宋体" w:hint="default"/>
          <w:sz w:val="21"/>
          <w:szCs w:val="21"/>
        </w:rPr>
      </w:pPr>
      <w:r>
        <w:rPr>
          <w:rFonts w:ascii="宋体" w:hAnsi="宋体" w:cs="宋体" w:eastAsia="宋体" w:hint="default"/>
          <w:sz w:val="21"/>
          <w:szCs w:val="21"/>
        </w:rPr>
        <w:t>注：</w:t>
      </w:r>
    </w:p>
    <w:p>
      <w:pPr>
        <w:spacing w:line="240" w:lineRule="auto" w:before="7"/>
        <w:rPr>
          <w:rFonts w:ascii="宋体" w:hAnsi="宋体" w:cs="宋体" w:eastAsia="宋体" w:hint="default"/>
          <w:sz w:val="19"/>
          <w:szCs w:val="19"/>
        </w:rPr>
      </w:pPr>
    </w:p>
    <w:p>
      <w:pPr>
        <w:spacing w:line="338" w:lineRule="auto" w:before="0"/>
        <w:ind w:left="112" w:right="1124" w:firstLine="473"/>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）青岛亚星实业有限公司与其他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名股东无关联关系或一致行动人。林仁平和林仁忠为亲兄弟，本</w:t>
      </w:r>
      <w:r>
        <w:rPr>
          <w:rFonts w:ascii="宋体" w:hAnsi="宋体" w:cs="宋体" w:eastAsia="宋体" w:hint="default"/>
          <w:w w:val="100"/>
          <w:sz w:val="21"/>
          <w:szCs w:val="21"/>
        </w:rPr>
        <w:t> </w:t>
      </w:r>
      <w:r>
        <w:rPr>
          <w:rFonts w:ascii="宋体" w:hAnsi="宋体" w:cs="宋体" w:eastAsia="宋体" w:hint="default"/>
          <w:sz w:val="21"/>
          <w:szCs w:val="21"/>
        </w:rPr>
        <w:t>公司未知其他股东之间的关联关系或一致行动人。</w:t>
      </w:r>
    </w:p>
    <w:p>
      <w:pPr>
        <w:spacing w:before="167"/>
        <w:ind w:left="586" w:right="0" w:firstLine="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）青岛亚星实业所持有的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9,500,000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股深大通境内非国有法人股分别于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日质押给中联</w:t>
      </w:r>
    </w:p>
    <w:p>
      <w:pPr>
        <w:spacing w:before="117"/>
        <w:ind w:left="112" w:right="0" w:firstLine="0"/>
        <w:jc w:val="both"/>
        <w:rPr>
          <w:rFonts w:ascii="Times New Roman" w:hAnsi="Times New Roman" w:cs="Times New Roman" w:eastAsia="Times New Roman" w:hint="default"/>
          <w:sz w:val="21"/>
          <w:szCs w:val="21"/>
        </w:rPr>
      </w:pPr>
      <w:r>
        <w:rPr>
          <w:rFonts w:ascii="宋体" w:hAnsi="宋体" w:cs="宋体" w:eastAsia="宋体" w:hint="default"/>
          <w:w w:val="100"/>
          <w:sz w:val="21"/>
          <w:szCs w:val="21"/>
        </w:rPr>
        <w:t>实业</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股</w:t>
      </w:r>
      <w:r>
        <w:rPr>
          <w:rFonts w:ascii="宋体" w:hAnsi="宋体" w:cs="宋体" w:eastAsia="宋体" w:hint="default"/>
          <w:spacing w:val="-108"/>
          <w:w w:val="100"/>
          <w:sz w:val="21"/>
          <w:szCs w:val="21"/>
        </w:rPr>
        <w:t>；</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29</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质</w:t>
      </w:r>
      <w:r>
        <w:rPr>
          <w:rFonts w:ascii="宋体" w:hAnsi="宋体" w:cs="宋体" w:eastAsia="宋体" w:hint="default"/>
          <w:spacing w:val="-1"/>
          <w:w w:val="100"/>
          <w:sz w:val="21"/>
          <w:szCs w:val="21"/>
        </w:rPr>
        <w:t>押</w:t>
      </w:r>
      <w:r>
        <w:rPr>
          <w:rFonts w:ascii="宋体" w:hAnsi="宋体" w:cs="宋体" w:eastAsia="宋体" w:hint="default"/>
          <w:w w:val="100"/>
          <w:sz w:val="21"/>
          <w:szCs w:val="21"/>
        </w:rPr>
        <w:t>给</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市</w:t>
      </w:r>
      <w:r>
        <w:rPr>
          <w:rFonts w:ascii="宋体" w:hAnsi="宋体" w:cs="宋体" w:eastAsia="宋体" w:hint="default"/>
          <w:w w:val="100"/>
          <w:sz w:val="21"/>
          <w:szCs w:val="21"/>
        </w:rPr>
        <w:t>益</w:t>
      </w:r>
      <w:r>
        <w:rPr>
          <w:rFonts w:ascii="宋体" w:hAnsi="宋体" w:cs="宋体" w:eastAsia="宋体" w:hint="default"/>
          <w:spacing w:val="-3"/>
          <w:w w:val="100"/>
          <w:sz w:val="21"/>
          <w:szCs w:val="21"/>
        </w:rPr>
        <w:t>田</w:t>
      </w:r>
      <w:r>
        <w:rPr>
          <w:rFonts w:ascii="宋体" w:hAnsi="宋体" w:cs="宋体" w:eastAsia="宋体" w:hint="default"/>
          <w:w w:val="100"/>
          <w:sz w:val="21"/>
          <w:szCs w:val="21"/>
        </w:rPr>
        <w:t>集</w:t>
      </w:r>
      <w:r>
        <w:rPr>
          <w:rFonts w:ascii="宋体" w:hAnsi="宋体" w:cs="宋体" w:eastAsia="宋体" w:hint="default"/>
          <w:spacing w:val="-3"/>
          <w:w w:val="100"/>
          <w:sz w:val="21"/>
          <w:szCs w:val="21"/>
        </w:rPr>
        <w:t>团</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有限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106"/>
          <w:w w:val="100"/>
          <w:sz w:val="21"/>
          <w:szCs w:val="21"/>
        </w:rPr>
        <w:t>；</w:t>
      </w:r>
      <w:r>
        <w:rPr>
          <w:rFonts w:ascii="Times New Roman" w:hAnsi="Times New Roman" w:cs="Times New Roman" w:eastAsia="Times New Roman" w:hint="default"/>
          <w:spacing w:val="-3"/>
          <w:w w:val="100"/>
          <w:sz w:val="21"/>
          <w:szCs w:val="21"/>
        </w:rPr>
        <w:t>20</w:t>
      </w:r>
      <w:r>
        <w:rPr>
          <w:rFonts w:ascii="Times New Roman" w:hAnsi="Times New Roman" w:cs="Times New Roman" w:eastAsia="Times New Roman" w:hint="default"/>
          <w:w w:val="100"/>
          <w:sz w:val="21"/>
          <w:szCs w:val="21"/>
        </w:rPr>
        <w:t>10</w:t>
      </w:r>
    </w:p>
    <w:p>
      <w:pPr>
        <w:spacing w:before="119"/>
        <w:ind w:left="112"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日质押给上海浦东发展银行股份有限公司深圳分行上海浦东发展银行股份</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1,500,000 </w:t>
      </w:r>
      <w:r>
        <w:rPr>
          <w:rFonts w:ascii="宋体" w:hAnsi="宋体" w:cs="宋体" w:eastAsia="宋体" w:hint="default"/>
          <w:spacing w:val="-14"/>
          <w:sz w:val="21"/>
          <w:szCs w:val="21"/>
        </w:rPr>
        <w:t>股；</w:t>
      </w:r>
      <w:r>
        <w:rPr>
          <w:rFonts w:ascii="Times New Roman" w:hAnsi="Times New Roman" w:cs="Times New Roman" w:eastAsia="Times New Roman" w:hint="default"/>
          <w:spacing w:val="-14"/>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spacing w:before="117"/>
        <w:ind w:left="11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日质押给中国农业银行股份有限公司深圳罗湖支行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5,000,000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w:t>
      </w:r>
    </w:p>
    <w:p>
      <w:pPr>
        <w:spacing w:line="240" w:lineRule="auto" w:before="2"/>
        <w:rPr>
          <w:rFonts w:ascii="宋体" w:hAnsi="宋体" w:cs="宋体" w:eastAsia="宋体" w:hint="default"/>
          <w:sz w:val="18"/>
          <w:szCs w:val="18"/>
        </w:rPr>
      </w:pPr>
    </w:p>
    <w:p>
      <w:pPr>
        <w:spacing w:before="0"/>
        <w:ind w:left="58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）方正延中所持有的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7,762,150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股（占公司总股本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8.07</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）深大通境内非国有法人股于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spacing w:before="117"/>
        <w:ind w:left="11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日被郑州市金水区人民法院司法冻结，冻结期限至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p>
      <w:pPr>
        <w:spacing w:line="240" w:lineRule="auto" w:before="2"/>
        <w:rPr>
          <w:rFonts w:ascii="宋体" w:hAnsi="宋体" w:cs="宋体" w:eastAsia="宋体" w:hint="default"/>
          <w:sz w:val="18"/>
          <w:szCs w:val="18"/>
        </w:rPr>
      </w:pPr>
    </w:p>
    <w:p>
      <w:pPr>
        <w:spacing w:before="0"/>
        <w:ind w:left="58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）上海文慧投资有限公司所持公司 </w:t>
      </w:r>
      <w:r>
        <w:rPr>
          <w:rFonts w:ascii="Times New Roman" w:hAnsi="Times New Roman" w:cs="Times New Roman" w:eastAsia="Times New Roman" w:hint="default"/>
          <w:sz w:val="21"/>
          <w:szCs w:val="21"/>
        </w:rPr>
        <w:t>6,199,442   </w:t>
      </w:r>
      <w:r>
        <w:rPr>
          <w:rFonts w:ascii="宋体" w:hAnsi="宋体" w:cs="宋体" w:eastAsia="宋体" w:hint="default"/>
          <w:sz w:val="21"/>
          <w:szCs w:val="21"/>
        </w:rPr>
        <w:t>股（占公司总股本 </w:t>
      </w:r>
      <w:r>
        <w:rPr>
          <w:rFonts w:ascii="Times New Roman" w:hAnsi="Times New Roman" w:cs="Times New Roman" w:eastAsia="Times New Roman" w:hint="default"/>
          <w:sz w:val="21"/>
          <w:szCs w:val="21"/>
        </w:rPr>
        <w:t>6.44%</w:t>
      </w:r>
      <w:r>
        <w:rPr>
          <w:rFonts w:ascii="宋体" w:hAnsi="宋体" w:cs="宋体" w:eastAsia="宋体" w:hint="default"/>
          <w:sz w:val="21"/>
          <w:szCs w:val="21"/>
        </w:rPr>
        <w:t>）于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日分</w:t>
      </w:r>
    </w:p>
    <w:p>
      <w:pPr>
        <w:spacing w:before="120"/>
        <w:ind w:left="586" w:right="0" w:hanging="474"/>
        <w:jc w:val="left"/>
        <w:rPr>
          <w:rFonts w:ascii="宋体" w:hAnsi="宋体" w:cs="宋体" w:eastAsia="宋体" w:hint="default"/>
          <w:sz w:val="21"/>
          <w:szCs w:val="21"/>
        </w:rPr>
      </w:pPr>
      <w:r>
        <w:rPr>
          <w:rFonts w:ascii="Times New Roman" w:hAnsi="Times New Roman" w:cs="Times New Roman" w:eastAsia="Times New Roman" w:hint="default"/>
          <w:sz w:val="21"/>
          <w:szCs w:val="21"/>
        </w:rPr>
        <w:t>3,199,442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股两次质押于上海浦东发展银行股份有限公司深圳分行上海浦东发展银行股份。</w:t>
      </w:r>
    </w:p>
    <w:p>
      <w:pPr>
        <w:spacing w:line="240" w:lineRule="auto" w:before="2"/>
        <w:rPr>
          <w:rFonts w:ascii="宋体" w:hAnsi="宋体" w:cs="宋体" w:eastAsia="宋体" w:hint="default"/>
          <w:sz w:val="18"/>
          <w:szCs w:val="18"/>
        </w:rPr>
      </w:pPr>
    </w:p>
    <w:p>
      <w:pPr>
        <w:spacing w:before="0"/>
        <w:ind w:left="586" w:right="0" w:firstLine="0"/>
        <w:jc w:val="left"/>
        <w:rPr>
          <w:rFonts w:ascii="宋体" w:hAnsi="宋体" w:cs="宋体" w:eastAsia="宋体" w:hint="default"/>
          <w:sz w:val="21"/>
          <w:szCs w:val="21"/>
        </w:rPr>
      </w:pPr>
      <w:r>
        <w:rPr>
          <w:rFonts w:ascii="宋体" w:hAnsi="宋体" w:cs="宋体" w:eastAsia="宋体" w:hint="default"/>
          <w:spacing w:val="8"/>
          <w:sz w:val="21"/>
          <w:szCs w:val="21"/>
        </w:rPr>
        <w:t>上海港银投资管理有限公司所持有的深大通 </w:t>
      </w:r>
      <w:r>
        <w:rPr>
          <w:rFonts w:ascii="Times New Roman" w:hAnsi="Times New Roman" w:cs="Times New Roman" w:eastAsia="Times New Roman" w:hint="default"/>
          <w:sz w:val="21"/>
          <w:szCs w:val="21"/>
        </w:rPr>
        <w:t>A  </w:t>
      </w:r>
      <w:r>
        <w:rPr>
          <w:rFonts w:ascii="宋体" w:hAnsi="宋体" w:cs="宋体" w:eastAsia="宋体" w:hint="default"/>
          <w:spacing w:val="7"/>
          <w:sz w:val="21"/>
          <w:szCs w:val="21"/>
        </w:rPr>
        <w:t>发起人境内法人股 </w:t>
      </w:r>
      <w:r>
        <w:rPr>
          <w:rFonts w:ascii="Times New Roman" w:hAnsi="Times New Roman" w:cs="Times New Roman" w:eastAsia="Times New Roman" w:hint="default"/>
          <w:sz w:val="21"/>
          <w:szCs w:val="21"/>
        </w:rPr>
        <w:t>3,500,000  </w:t>
      </w:r>
      <w:r>
        <w:rPr>
          <w:rFonts w:ascii="Times New Roman" w:hAnsi="Times New Roman" w:cs="Times New Roman" w:eastAsia="Times New Roman" w:hint="default"/>
          <w:spacing w:val="51"/>
          <w:sz w:val="21"/>
          <w:szCs w:val="21"/>
        </w:rPr>
        <w:t> </w:t>
      </w:r>
      <w:r>
        <w:rPr>
          <w:rFonts w:ascii="宋体" w:hAnsi="宋体" w:cs="宋体" w:eastAsia="宋体" w:hint="default"/>
          <w:spacing w:val="7"/>
          <w:sz w:val="21"/>
          <w:szCs w:val="21"/>
        </w:rPr>
        <w:t>股（占公司总股本</w:t>
      </w:r>
    </w:p>
    <w:p>
      <w:pPr>
        <w:spacing w:before="117"/>
        <w:ind w:left="112" w:right="0" w:firstLine="0"/>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3.64</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108"/>
          <w:w w:val="100"/>
          <w:sz w:val="21"/>
          <w:szCs w:val="21"/>
        </w:rPr>
        <w:t>）</w:t>
      </w:r>
      <w:r>
        <w:rPr>
          <w:rFonts w:ascii="宋体" w:hAnsi="宋体" w:cs="宋体" w:eastAsia="宋体" w:hint="default"/>
          <w:spacing w:val="-1"/>
          <w:w w:val="100"/>
          <w:sz w:val="21"/>
          <w:szCs w:val="21"/>
        </w:rPr>
        <w:t>，</w:t>
      </w:r>
      <w:r>
        <w:rPr>
          <w:rFonts w:ascii="宋体" w:hAnsi="宋体" w:cs="宋体" w:eastAsia="宋体" w:hint="default"/>
          <w:w w:val="100"/>
          <w:sz w:val="21"/>
          <w:szCs w:val="21"/>
        </w:rPr>
        <w:t>于</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质</w:t>
      </w:r>
      <w:r>
        <w:rPr>
          <w:rFonts w:ascii="宋体" w:hAnsi="宋体" w:cs="宋体" w:eastAsia="宋体" w:hint="default"/>
          <w:w w:val="100"/>
          <w:sz w:val="21"/>
          <w:szCs w:val="21"/>
        </w:rPr>
        <w:t>押</w:t>
      </w:r>
      <w:r>
        <w:rPr>
          <w:rFonts w:ascii="宋体" w:hAnsi="宋体" w:cs="宋体" w:eastAsia="宋体" w:hint="default"/>
          <w:spacing w:val="-3"/>
          <w:w w:val="100"/>
          <w:sz w:val="21"/>
          <w:szCs w:val="21"/>
        </w:rPr>
        <w:t>于</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浦</w:t>
      </w:r>
      <w:r>
        <w:rPr>
          <w:rFonts w:ascii="宋体" w:hAnsi="宋体" w:cs="宋体" w:eastAsia="宋体" w:hint="default"/>
          <w:spacing w:val="-3"/>
          <w:w w:val="100"/>
          <w:sz w:val="21"/>
          <w:szCs w:val="21"/>
        </w:rPr>
        <w:t>东</w:t>
      </w:r>
      <w:r>
        <w:rPr>
          <w:rFonts w:ascii="宋体" w:hAnsi="宋体" w:cs="宋体" w:eastAsia="宋体" w:hint="default"/>
          <w:w w:val="100"/>
          <w:sz w:val="21"/>
          <w:szCs w:val="21"/>
        </w:rPr>
        <w:t>发</w:t>
      </w:r>
      <w:r>
        <w:rPr>
          <w:rFonts w:ascii="宋体" w:hAnsi="宋体" w:cs="宋体" w:eastAsia="宋体" w:hint="default"/>
          <w:spacing w:val="-3"/>
          <w:w w:val="100"/>
          <w:sz w:val="21"/>
          <w:szCs w:val="21"/>
        </w:rPr>
        <w:t>展</w:t>
      </w:r>
      <w:r>
        <w:rPr>
          <w:rFonts w:ascii="宋体" w:hAnsi="宋体" w:cs="宋体" w:eastAsia="宋体" w:hint="default"/>
          <w:w w:val="100"/>
          <w:sz w:val="21"/>
          <w:szCs w:val="21"/>
        </w:rPr>
        <w:t>银行</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凤</w:t>
      </w:r>
      <w:r>
        <w:rPr>
          <w:rFonts w:ascii="宋体" w:hAnsi="宋体" w:cs="宋体" w:eastAsia="宋体" w:hint="default"/>
          <w:w w:val="100"/>
          <w:sz w:val="21"/>
          <w:szCs w:val="21"/>
        </w:rPr>
        <w:t>凰大</w:t>
      </w:r>
      <w:r>
        <w:rPr>
          <w:rFonts w:ascii="宋体" w:hAnsi="宋体" w:cs="宋体" w:eastAsia="宋体" w:hint="default"/>
          <w:spacing w:val="-3"/>
          <w:w w:val="100"/>
          <w:sz w:val="21"/>
          <w:szCs w:val="21"/>
        </w:rPr>
        <w:t>厦</w:t>
      </w:r>
      <w:r>
        <w:rPr>
          <w:rFonts w:ascii="宋体" w:hAnsi="宋体" w:cs="宋体" w:eastAsia="宋体" w:hint="default"/>
          <w:w w:val="100"/>
          <w:sz w:val="21"/>
          <w:szCs w:val="21"/>
        </w:rPr>
        <w:t>支</w:t>
      </w:r>
      <w:r>
        <w:rPr>
          <w:rFonts w:ascii="宋体" w:hAnsi="宋体" w:cs="宋体" w:eastAsia="宋体" w:hint="default"/>
          <w:spacing w:val="-3"/>
          <w:w w:val="100"/>
          <w:sz w:val="21"/>
          <w:szCs w:val="21"/>
        </w:rPr>
        <w:t>行</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浦</w:t>
      </w:r>
      <w:r>
        <w:rPr>
          <w:rFonts w:ascii="宋体" w:hAnsi="宋体" w:cs="宋体" w:eastAsia="宋体" w:hint="default"/>
          <w:spacing w:val="-3"/>
          <w:w w:val="100"/>
          <w:sz w:val="21"/>
          <w:szCs w:val="21"/>
        </w:rPr>
        <w:t>东</w:t>
      </w:r>
      <w:r>
        <w:rPr>
          <w:rFonts w:ascii="宋体" w:hAnsi="宋体" w:cs="宋体" w:eastAsia="宋体" w:hint="default"/>
          <w:w w:val="100"/>
          <w:sz w:val="21"/>
          <w:szCs w:val="21"/>
        </w:rPr>
        <w:t>发</w:t>
      </w:r>
      <w:r>
        <w:rPr>
          <w:rFonts w:ascii="宋体" w:hAnsi="宋体" w:cs="宋体" w:eastAsia="宋体" w:hint="default"/>
          <w:spacing w:val="-3"/>
          <w:w w:val="100"/>
          <w:sz w:val="21"/>
          <w:szCs w:val="21"/>
        </w:rPr>
        <w:t>展</w:t>
      </w:r>
      <w:r>
        <w:rPr>
          <w:rFonts w:ascii="宋体" w:hAnsi="宋体" w:cs="宋体" w:eastAsia="宋体" w:hint="default"/>
          <w:w w:val="100"/>
          <w:sz w:val="21"/>
          <w:szCs w:val="21"/>
        </w:rPr>
        <w:t>。</w:t>
      </w:r>
    </w:p>
    <w:p>
      <w:pPr>
        <w:spacing w:line="240" w:lineRule="auto" w:before="9"/>
        <w:rPr>
          <w:rFonts w:ascii="宋体" w:hAnsi="宋体" w:cs="宋体" w:eastAsia="宋体" w:hint="default"/>
          <w:sz w:val="17"/>
          <w:szCs w:val="17"/>
        </w:rPr>
      </w:pPr>
    </w:p>
    <w:p>
      <w:pPr>
        <w:pStyle w:val="BodyText"/>
        <w:spacing w:line="240" w:lineRule="auto" w:before="0"/>
        <w:ind w:left="653" w:right="0"/>
        <w:jc w:val="left"/>
      </w:pPr>
      <w:r>
        <w:rPr>
          <w:rFonts w:ascii="Times New Roman" w:hAnsi="Times New Roman" w:cs="Times New Roman" w:eastAsia="Times New Roman" w:hint="default"/>
        </w:rPr>
        <w:t>3</w:t>
      </w:r>
      <w:r>
        <w:rPr/>
        <w:t>、控股股东及实际控制人情况介绍</w:t>
      </w:r>
    </w:p>
    <w:p>
      <w:pPr>
        <w:spacing w:line="240" w:lineRule="auto" w:before="7"/>
        <w:rPr>
          <w:rFonts w:ascii="宋体" w:hAnsi="宋体" w:cs="宋体" w:eastAsia="宋体" w:hint="default"/>
          <w:sz w:val="19"/>
          <w:szCs w:val="19"/>
        </w:rPr>
      </w:pPr>
    </w:p>
    <w:p>
      <w:pPr>
        <w:pStyle w:val="BodyText"/>
        <w:spacing w:line="422" w:lineRule="auto" w:before="0"/>
        <w:ind w:left="65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）公司控股股东基本情况 </w:t>
      </w:r>
      <w:r>
        <w:rPr>
          <w:spacing w:val="-1"/>
        </w:rPr>
        <w:t>公司控股股东为青岛亚星实业有限公司。亚星实业法定代表人：姜剑；成立日期：</w:t>
      </w:r>
      <w:r>
        <w:rPr>
          <w:rFonts w:ascii="Times New Roman" w:hAnsi="Times New Roman" w:cs="Times New Roman" w:eastAsia="Times New Roman" w:hint="default"/>
          <w:spacing w:val="-1"/>
        </w:rPr>
        <w:t>1994</w:t>
      </w:r>
    </w:p>
    <w:p>
      <w:pPr>
        <w:pStyle w:val="BodyText"/>
        <w:spacing w:line="266" w:lineRule="exact" w:before="0"/>
        <w:ind w:right="0"/>
        <w:jc w:val="both"/>
      </w:pPr>
      <w:r>
        <w:rPr/>
        <w:t>年</w:t>
      </w:r>
      <w:r>
        <w:rPr>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日；注册资本：</w:t>
      </w:r>
      <w:r>
        <w:rPr>
          <w:rFonts w:ascii="Times New Roman" w:hAnsi="Times New Roman" w:cs="Times New Roman" w:eastAsia="Times New Roman" w:hint="default"/>
        </w:rPr>
        <w:t>16000</w:t>
      </w:r>
      <w:r>
        <w:rPr>
          <w:rFonts w:ascii="Times New Roman" w:hAnsi="Times New Roman" w:cs="Times New Roman" w:eastAsia="Times New Roman" w:hint="default"/>
          <w:spacing w:val="-4"/>
        </w:rPr>
        <w:t> </w:t>
      </w:r>
      <w:r>
        <w:rPr/>
        <w:t>万元；注册地址：青岛市市南区东海西路</w:t>
      </w:r>
      <w:r>
        <w:rPr>
          <w:spacing w:val="-64"/>
        </w:rPr>
        <w:t> </w:t>
      </w:r>
      <w:r>
        <w:rPr>
          <w:rFonts w:ascii="Times New Roman" w:hAnsi="Times New Roman" w:cs="Times New Roman" w:eastAsia="Times New Roman" w:hint="default"/>
        </w:rPr>
        <w:t>43</w:t>
      </w:r>
      <w:r>
        <w:rPr>
          <w:rFonts w:ascii="Times New Roman" w:hAnsi="Times New Roman" w:cs="Times New Roman" w:eastAsia="Times New Roman" w:hint="default"/>
          <w:spacing w:val="-4"/>
        </w:rPr>
        <w:t> </w:t>
      </w:r>
      <w:r>
        <w:rPr/>
        <w:t>号凯旋大厦东塔</w:t>
      </w:r>
    </w:p>
    <w:p>
      <w:pPr>
        <w:pStyle w:val="BodyText"/>
        <w:spacing w:line="350" w:lineRule="auto" w:before="134"/>
        <w:ind w:right="1135"/>
        <w:jc w:val="both"/>
      </w:pP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spacing w:val="-3"/>
        </w:rPr>
        <w:t>楼；经营范围为批发、零售：金属材料（不含贵重金属），建筑装饰材料，机电产品，汽</w:t>
      </w:r>
      <w:r>
        <w:rPr>
          <w:spacing w:val="-118"/>
        </w:rPr>
        <w:t> </w:t>
      </w:r>
      <w:r>
        <w:rPr>
          <w:spacing w:val="-118"/>
        </w:rPr>
      </w:r>
      <w:r>
        <w:rPr>
          <w:spacing w:val="-6"/>
        </w:rPr>
        <w:t>车（不含小轿车），摩托车，木材，化工产品（不含危险品），五金交电，办公自动化设备，</w:t>
      </w:r>
      <w:r>
        <w:rPr>
          <w:spacing w:val="-83"/>
        </w:rPr>
        <w:t> </w:t>
      </w:r>
      <w:r>
        <w:rPr>
          <w:spacing w:val="-83"/>
        </w:rPr>
      </w:r>
      <w:r>
        <w:rPr/>
        <w:t>百货；电子产品及机械配套产品、包装容器开发、生产；劳务服务；房地产开发、经营（以</w:t>
      </w:r>
      <w:r>
        <w:rPr>
          <w:spacing w:val="-90"/>
        </w:rPr>
        <w:t> </w:t>
      </w:r>
      <w:r>
        <w:rPr>
          <w:spacing w:val="-90"/>
        </w:rPr>
      </w:r>
      <w:r>
        <w:rPr>
          <w:spacing w:val="-6"/>
        </w:rPr>
        <w:t>上范围需要经营许可证的，须凭许可证经营）。</w:t>
      </w:r>
    </w:p>
    <w:p>
      <w:pPr>
        <w:pStyle w:val="BodyText"/>
        <w:spacing w:line="240" w:lineRule="auto" w:before="161"/>
        <w:ind w:left="653" w:right="0"/>
        <w:jc w:val="left"/>
      </w:pPr>
      <w:r>
        <w:rPr/>
        <w:t>（</w:t>
      </w:r>
      <w:r>
        <w:rPr>
          <w:rFonts w:ascii="Times New Roman" w:hAnsi="Times New Roman" w:cs="Times New Roman" w:eastAsia="Times New Roman" w:hint="default"/>
        </w:rPr>
        <w:t>2</w:t>
      </w:r>
      <w:r>
        <w:rPr/>
        <w:t>）实际控制人的基本情况</w:t>
      </w:r>
    </w:p>
    <w:p>
      <w:pPr>
        <w:spacing w:line="240" w:lineRule="auto" w:before="7"/>
        <w:rPr>
          <w:rFonts w:ascii="宋体" w:hAnsi="宋体" w:cs="宋体" w:eastAsia="宋体" w:hint="default"/>
          <w:sz w:val="19"/>
          <w:szCs w:val="19"/>
        </w:rPr>
      </w:pPr>
    </w:p>
    <w:p>
      <w:pPr>
        <w:pStyle w:val="BodyText"/>
        <w:spacing w:line="240" w:lineRule="auto" w:before="0"/>
        <w:ind w:left="653" w:right="0"/>
        <w:jc w:val="left"/>
      </w:pPr>
      <w:r>
        <w:rPr/>
        <w:t>公司实际控制人为姜剑先生，中国国籍，</w:t>
      </w:r>
      <w:r>
        <w:rPr>
          <w:rFonts w:ascii="Times New Roman" w:hAnsi="Times New Roman" w:cs="Times New Roman" w:eastAsia="Times New Roman" w:hint="default"/>
        </w:rPr>
        <w:t>1967  </w:t>
      </w:r>
      <w:r>
        <w:rPr/>
        <w:t>年出生，硕士学位，经济师。</w:t>
      </w:r>
      <w:r>
        <w:rPr>
          <w:rFonts w:ascii="Times New Roman" w:hAnsi="Times New Roman" w:cs="Times New Roman" w:eastAsia="Times New Roman" w:hint="default"/>
        </w:rPr>
        <w:t>1994</w:t>
      </w:r>
      <w:r>
        <w:rPr>
          <w:rFonts w:ascii="Times New Roman" w:hAnsi="Times New Roman" w:cs="Times New Roman" w:eastAsia="Times New Roman" w:hint="default"/>
          <w:spacing w:val="36"/>
        </w:rPr>
        <w:t> </w:t>
      </w:r>
      <w:r>
        <w:rPr/>
        <w:t>年至</w:t>
      </w:r>
    </w:p>
    <w:p>
      <w:pPr>
        <w:spacing w:after="0" w:line="240" w:lineRule="auto"/>
        <w:jc w:val="left"/>
        <w:sectPr>
          <w:pgSz w:w="11910" w:h="16840"/>
          <w:pgMar w:header="0" w:footer="956" w:top="1040" w:bottom="1140" w:left="1020" w:right="0"/>
        </w:sectPr>
      </w:pPr>
    </w:p>
    <w:p>
      <w:pPr>
        <w:pStyle w:val="BodyText"/>
        <w:spacing w:line="357" w:lineRule="auto" w:before="14"/>
        <w:ind w:right="1139"/>
        <w:jc w:val="both"/>
      </w:pPr>
      <w:r>
        <w:rPr/>
        <w:pict>
          <v:shape style="position:absolute;margin-left:412.5pt;margin-top:649.349976pt;width:50.25pt;height:19.95pt;mso-position-horizontal-relative:page;mso-position-vertical-relative:page;z-index:-623704" type="#_x0000_t202" filled="false" stroked="false">
            <v:textbox inset="0,0,0,0">
              <w:txbxContent>
                <w:p>
                  <w:pPr>
                    <w:spacing w:before="113"/>
                    <w:ind w:left="24" w:right="0" w:firstLine="0"/>
                    <w:jc w:val="left"/>
                    <w:rPr>
                      <w:rFonts w:ascii="宋体" w:hAnsi="宋体" w:cs="宋体" w:eastAsia="宋体" w:hint="default"/>
                      <w:sz w:val="21"/>
                      <w:szCs w:val="21"/>
                    </w:rPr>
                  </w:pPr>
                  <w:r>
                    <w:rPr>
                      <w:rFonts w:ascii="宋体"/>
                      <w:sz w:val="21"/>
                    </w:rPr>
                    <w:t>15.63%</w:t>
                  </w:r>
                </w:p>
              </w:txbxContent>
            </v:textbox>
            <w10:wrap type="none"/>
          </v:shape>
        </w:pict>
      </w:r>
      <w:r>
        <w:rPr/>
        <w:pict>
          <v:shape style="position:absolute;margin-left:119.25pt;margin-top:653.099976pt;width:53.1pt;height:19.95pt;mso-position-horizontal-relative:page;mso-position-vertical-relative:page;z-index:-623680" type="#_x0000_t202" filled="false" stroked="false">
            <v:textbox inset="0,0,0,0">
              <w:txbxContent>
                <w:p>
                  <w:pPr>
                    <w:spacing w:before="38"/>
                    <w:ind w:left="430" w:right="0" w:firstLine="0"/>
                    <w:jc w:val="left"/>
                    <w:rPr>
                      <w:rFonts w:ascii="宋体" w:hAnsi="宋体" w:cs="宋体" w:eastAsia="宋体" w:hint="default"/>
                      <w:sz w:val="21"/>
                      <w:szCs w:val="21"/>
                    </w:rPr>
                  </w:pPr>
                  <w:r>
                    <w:rPr>
                      <w:rFonts w:ascii="宋体"/>
                      <w:spacing w:val="-1"/>
                      <w:sz w:val="21"/>
                    </w:rPr>
                    <w:t>84.37%</w:t>
                  </w:r>
                </w:p>
              </w:txbxContent>
            </v:textbox>
            <w10:wrap type="none"/>
          </v:shape>
        </w:pict>
      </w:r>
      <w:r>
        <w:rPr/>
        <w:pict>
          <v:shape style="position:absolute;margin-left:244.050003pt;margin-top:718.649963pt;width:50.25pt;height:19.95pt;mso-position-horizontal-relative:page;mso-position-vertical-relative:page;z-index:-623656" type="#_x0000_t202" filled="false" stroked="false">
            <v:textbox inset="0,0,0,0">
              <w:txbxContent>
                <w:p>
                  <w:pPr>
                    <w:spacing w:before="118"/>
                    <w:ind w:left="349" w:right="0" w:firstLine="0"/>
                    <w:jc w:val="left"/>
                    <w:rPr>
                      <w:rFonts w:ascii="Times New Roman" w:hAnsi="Times New Roman" w:cs="Times New Roman" w:eastAsia="Times New Roman" w:hint="default"/>
                      <w:sz w:val="21"/>
                      <w:szCs w:val="21"/>
                    </w:rPr>
                  </w:pPr>
                  <w:r>
                    <w:rPr>
                      <w:rFonts w:ascii="Times New Roman"/>
                      <w:sz w:val="21"/>
                    </w:rPr>
                    <w:t>38.71%</w:t>
                  </w:r>
                </w:p>
              </w:txbxContent>
            </v:textbox>
            <w10:wrap type="none"/>
          </v:shape>
        </w:pict>
      </w:r>
      <w:r>
        <w:rPr/>
        <w:pict>
          <v:shape style="position:absolute;margin-left:295.850006pt;margin-top:668.799988pt;width:5.959459pt;height:16.5375pt;mso-position-horizontal-relative:page;mso-position-vertical-relative:page;z-index:1600" type="#_x0000_t75" stroked="false">
            <v:imagedata r:id="rId11" o:title=""/>
          </v:shape>
        </w:pict>
      </w:r>
      <w:r>
        <w:rPr/>
        <w:pict>
          <v:group style="position:absolute;margin-left:412.5pt;margin-top:649.349976pt;width:50.25pt;height:19.95pt;mso-position-horizontal-relative:page;mso-position-vertical-relative:page;z-index:-623488" coordorigin="8250,12987" coordsize="1005,399">
            <v:shape style="position:absolute;left:8250;top:12987;width:1005;height:399" coordorigin="8250,12987" coordsize="1005,399" path="m8250,13386l9255,13386,9255,12987,8250,12987,8250,13386xe" filled="true" fillcolor="#ffffff" stroked="false">
              <v:path arrowok="t"/>
              <v:fill type="solid"/>
            </v:shape>
            <w10:wrap type="none"/>
          </v:group>
        </w:pict>
      </w:r>
      <w:r>
        <w:rPr/>
        <w:t>今担任青岛亚星实业有限公司董事长、总裁，青岛市第十三届人大代表。未取得其他国家或</w:t>
      </w:r>
      <w:r>
        <w:rPr>
          <w:spacing w:val="-91"/>
        </w:rPr>
        <w:t> </w:t>
      </w:r>
      <w:r>
        <w:rPr>
          <w:spacing w:val="-91"/>
        </w:rPr>
      </w:r>
      <w:r>
        <w:rPr/>
        <w:t>地区居留权，最近五年内职业：企业投资、经营、管理。</w:t>
      </w:r>
    </w:p>
    <w:p>
      <w:pPr>
        <w:pStyle w:val="BodyText"/>
        <w:spacing w:line="240" w:lineRule="auto" w:before="156"/>
        <w:ind w:left="653" w:right="0"/>
        <w:jc w:val="left"/>
      </w:pPr>
      <w:r>
        <w:rPr>
          <w:rFonts w:ascii="Times New Roman" w:hAnsi="Times New Roman" w:cs="Times New Roman" w:eastAsia="Times New Roman" w:hint="default"/>
        </w:rPr>
        <w:t>4</w:t>
      </w:r>
      <w:r>
        <w:rPr/>
        <w:t>、控股股东及实际控制人变更情况</w:t>
      </w:r>
    </w:p>
    <w:p>
      <w:pPr>
        <w:spacing w:line="240" w:lineRule="auto" w:before="5"/>
        <w:rPr>
          <w:rFonts w:ascii="宋体" w:hAnsi="宋体" w:cs="宋体" w:eastAsia="宋体" w:hint="default"/>
          <w:sz w:val="19"/>
          <w:szCs w:val="19"/>
        </w:rPr>
      </w:pPr>
    </w:p>
    <w:p>
      <w:pPr>
        <w:pStyle w:val="BodyText"/>
        <w:spacing w:line="240" w:lineRule="auto" w:before="0"/>
        <w:ind w:left="653"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spacing w:val="-6"/>
        </w:rPr>
        <w:t>日，公司召开了</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年第二次临时股东大会，亚星实业推荐的非独立董</w:t>
      </w:r>
    </w:p>
    <w:p>
      <w:pPr>
        <w:pStyle w:val="BodyText"/>
        <w:spacing w:line="343" w:lineRule="auto" w:before="135"/>
        <w:ind w:right="1130"/>
        <w:jc w:val="both"/>
      </w:pPr>
      <w:r>
        <w:rPr/>
        <w:t>事孙登义当选。此前，</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25</w:t>
      </w:r>
      <w:r>
        <w:rPr>
          <w:rFonts w:ascii="Times New Roman" w:hAnsi="Times New Roman" w:cs="Times New Roman" w:eastAsia="Times New Roman" w:hint="default"/>
          <w:spacing w:val="13"/>
        </w:rPr>
        <w:t> </w:t>
      </w:r>
      <w:r>
        <w:rPr/>
        <w:t>日，公司</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年第一次临时股东大会进行了董事会 </w:t>
      </w:r>
      <w:r>
        <w:rPr>
          <w:spacing w:val="-5"/>
        </w:rPr>
        <w:t>和监事会的换届选举，潜在控股股东青岛亚星实业有限公司（以下简称“亚星实业”）推荐的</w:t>
      </w:r>
      <w:r>
        <w:rPr>
          <w:spacing w:val="-117"/>
        </w:rPr>
        <w:t> </w:t>
      </w:r>
      <w:r>
        <w:rPr>
          <w:spacing w:val="-117"/>
        </w:rPr>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名非独立董事许亚楠、张庆文和</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名监事王立军、张国华当选；</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日，亚星 实业推举的董事许亚楠当选了公司第七届董事会董事长，亚星实业推举的监事王立军当选了</w:t>
      </w:r>
      <w:r>
        <w:rPr>
          <w:spacing w:val="-91"/>
        </w:rPr>
        <w:t> </w:t>
      </w:r>
      <w:r>
        <w:rPr>
          <w:spacing w:val="-91"/>
        </w:rPr>
      </w:r>
      <w:r>
        <w:rPr/>
        <w:t>公司的监事会主席。公司董事会</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4"/>
        </w:rPr>
        <w:t>名董事（</w:t>
      </w:r>
      <w:r>
        <w:rPr>
          <w:rFonts w:ascii="Times New Roman" w:hAnsi="Times New Roman" w:cs="Times New Roman" w:eastAsia="Times New Roman" w:hint="default"/>
          <w:spacing w:val="-4"/>
        </w:rPr>
        <w:t>3</w:t>
      </w:r>
      <w:r>
        <w:rPr>
          <w:rFonts w:ascii="Times New Roman" w:hAnsi="Times New Roman" w:cs="Times New Roman" w:eastAsia="Times New Roman" w:hint="default"/>
          <w:spacing w:val="-1"/>
        </w:rPr>
        <w:t> </w:t>
      </w:r>
      <w:r>
        <w:rPr>
          <w:spacing w:val="-3"/>
        </w:rPr>
        <w:t>名独立董事、</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1"/>
        </w:rPr>
        <w:t> </w:t>
      </w:r>
      <w:r>
        <w:rPr>
          <w:spacing w:val="-3"/>
        </w:rPr>
        <w:t>名非独立董事）中，亚星实业推</w:t>
      </w:r>
      <w:r>
        <w:rPr/>
        <w:t> 荐了</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名非独立董事许亚楠、张庆文、孙登义。公司</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4"/>
        </w:rPr>
        <w:t>名监事（</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1"/>
        </w:rPr>
        <w:t> </w:t>
      </w:r>
      <w:r>
        <w:rPr/>
        <w:t>名股东代表监事、</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名职工 监事）中，亚星实业推荐了 </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名股东代表监事王立军、张国华，亚星实业实现了对公司董事 会和监事会的实际控制。</w:t>
      </w:r>
    </w:p>
    <w:p>
      <w:pPr>
        <w:pStyle w:val="BodyText"/>
        <w:spacing w:line="240" w:lineRule="auto" w:before="170"/>
        <w:ind w:left="653" w:right="0"/>
        <w:jc w:val="left"/>
      </w:pPr>
      <w:r>
        <w:rPr/>
        <w:t>报告期内，亚星实业通过股改垫付对价偿还方式获得公司股份</w:t>
      </w:r>
      <w:r>
        <w:rPr>
          <w:spacing w:val="-72"/>
        </w:rPr>
        <w:t> </w:t>
      </w:r>
      <w:r>
        <w:rPr>
          <w:rFonts w:ascii="Times New Roman" w:hAnsi="Times New Roman" w:cs="Times New Roman" w:eastAsia="Times New Roman" w:hint="default"/>
        </w:rPr>
        <w:t>27,251,098</w:t>
      </w:r>
      <w:r>
        <w:rPr>
          <w:rFonts w:ascii="Times New Roman" w:hAnsi="Times New Roman" w:cs="Times New Roman" w:eastAsia="Times New Roman" w:hint="default"/>
          <w:spacing w:val="-12"/>
        </w:rPr>
        <w:t> </w:t>
      </w:r>
      <w:r>
        <w:rPr/>
        <w:t>股，加上其原</w:t>
      </w:r>
    </w:p>
    <w:p>
      <w:pPr>
        <w:pStyle w:val="BodyText"/>
        <w:spacing w:line="338" w:lineRule="auto" w:before="133"/>
        <w:ind w:right="1131"/>
        <w:jc w:val="both"/>
      </w:pPr>
      <w:r>
        <w:rPr/>
        <w:t>来持有的公司股份</w:t>
      </w:r>
      <w:r>
        <w:rPr>
          <w:spacing w:val="-50"/>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10"/>
        </w:rPr>
        <w:t> </w:t>
      </w:r>
      <w:r>
        <w:rPr/>
        <w:t>股，亚星实业共计持有公司股份</w:t>
      </w:r>
      <w:r>
        <w:rPr>
          <w:spacing w:val="-50"/>
        </w:rPr>
        <w:t> </w:t>
      </w:r>
      <w:r>
        <w:rPr>
          <w:rFonts w:ascii="Times New Roman" w:hAnsi="Times New Roman" w:cs="Times New Roman" w:eastAsia="Times New Roman" w:hint="default"/>
        </w:rPr>
        <w:t>37,251,098</w:t>
      </w:r>
      <w:r>
        <w:rPr>
          <w:rFonts w:ascii="Times New Roman" w:hAnsi="Times New Roman" w:cs="Times New Roman" w:eastAsia="Times New Roman" w:hint="default"/>
          <w:spacing w:val="10"/>
        </w:rPr>
        <w:t> </w:t>
      </w:r>
      <w:r>
        <w:rPr/>
        <w:t>股，成为公司第一 大股东和控股股东。</w:t>
      </w:r>
    </w:p>
    <w:p>
      <w:pPr>
        <w:pStyle w:val="BodyText"/>
        <w:spacing w:line="240" w:lineRule="auto" w:before="173"/>
        <w:ind w:left="653" w:right="0"/>
        <w:jc w:val="left"/>
      </w:pPr>
      <w:r>
        <w:rPr/>
        <w:t>由于亚星实业的实际控制人为姜剑先生，公司的实际控制人由北京新奥特集团有限公司</w:t>
      </w:r>
    </w:p>
    <w:p>
      <w:pPr>
        <w:pStyle w:val="BodyText"/>
        <w:spacing w:line="448" w:lineRule="auto" w:before="154"/>
        <w:ind w:left="653" w:right="3906" w:hanging="541"/>
        <w:jc w:val="left"/>
        <w:rPr>
          <w:rFonts w:ascii="Times New Roman" w:hAnsi="Times New Roman" w:cs="Times New Roman" w:eastAsia="Times New Roman" w:hint="default"/>
        </w:rPr>
      </w:pPr>
      <w:r>
        <w:rPr/>
        <w:pict>
          <v:shape style="position:absolute;margin-left:81pt;margin-top:131.920624pt;width:50.25pt;height:20.75pt;mso-position-horizontal-relative:page;mso-position-vertical-relative:paragraph;z-index:-623800" type="#_x0000_t202" filled="false" stroked="false">
            <v:textbox inset="0,0,0,0">
              <w:txbxContent>
                <w:p>
                  <w:pPr>
                    <w:spacing w:line="211" w:lineRule="exact" w:before="0"/>
                    <w:ind w:left="461" w:right="0" w:firstLine="0"/>
                    <w:jc w:val="left"/>
                    <w:rPr>
                      <w:rFonts w:ascii="宋体" w:hAnsi="宋体" w:cs="宋体" w:eastAsia="宋体" w:hint="default"/>
                      <w:sz w:val="21"/>
                      <w:szCs w:val="21"/>
                    </w:rPr>
                  </w:pPr>
                  <w:r>
                    <w:rPr>
                      <w:rFonts w:ascii="宋体"/>
                      <w:sz w:val="21"/>
                    </w:rPr>
                    <w:t>50.89</w:t>
                  </w:r>
                </w:p>
              </w:txbxContent>
            </v:textbox>
            <w10:wrap type="none"/>
          </v:shape>
        </w:pict>
      </w:r>
      <w:r>
        <w:rPr/>
        <w:pict>
          <v:shape style="position:absolute;margin-left:219.529999pt;margin-top:131.095612pt;width:52pt;height:19.95pt;mso-position-horizontal-relative:page;mso-position-vertical-relative:paragraph;z-index:-623776" type="#_x0000_t202" filled="false" stroked="false">
            <v:textbox inset="0,0,0,0">
              <w:txbxContent>
                <w:p>
                  <w:pPr>
                    <w:spacing w:line="228" w:lineRule="exact" w:before="0"/>
                    <w:ind w:left="0" w:right="0" w:firstLine="0"/>
                    <w:jc w:val="left"/>
                    <w:rPr>
                      <w:rFonts w:ascii="宋体" w:hAnsi="宋体" w:cs="宋体" w:eastAsia="宋体" w:hint="default"/>
                      <w:sz w:val="21"/>
                      <w:szCs w:val="21"/>
                    </w:rPr>
                  </w:pPr>
                  <w:r>
                    <w:rPr>
                      <w:rFonts w:ascii="宋体"/>
                      <w:sz w:val="21"/>
                    </w:rPr>
                    <w:t>49.11%</w:t>
                  </w:r>
                </w:p>
              </w:txbxContent>
            </v:textbox>
            <w10:wrap type="none"/>
          </v:shape>
        </w:pict>
      </w:r>
      <w:r>
        <w:rPr/>
        <w:pict>
          <v:shape style="position:absolute;margin-left:321pt;margin-top:131.095612pt;width:45.55pt;height:19.95pt;mso-position-horizontal-relative:page;mso-position-vertical-relative:paragraph;z-index:-623752" type="#_x0000_t202" filled="false" stroked="false">
            <v:textbox inset="0,0,0,0">
              <w:txbxContent>
                <w:p>
                  <w:pPr>
                    <w:spacing w:line="228" w:lineRule="exact" w:before="0"/>
                    <w:ind w:left="594" w:right="0" w:firstLine="0"/>
                    <w:jc w:val="left"/>
                    <w:rPr>
                      <w:rFonts w:ascii="宋体" w:hAnsi="宋体" w:cs="宋体" w:eastAsia="宋体" w:hint="default"/>
                      <w:sz w:val="21"/>
                      <w:szCs w:val="21"/>
                    </w:rPr>
                  </w:pPr>
                  <w:r>
                    <w:rPr>
                      <w:rFonts w:ascii="宋体"/>
                      <w:sz w:val="21"/>
                    </w:rPr>
                    <w:t>90%</w:t>
                  </w:r>
                </w:p>
              </w:txbxContent>
            </v:textbox>
            <w10:wrap type="none"/>
          </v:shape>
        </w:pict>
      </w:r>
      <w:r>
        <w:rPr/>
        <w:pict>
          <v:shape style="position:absolute;margin-left:455.729218pt;margin-top:131.095612pt;width:52.05pt;height:19.95pt;mso-position-horizontal-relative:page;mso-position-vertical-relative:paragraph;z-index:-623728" type="#_x0000_t202" filled="false" stroked="false">
            <v:textbox inset="0,0,0,0">
              <w:txbxContent>
                <w:p>
                  <w:pPr>
                    <w:spacing w:line="228" w:lineRule="exact" w:before="0"/>
                    <w:ind w:left="0" w:right="0" w:firstLine="0"/>
                    <w:jc w:val="left"/>
                    <w:rPr>
                      <w:rFonts w:ascii="宋体" w:hAnsi="宋体" w:cs="宋体" w:eastAsia="宋体" w:hint="default"/>
                      <w:sz w:val="21"/>
                      <w:szCs w:val="21"/>
                    </w:rPr>
                  </w:pPr>
                  <w:r>
                    <w:rPr>
                      <w:rFonts w:ascii="宋体"/>
                      <w:sz w:val="21"/>
                    </w:rPr>
                    <w:t>10%</w:t>
                  </w:r>
                </w:p>
              </w:txbxContent>
            </v:textbox>
            <w10:wrap type="none"/>
          </v:shape>
        </w:pict>
      </w:r>
      <w:r>
        <w:rPr/>
        <w:pict>
          <v:group style="position:absolute;margin-left:321pt;margin-top:95.020622pt;width:186.75pt;height:73.4pt;mso-position-horizontal-relative:page;mso-position-vertical-relative:paragraph;z-index:-623536" coordorigin="6420,1900" coordsize="3735,1468">
            <v:group style="position:absolute;left:6714;top:1908;width:1440;height:569" coordorigin="6714,1908" coordsize="1440,569">
              <v:shape style="position:absolute;left:6714;top:1908;width:1440;height:569" coordorigin="6714,1908" coordsize="1440,569" path="m6714,2477l8154,2477,8154,1908,6714,1908,6714,2477xe" filled="false" stroked="true" strokeweight=".75pt" strokecolor="#000000">
                <v:path arrowok="t"/>
              </v:shape>
            </v:group>
            <v:group style="position:absolute;left:7389;top:2499;width:2;height:534" coordorigin="7389,2499" coordsize="2,534">
              <v:shape style="position:absolute;left:7389;top:2499;width:2;height:534" coordorigin="7389,2499" coordsize="0,534" path="m7389,2499l7389,3033e" filled="false" stroked="true" strokeweight=".75pt" strokecolor="#000000">
                <v:path arrowok="t"/>
              </v:shape>
            </v:group>
            <v:group style="position:absolute;left:8334;top:1908;width:1440;height:569" coordorigin="8334,1908" coordsize="1440,569">
              <v:shape style="position:absolute;left:8334;top:1908;width:1440;height:569" coordorigin="8334,1908" coordsize="1440,569" path="m8334,2477l9774,2477,9774,1908,8334,1908,8334,2477xe" filled="false" stroked="true" strokeweight=".75pt" strokecolor="#000000">
                <v:path arrowok="t"/>
              </v:shape>
            </v:group>
            <v:group style="position:absolute;left:9054;top:2493;width:2;height:534" coordorigin="9054,2493" coordsize="2,534">
              <v:shape style="position:absolute;left:9054;top:2493;width:2;height:534" coordorigin="9054,2493" coordsize="0,534" path="m9054,2493l9054,3027e" filled="false" stroked="true" strokeweight=".75pt" strokecolor="#000000">
                <v:path arrowok="t"/>
              </v:shape>
            </v:group>
            <v:group style="position:absolute;left:7389;top:3053;width:1665;height:2" coordorigin="7389,3053" coordsize="1665,2">
              <v:shape style="position:absolute;left:7389;top:3053;width:1665;height:2" coordorigin="7389,3053" coordsize="1665,0" path="m7389,3053l9054,3053e" filled="false" stroked="true" strokeweight=".75pt" strokecolor="#000000">
                <v:path arrowok="t"/>
              </v:shape>
              <v:shape style="position:absolute;left:8094;top:3035;width:120;height:333" type="#_x0000_t75" stroked="false">
                <v:imagedata r:id="rId12" o:title=""/>
              </v:shape>
            </v:group>
            <v:group style="position:absolute;left:6420;top:2622;width:885;height:399" coordorigin="6420,2622" coordsize="885,399">
              <v:shape style="position:absolute;left:6420;top:2622;width:885;height:399" coordorigin="6420,2622" coordsize="885,399" path="m6420,3021l7305,3021,7305,2622,6420,2622,6420,3021xe" filled="true" fillcolor="#ffffff" stroked="false">
                <v:path arrowok="t"/>
                <v:fill type="solid"/>
              </v:shape>
            </v:group>
            <v:group style="position:absolute;left:9150;top:2622;width:1005;height:399" coordorigin="9150,2622" coordsize="1005,399">
              <v:shape style="position:absolute;left:9150;top:2622;width:1005;height:399" coordorigin="9150,2622" coordsize="1005,399" path="m9150,3021l10155,3021,10155,2622,9150,2622,9150,3021xe" filled="true" fillcolor="#ffffff" stroked="false">
                <v:path arrowok="t"/>
                <v:fill type="solid"/>
              </v:shape>
              <v:shape style="position:absolute;left:6714;top:1908;width:1440;height:569" type="#_x0000_t202" filled="false" stroked="false">
                <v:textbox inset="0,0,0,0">
                  <w:txbxContent>
                    <w:p>
                      <w:pPr>
                        <w:spacing w:before="81"/>
                        <w:ind w:left="0" w:right="0" w:firstLine="0"/>
                        <w:jc w:val="center"/>
                        <w:rPr>
                          <w:rFonts w:ascii="宋体" w:hAnsi="宋体" w:cs="宋体" w:eastAsia="宋体" w:hint="default"/>
                          <w:sz w:val="23"/>
                          <w:szCs w:val="23"/>
                        </w:rPr>
                      </w:pPr>
                      <w:r>
                        <w:rPr>
                          <w:rFonts w:ascii="宋体" w:hAnsi="宋体" w:cs="宋体" w:eastAsia="宋体" w:hint="default"/>
                          <w:sz w:val="23"/>
                          <w:szCs w:val="23"/>
                        </w:rPr>
                        <w:t>姜剑</w:t>
                      </w:r>
                    </w:p>
                  </w:txbxContent>
                </v:textbox>
                <w10:wrap type="none"/>
              </v:shape>
              <v:shape style="position:absolute;left:8334;top:1908;width:1440;height:569" type="#_x0000_t202" filled="false" stroked="false">
                <v:textbox inset="0,0,0,0">
                  <w:txbxContent>
                    <w:p>
                      <w:pPr>
                        <w:spacing w:before="81"/>
                        <w:ind w:left="374" w:right="0" w:firstLine="0"/>
                        <w:jc w:val="left"/>
                        <w:rPr>
                          <w:rFonts w:ascii="宋体" w:hAnsi="宋体" w:cs="宋体" w:eastAsia="宋体" w:hint="default"/>
                          <w:sz w:val="23"/>
                          <w:szCs w:val="23"/>
                        </w:rPr>
                      </w:pPr>
                      <w:r>
                        <w:rPr>
                          <w:rFonts w:ascii="宋体" w:hAnsi="宋体" w:cs="宋体" w:eastAsia="宋体" w:hint="default"/>
                          <w:sz w:val="23"/>
                          <w:szCs w:val="23"/>
                        </w:rPr>
                        <w:t>朱兰英</w:t>
                      </w:r>
                    </w:p>
                  </w:txbxContent>
                </v:textbox>
                <w10:wrap type="none"/>
              </v:shape>
              <v:shape style="position:absolute;left:6573;top:2759;width:33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90%</w:t>
                      </w:r>
                    </w:p>
                  </w:txbxContent>
                </v:textbox>
                <w10:wrap type="none"/>
              </v:shape>
              <v:shape style="position:absolute;left:9304;top:2759;width:33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w:t>
                      </w:r>
                    </w:p>
                  </w:txbxContent>
                </v:textbox>
                <w10:wrap type="none"/>
              </v:shape>
            </v:group>
            <w10:wrap type="none"/>
          </v:group>
        </w:pict>
      </w:r>
      <w:r>
        <w:rPr/>
        <w:t>（方正延中传媒有限公司的实际控制人）变更为姜剑先生。 公司与控股股东、实际控制人之间的产权及控制关系如下图</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p>
      <w:pPr>
        <w:tabs>
          <w:tab w:pos="5686" w:val="left" w:leader="none"/>
        </w:tabs>
        <w:spacing w:line="2669" w:lineRule="exact"/>
        <w:ind w:left="600" w:right="0" w:firstLine="0"/>
        <w:rPr>
          <w:rFonts w:ascii="Times New Roman" w:hAnsi="Times New Roman" w:cs="Times New Roman" w:eastAsia="Times New Roman" w:hint="default"/>
          <w:sz w:val="20"/>
          <w:szCs w:val="20"/>
        </w:rPr>
      </w:pPr>
      <w:r>
        <w:rPr>
          <w:rFonts w:ascii="Times New Roman"/>
          <w:position w:val="-52"/>
          <w:sz w:val="20"/>
        </w:rPr>
        <w:pict>
          <v:group style="width:190.5pt;height:133.5pt;mso-position-horizontal-relative:char;mso-position-vertical-relative:line" coordorigin="0,0" coordsize="3810,2670">
            <v:group style="position:absolute;left:1854;top:2036;width:2;height:534" coordorigin="1854,2036" coordsize="2,534">
              <v:shape style="position:absolute;left:1854;top:2036;width:2;height:534" coordorigin="1854,2036" coordsize="0,534" path="m1854,2036l1854,2570e" filled="false" stroked="true" strokeweight=".75pt" strokecolor="#000000">
                <v:path arrowok="t"/>
              </v:shape>
            </v:group>
            <v:group style="position:absolute;left:414;top:1451;width:3060;height:569" coordorigin="414,1451" coordsize="3060,569">
              <v:shape style="position:absolute;left:414;top:1451;width:3060;height:569" coordorigin="414,1451" coordsize="3060,569" path="m414,2020l3474,2020,3474,1451,414,1451,414,2020xe" filled="false" stroked="true" strokeweight=".75pt" strokecolor="#000000">
                <v:path arrowok="t"/>
              </v:shape>
            </v:group>
            <v:group style="position:absolute;left:414;top:8;width:1440;height:569" coordorigin="414,8" coordsize="1440,569">
              <v:shape style="position:absolute;left:414;top:8;width:1440;height:569" coordorigin="414,8" coordsize="1440,569" path="m414,577l1854,577,1854,8,414,8,414,577xe" filled="false" stroked="true" strokeweight=".75pt" strokecolor="#000000">
                <v:path arrowok="t"/>
              </v:shape>
            </v:group>
            <v:group style="position:absolute;left:1089;top:593;width:2;height:534" coordorigin="1089,593" coordsize="2,534">
              <v:shape style="position:absolute;left:1089;top:593;width:2;height:534" coordorigin="1089,593" coordsize="0,534" path="m1089,593l1089,1127e" filled="false" stroked="true" strokeweight=".75pt" strokecolor="#000000">
                <v:path arrowok="t"/>
              </v:shape>
            </v:group>
            <v:group style="position:absolute;left:2034;top:8;width:1440;height:569" coordorigin="2034,8" coordsize="1440,569">
              <v:shape style="position:absolute;left:2034;top:8;width:1440;height:569" coordorigin="2034,8" coordsize="1440,569" path="m2034,577l3474,577,3474,8,2034,8,2034,577xe" filled="false" stroked="true" strokeweight=".75pt" strokecolor="#000000">
                <v:path arrowok="t"/>
              </v:shape>
            </v:group>
            <v:group style="position:absolute;left:2754;top:587;width:2;height:534" coordorigin="2754,587" coordsize="2,534">
              <v:shape style="position:absolute;left:2754;top:587;width:2;height:534" coordorigin="2754,587" coordsize="0,534" path="m2754,587l2754,1121e" filled="false" stroked="true" strokeweight=".75pt" strokecolor="#000000">
                <v:path arrowok="t"/>
              </v:shape>
            </v:group>
            <v:group style="position:absolute;left:1089;top:1132;width:1665;height:2" coordorigin="1089,1132" coordsize="1665,2">
              <v:shape style="position:absolute;left:1089;top:1132;width:1665;height:2" coordorigin="1089,1132" coordsize="1665,0" path="m1089,1132l2754,1132e" filled="false" stroked="true" strokeweight=".75pt" strokecolor="#000000">
                <v:path arrowok="t"/>
              </v:shape>
              <v:shape style="position:absolute;left:1794;top:1152;width:120;height:333" type="#_x0000_t75" stroked="false">
                <v:imagedata r:id="rId11" o:title=""/>
              </v:shape>
            </v:group>
            <v:group style="position:absolute;left:0;top:753;width:1005;height:399" coordorigin="0,753" coordsize="1005,399">
              <v:shape style="position:absolute;left:0;top:753;width:1005;height:399" coordorigin="0,753" coordsize="1005,399" path="m0,1152l1005,1152,1005,753,0,753,0,1152xe" filled="true" fillcolor="#ffffff" stroked="false">
                <v:path arrowok="t"/>
                <v:fill type="solid"/>
              </v:shape>
            </v:group>
            <v:group style="position:absolute;left:2805;top:722;width:1005;height:399" coordorigin="2805,722" coordsize="1005,399">
              <v:shape style="position:absolute;left:2805;top:722;width:1005;height:399" coordorigin="2805,722" coordsize="1005,399" path="m2805,1121l3810,1121,3810,722,2805,722,2805,1121xe" filled="true" fillcolor="#ffffff" stroked="false">
                <v:path arrowok="t"/>
                <v:fill type="solid"/>
              </v:shape>
            </v:group>
            <v:group style="position:absolute;left:765;top:2271;width:1005;height:399" coordorigin="765,2271" coordsize="1005,399">
              <v:shape style="position:absolute;left:765;top:2271;width:1005;height:399" coordorigin="765,2271" coordsize="1005,399" path="m765,2670l1770,2670,1770,2271,765,2271,765,2670xe" filled="true" fillcolor="#ffffff" stroked="false">
                <v:path arrowok="t"/>
                <v:fill type="solid"/>
              </v:shape>
              <v:shape style="position:absolute;left:414;top:8;width:1440;height:569" type="#_x0000_t202" filled="false" stroked="false">
                <v:textbox inset="0,0,0,0">
                  <w:txbxContent>
                    <w:p>
                      <w:pPr>
                        <w:spacing w:before="81"/>
                        <w:ind w:left="0" w:right="1" w:firstLine="0"/>
                        <w:jc w:val="center"/>
                        <w:rPr>
                          <w:rFonts w:ascii="宋体" w:hAnsi="宋体" w:cs="宋体" w:eastAsia="宋体" w:hint="default"/>
                          <w:sz w:val="23"/>
                          <w:szCs w:val="23"/>
                        </w:rPr>
                      </w:pPr>
                      <w:r>
                        <w:rPr>
                          <w:rFonts w:ascii="宋体" w:hAnsi="宋体" w:cs="宋体" w:eastAsia="宋体" w:hint="default"/>
                          <w:sz w:val="23"/>
                          <w:szCs w:val="23"/>
                        </w:rPr>
                        <w:t>姜剑</w:t>
                      </w:r>
                    </w:p>
                  </w:txbxContent>
                </v:textbox>
                <w10:wrap type="none"/>
              </v:shape>
              <v:shape style="position:absolute;left:2034;top:8;width:1440;height:569" type="#_x0000_t202" filled="false" stroked="false">
                <v:textbox inset="0,0,0,0">
                  <w:txbxContent>
                    <w:p>
                      <w:pPr>
                        <w:spacing w:before="81"/>
                        <w:ind w:left="374" w:right="0" w:firstLine="0"/>
                        <w:jc w:val="left"/>
                        <w:rPr>
                          <w:rFonts w:ascii="宋体" w:hAnsi="宋体" w:cs="宋体" w:eastAsia="宋体" w:hint="default"/>
                          <w:sz w:val="23"/>
                          <w:szCs w:val="23"/>
                        </w:rPr>
                      </w:pPr>
                      <w:r>
                        <w:rPr>
                          <w:rFonts w:ascii="宋体" w:hAnsi="宋体" w:cs="宋体" w:eastAsia="宋体" w:hint="default"/>
                          <w:sz w:val="23"/>
                          <w:szCs w:val="23"/>
                        </w:rPr>
                        <w:t>朱兰英</w:t>
                      </w:r>
                    </w:p>
                  </w:txbxContent>
                </v:textbox>
                <w10:wrap type="none"/>
              </v:shape>
              <v:shape style="position:absolute;left:414;top:1451;width:3060;height:569" type="#_x0000_t202" filled="false" stroked="false">
                <v:textbox inset="0,0,0,0">
                  <w:txbxContent>
                    <w:p>
                      <w:pPr>
                        <w:spacing w:before="81"/>
                        <w:ind w:left="150" w:right="0" w:firstLine="0"/>
                        <w:jc w:val="left"/>
                        <w:rPr>
                          <w:rFonts w:ascii="宋体" w:hAnsi="宋体" w:cs="宋体" w:eastAsia="宋体" w:hint="default"/>
                          <w:sz w:val="23"/>
                          <w:szCs w:val="23"/>
                        </w:rPr>
                      </w:pPr>
                      <w:r>
                        <w:rPr>
                          <w:rFonts w:ascii="宋体" w:hAnsi="宋体" w:cs="宋体" w:eastAsia="宋体" w:hint="default"/>
                          <w:sz w:val="23"/>
                          <w:szCs w:val="23"/>
                        </w:rPr>
                        <w:t>北京天和智远投资有限公司</w:t>
                      </w:r>
                    </w:p>
                  </w:txbxContent>
                </v:textbox>
                <w10:wrap type="none"/>
              </v:shape>
              <v:shape style="position:absolute;left:152;top:892;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50.89%</w:t>
                      </w:r>
                    </w:p>
                  </w:txbxContent>
                </v:textbox>
                <w10:wrap type="none"/>
              </v:shape>
              <v:shape style="position:absolute;left:985;top:738;width:106;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w w:val="100"/>
                          <w:sz w:val="21"/>
                        </w:rPr>
                        <w:t>%</w:t>
                      </w:r>
                    </w:p>
                  </w:txbxContent>
                </v:textbox>
                <w10:wrap type="none"/>
              </v:shape>
              <v:shape style="position:absolute;left:2958;top:859;width:55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49.11%</w:t>
                      </w:r>
                    </w:p>
                  </w:txbxContent>
                </v:textbox>
                <w10:wrap type="none"/>
              </v:shape>
              <v:shape style="position:absolute;left:917;top:2410;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84.37%</w:t>
                      </w:r>
                    </w:p>
                  </w:txbxContent>
                </v:textbox>
                <w10:wrap type="none"/>
              </v:shape>
            </v:group>
          </v:group>
        </w:pict>
      </w:r>
      <w:r>
        <w:rPr>
          <w:rFonts w:ascii="Times New Roman"/>
          <w:position w:val="-52"/>
          <w:sz w:val="20"/>
        </w:rPr>
      </w:r>
      <w:r>
        <w:rPr>
          <w:rFonts w:ascii="Times New Roman"/>
          <w:position w:val="-52"/>
          <w:sz w:val="20"/>
        </w:rPr>
        <w:tab/>
      </w:r>
      <w:r>
        <w:rPr>
          <w:rFonts w:ascii="Times New Roman"/>
          <w:position w:val="-43"/>
          <w:sz w:val="20"/>
        </w:rPr>
        <w:pict>
          <v:shape style="width:154.15pt;height:55.9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1440"/>
                    <w:gridCol w:w="1620"/>
                  </w:tblGrid>
                  <w:tr>
                    <w:trPr>
                      <w:trHeight w:val="569" w:hRule="exact"/>
                    </w:trPr>
                    <w:tc>
                      <w:tcPr>
                        <w:tcW w:w="30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43" w:right="0"/>
                          <w:jc w:val="left"/>
                          <w:rPr>
                            <w:rFonts w:ascii="宋体" w:hAnsi="宋体" w:cs="宋体" w:eastAsia="宋体" w:hint="default"/>
                            <w:sz w:val="23"/>
                            <w:szCs w:val="23"/>
                          </w:rPr>
                        </w:pPr>
                        <w:r>
                          <w:rPr>
                            <w:rFonts w:ascii="宋体" w:hAnsi="宋体" w:cs="宋体" w:eastAsia="宋体" w:hint="default"/>
                            <w:sz w:val="23"/>
                            <w:szCs w:val="23"/>
                          </w:rPr>
                          <w:t>北京信泽至恒投资有限公司</w:t>
                        </w:r>
                      </w:p>
                    </w:tc>
                  </w:tr>
                  <w:tr>
                    <w:trPr>
                      <w:trHeight w:val="534" w:hRule="exact"/>
                    </w:trPr>
                    <w:tc>
                      <w:tcPr>
                        <w:tcW w:w="1440" w:type="dxa"/>
                        <w:tcBorders>
                          <w:top w:val="single" w:sz="6" w:space="0" w:color="000000"/>
                          <w:left w:val="nil" w:sz="6" w:space="0" w:color="auto"/>
                          <w:bottom w:val="nil" w:sz="6" w:space="0" w:color="auto"/>
                          <w:right w:val="single" w:sz="6" w:space="0" w:color="000000"/>
                        </w:tcBorders>
                      </w:tcPr>
                      <w:p>
                        <w:pPr/>
                      </w:p>
                    </w:tc>
                    <w:tc>
                      <w:tcPr>
                        <w:tcW w:w="1620" w:type="dxa"/>
                        <w:tcBorders>
                          <w:top w:val="single" w:sz="6" w:space="0" w:color="000000"/>
                          <w:left w:val="single" w:sz="6" w:space="0" w:color="000000"/>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tabs>
                            <w:tab w:pos="32" w:val="left" w:leader="none"/>
                            <w:tab w:pos="242" w:val="left" w:leader="none"/>
                          </w:tabs>
                          <w:spacing w:line="240" w:lineRule="auto"/>
                          <w:ind w:left="-4688" w:right="0"/>
                          <w:jc w:val="left"/>
                          <w:rPr>
                            <w:rFonts w:ascii="Times New Roman" w:hAnsi="Times New Roman" w:cs="Times New Roman" w:eastAsia="Times New Roman" w:hint="default"/>
                            <w:sz w:val="18"/>
                            <w:szCs w:val="18"/>
                          </w:rPr>
                        </w:pPr>
                        <w:r>
                          <w:rPr>
                            <w:rFonts w:ascii="Times New Roman"/>
                            <w:position w:val="-6"/>
                            <w:sz w:val="18"/>
                          </w:rPr>
                        </w:r>
                        <w:r>
                          <w:rPr>
                            <w:rFonts w:ascii="Times New Roman"/>
                            <w:position w:val="-6"/>
                            <w:sz w:val="18"/>
                            <w:u w:val="single" w:color="000000"/>
                          </w:rPr>
                          <w:t> </w:t>
                          <w:tab/>
                        </w:r>
                        <w:r>
                          <w:rPr>
                            <w:rFonts w:ascii="Times New Roman"/>
                            <w:position w:val="-6"/>
                            <w:sz w:val="18"/>
                          </w:rPr>
                          <w:tab/>
                        </w:r>
                        <w:r>
                          <w:rPr>
                            <w:rFonts w:ascii="Times New Roman"/>
                            <w:sz w:val="18"/>
                          </w:rPr>
                          <w:t>15.63%</w:t>
                        </w:r>
                      </w:p>
                    </w:tc>
                  </w:tr>
                </w:tbl>
                <w:p>
                  <w:pPr/>
                </w:p>
              </w:txbxContent>
            </v:textbox>
          </v:shape>
        </w:pict>
      </w:r>
      <w:r>
        <w:rPr>
          <w:rFonts w:ascii="Times New Roman"/>
          <w:position w:val="-43"/>
          <w:sz w:val="20"/>
        </w:rPr>
      </w:r>
    </w:p>
    <w:p>
      <w:pPr>
        <w:spacing w:line="240" w:lineRule="auto" w:before="7"/>
        <w:rPr>
          <w:rFonts w:ascii="Times New Roman" w:hAnsi="Times New Roman" w:cs="Times New Roman" w:eastAsia="Times New Roman" w:hint="default"/>
          <w:sz w:val="24"/>
          <w:szCs w:val="24"/>
        </w:rPr>
      </w:pPr>
    </w:p>
    <w:p>
      <w:pPr>
        <w:spacing w:line="1172" w:lineRule="exact"/>
        <w:ind w:left="321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pict>
          <v:group style="width:171pt;height:58.6pt;mso-position-horizontal-relative:char;mso-position-vertical-relative:line" coordorigin="0,0" coordsize="3420,1172">
            <v:group style="position:absolute;left:1695;top:538;width:120;height:634" coordorigin="1695,538" coordsize="120,634">
              <v:shape style="position:absolute;left:1695;top:538;width:120;height:634" coordorigin="1695,538" coordsize="120,634" path="m1745,1052l1695,1052,1755,1172,1800,1082,1749,1082,1745,1078,1745,1052xe" filled="true" fillcolor="#000000" stroked="false">
                <v:path arrowok="t"/>
                <v:fill type="solid"/>
              </v:shape>
              <v:shape style="position:absolute;left:1695;top:538;width:120;height:634" coordorigin="1695,538" coordsize="120,634" path="m1761,538l1749,538,1745,542,1745,1078,1749,1082,1761,1082,1765,1078,1765,542,1761,538xe" filled="true" fillcolor="#000000" stroked="false">
                <v:path arrowok="t"/>
                <v:fill type="solid"/>
              </v:shape>
              <v:shape style="position:absolute;left:1695;top:538;width:120;height:634" coordorigin="1695,538" coordsize="120,634" path="m1815,1052l1765,1052,1765,1078,1761,1082,1800,1082,1815,1052xe" filled="true" fillcolor="#000000" stroked="false">
                <v:path arrowok="t"/>
                <v:fill type="solid"/>
              </v:shape>
            </v:group>
            <v:group style="position:absolute;left:642;top:630;width:1005;height:399" coordorigin="642,630" coordsize="1005,399">
              <v:shape style="position:absolute;left:642;top:630;width:1005;height:399" coordorigin="642,630" coordsize="1005,399" path="m642,1029l1647,1029,1647,630,642,630,642,1029xe" filled="true" fillcolor="#ffffff" stroked="false">
                <v:path arrowok="t"/>
                <v:fill type="solid"/>
              </v:shape>
              <v:shape style="position:absolute;left:642;top:538;width:1173;height:63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0"/>
                        <w:ind w:left="152" w:right="0" w:firstLine="0"/>
                        <w:jc w:val="left"/>
                        <w:rPr>
                          <w:rFonts w:ascii="Times New Roman" w:hAnsi="Times New Roman" w:cs="Times New Roman" w:eastAsia="Times New Roman" w:hint="default"/>
                          <w:sz w:val="18"/>
                          <w:szCs w:val="18"/>
                        </w:rPr>
                      </w:pPr>
                      <w:r>
                        <w:rPr>
                          <w:rFonts w:ascii="Times New Roman"/>
                          <w:sz w:val="18"/>
                        </w:rPr>
                        <w:t>38.71%</w:t>
                      </w:r>
                    </w:p>
                  </w:txbxContent>
                </v:textbox>
                <w10:wrap type="none"/>
              </v:shape>
              <v:shape style="position:absolute;left:0;top:0;width:3420;height:554" type="#_x0000_t202" filled="false" stroked="true" strokeweight=".75pt" strokecolor="#000000">
                <v:textbox inset="0,0,0,0">
                  <w:txbxContent>
                    <w:p>
                      <w:pPr>
                        <w:spacing w:before="73"/>
                        <w:ind w:left="504" w:right="0" w:firstLine="0"/>
                        <w:jc w:val="left"/>
                        <w:rPr>
                          <w:rFonts w:ascii="宋体" w:hAnsi="宋体" w:cs="宋体" w:eastAsia="宋体" w:hint="default"/>
                          <w:sz w:val="24"/>
                          <w:szCs w:val="24"/>
                        </w:rPr>
                      </w:pPr>
                      <w:r>
                        <w:rPr>
                          <w:rFonts w:ascii="宋体" w:hAnsi="宋体" w:cs="宋体" w:eastAsia="宋体" w:hint="default"/>
                          <w:sz w:val="24"/>
                          <w:szCs w:val="24"/>
                        </w:rPr>
                        <w:t>青岛亚星实业有限公司</w:t>
                      </w:r>
                    </w:p>
                  </w:txbxContent>
                </v:textbox>
                <w10:wrap type="none"/>
              </v:shape>
            </v:group>
          </v:group>
        </w:pict>
      </w:r>
      <w:r>
        <w:rPr>
          <w:rFonts w:ascii="Times New Roman" w:hAnsi="Times New Roman" w:cs="Times New Roman" w:eastAsia="Times New Roman" w:hint="default"/>
          <w:position w:val="-22"/>
          <w:sz w:val="20"/>
          <w:szCs w:val="20"/>
        </w:rPr>
      </w:r>
    </w:p>
    <w:p>
      <w:pPr>
        <w:spacing w:line="554" w:lineRule="exact"/>
        <w:ind w:left="323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shape style="width:171pt;height:27.7pt;mso-position-horizontal-relative:char;mso-position-vertical-relative:line" type="#_x0000_t202" filled="false" stroked="true" strokeweight=".75pt" strokecolor="#000000">
            <w10:anchorlock/>
            <v:textbox inset="0,0,0,0">
              <w:txbxContent>
                <w:p>
                  <w:pPr>
                    <w:pStyle w:val="BodyText"/>
                    <w:spacing w:line="240" w:lineRule="auto" w:before="70"/>
                    <w:ind w:left="263" w:right="0"/>
                    <w:jc w:val="left"/>
                  </w:pPr>
                  <w:r>
                    <w:rPr/>
                    <w:t>深圳大通实业股份有限公司</w:t>
                  </w:r>
                </w:p>
              </w:txbxContent>
            </v:textbox>
          </v:shape>
        </w:pict>
      </w:r>
      <w:r>
        <w:rPr>
          <w:rFonts w:ascii="Times New Roman" w:hAnsi="Times New Roman" w:cs="Times New Roman" w:eastAsia="Times New Roman" w:hint="default"/>
          <w:position w:val="-10"/>
          <w:sz w:val="20"/>
          <w:szCs w:val="20"/>
        </w:rPr>
      </w:r>
    </w:p>
    <w:p>
      <w:pPr>
        <w:spacing w:after="0" w:line="554" w:lineRule="exact"/>
        <w:rPr>
          <w:rFonts w:ascii="Times New Roman" w:hAnsi="Times New Roman" w:cs="Times New Roman" w:eastAsia="Times New Roman" w:hint="default"/>
          <w:sz w:val="20"/>
          <w:szCs w:val="20"/>
        </w:rPr>
        <w:sectPr>
          <w:pgSz w:w="11910" w:h="16840"/>
          <w:pgMar w:header="0" w:footer="956" w:top="1060" w:bottom="1140" w:left="1020" w:right="0"/>
        </w:sectPr>
      </w:pPr>
    </w:p>
    <w:p>
      <w:pPr>
        <w:pStyle w:val="BodyText"/>
        <w:spacing w:line="240" w:lineRule="auto" w:before="14"/>
        <w:ind w:left="113" w:right="0"/>
        <w:jc w:val="left"/>
      </w:pPr>
      <w:r>
        <w:rPr>
          <w:rFonts w:ascii="Times New Roman" w:hAnsi="Times New Roman" w:cs="Times New Roman" w:eastAsia="Times New Roman" w:hint="default"/>
        </w:rPr>
        <w:t>5</w:t>
      </w:r>
      <w:r>
        <w:rPr/>
        <w:t>、其他无持有公司</w:t>
      </w:r>
      <w:r>
        <w:rPr>
          <w:spacing w:val="-62"/>
        </w:rPr>
        <w:t> </w:t>
      </w:r>
      <w:r>
        <w:rPr>
          <w:rFonts w:ascii="Times New Roman" w:hAnsi="Times New Roman" w:cs="Times New Roman" w:eastAsia="Times New Roman" w:hint="default"/>
        </w:rPr>
        <w:t>10%</w:t>
      </w:r>
      <w:r>
        <w:rPr/>
        <w:t>以上股东情况</w:t>
      </w:r>
    </w:p>
    <w:p>
      <w:pPr>
        <w:spacing w:after="0" w:line="240" w:lineRule="auto"/>
        <w:jc w:val="left"/>
        <w:sectPr>
          <w:pgSz w:w="11910" w:h="16840"/>
          <w:pgMar w:header="0" w:footer="956" w:top="1060" w:bottom="1140" w:left="1560" w:right="0"/>
        </w:sectPr>
      </w:pPr>
    </w:p>
    <w:p>
      <w:pPr>
        <w:pStyle w:val="Heading1"/>
        <w:tabs>
          <w:tab w:pos="2844" w:val="left" w:leader="none"/>
        </w:tabs>
        <w:spacing w:line="401" w:lineRule="exact"/>
        <w:ind w:left="1558" w:right="0"/>
        <w:jc w:val="left"/>
        <w:rPr>
          <w:b w:val="0"/>
          <w:bCs w:val="0"/>
        </w:rPr>
      </w:pPr>
      <w:bookmarkStart w:name="_TOC_250007" w:id="5"/>
      <w:r>
        <w:rPr>
          <w:w w:val="95"/>
        </w:rPr>
        <w:t>第五章</w:t>
        <w:tab/>
      </w:r>
      <w:r>
        <w:rPr/>
        <w:t>董事、监事、高级管理人员和员工情况</w:t>
      </w:r>
      <w:bookmarkEnd w:id="5"/>
      <w:r>
        <w:rPr>
          <w:b w:val="0"/>
          <w:bCs w:val="0"/>
        </w:rPr>
      </w:r>
    </w:p>
    <w:p>
      <w:pPr>
        <w:spacing w:line="240" w:lineRule="auto" w:before="0"/>
        <w:rPr>
          <w:rFonts w:ascii="宋体" w:hAnsi="宋体" w:cs="宋体" w:eastAsia="宋体" w:hint="default"/>
          <w:b/>
          <w:bCs/>
          <w:sz w:val="32"/>
          <w:szCs w:val="32"/>
        </w:rPr>
      </w:pPr>
    </w:p>
    <w:p>
      <w:pPr>
        <w:spacing w:line="240" w:lineRule="auto" w:before="13"/>
        <w:rPr>
          <w:rFonts w:ascii="宋体" w:hAnsi="宋体" w:cs="宋体" w:eastAsia="宋体" w:hint="default"/>
          <w:b/>
          <w:bCs/>
          <w:sz w:val="35"/>
          <w:szCs w:val="35"/>
        </w:rPr>
      </w:pPr>
    </w:p>
    <w:p>
      <w:pPr>
        <w:pStyle w:val="BodyText"/>
        <w:spacing w:line="240" w:lineRule="auto" w:before="0"/>
        <w:ind w:right="0"/>
        <w:jc w:val="left"/>
      </w:pPr>
      <w:r>
        <w:rPr/>
        <w:t>（一）董事、监事及高级管理人员的情况</w:t>
      </w:r>
    </w:p>
    <w:p>
      <w:pPr>
        <w:spacing w:line="240" w:lineRule="auto" w:before="10"/>
        <w:rPr>
          <w:rFonts w:ascii="宋体" w:hAnsi="宋体" w:cs="宋体" w:eastAsia="宋体" w:hint="default"/>
          <w:sz w:val="20"/>
          <w:szCs w:val="20"/>
        </w:rPr>
      </w:pPr>
    </w:p>
    <w:p>
      <w:pPr>
        <w:pStyle w:val="BodyText"/>
        <w:spacing w:line="240" w:lineRule="auto" w:before="0"/>
        <w:ind w:left="653" w:right="0"/>
        <w:jc w:val="left"/>
      </w:pPr>
      <w:r>
        <w:rPr>
          <w:rFonts w:ascii="Times New Roman" w:hAnsi="Times New Roman" w:cs="Times New Roman" w:eastAsia="Times New Roman" w:hint="default"/>
        </w:rPr>
        <w:t>1</w:t>
      </w:r>
      <w:r>
        <w:rPr/>
        <w:t>、董事、监事和高级管理人员持股变动及报酬情况</w:t>
      </w:r>
    </w:p>
    <w:p>
      <w:pPr>
        <w:spacing w:line="240" w:lineRule="auto" w:before="6"/>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80"/>
        <w:gridCol w:w="1200"/>
        <w:gridCol w:w="360"/>
        <w:gridCol w:w="361"/>
        <w:gridCol w:w="1800"/>
        <w:gridCol w:w="1800"/>
        <w:gridCol w:w="720"/>
        <w:gridCol w:w="721"/>
        <w:gridCol w:w="550"/>
        <w:gridCol w:w="886"/>
        <w:gridCol w:w="804"/>
      </w:tblGrid>
      <w:tr>
        <w:trPr>
          <w:trHeight w:val="199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70"/>
              <w:jc w:val="right"/>
              <w:rPr>
                <w:rFonts w:ascii="宋体" w:hAnsi="宋体" w:cs="宋体" w:eastAsia="宋体" w:hint="default"/>
                <w:sz w:val="21"/>
                <w:szCs w:val="21"/>
              </w:rPr>
            </w:pPr>
            <w:r>
              <w:rPr>
                <w:rFonts w:ascii="宋体" w:hAnsi="宋体" w:cs="宋体" w:eastAsia="宋体" w:hint="default"/>
                <w:sz w:val="21"/>
                <w:szCs w:val="21"/>
              </w:rPr>
              <w:t>姓名</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69" w:right="67"/>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69" w:right="6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146" w:right="35" w:hanging="106"/>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146" w:right="34"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59" w:right="55"/>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24" w:right="19" w:hanging="1"/>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内从公</w:t>
            </w:r>
            <w:r>
              <w:rPr>
                <w:rFonts w:ascii="宋体" w:hAnsi="宋体" w:cs="宋体" w:eastAsia="宋体" w:hint="default"/>
                <w:w w:val="100"/>
                <w:sz w:val="21"/>
                <w:szCs w:val="21"/>
              </w:rPr>
              <w:t> </w:t>
            </w:r>
            <w:r>
              <w:rPr>
                <w:rFonts w:ascii="宋体" w:hAnsi="宋体" w:cs="宋体" w:eastAsia="宋体" w:hint="default"/>
                <w:sz w:val="21"/>
                <w:szCs w:val="21"/>
              </w:rPr>
              <w:t>司领取</w:t>
            </w:r>
            <w:r>
              <w:rPr>
                <w:rFonts w:ascii="宋体" w:hAnsi="宋体" w:cs="宋体" w:eastAsia="宋体" w:hint="default"/>
                <w:w w:val="100"/>
                <w:sz w:val="21"/>
                <w:szCs w:val="21"/>
              </w:rPr>
              <w:t> </w:t>
            </w:r>
            <w:r>
              <w:rPr>
                <w:rFonts w:ascii="宋体" w:hAnsi="宋体" w:cs="宋体" w:eastAsia="宋体" w:hint="default"/>
                <w:sz w:val="21"/>
                <w:szCs w:val="21"/>
              </w:rPr>
              <w:t>的报酬</w:t>
            </w:r>
            <w:r>
              <w:rPr>
                <w:rFonts w:ascii="宋体" w:hAnsi="宋体" w:cs="宋体" w:eastAsia="宋体" w:hint="default"/>
                <w:w w:val="100"/>
                <w:sz w:val="21"/>
                <w:szCs w:val="21"/>
              </w:rPr>
              <w:t> </w:t>
            </w:r>
            <w:r>
              <w:rPr>
                <w:rFonts w:ascii="宋体" w:hAnsi="宋体" w:cs="宋体" w:eastAsia="宋体" w:hint="default"/>
                <w:spacing w:val="-4"/>
                <w:sz w:val="21"/>
                <w:szCs w:val="21"/>
              </w:rPr>
              <w:t>总额（万</w:t>
            </w:r>
            <w:r>
              <w:rPr>
                <w:rFonts w:ascii="宋体" w:hAnsi="宋体" w:cs="宋体" w:eastAsia="宋体" w:hint="default"/>
                <w:w w:val="100"/>
                <w:sz w:val="21"/>
                <w:szCs w:val="21"/>
              </w:rPr>
              <w:t> </w:t>
            </w:r>
            <w:r>
              <w:rPr>
                <w:rFonts w:ascii="宋体" w:hAnsi="宋体" w:cs="宋体" w:eastAsia="宋体" w:hint="default"/>
                <w:spacing w:val="-28"/>
                <w:w w:val="100"/>
                <w:sz w:val="21"/>
                <w:szCs w:val="21"/>
              </w:rPr>
              <w:t>元）（税</w:t>
            </w:r>
            <w:r>
              <w:rPr>
                <w:rFonts w:ascii="宋体" w:hAnsi="宋体" w:cs="宋体" w:eastAsia="宋体" w:hint="default"/>
                <w:w w:val="100"/>
                <w:sz w:val="21"/>
                <w:szCs w:val="21"/>
              </w:rPr>
              <w:t> </w:t>
            </w:r>
            <w:r>
              <w:rPr>
                <w:rFonts w:ascii="宋体" w:hAnsi="宋体" w:cs="宋体" w:eastAsia="宋体" w:hint="default"/>
                <w:sz w:val="21"/>
                <w:szCs w:val="21"/>
              </w:rPr>
              <w:t>前）</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6"/>
              <w:ind w:left="83" w:right="74"/>
              <w:jc w:val="both"/>
              <w:rPr>
                <w:rFonts w:ascii="宋体" w:hAnsi="宋体" w:cs="宋体" w:eastAsia="宋体" w:hint="default"/>
                <w:sz w:val="21"/>
                <w:szCs w:val="21"/>
              </w:rPr>
            </w:pPr>
            <w:r>
              <w:rPr>
                <w:rFonts w:ascii="宋体" w:hAnsi="宋体" w:cs="宋体" w:eastAsia="宋体" w:hint="default"/>
                <w:sz w:val="21"/>
                <w:szCs w:val="21"/>
              </w:rPr>
              <w:t>是否在</w:t>
            </w:r>
            <w:r>
              <w:rPr>
                <w:rFonts w:ascii="宋体" w:hAnsi="宋体" w:cs="宋体" w:eastAsia="宋体" w:hint="default"/>
                <w:spacing w:val="-102"/>
                <w:sz w:val="21"/>
                <w:szCs w:val="21"/>
              </w:rPr>
              <w:t> </w:t>
            </w:r>
            <w:r>
              <w:rPr>
                <w:rFonts w:ascii="宋体" w:hAnsi="宋体" w:cs="宋体" w:eastAsia="宋体" w:hint="default"/>
                <w:sz w:val="21"/>
                <w:szCs w:val="21"/>
              </w:rPr>
              <w:t>股东单</w:t>
            </w:r>
            <w:r>
              <w:rPr>
                <w:rFonts w:ascii="宋体" w:hAnsi="宋体" w:cs="宋体" w:eastAsia="宋体" w:hint="default"/>
                <w:spacing w:val="-102"/>
                <w:sz w:val="21"/>
                <w:szCs w:val="21"/>
              </w:rPr>
              <w:t> </w:t>
            </w:r>
            <w:r>
              <w:rPr>
                <w:rFonts w:ascii="宋体" w:hAnsi="宋体" w:cs="宋体" w:eastAsia="宋体" w:hint="default"/>
                <w:sz w:val="21"/>
                <w:szCs w:val="21"/>
              </w:rPr>
              <w:t>位或其</w:t>
            </w:r>
            <w:r>
              <w:rPr>
                <w:rFonts w:ascii="宋体" w:hAnsi="宋体" w:cs="宋体" w:eastAsia="宋体" w:hint="default"/>
                <w:spacing w:val="-102"/>
                <w:sz w:val="21"/>
                <w:szCs w:val="21"/>
              </w:rPr>
              <w:t> </w:t>
            </w:r>
            <w:r>
              <w:rPr>
                <w:rFonts w:ascii="宋体" w:hAnsi="宋体" w:cs="宋体" w:eastAsia="宋体" w:hint="default"/>
                <w:sz w:val="21"/>
                <w:szCs w:val="21"/>
              </w:rPr>
              <w:t>他关联</w:t>
            </w:r>
            <w:r>
              <w:rPr>
                <w:rFonts w:ascii="宋体" w:hAnsi="宋体" w:cs="宋体" w:eastAsia="宋体" w:hint="default"/>
                <w:spacing w:val="-102"/>
                <w:sz w:val="21"/>
                <w:szCs w:val="21"/>
              </w:rPr>
              <w:t> </w:t>
            </w:r>
            <w:r>
              <w:rPr>
                <w:rFonts w:ascii="宋体" w:hAnsi="宋体" w:cs="宋体" w:eastAsia="宋体" w:hint="default"/>
                <w:sz w:val="21"/>
                <w:szCs w:val="21"/>
              </w:rPr>
              <w:t>单位领</w:t>
            </w:r>
            <w:r>
              <w:rPr>
                <w:rFonts w:ascii="宋体" w:hAnsi="宋体" w:cs="宋体" w:eastAsia="宋体" w:hint="default"/>
                <w:spacing w:val="-102"/>
                <w:sz w:val="21"/>
                <w:szCs w:val="21"/>
              </w:rPr>
              <w:t> </w:t>
            </w:r>
            <w:r>
              <w:rPr>
                <w:rFonts w:ascii="宋体" w:hAnsi="宋体" w:cs="宋体" w:eastAsia="宋体" w:hint="default"/>
                <w:sz w:val="21"/>
                <w:szCs w:val="21"/>
              </w:rPr>
              <w:t>取薪酬</w:t>
            </w:r>
          </w:p>
        </w:tc>
      </w:tr>
      <w:tr>
        <w:trPr>
          <w:trHeight w:val="362" w:hRule="exact"/>
        </w:trPr>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许亚楠</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36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72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100"/>
                <w:sz w:val="21"/>
              </w:rPr>
              <w:t>0</w:t>
            </w:r>
          </w:p>
        </w:tc>
        <w:tc>
          <w:tcPr>
            <w:tcW w:w="550"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84" w:right="0"/>
              <w:jc w:val="left"/>
              <w:rPr>
                <w:rFonts w:ascii="Times New Roman" w:hAnsi="Times New Roman" w:cs="Times New Roman" w:eastAsia="Times New Roman" w:hint="default"/>
                <w:sz w:val="21"/>
                <w:szCs w:val="21"/>
              </w:rPr>
            </w:pPr>
            <w:r>
              <w:rPr>
                <w:rFonts w:ascii="Times New Roman"/>
                <w:sz w:val="21"/>
              </w:rPr>
              <w:t>21.6</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80"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360" w:type="dxa"/>
            <w:vMerge/>
            <w:tcBorders>
              <w:left w:val="single" w:sz="4" w:space="0" w:color="000000"/>
              <w:bottom w:val="single" w:sz="4" w:space="0" w:color="000000"/>
              <w:right w:val="single" w:sz="4" w:space="0" w:color="000000"/>
            </w:tcBorders>
          </w:tcPr>
          <w:p>
            <w:pPr/>
          </w:p>
        </w:tc>
        <w:tc>
          <w:tcPr>
            <w:tcW w:w="361"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vMerge/>
            <w:tcBorders>
              <w:left w:val="single" w:sz="4" w:space="0" w:color="000000"/>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张庆文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13"/>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13"/>
              <w:jc w:val="right"/>
              <w:rPr>
                <w:rFonts w:ascii="Times New Roman" w:hAnsi="Times New Roman" w:cs="Times New Roman" w:eastAsia="Times New Roman" w:hint="default"/>
                <w:sz w:val="21"/>
                <w:szCs w:val="21"/>
              </w:rPr>
            </w:pPr>
            <w:r>
              <w:rPr>
                <w:rFonts w:ascii="Times New Roman"/>
                <w:sz w:val="21"/>
              </w:rPr>
              <w:t>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100"/>
                <w:sz w:val="21"/>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毛诚</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13"/>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13"/>
              <w:jc w:val="right"/>
              <w:rPr>
                <w:rFonts w:ascii="Times New Roman" w:hAnsi="Times New Roman" w:cs="Times New Roman" w:eastAsia="Times New Roman" w:hint="default"/>
                <w:sz w:val="21"/>
                <w:szCs w:val="21"/>
              </w:rPr>
            </w:pPr>
            <w:r>
              <w:rPr>
                <w:rFonts w:ascii="Times New Roman"/>
                <w:sz w:val="21"/>
              </w:rPr>
              <w:t>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100"/>
                <w:sz w:val="21"/>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舒强兴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13"/>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13"/>
              <w:jc w:val="right"/>
              <w:rPr>
                <w:rFonts w:ascii="Times New Roman" w:hAnsi="Times New Roman" w:cs="Times New Roman" w:eastAsia="Times New Roman" w:hint="default"/>
                <w:sz w:val="21"/>
                <w:szCs w:val="21"/>
              </w:rPr>
            </w:pPr>
            <w:r>
              <w:rPr>
                <w:rFonts w:ascii="Times New Roman"/>
                <w:sz w:val="21"/>
              </w:rPr>
              <w:t>62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z w:val="21"/>
              </w:rPr>
              <w:t>5.2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齐二石</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13"/>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13"/>
              <w:jc w:val="right"/>
              <w:rPr>
                <w:rFonts w:ascii="Times New Roman" w:hAnsi="Times New Roman" w:cs="Times New Roman" w:eastAsia="Times New Roman" w:hint="default"/>
                <w:sz w:val="21"/>
                <w:szCs w:val="21"/>
              </w:rPr>
            </w:pPr>
            <w:r>
              <w:rPr>
                <w:rFonts w:ascii="Times New Roman"/>
                <w:sz w:val="21"/>
              </w:rPr>
              <w:t>57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z w:val="21"/>
              </w:rPr>
              <w:t>5.2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王洪</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3"/>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13"/>
              <w:jc w:val="right"/>
              <w:rPr>
                <w:rFonts w:ascii="Times New Roman" w:hAnsi="Times New Roman" w:cs="Times New Roman" w:eastAsia="Times New Roman" w:hint="default"/>
                <w:sz w:val="21"/>
                <w:szCs w:val="21"/>
              </w:rPr>
            </w:pPr>
            <w:r>
              <w:rPr>
                <w:rFonts w:ascii="Times New Roman"/>
                <w:sz w:val="21"/>
              </w:rPr>
              <w:t>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z w:val="21"/>
              </w:rPr>
              <w:t>5.2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孙登义</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3"/>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13"/>
              <w:jc w:val="right"/>
              <w:rPr>
                <w:rFonts w:ascii="Times New Roman" w:hAnsi="Times New Roman" w:cs="Times New Roman" w:eastAsia="Times New Roman" w:hint="default"/>
                <w:sz w:val="21"/>
                <w:szCs w:val="21"/>
              </w:rPr>
            </w:pPr>
            <w:r>
              <w:rPr>
                <w:rFonts w:ascii="Times New Roman"/>
                <w:sz w:val="21"/>
              </w:rPr>
              <w:t>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100"/>
                <w:sz w:val="21"/>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王立军</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3"/>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13"/>
              <w:jc w:val="right"/>
              <w:rPr>
                <w:rFonts w:ascii="Times New Roman" w:hAnsi="Times New Roman" w:cs="Times New Roman" w:eastAsia="Times New Roman" w:hint="default"/>
                <w:sz w:val="21"/>
                <w:szCs w:val="21"/>
              </w:rPr>
            </w:pPr>
            <w:r>
              <w:rPr>
                <w:rFonts w:ascii="Times New Roman"/>
                <w:sz w:val="21"/>
              </w:rPr>
              <w:t>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100"/>
                <w:sz w:val="21"/>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6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张国华</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3"/>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3"/>
              <w:jc w:val="right"/>
              <w:rPr>
                <w:rFonts w:ascii="Times New Roman" w:hAnsi="Times New Roman" w:cs="Times New Roman" w:eastAsia="Times New Roman" w:hint="default"/>
                <w:sz w:val="21"/>
                <w:szCs w:val="21"/>
              </w:rPr>
            </w:pPr>
            <w:r>
              <w:rPr>
                <w:rFonts w:ascii="Times New Roman"/>
                <w:sz w:val="21"/>
              </w:rPr>
              <w:t>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21"/>
                <w:szCs w:val="21"/>
              </w:rPr>
            </w:pPr>
            <w:r>
              <w:rPr>
                <w:rFonts w:ascii="Times New Roman"/>
                <w:w w:val="100"/>
                <w:sz w:val="21"/>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杨敬业</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3"/>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13"/>
              <w:jc w:val="right"/>
              <w:rPr>
                <w:rFonts w:ascii="Times New Roman" w:hAnsi="Times New Roman" w:cs="Times New Roman" w:eastAsia="Times New Roman" w:hint="default"/>
                <w:sz w:val="21"/>
                <w:szCs w:val="21"/>
              </w:rPr>
            </w:pPr>
            <w:r>
              <w:rPr>
                <w:rFonts w:ascii="Times New Roman"/>
                <w:sz w:val="21"/>
              </w:rPr>
              <w:t>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21"/>
                <w:szCs w:val="21"/>
              </w:rPr>
            </w:pPr>
            <w:r>
              <w:rPr>
                <w:rFonts w:ascii="Times New Roman"/>
                <w:w w:val="100"/>
                <w:sz w:val="21"/>
              </w:rPr>
              <w:t>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易平良</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3"/>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13"/>
              <w:jc w:val="right"/>
              <w:rPr>
                <w:rFonts w:ascii="Times New Roman" w:hAnsi="Times New Roman" w:cs="Times New Roman" w:eastAsia="Times New Roman" w:hint="default"/>
                <w:sz w:val="21"/>
                <w:szCs w:val="21"/>
              </w:rPr>
            </w:pPr>
            <w:r>
              <w:rPr>
                <w:rFonts w:ascii="Times New Roman"/>
                <w:sz w:val="21"/>
              </w:rPr>
              <w:t>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z w:val="21"/>
              </w:rPr>
              <w:t>6.4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刘仕保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3"/>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13"/>
              <w:jc w:val="right"/>
              <w:rPr>
                <w:rFonts w:ascii="Times New Roman" w:hAnsi="Times New Roman" w:cs="Times New Roman" w:eastAsia="Times New Roman" w:hint="default"/>
                <w:sz w:val="21"/>
                <w:szCs w:val="21"/>
              </w:rPr>
            </w:pPr>
            <w:r>
              <w:rPr>
                <w:rFonts w:ascii="Times New Roman"/>
                <w:sz w:val="21"/>
              </w:rPr>
              <w:t>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21"/>
                <w:szCs w:val="21"/>
              </w:rPr>
            </w:pPr>
            <w:r>
              <w:rPr>
                <w:rFonts w:ascii="Times New Roman"/>
                <w:sz w:val="21"/>
              </w:rPr>
              <w:t>6.4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胡滨</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3"/>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z w:val="21"/>
              </w:rPr>
              <w:t>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已于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日辞去董事职务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0"/>
              <w:jc w:val="right"/>
              <w:rPr>
                <w:rFonts w:ascii="宋体" w:hAnsi="宋体" w:cs="宋体" w:eastAsia="宋体" w:hint="default"/>
                <w:sz w:val="21"/>
                <w:szCs w:val="21"/>
              </w:rPr>
            </w:pPr>
            <w:r>
              <w:rPr>
                <w:rFonts w:ascii="宋体" w:hAnsi="宋体" w:cs="宋体" w:eastAsia="宋体" w:hint="default"/>
                <w:sz w:val="21"/>
                <w:szCs w:val="21"/>
              </w:rPr>
              <w:t>合计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6"/>
              <w:jc w:val="right"/>
              <w:rPr>
                <w:rFonts w:ascii="Times New Roman" w:hAnsi="Times New Roman" w:cs="Times New Roman" w:eastAsia="Times New Roman" w:hint="default"/>
                <w:sz w:val="21"/>
                <w:szCs w:val="21"/>
              </w:rPr>
            </w:pPr>
            <w:r>
              <w:rPr>
                <w:rFonts w:ascii="Times New Roman"/>
                <w:w w:val="100"/>
                <w:sz w:val="21"/>
              </w:rPr>
              <w:t>-</w:t>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7"/>
              <w:jc w:val="right"/>
              <w:rPr>
                <w:rFonts w:ascii="Times New Roman" w:hAnsi="Times New Roman" w:cs="Times New Roman" w:eastAsia="Times New Roman" w:hint="default"/>
                <w:sz w:val="21"/>
                <w:szCs w:val="21"/>
              </w:rPr>
            </w:pPr>
            <w:r>
              <w:rPr>
                <w:rFonts w:ascii="Times New Roman"/>
                <w:w w:val="100"/>
                <w:sz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72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r>
    </w:tbl>
    <w:p>
      <w:pPr>
        <w:spacing w:before="86"/>
        <w:ind w:left="586" w:right="0" w:firstLine="0"/>
        <w:jc w:val="left"/>
        <w:rPr>
          <w:rFonts w:ascii="宋体" w:hAnsi="宋体" w:cs="宋体" w:eastAsia="宋体" w:hint="default"/>
          <w:sz w:val="21"/>
          <w:szCs w:val="21"/>
        </w:rPr>
      </w:pPr>
      <w:r>
        <w:rPr>
          <w:rFonts w:ascii="宋体" w:hAnsi="宋体" w:cs="宋体" w:eastAsia="宋体" w:hint="default"/>
          <w:sz w:val="21"/>
          <w:szCs w:val="21"/>
        </w:rPr>
        <w:t>注：在本报告期内，本公司各董事、监事及其配偶及未满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岁之子女概无持有本公司的任何股份。</w:t>
      </w:r>
    </w:p>
    <w:p>
      <w:pPr>
        <w:spacing w:line="240" w:lineRule="auto" w:before="9"/>
        <w:rPr>
          <w:rFonts w:ascii="宋体" w:hAnsi="宋体" w:cs="宋体" w:eastAsia="宋体" w:hint="default"/>
          <w:sz w:val="17"/>
          <w:szCs w:val="17"/>
        </w:rPr>
      </w:pPr>
    </w:p>
    <w:p>
      <w:pPr>
        <w:pStyle w:val="BodyText"/>
        <w:spacing w:line="355" w:lineRule="auto" w:before="0"/>
        <w:ind w:right="0" w:firstLine="540"/>
        <w:jc w:val="left"/>
      </w:pPr>
      <w:r>
        <w:rPr>
          <w:rFonts w:ascii="宋体" w:hAnsi="宋体" w:cs="宋体" w:eastAsia="宋体" w:hint="default"/>
          <w:spacing w:val="2"/>
        </w:rPr>
        <w:t>2</w:t>
      </w:r>
      <w:r>
        <w:rPr>
          <w:spacing w:val="2"/>
        </w:rPr>
        <w:t>、公司董事、监事及高管人员的主要工作经历及在股东单位和除股东单位外的其他单 </w:t>
      </w:r>
      <w:r>
        <w:rPr/>
        <w:t>位任职或兼职情况：</w:t>
      </w:r>
    </w:p>
    <w:p>
      <w:pPr>
        <w:pStyle w:val="BodyText"/>
        <w:spacing w:line="240" w:lineRule="auto" w:before="158"/>
        <w:ind w:left="653" w:right="0"/>
        <w:jc w:val="left"/>
      </w:pPr>
      <w:r>
        <w:rPr>
          <w:rFonts w:ascii="宋体" w:hAnsi="宋体" w:cs="宋体" w:eastAsia="宋体" w:hint="default"/>
        </w:rPr>
      </w:r>
      <w:r>
        <w:rPr>
          <w:rFonts w:ascii="宋体" w:hAnsi="宋体" w:cs="宋体" w:eastAsia="宋体" w:hint="default"/>
          <w:spacing w:val="2"/>
          <w:u w:val="single" w:color="000000"/>
        </w:rPr>
        <w:t>1</w:t>
      </w:r>
      <w:r>
        <w:rPr>
          <w:spacing w:val="2"/>
          <w:u w:val="single" w:color="000000"/>
        </w:rPr>
        <w:t>）许亚楠先生，公司董事长、总经理：曾服役于中国人民解放军东海舰队，曾任青岛</w:t>
      </w:r>
      <w:r>
        <w:rPr>
          <w:spacing w:val="2"/>
        </w:rPr>
      </w:r>
      <w:r>
        <w:rPr/>
      </w:r>
    </w:p>
    <w:p>
      <w:pPr>
        <w:pStyle w:val="BodyText"/>
        <w:spacing w:line="240" w:lineRule="auto" w:before="154"/>
        <w:ind w:right="0"/>
        <w:jc w:val="left"/>
      </w:pPr>
      <w:r>
        <w:rPr>
          <w:rFonts w:ascii="Times New Roman" w:hAnsi="Times New Roman" w:cs="Times New Roman" w:eastAsia="Times New Roman" w:hint="default"/>
        </w:rPr>
      </w:r>
      <w:r>
        <w:rPr>
          <w:rFonts w:ascii="Times New Roman" w:hAnsi="Times New Roman" w:cs="Times New Roman" w:eastAsia="Times New Roman" w:hint="default"/>
          <w:spacing w:val="-60"/>
          <w:u w:val="single" w:color="000000"/>
        </w:rPr>
        <w:t> </w:t>
      </w:r>
      <w:r>
        <w:rPr>
          <w:u w:val="single" w:color="000000"/>
        </w:rPr>
        <w:t>市机电设备总公司总经理助理、副总经理，青岛亚星置业有限公司（以下简称“亚星置业</w:t>
      </w:r>
      <w:r>
        <w:rPr>
          <w:spacing w:val="-120"/>
          <w:u w:val="single" w:color="000000"/>
        </w:rPr>
        <w:t>”</w:t>
      </w:r>
      <w:r>
        <w:rPr>
          <w:u w:val="single" w:color="000000"/>
        </w:rPr>
        <w:t>）</w:t>
      </w:r>
      <w:r>
        <w:rPr/>
      </w:r>
    </w:p>
    <w:p>
      <w:pPr>
        <w:pStyle w:val="BodyText"/>
        <w:spacing w:line="240" w:lineRule="auto" w:before="151"/>
        <w:ind w:right="0"/>
        <w:jc w:val="left"/>
      </w:pPr>
      <w:r>
        <w:rPr>
          <w:rFonts w:ascii="Times New Roman" w:hAnsi="Times New Roman" w:cs="Times New Roman" w:eastAsia="Times New Roman" w:hint="default"/>
        </w:rPr>
      </w:r>
      <w:r>
        <w:rPr>
          <w:rFonts w:ascii="Times New Roman" w:hAnsi="Times New Roman" w:cs="Times New Roman" w:eastAsia="Times New Roman" w:hint="default"/>
          <w:spacing w:val="-60"/>
          <w:u w:val="single" w:color="000000"/>
        </w:rPr>
        <w:t> </w:t>
      </w:r>
      <w:r>
        <w:rPr>
          <w:u w:val="single" w:color="000000"/>
        </w:rPr>
        <w:t>副总经理，现任本公司董事长兼总经理。</w:t>
      </w:r>
      <w:r>
        <w:rPr/>
      </w:r>
    </w:p>
    <w:p>
      <w:pPr>
        <w:spacing w:line="240" w:lineRule="auto" w:before="12"/>
        <w:rPr>
          <w:rFonts w:ascii="宋体" w:hAnsi="宋体" w:cs="宋体" w:eastAsia="宋体" w:hint="default"/>
          <w:sz w:val="18"/>
          <w:szCs w:val="18"/>
        </w:rPr>
      </w:pPr>
    </w:p>
    <w:p>
      <w:pPr>
        <w:pStyle w:val="BodyText"/>
        <w:spacing w:line="355" w:lineRule="auto" w:before="26"/>
        <w:ind w:right="996" w:firstLine="540"/>
        <w:jc w:val="left"/>
      </w:pPr>
      <w:r>
        <w:rPr>
          <w:rFonts w:ascii="宋体" w:hAnsi="宋体" w:cs="宋体" w:eastAsia="宋体" w:hint="default"/>
          <w:spacing w:val="2"/>
        </w:rPr>
        <w:t>2</w:t>
      </w:r>
      <w:r>
        <w:rPr>
          <w:spacing w:val="2"/>
        </w:rPr>
        <w:t>）张庆文先生，公司董事：曾任青岛天悦国际物流有限公司财务总监、青岛嘉合置业 </w:t>
      </w:r>
      <w:r>
        <w:rPr>
          <w:spacing w:val="-2"/>
        </w:rPr>
        <w:t>有限公司财务总监、中国福泰实业总公司财务部经理，现任本公司董事、亚星置业副总经理。</w:t>
      </w:r>
    </w:p>
    <w:p>
      <w:pPr>
        <w:spacing w:after="0" w:line="355" w:lineRule="auto"/>
        <w:jc w:val="left"/>
        <w:sectPr>
          <w:pgSz w:w="11910" w:h="16840"/>
          <w:pgMar w:header="0" w:footer="956" w:top="1080" w:bottom="1140" w:left="1020" w:right="0"/>
        </w:sectPr>
      </w:pPr>
    </w:p>
    <w:p>
      <w:pPr>
        <w:pStyle w:val="BodyText"/>
        <w:spacing w:line="357" w:lineRule="auto" w:before="14"/>
        <w:ind w:right="1133" w:firstLine="540"/>
        <w:jc w:val="both"/>
      </w:pPr>
      <w:r>
        <w:rPr>
          <w:rFonts w:ascii="宋体" w:hAnsi="宋体" w:cs="宋体" w:eastAsia="宋体" w:hint="default"/>
          <w:spacing w:val="2"/>
        </w:rPr>
        <w:t>3</w:t>
      </w:r>
      <w:r>
        <w:rPr>
          <w:spacing w:val="2"/>
        </w:rPr>
        <w:t>）毛诚先生，公司董事：曾任北京华隆新技术开发公司总经理，广东中视电视信息传 </w:t>
      </w:r>
      <w:r>
        <w:rPr/>
        <w:t>播有限公司总经理，北京运时投资管理有限公司执行总裁，中国银泰投资有限公司投资部总</w:t>
      </w:r>
      <w:r>
        <w:rPr>
          <w:spacing w:val="-91"/>
        </w:rPr>
        <w:t> </w:t>
      </w:r>
      <w:r>
        <w:rPr>
          <w:spacing w:val="-91"/>
        </w:rPr>
      </w:r>
      <w:r>
        <w:rPr/>
        <w:t>经理，现任本公司董事、上海文慧投资有限公司副总经理。</w:t>
      </w:r>
    </w:p>
    <w:p>
      <w:pPr>
        <w:pStyle w:val="BodyText"/>
        <w:spacing w:line="357" w:lineRule="auto" w:before="154"/>
        <w:ind w:right="1133" w:firstLine="540"/>
        <w:jc w:val="both"/>
      </w:pPr>
      <w:r>
        <w:rPr>
          <w:rFonts w:ascii="宋体" w:hAnsi="宋体" w:cs="宋体" w:eastAsia="宋体" w:hint="default"/>
          <w:spacing w:val="2"/>
        </w:rPr>
        <w:t>4</w:t>
      </w:r>
      <w:r>
        <w:rPr>
          <w:spacing w:val="2"/>
        </w:rPr>
        <w:t>）舒强兴先生，公司独立董事：曾任湖南财经学院任教研室主任，湖南机械进出口股 </w:t>
      </w:r>
      <w:r>
        <w:rPr/>
        <w:t>份有限公司执行董事、部门经理；现任湖南大学工商管理学院投资理财系负责人、国家税务</w:t>
      </w:r>
      <w:r>
        <w:rPr>
          <w:spacing w:val="-91"/>
        </w:rPr>
        <w:t> </w:t>
      </w:r>
      <w:r>
        <w:rPr>
          <w:spacing w:val="-91"/>
        </w:rPr>
      </w:r>
      <w:r>
        <w:rPr/>
        <w:t>总局长沙培训中心兼职教授</w:t>
      </w:r>
      <w:r>
        <w:rPr>
          <w:rFonts w:ascii="宋体" w:hAnsi="宋体" w:cs="宋体" w:eastAsia="宋体" w:hint="default"/>
        </w:rPr>
        <w:t>;</w:t>
      </w:r>
      <w:r>
        <w:rPr>
          <w:rFonts w:ascii="宋体" w:hAnsi="宋体" w:cs="宋体" w:eastAsia="宋体" w:hint="default"/>
          <w:spacing w:val="27"/>
        </w:rPr>
        <w:t> </w:t>
      </w:r>
      <w:r>
        <w:rPr/>
        <w:t>湖南京阳物流股份有限公司财务顾问，湖南省国资委专家委员</w:t>
      </w:r>
      <w:r>
        <w:rPr>
          <w:spacing w:val="-117"/>
        </w:rPr>
        <w:t> </w:t>
      </w:r>
      <w:r>
        <w:rPr>
          <w:spacing w:val="-117"/>
        </w:rPr>
      </w:r>
      <w:r>
        <w:rPr/>
        <w:t>会委员，现任本公司独立董事、湖南大学工商管理学院投资理财系副教授，兼任新五丰、熊</w:t>
      </w:r>
      <w:r>
        <w:rPr>
          <w:spacing w:val="-90"/>
        </w:rPr>
        <w:t> </w:t>
      </w:r>
      <w:r>
        <w:rPr>
          <w:spacing w:val="-90"/>
        </w:rPr>
      </w:r>
      <w:r>
        <w:rPr/>
        <w:t>猫烟花独立董事。</w:t>
      </w:r>
    </w:p>
    <w:p>
      <w:pPr>
        <w:pStyle w:val="BodyText"/>
        <w:spacing w:line="355" w:lineRule="auto" w:before="157"/>
        <w:ind w:right="1133" w:firstLine="540"/>
        <w:jc w:val="both"/>
      </w:pPr>
      <w:r>
        <w:rPr>
          <w:rFonts w:ascii="宋体" w:hAnsi="宋体" w:cs="宋体" w:eastAsia="宋体" w:hint="default"/>
          <w:spacing w:val="2"/>
        </w:rPr>
        <w:t>5</w:t>
      </w:r>
      <w:r>
        <w:rPr>
          <w:spacing w:val="2"/>
        </w:rPr>
        <w:t>）齐二石先生，公司独立董事：现任本公司独立董事、天津大学管理学院院长，兼任 </w:t>
      </w:r>
      <w:r>
        <w:rPr/>
        <w:t>歌华有线、安彩高科独立董事。</w:t>
      </w:r>
    </w:p>
    <w:p>
      <w:pPr>
        <w:pStyle w:val="BodyText"/>
        <w:spacing w:line="357" w:lineRule="auto" w:before="158"/>
        <w:ind w:right="1133" w:firstLine="540"/>
        <w:jc w:val="both"/>
      </w:pPr>
      <w:r>
        <w:rPr>
          <w:rFonts w:ascii="宋体" w:hAnsi="宋体" w:cs="宋体" w:eastAsia="宋体" w:hint="default"/>
          <w:spacing w:val="2"/>
        </w:rPr>
        <w:t>6</w:t>
      </w:r>
      <w:r>
        <w:rPr>
          <w:spacing w:val="2"/>
        </w:rPr>
        <w:t>）王洪先生，公司独立董事：曾先后在新加坡国立大学设计与环境学院房地产系任讲 </w:t>
      </w:r>
      <w:r>
        <w:rPr/>
        <w:t>师，清华大学土木水利学院房地产研究所和经济管理学院金融系任副教授，现任本公司独立</w:t>
      </w:r>
      <w:r>
        <w:rPr>
          <w:spacing w:val="-91"/>
        </w:rPr>
        <w:t> </w:t>
      </w:r>
      <w:r>
        <w:rPr>
          <w:spacing w:val="-91"/>
        </w:rPr>
      </w:r>
      <w:r>
        <w:rPr/>
        <w:t>董事、清华大学经济管理学院金融系副教授，兼任阳光股份独立董事。</w:t>
      </w:r>
    </w:p>
    <w:p>
      <w:pPr>
        <w:pStyle w:val="BodyText"/>
        <w:spacing w:line="357" w:lineRule="auto" w:before="154"/>
        <w:ind w:right="1133" w:firstLine="540"/>
        <w:jc w:val="both"/>
      </w:pPr>
      <w:r>
        <w:rPr>
          <w:rFonts w:ascii="宋体" w:hAnsi="宋体" w:cs="宋体" w:eastAsia="宋体" w:hint="default"/>
          <w:spacing w:val="2"/>
        </w:rPr>
        <w:t>7</w:t>
      </w:r>
      <w:r>
        <w:rPr>
          <w:spacing w:val="2"/>
        </w:rPr>
        <w:t>）孙登义先生，公司董事：曾先后就职于青岛粉末冶金厂、青岛车辆厂、青岛运输车 </w:t>
      </w:r>
      <w:r>
        <w:rPr/>
        <w:t>辆制造厂、颐中青岛运输车辆制造有限公司等，现任本公司董事、亚星置业总经理助理。</w:t>
      </w:r>
    </w:p>
    <w:p>
      <w:pPr>
        <w:pStyle w:val="BodyText"/>
        <w:spacing w:line="357" w:lineRule="auto" w:before="154"/>
        <w:ind w:right="1131" w:firstLine="540"/>
        <w:jc w:val="both"/>
      </w:pPr>
      <w:r>
        <w:rPr>
          <w:rFonts w:ascii="宋体" w:hAnsi="宋体" w:cs="宋体" w:eastAsia="宋体" w:hint="default"/>
        </w:rPr>
        <w:t>8</w:t>
      </w:r>
      <w:r>
        <w:rPr/>
        <w:t>）王立军先生，公司监事会主席：曾先后担任青岛亚星集团有限公司总裁助理、</w:t>
      </w:r>
      <w:r>
        <w:rPr>
          <w:spacing w:val="-21"/>
        </w:rPr>
        <w:t> </w:t>
      </w:r>
      <w:r>
        <w:rPr/>
        <w:t>青岛</w:t>
      </w:r>
      <w:r>
        <w:rPr/>
        <w:t> 海越市政工程有限公司总经理等，现任本公司监事会主席、亚星置业副总经理、济宁海情置</w:t>
      </w:r>
      <w:r>
        <w:rPr>
          <w:spacing w:val="-86"/>
        </w:rPr>
        <w:t> </w:t>
      </w:r>
      <w:r>
        <w:rPr>
          <w:spacing w:val="-86"/>
        </w:rPr>
      </w:r>
      <w:r>
        <w:rPr/>
        <w:t>业有限公司总经理。</w:t>
      </w:r>
    </w:p>
    <w:p>
      <w:pPr>
        <w:pStyle w:val="BodyText"/>
        <w:spacing w:line="357" w:lineRule="auto" w:before="154"/>
        <w:ind w:right="1133" w:firstLine="540"/>
        <w:jc w:val="both"/>
      </w:pPr>
      <w:r>
        <w:rPr>
          <w:rFonts w:ascii="宋体" w:hAnsi="宋体" w:cs="宋体" w:eastAsia="宋体" w:hint="default"/>
          <w:spacing w:val="2"/>
        </w:rPr>
        <w:t>9</w:t>
      </w:r>
      <w:r>
        <w:rPr>
          <w:spacing w:val="2"/>
        </w:rPr>
        <w:t>）张国华先生，公司监事：曾任济南广欣建筑设计事务所所长、济南历城区建筑装饰 </w:t>
      </w:r>
      <w:r>
        <w:rPr/>
        <w:t>公司经理、济南金泰房地产总公司工程副总经理、济南三庆置业集团副总经理，山东莱钢建</w:t>
      </w:r>
      <w:r>
        <w:rPr>
          <w:spacing w:val="-91"/>
        </w:rPr>
        <w:t> </w:t>
      </w:r>
      <w:r>
        <w:rPr>
          <w:spacing w:val="-91"/>
        </w:rPr>
      </w:r>
      <w:r>
        <w:rPr/>
        <w:t>设置业有限公司常务副总经理，现任本公司监事、亚星置业董事长兼总经理。</w:t>
      </w:r>
    </w:p>
    <w:p>
      <w:pPr>
        <w:pStyle w:val="BodyText"/>
        <w:spacing w:line="355" w:lineRule="auto" w:before="156"/>
        <w:ind w:right="1131" w:firstLine="540"/>
        <w:jc w:val="both"/>
      </w:pPr>
      <w:r>
        <w:rPr>
          <w:rFonts w:ascii="宋体" w:hAnsi="宋体" w:cs="宋体" w:eastAsia="宋体" w:hint="default"/>
          <w:spacing w:val="-1"/>
        </w:rPr>
        <w:t>10</w:t>
      </w:r>
      <w:r>
        <w:rPr>
          <w:spacing w:val="-1"/>
        </w:rPr>
        <w:t>）杨敬业先生，公司监事：曾任青岛海尔房地产开发公司工程部经理、青岛康大房地</w:t>
      </w:r>
      <w:r>
        <w:rPr/>
        <w:t> 产开发公司副总经理、亚星置业常务副总经理，现任本公司监事。</w:t>
      </w:r>
    </w:p>
    <w:p>
      <w:pPr>
        <w:pStyle w:val="BodyText"/>
        <w:spacing w:line="240" w:lineRule="auto" w:before="158"/>
        <w:ind w:left="593" w:right="0"/>
        <w:jc w:val="left"/>
      </w:pPr>
      <w:r>
        <w:rPr>
          <w:rFonts w:ascii="宋体" w:hAnsi="宋体" w:cs="宋体" w:eastAsia="宋体" w:hint="default"/>
        </w:rPr>
      </w:r>
      <w:r>
        <w:rPr>
          <w:rFonts w:ascii="宋体" w:hAnsi="宋体" w:cs="宋体" w:eastAsia="宋体" w:hint="default"/>
          <w:u w:val="single" w:color="000000"/>
        </w:rPr>
        <w:t>11</w:t>
      </w:r>
      <w:r>
        <w:rPr>
          <w:u w:val="single" w:color="000000"/>
        </w:rPr>
        <w:t>）刘仕保先生，公司董事会秘书：曾任中国石油乌鲁木齐石化公司驻西北石化产品交</w:t>
      </w:r>
      <w:r>
        <w:rPr/>
      </w:r>
    </w:p>
    <w:p>
      <w:pPr>
        <w:pStyle w:val="BodyText"/>
        <w:spacing w:line="240" w:lineRule="auto" w:before="151"/>
        <w:ind w:right="0"/>
        <w:jc w:val="left"/>
      </w:pPr>
      <w:r>
        <w:rPr>
          <w:rFonts w:ascii="Times New Roman" w:hAnsi="Times New Roman" w:cs="Times New Roman" w:eastAsia="Times New Roman" w:hint="default"/>
        </w:rPr>
      </w:r>
      <w:r>
        <w:rPr>
          <w:rFonts w:ascii="Times New Roman" w:hAnsi="Times New Roman" w:cs="Times New Roman" w:eastAsia="Times New Roman" w:hint="default"/>
          <w:spacing w:val="-60"/>
          <w:u w:val="single" w:color="000000"/>
        </w:rPr>
        <w:t> </w:t>
      </w:r>
      <w:r>
        <w:rPr>
          <w:u w:val="single" w:color="000000"/>
        </w:rPr>
        <w:t>易所首席代表及驻兰州办事处主任、中信证券股份有限公司投资银行部高级经理、北京国润</w:t>
      </w:r>
      <w:r>
        <w:rPr/>
      </w:r>
    </w:p>
    <w:p>
      <w:pPr>
        <w:pStyle w:val="BodyText"/>
        <w:spacing w:line="240" w:lineRule="auto" w:before="154"/>
        <w:ind w:right="0"/>
        <w:jc w:val="left"/>
      </w:pPr>
      <w:r>
        <w:rPr>
          <w:rFonts w:ascii="Times New Roman" w:hAnsi="Times New Roman" w:cs="Times New Roman" w:eastAsia="Times New Roman" w:hint="default"/>
        </w:rPr>
      </w:r>
      <w:r>
        <w:rPr>
          <w:rFonts w:ascii="Times New Roman" w:hAnsi="Times New Roman" w:cs="Times New Roman" w:eastAsia="Times New Roman" w:hint="default"/>
          <w:spacing w:val="-60"/>
          <w:u w:val="single" w:color="000000"/>
        </w:rPr>
        <w:t> </w:t>
      </w:r>
      <w:r>
        <w:rPr>
          <w:u w:val="single" w:color="000000"/>
        </w:rPr>
        <w:t>创业投资有限公司副总经理，现任本公司董事会秘书、兼任北京国润创业投资有限公司独立</w:t>
      </w:r>
      <w:r>
        <w:rPr/>
      </w:r>
    </w:p>
    <w:p>
      <w:pPr>
        <w:pStyle w:val="BodyText"/>
        <w:spacing w:line="240" w:lineRule="auto" w:before="151"/>
        <w:ind w:right="0"/>
        <w:jc w:val="left"/>
      </w:pPr>
      <w:r>
        <w:rPr>
          <w:rFonts w:ascii="Times New Roman" w:hAnsi="Times New Roman" w:cs="Times New Roman" w:eastAsia="Times New Roman" w:hint="default"/>
        </w:rPr>
      </w:r>
      <w:r>
        <w:rPr>
          <w:rFonts w:ascii="Times New Roman" w:hAnsi="Times New Roman" w:cs="Times New Roman" w:eastAsia="Times New Roman" w:hint="default"/>
          <w:spacing w:val="-60"/>
          <w:u w:val="single" w:color="000000"/>
        </w:rPr>
        <w:t> </w:t>
      </w:r>
      <w:r>
        <w:rPr>
          <w:u w:val="single" w:color="000000"/>
        </w:rPr>
        <w:t>董事。</w:t>
      </w:r>
      <w:r>
        <w:rPr/>
      </w:r>
    </w:p>
    <w:p>
      <w:pPr>
        <w:spacing w:line="240" w:lineRule="auto" w:before="12"/>
        <w:rPr>
          <w:rFonts w:ascii="宋体" w:hAnsi="宋体" w:cs="宋体" w:eastAsia="宋体" w:hint="default"/>
          <w:sz w:val="18"/>
          <w:szCs w:val="18"/>
        </w:rPr>
      </w:pPr>
    </w:p>
    <w:p>
      <w:pPr>
        <w:pStyle w:val="BodyText"/>
        <w:spacing w:line="240" w:lineRule="auto" w:before="26"/>
        <w:ind w:left="593" w:right="0"/>
        <w:jc w:val="left"/>
      </w:pPr>
      <w:r>
        <w:rPr>
          <w:rFonts w:ascii="宋体" w:hAnsi="宋体" w:cs="宋体" w:eastAsia="宋体" w:hint="default"/>
        </w:rPr>
      </w:r>
      <w:r>
        <w:rPr>
          <w:rFonts w:ascii="宋体" w:hAnsi="宋体" w:cs="宋体" w:eastAsia="宋体" w:hint="default"/>
          <w:u w:val="single" w:color="000000"/>
        </w:rPr>
        <w:t>12</w:t>
      </w:r>
      <w:r>
        <w:rPr>
          <w:u w:val="single" w:color="000000"/>
        </w:rPr>
        <w:t>）易平良先生，公司财务总监：曾任宁波德安集团总裁秘书、青岛中南置业有限公司</w:t>
      </w:r>
      <w:r>
        <w:rPr/>
      </w:r>
    </w:p>
    <w:p>
      <w:pPr>
        <w:pStyle w:val="BodyText"/>
        <w:spacing w:line="240" w:lineRule="auto" w:before="151"/>
        <w:ind w:right="0"/>
        <w:jc w:val="left"/>
      </w:pPr>
      <w:r>
        <w:rPr>
          <w:rFonts w:ascii="Times New Roman" w:hAnsi="Times New Roman" w:cs="Times New Roman" w:eastAsia="Times New Roman" w:hint="default"/>
        </w:rPr>
      </w:r>
      <w:r>
        <w:rPr>
          <w:rFonts w:ascii="Times New Roman" w:hAnsi="Times New Roman" w:cs="Times New Roman" w:eastAsia="Times New Roman" w:hint="default"/>
          <w:spacing w:val="-60"/>
          <w:u w:val="single" w:color="000000"/>
        </w:rPr>
        <w:t> </w:t>
      </w:r>
      <w:r>
        <w:rPr>
          <w:u w:val="single" w:color="000000"/>
        </w:rPr>
        <w:t>财务负责人、中南建设（</w:t>
      </w:r>
      <w:r>
        <w:rPr>
          <w:rFonts w:ascii="宋体" w:hAnsi="宋体" w:cs="宋体" w:eastAsia="宋体" w:hint="default"/>
          <w:u w:val="single" w:color="000000"/>
        </w:rPr>
        <w:t>000961</w:t>
      </w:r>
      <w:r>
        <w:rPr>
          <w:u w:val="single" w:color="000000"/>
        </w:rPr>
        <w:t>）下辖青岛海湾新城房地产有限公司财务负责人、青岛亚星</w:t>
      </w:r>
      <w:r>
        <w:rPr/>
      </w:r>
    </w:p>
    <w:p>
      <w:pPr>
        <w:spacing w:after="0" w:line="240" w:lineRule="auto"/>
        <w:jc w:val="left"/>
        <w:sectPr>
          <w:pgSz w:w="11910" w:h="16840"/>
          <w:pgMar w:header="0" w:footer="956" w:top="1060" w:bottom="1140" w:left="1020" w:right="0"/>
        </w:sectPr>
      </w:pPr>
    </w:p>
    <w:p>
      <w:pPr>
        <w:pStyle w:val="BodyText"/>
        <w:spacing w:line="240" w:lineRule="auto" w:before="14"/>
        <w:ind w:left="212" w:right="1034"/>
        <w:jc w:val="left"/>
      </w:pPr>
      <w:r>
        <w:rPr>
          <w:rFonts w:ascii="Times New Roman" w:hAnsi="Times New Roman" w:cs="Times New Roman" w:eastAsia="Times New Roman" w:hint="default"/>
        </w:rPr>
      </w:r>
      <w:r>
        <w:rPr>
          <w:rFonts w:ascii="Times New Roman" w:hAnsi="Times New Roman" w:cs="Times New Roman" w:eastAsia="Times New Roman" w:hint="default"/>
          <w:spacing w:val="-60"/>
          <w:u w:val="single" w:color="000000"/>
        </w:rPr>
        <w:t> </w:t>
      </w:r>
      <w:r>
        <w:rPr>
          <w:u w:val="single" w:color="000000"/>
        </w:rPr>
        <w:t>实业有限公司财务管理部经理，现任本公司财务总监。</w:t>
      </w:r>
      <w:r>
        <w:rPr/>
      </w:r>
    </w:p>
    <w:p>
      <w:pPr>
        <w:spacing w:line="240" w:lineRule="auto" w:before="13"/>
        <w:rPr>
          <w:rFonts w:ascii="宋体" w:hAnsi="宋体" w:cs="宋体" w:eastAsia="宋体" w:hint="default"/>
          <w:sz w:val="18"/>
          <w:szCs w:val="18"/>
        </w:rPr>
      </w:pPr>
    </w:p>
    <w:p>
      <w:pPr>
        <w:pStyle w:val="BodyText"/>
        <w:spacing w:line="240" w:lineRule="auto" w:before="26"/>
        <w:ind w:left="753" w:right="1034"/>
        <w:jc w:val="left"/>
      </w:pPr>
      <w:r>
        <w:rPr>
          <w:rFonts w:ascii="Times New Roman" w:hAnsi="Times New Roman" w:cs="Times New Roman" w:eastAsia="Times New Roman" w:hint="default"/>
        </w:rPr>
        <w:t>3</w:t>
      </w:r>
      <w:r>
        <w:rPr/>
        <w:t>、董事、监事和高级管理人员年度报酬情况</w:t>
      </w:r>
    </w:p>
    <w:p>
      <w:pPr>
        <w:pStyle w:val="BodyText"/>
        <w:spacing w:line="345" w:lineRule="auto" w:before="176"/>
        <w:ind w:left="212" w:right="1170" w:firstLine="480"/>
        <w:jc w:val="both"/>
      </w:pPr>
      <w:r>
        <w:rPr>
          <w:rFonts w:ascii="Times New Roman" w:hAnsi="Times New Roman" w:cs="Times New Roman" w:eastAsia="Times New Roman" w:hint="default"/>
          <w:spacing w:val="-3"/>
        </w:rPr>
        <w:t>1</w:t>
      </w:r>
      <w:r>
        <w:rPr>
          <w:spacing w:val="-3"/>
        </w:rPr>
        <w:t>）《董事、监事薪酬制度》已经公司</w:t>
      </w:r>
      <w:r>
        <w:rPr>
          <w:rFonts w:ascii="Times New Roman" w:hAnsi="Times New Roman" w:cs="Times New Roman" w:eastAsia="Times New Roman" w:hint="default"/>
          <w:spacing w:val="-3"/>
        </w:rPr>
        <w:t>2009</w:t>
      </w:r>
      <w:r>
        <w:rPr>
          <w:spacing w:val="-3"/>
        </w:rPr>
        <w:t>年年度股东大会审议通过。根据《关于在上市</w:t>
      </w:r>
      <w:r>
        <w:rPr/>
        <w:t> 公司建立独立董事制度的指导意见》的有关规定，结合公司实际情况，公司独立董事的津贴 </w:t>
      </w:r>
      <w:r>
        <w:rPr>
          <w:spacing w:val="-4"/>
        </w:rPr>
        <w:t>标准为每年</w:t>
      </w:r>
      <w:r>
        <w:rPr>
          <w:rFonts w:ascii="Times New Roman" w:hAnsi="Times New Roman" w:cs="Times New Roman" w:eastAsia="Times New Roman" w:hint="default"/>
          <w:spacing w:val="-4"/>
        </w:rPr>
        <w:t>4.5</w:t>
      </w:r>
      <w:r>
        <w:rPr>
          <w:spacing w:val="-4"/>
        </w:rPr>
        <w:t>万元（税后），每月发放。非独立董事和监事不在公司领取津贴。</w:t>
      </w:r>
    </w:p>
    <w:p>
      <w:pPr>
        <w:pStyle w:val="BodyText"/>
        <w:spacing w:line="240" w:lineRule="auto" w:before="136"/>
        <w:ind w:left="755" w:right="1034"/>
        <w:jc w:val="left"/>
      </w:pPr>
      <w:r>
        <w:rPr/>
        <w:t>公司董事、独立董事和监事因本公司事务发生的差旅、食宿等费用，由公司给予报销。</w:t>
      </w:r>
    </w:p>
    <w:p>
      <w:pPr>
        <w:pStyle w:val="BodyText"/>
        <w:spacing w:line="240" w:lineRule="auto" w:before="154"/>
        <w:ind w:left="755" w:right="1034"/>
        <w:jc w:val="left"/>
      </w:pPr>
      <w:r>
        <w:rPr>
          <w:rFonts w:ascii="Times New Roman" w:hAnsi="Times New Roman" w:cs="Times New Roman" w:eastAsia="Times New Roman" w:hint="default"/>
        </w:rPr>
        <w:t>4</w:t>
      </w:r>
      <w:r>
        <w:rPr/>
        <w:t>、报告期离任董事、监事及高级管理人员情况</w:t>
      </w:r>
    </w:p>
    <w:p>
      <w:pPr>
        <w:spacing w:line="240" w:lineRule="auto" w:before="6"/>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647"/>
        <w:gridCol w:w="2422"/>
        <w:gridCol w:w="3060"/>
        <w:gridCol w:w="2417"/>
      </w:tblGrid>
      <w:tr>
        <w:trPr>
          <w:trHeight w:val="283" w:hRule="exact"/>
        </w:trPr>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离任日期</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胡滨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辞职</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26"/>
        <w:ind w:left="753" w:right="1034"/>
        <w:jc w:val="left"/>
      </w:pPr>
      <w:r>
        <w:rPr/>
        <w:t>（二）公司员工情况</w:t>
      </w:r>
    </w:p>
    <w:p>
      <w:pPr>
        <w:spacing w:line="240" w:lineRule="auto" w:before="10"/>
        <w:rPr>
          <w:rFonts w:ascii="宋体" w:hAnsi="宋体" w:cs="宋体" w:eastAsia="宋体" w:hint="default"/>
          <w:sz w:val="20"/>
          <w:szCs w:val="20"/>
        </w:rPr>
      </w:pPr>
    </w:p>
    <w:p>
      <w:pPr>
        <w:pStyle w:val="BodyText"/>
        <w:spacing w:line="338" w:lineRule="auto" w:before="0"/>
        <w:ind w:left="212" w:right="1117" w:firstLine="540"/>
        <w:jc w:val="left"/>
      </w:pPr>
      <w:r>
        <w:rPr/>
        <w:t>截止报告期末，公司员工共计 </w:t>
      </w:r>
      <w:r>
        <w:rPr>
          <w:rFonts w:ascii="Times New Roman" w:hAnsi="Times New Roman" w:cs="Times New Roman" w:eastAsia="Times New Roman" w:hint="default"/>
        </w:rPr>
        <w:t>54</w:t>
      </w:r>
      <w:r>
        <w:rPr>
          <w:rFonts w:ascii="Times New Roman" w:hAnsi="Times New Roman" w:cs="Times New Roman" w:eastAsia="Times New Roman" w:hint="default"/>
          <w:spacing w:val="37"/>
        </w:rPr>
        <w:t> </w:t>
      </w:r>
      <w:r>
        <w:rPr/>
        <w:t>人。公司执行深圳市、青岛市和兖州市的社会保险制 度，无离退休员工。</w:t>
      </w:r>
    </w:p>
    <w:p>
      <w:pPr>
        <w:spacing w:line="240" w:lineRule="auto" w:before="2"/>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4928"/>
        <w:gridCol w:w="4928"/>
      </w:tblGrid>
      <w:tr>
        <w:trPr>
          <w:trHeight w:val="283" w:hRule="exact"/>
        </w:trPr>
        <w:tc>
          <w:tcPr>
            <w:tcW w:w="9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按专业构成分</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4"/>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行政管理人员</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16</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工程人员</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22</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8</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营销人员</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6</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其他人员</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6</w:t>
            </w:r>
          </w:p>
        </w:tc>
      </w:tr>
      <w:tr>
        <w:trPr>
          <w:trHeight w:val="283" w:hRule="exact"/>
        </w:trPr>
        <w:tc>
          <w:tcPr>
            <w:tcW w:w="9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按教育程度分</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4"/>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大本及以上</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22</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21</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6</w:t>
            </w:r>
          </w:p>
        </w:tc>
      </w:tr>
    </w:tbl>
    <w:p>
      <w:pPr>
        <w:spacing w:after="0" w:line="237" w:lineRule="exact"/>
        <w:jc w:val="center"/>
        <w:rPr>
          <w:rFonts w:ascii="Times New Roman" w:hAnsi="Times New Roman" w:cs="Times New Roman" w:eastAsia="Times New Roman" w:hint="default"/>
          <w:sz w:val="21"/>
          <w:szCs w:val="21"/>
        </w:rPr>
        <w:sectPr>
          <w:pgSz w:w="11910" w:h="16840"/>
          <w:pgMar w:header="0" w:footer="956" w:top="1060" w:bottom="1140" w:left="920" w:right="0"/>
        </w:sectPr>
      </w:pPr>
    </w:p>
    <w:p>
      <w:pPr>
        <w:pStyle w:val="Heading1"/>
        <w:tabs>
          <w:tab w:pos="4611" w:val="left" w:leader="none"/>
        </w:tabs>
        <w:spacing w:line="401" w:lineRule="exact"/>
        <w:ind w:left="3325" w:right="0"/>
        <w:jc w:val="left"/>
        <w:rPr>
          <w:b w:val="0"/>
          <w:bCs w:val="0"/>
        </w:rPr>
      </w:pPr>
      <w:bookmarkStart w:name="_TOC_250006" w:id="6"/>
      <w:r>
        <w:rPr>
          <w:w w:val="95"/>
        </w:rPr>
        <w:t>第六章</w:t>
        <w:tab/>
      </w:r>
      <w:r>
        <w:rPr/>
        <w:t>公司治理结构</w:t>
      </w:r>
      <w:bookmarkEnd w:id="6"/>
      <w:r>
        <w:rPr>
          <w:b w:val="0"/>
          <w:bCs w:val="0"/>
        </w:rPr>
      </w:r>
    </w:p>
    <w:p>
      <w:pPr>
        <w:spacing w:line="240" w:lineRule="auto" w:before="0"/>
        <w:rPr>
          <w:rFonts w:ascii="宋体" w:hAnsi="宋体" w:cs="宋体" w:eastAsia="宋体" w:hint="default"/>
          <w:b/>
          <w:bCs/>
          <w:sz w:val="20"/>
          <w:szCs w:val="20"/>
        </w:rPr>
      </w:pPr>
    </w:p>
    <w:p>
      <w:pPr>
        <w:pStyle w:val="BodyText"/>
        <w:spacing w:line="446" w:lineRule="auto" w:before="195"/>
        <w:ind w:left="653" w:right="0"/>
        <w:jc w:val="left"/>
      </w:pPr>
      <w:r>
        <w:rPr/>
        <w:t>（一）公司内部治理情况 </w:t>
      </w:r>
      <w:r>
        <w:rPr>
          <w:spacing w:val="-13"/>
        </w:rPr>
        <w:t>自重组以来，公司一直把法人治理工作做为一项长期首要任务来抓，按照《公司法》、《证</w:t>
      </w:r>
    </w:p>
    <w:p>
      <w:pPr>
        <w:pStyle w:val="BodyText"/>
        <w:spacing w:line="262" w:lineRule="exact" w:before="0"/>
        <w:ind w:right="0"/>
        <w:jc w:val="both"/>
      </w:pPr>
      <w:r>
        <w:rPr/>
        <w:t>券法</w:t>
      </w:r>
      <w:r>
        <w:rPr>
          <w:spacing w:val="-118"/>
        </w:rPr>
        <w:t>》</w:t>
      </w:r>
      <w:r>
        <w:rPr>
          <w:spacing w:val="-120"/>
        </w:rPr>
        <w:t>、</w:t>
      </w:r>
      <w:r>
        <w:rPr/>
        <w:t>《</w:t>
      </w:r>
      <w:r>
        <w:rPr>
          <w:spacing w:val="2"/>
        </w:rPr>
        <w:t>上</w:t>
      </w:r>
      <w:r>
        <w:rPr/>
        <w:t>市</w:t>
      </w:r>
      <w:r>
        <w:rPr>
          <w:spacing w:val="2"/>
        </w:rPr>
        <w:t>公</w:t>
      </w:r>
      <w:r>
        <w:rPr/>
        <w:t>司治</w:t>
      </w:r>
      <w:r>
        <w:rPr>
          <w:spacing w:val="2"/>
        </w:rPr>
        <w:t>理</w:t>
      </w:r>
      <w:r>
        <w:rPr/>
        <w:t>准则</w:t>
      </w:r>
      <w:r>
        <w:rPr>
          <w:spacing w:val="2"/>
        </w:rPr>
        <w:t>》</w:t>
      </w:r>
      <w:r>
        <w:rPr/>
        <w:t>等国</w:t>
      </w:r>
      <w:r>
        <w:rPr>
          <w:spacing w:val="2"/>
        </w:rPr>
        <w:t>家</w:t>
      </w:r>
      <w:r>
        <w:rPr/>
        <w:t>有</w:t>
      </w:r>
      <w:r>
        <w:rPr>
          <w:spacing w:val="2"/>
        </w:rPr>
        <w:t>关</w:t>
      </w:r>
      <w:r>
        <w:rPr/>
        <w:t>法</w:t>
      </w:r>
      <w:r>
        <w:rPr>
          <w:spacing w:val="2"/>
        </w:rPr>
        <w:t>律、</w:t>
      </w:r>
      <w:r>
        <w:rPr/>
        <w:t>行</w:t>
      </w:r>
      <w:r>
        <w:rPr>
          <w:spacing w:val="2"/>
        </w:rPr>
        <w:t>政</w:t>
      </w:r>
      <w:r>
        <w:rPr/>
        <w:t>法规</w:t>
      </w:r>
      <w:r>
        <w:rPr>
          <w:spacing w:val="2"/>
        </w:rPr>
        <w:t>要</w:t>
      </w:r>
      <w:r>
        <w:rPr/>
        <w:t>求</w:t>
      </w:r>
      <w:r>
        <w:rPr>
          <w:spacing w:val="2"/>
        </w:rPr>
        <w:t>，</w:t>
      </w:r>
      <w:r>
        <w:rPr/>
        <w:t>不</w:t>
      </w:r>
      <w:r>
        <w:rPr>
          <w:spacing w:val="2"/>
        </w:rPr>
        <w:t>断</w:t>
      </w:r>
      <w:r>
        <w:rPr/>
        <w:t>完善</w:t>
      </w:r>
      <w:r>
        <w:rPr>
          <w:spacing w:val="2"/>
        </w:rPr>
        <w:t>公</w:t>
      </w:r>
      <w:r>
        <w:rPr/>
        <w:t>司的</w:t>
      </w:r>
      <w:r>
        <w:rPr>
          <w:spacing w:val="2"/>
        </w:rPr>
        <w:t>法</w:t>
      </w:r>
      <w:r>
        <w:rPr/>
        <w:t>人</w:t>
      </w:r>
      <w:r>
        <w:rPr>
          <w:spacing w:val="2"/>
        </w:rPr>
        <w:t>治</w:t>
      </w:r>
      <w:r>
        <w:rPr/>
        <w:t>理结</w:t>
      </w:r>
    </w:p>
    <w:p>
      <w:pPr>
        <w:pStyle w:val="BodyText"/>
        <w:spacing w:line="448" w:lineRule="auto" w:before="151"/>
        <w:ind w:left="653" w:right="0" w:hanging="541"/>
        <w:jc w:val="left"/>
      </w:pPr>
      <w:r>
        <w:rPr/>
        <w:t>构，建立健全现代企业制度，规范公司运作，提升公司治理水平。 </w:t>
      </w:r>
      <w:r>
        <w:rPr>
          <w:spacing w:val="-1"/>
        </w:rPr>
        <w:t>报告期内，公司股东大会、董事会、监事会和经理层能够严格按照《公司法》、《证券</w:t>
      </w:r>
    </w:p>
    <w:p>
      <w:pPr>
        <w:pStyle w:val="BodyText"/>
        <w:spacing w:line="259" w:lineRule="exact" w:before="0"/>
        <w:ind w:right="0"/>
        <w:jc w:val="both"/>
      </w:pPr>
      <w:r>
        <w:rPr/>
        <w:t>法》、《上市公司治理准则》及深圳证券交易所《股票上市规则》和《公司章程》、《股东</w:t>
      </w:r>
    </w:p>
    <w:p>
      <w:pPr>
        <w:pStyle w:val="BodyText"/>
        <w:spacing w:line="357" w:lineRule="auto" w:before="151"/>
        <w:ind w:right="1138"/>
        <w:jc w:val="both"/>
      </w:pPr>
      <w:r>
        <w:rPr/>
        <w:t>大会议事规则》、《董事会议事规则》、《监事会议事规则》等相关法律法规和管理制度规</w:t>
      </w:r>
      <w:r>
        <w:rPr>
          <w:spacing w:val="-90"/>
        </w:rPr>
        <w:t> </w:t>
      </w:r>
      <w:r>
        <w:rPr>
          <w:spacing w:val="-90"/>
        </w:rPr>
      </w:r>
      <w:r>
        <w:rPr/>
        <w:t>范运作，与中国证监会颁布的《上市公司治理准则》及相关规范性文件相对照，目前公司治</w:t>
      </w:r>
      <w:r>
        <w:rPr>
          <w:spacing w:val="-91"/>
        </w:rPr>
        <w:t> </w:t>
      </w:r>
      <w:r>
        <w:rPr>
          <w:spacing w:val="-91"/>
        </w:rPr>
      </w:r>
      <w:r>
        <w:rPr/>
        <w:t>理的实际情况如下：</w:t>
      </w:r>
    </w:p>
    <w:p>
      <w:pPr>
        <w:pStyle w:val="BodyText"/>
        <w:spacing w:line="357" w:lineRule="auto" w:before="156"/>
        <w:ind w:right="1132" w:firstLine="540"/>
        <w:jc w:val="both"/>
      </w:pPr>
      <w:r>
        <w:rPr>
          <w:rFonts w:ascii="宋体" w:hAnsi="宋体" w:cs="宋体" w:eastAsia="宋体" w:hint="default"/>
          <w:spacing w:val="2"/>
        </w:rPr>
        <w:t>1</w:t>
      </w:r>
      <w:r>
        <w:rPr>
          <w:spacing w:val="2"/>
        </w:rPr>
        <w:t>、股东和股东大会：本公司严格按照《公司章程》、《股东大会议事规则》的规定履 </w:t>
      </w:r>
      <w:r>
        <w:rPr/>
        <w:t>行股东大会职能，确保股东大会以公正、公开的方式作出决议，最大限度地保护股东权益。</w:t>
      </w:r>
      <w:r>
        <w:rPr>
          <w:spacing w:val="-91"/>
        </w:rPr>
        <w:t> </w:t>
      </w:r>
      <w:r>
        <w:rPr>
          <w:spacing w:val="-91"/>
        </w:rPr>
      </w:r>
      <w:r>
        <w:rPr/>
        <w:t>在合法、有效的前提下，通过各种方式和途径，包括充分运用现代信息技术手段，扩大股东</w:t>
      </w:r>
      <w:r>
        <w:rPr>
          <w:spacing w:val="-91"/>
        </w:rPr>
        <w:t> </w:t>
      </w:r>
      <w:r>
        <w:rPr>
          <w:spacing w:val="-91"/>
        </w:rPr>
      </w:r>
      <w:r>
        <w:rPr/>
        <w:t>参与股东大会的比例，确保股东对法律、行政法规所规定的公司重大事项享有知情权和参与</w:t>
      </w:r>
      <w:r>
        <w:rPr>
          <w:spacing w:val="-91"/>
        </w:rPr>
        <w:t> </w:t>
      </w:r>
      <w:r>
        <w:rPr>
          <w:spacing w:val="-91"/>
        </w:rPr>
      </w:r>
      <w:r>
        <w:rPr/>
        <w:t>决定权。</w:t>
      </w:r>
    </w:p>
    <w:p>
      <w:pPr>
        <w:pStyle w:val="BodyText"/>
        <w:spacing w:line="357" w:lineRule="auto" w:before="154"/>
        <w:ind w:right="1133" w:firstLine="540"/>
        <w:jc w:val="both"/>
      </w:pPr>
      <w:r>
        <w:rPr>
          <w:rFonts w:ascii="宋体" w:hAnsi="宋体" w:cs="宋体" w:eastAsia="宋体" w:hint="default"/>
          <w:spacing w:val="2"/>
        </w:rPr>
        <w:t>2</w:t>
      </w:r>
      <w:r>
        <w:rPr>
          <w:spacing w:val="2"/>
        </w:rPr>
        <w:t>、控股股东和上市公司：公司与第一大股东及其关联方之间能够做到规范运作，第一 </w:t>
      </w:r>
      <w:r>
        <w:rPr/>
        <w:t>大股东通过股东大会依法行使出资人的权力，没有超越公司股东大会直接或间接干预公司的</w:t>
      </w:r>
      <w:r>
        <w:rPr>
          <w:spacing w:val="-91"/>
        </w:rPr>
        <w:t> </w:t>
      </w:r>
      <w:r>
        <w:rPr>
          <w:spacing w:val="-91"/>
        </w:rPr>
      </w:r>
      <w:r>
        <w:rPr/>
        <w:t>决策和经营活动的行为。公司与第一大股东之间在业务、人员、资产、机构、财务方面能够</w:t>
      </w:r>
      <w:r>
        <w:rPr>
          <w:spacing w:val="-91"/>
        </w:rPr>
        <w:t> </w:t>
      </w:r>
      <w:r>
        <w:rPr>
          <w:spacing w:val="-91"/>
        </w:rPr>
      </w:r>
      <w:r>
        <w:rPr/>
        <w:t>做到“五分开”。</w:t>
      </w:r>
    </w:p>
    <w:p>
      <w:pPr>
        <w:pStyle w:val="BodyText"/>
        <w:spacing w:line="357" w:lineRule="auto" w:before="154"/>
        <w:ind w:right="1139" w:firstLine="540"/>
        <w:jc w:val="both"/>
      </w:pPr>
      <w:r>
        <w:rPr>
          <w:rFonts w:ascii="宋体" w:hAnsi="宋体" w:cs="宋体" w:eastAsia="宋体" w:hint="default"/>
          <w:spacing w:val="2"/>
        </w:rPr>
        <w:t>3</w:t>
      </w:r>
      <w:r>
        <w:rPr>
          <w:spacing w:val="2"/>
        </w:rPr>
        <w:t>、董事和董事会：公司董事会按照《公司章程》和《董事会议事规则》开展工作，公</w:t>
      </w:r>
      <w:r>
        <w:rPr/>
        <w:t> 司董事以认真负责和诚信勤勉的态度切实履行《公司章程》赋予的权力和职责，积极出席董</w:t>
      </w:r>
      <w:r>
        <w:rPr>
          <w:spacing w:val="-91"/>
        </w:rPr>
        <w:t> </w:t>
      </w:r>
      <w:r>
        <w:rPr>
          <w:spacing w:val="-91"/>
        </w:rPr>
      </w:r>
      <w:r>
        <w:rPr/>
        <w:t>事会会议，并积极参加相关培训，依法行使权利。公司独立董事能够按照《独立董事工作制</w:t>
      </w:r>
      <w:r>
        <w:rPr>
          <w:spacing w:val="-91"/>
        </w:rPr>
        <w:t> </w:t>
      </w:r>
      <w:r>
        <w:rPr>
          <w:spacing w:val="-91"/>
        </w:rPr>
      </w:r>
      <w:r>
        <w:rPr/>
        <w:t>度》及其他相关制度，认真出席董事会会议，独立履行职责。</w:t>
      </w:r>
    </w:p>
    <w:p>
      <w:pPr>
        <w:pStyle w:val="BodyText"/>
        <w:spacing w:line="357" w:lineRule="auto" w:before="156"/>
        <w:ind w:right="1133" w:firstLine="540"/>
        <w:jc w:val="both"/>
      </w:pPr>
      <w:r>
        <w:rPr>
          <w:rFonts w:ascii="宋体" w:hAnsi="宋体" w:cs="宋体" w:eastAsia="宋体" w:hint="default"/>
          <w:spacing w:val="2"/>
        </w:rPr>
        <w:t>4</w:t>
      </w:r>
      <w:r>
        <w:rPr>
          <w:spacing w:val="2"/>
        </w:rPr>
        <w:t>、监事和监事会：公司严格按照《公司法》、《公司章程》等的有关规定产生监事， </w:t>
      </w:r>
      <w:r>
        <w:rPr/>
        <w:t>监事会的人数及构成符合法律、法规的要求。公司监事能认真履行职责，能够本着对股东负</w:t>
      </w:r>
      <w:r>
        <w:rPr>
          <w:spacing w:val="-88"/>
        </w:rPr>
        <w:t> </w:t>
      </w:r>
      <w:r>
        <w:rPr>
          <w:spacing w:val="-88"/>
        </w:rPr>
      </w:r>
      <w:r>
        <w:rPr/>
        <w:t>责的精神，独立有效地行使监督和检查职能，对公司经营决策、关联交易、重大事项、公司</w:t>
      </w:r>
      <w:r>
        <w:rPr>
          <w:spacing w:val="-91"/>
        </w:rPr>
        <w:t> </w:t>
      </w:r>
      <w:r>
        <w:rPr>
          <w:spacing w:val="-91"/>
        </w:rPr>
      </w:r>
      <w:r>
        <w:rPr/>
        <w:t>财务及依法运作情况和董事、高管人员履行职责的合法性、合规性进行有效监督。</w:t>
      </w:r>
    </w:p>
    <w:p>
      <w:pPr>
        <w:pStyle w:val="BodyText"/>
        <w:spacing w:line="240" w:lineRule="auto" w:before="156"/>
        <w:ind w:left="653" w:right="0"/>
        <w:jc w:val="left"/>
      </w:pPr>
      <w:r>
        <w:rPr>
          <w:rFonts w:ascii="宋体" w:hAnsi="宋体" w:cs="宋体" w:eastAsia="宋体" w:hint="default"/>
          <w:spacing w:val="2"/>
        </w:rPr>
        <w:t>5</w:t>
      </w:r>
      <w:r>
        <w:rPr>
          <w:spacing w:val="2"/>
        </w:rPr>
        <w:t>、绩效评价与激励约束机制：鉴于报告期内公司正进行重大资产重组，因此尚未建立</w:t>
      </w:r>
      <w:r>
        <w:rPr/>
      </w:r>
    </w:p>
    <w:p>
      <w:pPr>
        <w:spacing w:after="0" w:line="240" w:lineRule="auto"/>
        <w:jc w:val="left"/>
        <w:sectPr>
          <w:pgSz w:w="11910" w:h="16840"/>
          <w:pgMar w:header="0" w:footer="956" w:top="1080" w:bottom="1140" w:left="1020" w:right="0"/>
        </w:sectPr>
      </w:pPr>
    </w:p>
    <w:p>
      <w:pPr>
        <w:pStyle w:val="BodyText"/>
        <w:spacing w:line="357" w:lineRule="auto" w:before="14"/>
        <w:ind w:right="1135"/>
        <w:jc w:val="both"/>
      </w:pPr>
      <w:r>
        <w:rPr/>
        <w:t>董事、监事及高级管理人员绩效评价标准与激励约束机制。随着公司重组和恢复上市工作的</w:t>
      </w:r>
      <w:r>
        <w:rPr>
          <w:spacing w:val="-88"/>
        </w:rPr>
        <w:t> </w:t>
      </w:r>
      <w:r>
        <w:rPr>
          <w:spacing w:val="-88"/>
        </w:rPr>
      </w:r>
      <w:r>
        <w:rPr/>
        <w:t>推进，公司正在积极考虑建立董事、监事及高级管理人员绩效评价标准与激励约束机制。</w:t>
      </w:r>
    </w:p>
    <w:p>
      <w:pPr>
        <w:pStyle w:val="BodyText"/>
        <w:spacing w:line="355" w:lineRule="auto" w:before="156"/>
        <w:ind w:right="1142" w:firstLine="540"/>
        <w:jc w:val="both"/>
      </w:pPr>
      <w:r>
        <w:rPr>
          <w:rFonts w:ascii="宋体" w:hAnsi="宋体" w:cs="宋体" w:eastAsia="宋体" w:hint="default"/>
          <w:spacing w:val="2"/>
        </w:rPr>
        <w:t>6</w:t>
      </w:r>
      <w:r>
        <w:rPr>
          <w:spacing w:val="2"/>
        </w:rPr>
        <w:t>、相关利益者：公司充分尊重和维护相关利益者的合法权益，实现社会、债权人、股</w:t>
      </w:r>
      <w:r>
        <w:rPr/>
        <w:t> 东、公司、员工等各方利益的协调平衡，共同推动公司持续、稳健发展。</w:t>
      </w:r>
    </w:p>
    <w:p>
      <w:pPr>
        <w:pStyle w:val="BodyText"/>
        <w:spacing w:line="240" w:lineRule="auto" w:before="158"/>
        <w:ind w:left="653" w:right="0"/>
        <w:jc w:val="left"/>
      </w:pPr>
      <w:r>
        <w:rPr>
          <w:rFonts w:ascii="宋体" w:hAnsi="宋体" w:cs="宋体" w:eastAsia="宋体" w:hint="default"/>
          <w:spacing w:val="-7"/>
        </w:rPr>
        <w:t>7</w:t>
      </w:r>
      <w:r>
        <w:rPr>
          <w:spacing w:val="-7"/>
        </w:rPr>
        <w:t>、关于信息披露与透明度：公司按照《上海证券交易所股票上市规则》、《公司章程》、</w:t>
      </w:r>
    </w:p>
    <w:p>
      <w:pPr>
        <w:pStyle w:val="BodyText"/>
        <w:spacing w:line="357" w:lineRule="auto" w:before="151"/>
        <w:ind w:right="1135"/>
        <w:jc w:val="both"/>
      </w:pPr>
      <w:r>
        <w:rPr/>
        <w:t>《公司信息披露管理制度》等规定，设立专门机构并配备了相应人员，依法履行信息披露义</w:t>
      </w:r>
      <w:r>
        <w:rPr>
          <w:spacing w:val="-91"/>
        </w:rPr>
        <w:t> </w:t>
      </w:r>
      <w:r>
        <w:rPr>
          <w:spacing w:val="-91"/>
        </w:rPr>
      </w:r>
      <w:r>
        <w:rPr/>
        <w:t>务，确保信息披露真实、及时、准确、完整。同时，不断增加公司的透明度，确保所有股东</w:t>
      </w:r>
      <w:r>
        <w:rPr>
          <w:spacing w:val="-88"/>
        </w:rPr>
        <w:t> </w:t>
      </w:r>
      <w:r>
        <w:rPr>
          <w:spacing w:val="-88"/>
        </w:rPr>
      </w:r>
      <w:r>
        <w:rPr/>
        <w:t>有平等的机会获得公司应披露的信息。</w:t>
      </w:r>
    </w:p>
    <w:p>
      <w:pPr>
        <w:pStyle w:val="BodyText"/>
        <w:spacing w:line="355" w:lineRule="auto" w:before="157"/>
        <w:ind w:left="713" w:right="0" w:hanging="60"/>
        <w:jc w:val="left"/>
      </w:pPr>
      <w:r>
        <w:rPr/>
        <w:t>（二）公司治理专项活动的开展情况 </w:t>
      </w:r>
      <w:r>
        <w:rPr>
          <w:spacing w:val="-3"/>
        </w:rPr>
        <w:t>根据中国证券监督管理委员会深圳监管局（以下简称“深圳证监局”）下发的《关于在</w:t>
      </w:r>
    </w:p>
    <w:p>
      <w:pPr>
        <w:pStyle w:val="BodyText"/>
        <w:spacing w:line="357" w:lineRule="auto" w:before="38"/>
        <w:ind w:right="1000"/>
        <w:jc w:val="left"/>
      </w:pPr>
      <w:r>
        <w:rPr>
          <w:spacing w:val="-2"/>
        </w:rPr>
        <w:t>深圳辖区上市公司全面深入开展规范财务会计基础工作专项活动的通知》（深证局发〔</w:t>
      </w:r>
      <w:r>
        <w:rPr>
          <w:rFonts w:ascii="宋体" w:hAnsi="宋体" w:cs="宋体" w:eastAsia="宋体" w:hint="default"/>
          <w:spacing w:val="-2"/>
        </w:rPr>
        <w:t>2010</w:t>
      </w:r>
      <w:r>
        <w:rPr>
          <w:spacing w:val="-2"/>
        </w:rPr>
        <w:t>〕</w:t>
      </w:r>
      <w:r>
        <w:rPr>
          <w:spacing w:val="-112"/>
        </w:rPr>
        <w:t> </w:t>
      </w:r>
      <w:r>
        <w:rPr>
          <w:rFonts w:ascii="宋体" w:hAnsi="宋体" w:cs="宋体" w:eastAsia="宋体" w:hint="default"/>
        </w:rPr>
        <w:t>109</w:t>
      </w:r>
      <w:r>
        <w:rPr>
          <w:rFonts w:ascii="宋体" w:hAnsi="宋体" w:cs="宋体" w:eastAsia="宋体" w:hint="default"/>
          <w:spacing w:val="-66"/>
        </w:rPr>
        <w:t> </w:t>
      </w:r>
      <w:r>
        <w:rPr/>
        <w:t>号）（以下简称“专项活动”）相关要求，公司《关于深入开展规范</w:t>
      </w:r>
      <w:r>
        <w:rPr>
          <w:spacing w:val="-66"/>
        </w:rPr>
        <w:t> </w:t>
      </w:r>
      <w:r>
        <w:rPr>
          <w:rFonts w:ascii="宋体" w:hAnsi="宋体" w:cs="宋体" w:eastAsia="宋体" w:hint="default"/>
        </w:rPr>
        <w:t>ST</w:t>
      </w:r>
      <w:r>
        <w:rPr>
          <w:rFonts w:ascii="宋体" w:hAnsi="宋体" w:cs="宋体" w:eastAsia="宋体" w:hint="default"/>
          <w:spacing w:val="-66"/>
        </w:rPr>
        <w:t> </w:t>
      </w:r>
      <w:r>
        <w:rPr/>
        <w:t>大通财务会计基 础工作专项活动的总体计划》（以下简称“总体计划”），以及公司《财务会计基础工作专</w:t>
      </w:r>
      <w:r>
        <w:rPr>
          <w:spacing w:val="-90"/>
        </w:rPr>
        <w:t> </w:t>
      </w:r>
      <w:r>
        <w:rPr>
          <w:spacing w:val="-90"/>
        </w:rPr>
      </w:r>
      <w:r>
        <w:rPr>
          <w:spacing w:val="-3"/>
        </w:rPr>
        <w:t>项活动的自查报告》（以下简称“自查报告”），依据《关于填报</w:t>
      </w:r>
      <w:r>
        <w:rPr>
          <w:rFonts w:ascii="宋体" w:hAnsi="宋体" w:cs="宋体" w:eastAsia="宋体" w:hint="default"/>
          <w:spacing w:val="-3"/>
        </w:rPr>
        <w:t>&lt;</w:t>
      </w:r>
      <w:r>
        <w:rPr>
          <w:spacing w:val="-3"/>
        </w:rPr>
        <w:t>深圳辖区上市公司财务会</w:t>
      </w:r>
      <w:r>
        <w:rPr>
          <w:spacing w:val="-80"/>
        </w:rPr>
        <w:t> </w:t>
      </w:r>
      <w:r>
        <w:rPr>
          <w:spacing w:val="-4"/>
        </w:rPr>
        <w:t>计基础工作调查问卷</w:t>
      </w:r>
      <w:r>
        <w:rPr>
          <w:rFonts w:ascii="宋体" w:hAnsi="宋体" w:cs="宋体" w:eastAsia="宋体" w:hint="default"/>
          <w:spacing w:val="-4"/>
        </w:rPr>
        <w:t>&gt;</w:t>
      </w:r>
      <w:r>
        <w:rPr>
          <w:spacing w:val="-4"/>
        </w:rPr>
        <w:t>的通知》（深圳局公司字〔</w:t>
      </w:r>
      <w:r>
        <w:rPr>
          <w:rFonts w:ascii="宋体" w:hAnsi="宋体" w:cs="宋体" w:eastAsia="宋体" w:hint="default"/>
          <w:spacing w:val="-4"/>
        </w:rPr>
        <w:t>2009</w:t>
      </w:r>
      <w:r>
        <w:rPr>
          <w:spacing w:val="-4"/>
        </w:rPr>
        <w:t>〕</w:t>
      </w:r>
      <w:r>
        <w:rPr>
          <w:rFonts w:ascii="宋体" w:hAnsi="宋体" w:cs="宋体" w:eastAsia="宋体" w:hint="default"/>
          <w:spacing w:val="-4"/>
        </w:rPr>
        <w:t>30</w:t>
      </w:r>
      <w:r>
        <w:rPr>
          <w:rFonts w:ascii="宋体" w:hAnsi="宋体" w:cs="宋体" w:eastAsia="宋体" w:hint="default"/>
          <w:spacing w:val="-36"/>
        </w:rPr>
        <w:t> </w:t>
      </w:r>
      <w:r>
        <w:rPr>
          <w:spacing w:val="-11"/>
        </w:rPr>
        <w:t>号，以下简称“《调查问卷》”），</w:t>
      </w:r>
    </w:p>
    <w:p>
      <w:pPr>
        <w:pStyle w:val="BodyText"/>
        <w:spacing w:line="357" w:lineRule="auto"/>
        <w:ind w:right="1129"/>
        <w:jc w:val="both"/>
      </w:pPr>
      <w:r>
        <w:rPr/>
        <w:t>《关于深圳辖区上市公司财务会计基础工作常见问题的通报》（深证局发〔</w:t>
      </w:r>
      <w:r>
        <w:rPr>
          <w:rFonts w:ascii="宋体" w:hAnsi="宋体" w:cs="宋体" w:eastAsia="宋体" w:hint="default"/>
        </w:rPr>
        <w:t>2010</w:t>
      </w:r>
      <w:r>
        <w:rPr/>
        <w:t>〕</w:t>
      </w:r>
      <w:r>
        <w:rPr>
          <w:rFonts w:ascii="宋体" w:hAnsi="宋体" w:cs="宋体" w:eastAsia="宋体" w:hint="default"/>
        </w:rPr>
        <w:t>45</w:t>
      </w:r>
      <w:r>
        <w:rPr>
          <w:rFonts w:ascii="宋体" w:hAnsi="宋体" w:cs="宋体" w:eastAsia="宋体" w:hint="default"/>
          <w:spacing w:val="-80"/>
        </w:rPr>
        <w:t> </w:t>
      </w:r>
      <w:r>
        <w:rPr/>
        <w:t>号，以 </w:t>
      </w:r>
      <w:r>
        <w:rPr>
          <w:spacing w:val="-5"/>
        </w:rPr>
        <w:t>下简称“《常见问题》”），《企业内部控制应用指引》、《企业内部控制评价指引》、《企</w:t>
      </w:r>
      <w:r>
        <w:rPr/>
        <w:t> 业内部控制审计指引》（以下共称“配套指引”），全面深入地开展了整改活动。整改活动</w:t>
      </w:r>
      <w:r>
        <w:rPr>
          <w:spacing w:val="-91"/>
        </w:rPr>
        <w:t> </w:t>
      </w:r>
      <w:r>
        <w:rPr>
          <w:spacing w:val="-91"/>
        </w:rPr>
      </w:r>
      <w:r>
        <w:rPr/>
        <w:t>主要包括两方面的工作：一是逐一解决“自查报告”中提到的问题；二是对整改活动中新发</w:t>
      </w:r>
      <w:r>
        <w:rPr>
          <w:spacing w:val="-89"/>
        </w:rPr>
        <w:t> </w:t>
      </w:r>
      <w:r>
        <w:rPr>
          <w:spacing w:val="-89"/>
        </w:rPr>
      </w:r>
      <w:r>
        <w:rPr/>
        <w:t>现的《调查问卷》和《常见问题》中提到的其他问题的解决；三是稳步推进“总体计划”的</w:t>
      </w:r>
      <w:r>
        <w:rPr>
          <w:spacing w:val="-91"/>
        </w:rPr>
        <w:t> </w:t>
      </w:r>
      <w:r>
        <w:rPr>
          <w:spacing w:val="-91"/>
        </w:rPr>
      </w:r>
      <w:r>
        <w:rPr/>
        <w:t>实施。</w:t>
      </w:r>
    </w:p>
    <w:p>
      <w:pPr>
        <w:pStyle w:val="BodyText"/>
        <w:spacing w:line="357" w:lineRule="auto" w:before="156"/>
        <w:ind w:right="1135" w:firstLine="480"/>
        <w:jc w:val="both"/>
      </w:pPr>
      <w:r>
        <w:rPr/>
        <w:t>公司董事会和管理层高度重视整改活动。在整改活动期间，公司“规范财务会计基础工 作领导小组”成员：公司总经理许亚楠，财务总监易平良、董事会秘书刘仕保、证券事务代</w:t>
      </w:r>
      <w:r>
        <w:rPr>
          <w:spacing w:val="-91"/>
        </w:rPr>
        <w:t> </w:t>
      </w:r>
      <w:r>
        <w:rPr>
          <w:spacing w:val="-91"/>
        </w:rPr>
      </w:r>
      <w:r>
        <w:rPr/>
        <w:t>表王本刚分别先后到子公司青岛广顺地产、兖州海情置业、泗水海情置业现场调研财务会计</w:t>
      </w:r>
      <w:r>
        <w:rPr>
          <w:spacing w:val="-91"/>
        </w:rPr>
        <w:t> </w:t>
      </w:r>
      <w:r>
        <w:rPr>
          <w:spacing w:val="-91"/>
        </w:rPr>
      </w:r>
      <w:r>
        <w:rPr/>
        <w:t>工作。董事会审计委员会成员、独立董事舒强兴、独立董事王洪、董事张庆文到青岛广顺地</w:t>
      </w:r>
      <w:r>
        <w:rPr>
          <w:spacing w:val="-91"/>
        </w:rPr>
        <w:t> </w:t>
      </w:r>
      <w:r>
        <w:rPr>
          <w:spacing w:val="-91"/>
        </w:rPr>
      </w:r>
      <w:r>
        <w:rPr/>
        <w:t>产现场检查、督导财务会计工作。整改活动得到了公司及子公司管理层的大力支持。各层级</w:t>
      </w:r>
      <w:r>
        <w:rPr>
          <w:spacing w:val="-87"/>
        </w:rPr>
        <w:t> </w:t>
      </w:r>
      <w:r>
        <w:rPr>
          <w:spacing w:val="-87"/>
        </w:rPr>
      </w:r>
      <w:r>
        <w:rPr/>
        <w:t>管理层负责人完成了对财务负责人、财务人员的履职评估，改善了财务会计人员的工作环境</w:t>
      </w:r>
      <w:r>
        <w:rPr>
          <w:spacing w:val="-91"/>
        </w:rPr>
        <w:t> </w:t>
      </w:r>
      <w:r>
        <w:rPr>
          <w:spacing w:val="-91"/>
        </w:rPr>
      </w:r>
      <w:r>
        <w:rPr/>
        <w:t>和办公条件。</w:t>
      </w:r>
    </w:p>
    <w:p>
      <w:pPr>
        <w:pStyle w:val="BodyText"/>
        <w:spacing w:line="240" w:lineRule="auto" w:before="154"/>
        <w:ind w:left="653" w:right="0"/>
        <w:jc w:val="left"/>
      </w:pPr>
      <w:r>
        <w:rPr>
          <w:rFonts w:ascii="宋体" w:hAnsi="宋体" w:cs="宋体" w:eastAsia="宋体" w:hint="default"/>
        </w:rPr>
        <w:t>1</w:t>
      </w:r>
      <w:r>
        <w:rPr/>
        <w:t>、“自查报告”中整改计划推进情况</w:t>
      </w:r>
    </w:p>
    <w:p>
      <w:pPr>
        <w:spacing w:after="0" w:line="240" w:lineRule="auto"/>
        <w:jc w:val="left"/>
        <w:sectPr>
          <w:pgSz w:w="11910" w:h="16840"/>
          <w:pgMar w:header="0" w:footer="956" w:top="1060" w:bottom="1140" w:left="1020" w:right="0"/>
        </w:sectPr>
      </w:pPr>
    </w:p>
    <w:p>
      <w:pPr>
        <w:pStyle w:val="BodyText"/>
        <w:spacing w:line="357" w:lineRule="auto" w:before="14"/>
        <w:ind w:right="1133" w:firstLine="540"/>
        <w:jc w:val="both"/>
      </w:pPr>
      <w:r>
        <w:rPr>
          <w:rFonts w:ascii="宋体" w:hAnsi="宋体" w:cs="宋体" w:eastAsia="宋体" w:hint="default"/>
          <w:spacing w:val="-7"/>
          <w:w w:val="100"/>
        </w:rPr>
        <w:t>1</w:t>
      </w:r>
      <w:r>
        <w:rPr>
          <w:spacing w:val="-7"/>
          <w:w w:val="100"/>
        </w:rPr>
        <w:t>）“自查报告”整改计划中提到，对于会计人员○</w:t>
      </w:r>
      <w:r>
        <w:rPr>
          <w:rFonts w:ascii="Times New Roman" w:hAnsi="Times New Roman" w:cs="Times New Roman" w:eastAsia="Times New Roman" w:hint="default"/>
          <w:spacing w:val="-7"/>
          <w:w w:val="100"/>
          <w:position w:val="3"/>
          <w:sz w:val="16"/>
          <w:szCs w:val="16"/>
        </w:rPr>
        <w:t>1</w:t>
      </w:r>
      <w:r>
        <w:rPr>
          <w:rFonts w:ascii="Times New Roman" w:hAnsi="Times New Roman" w:cs="Times New Roman" w:eastAsia="Times New Roman" w:hint="default"/>
          <w:w w:val="100"/>
          <w:position w:val="3"/>
          <w:sz w:val="16"/>
          <w:szCs w:val="16"/>
        </w:rPr>
        <w:t> </w:t>
      </w:r>
      <w:r>
        <w:rPr/>
        <w:t>公司财务部增加主管会计 </w:t>
      </w:r>
      <w:r>
        <w:rPr>
          <w:rFonts w:ascii="宋体" w:hAnsi="宋体" w:cs="宋体" w:eastAsia="宋体" w:hint="default"/>
        </w:rPr>
        <w:t>1</w:t>
      </w:r>
      <w:r>
        <w:rPr>
          <w:rFonts w:ascii="宋体" w:hAnsi="宋体" w:cs="宋体" w:eastAsia="宋体" w:hint="default"/>
          <w:spacing w:val="-18"/>
        </w:rPr>
        <w:t> </w:t>
      </w:r>
      <w:r>
        <w:rPr/>
        <w:t>名，协 </w:t>
      </w:r>
      <w:r>
        <w:rPr>
          <w:spacing w:val="-6"/>
        </w:rPr>
        <w:t>助财务经理负责合并会计报表编制和财务会计内控与监管工作。○</w:t>
      </w:r>
      <w:r>
        <w:rPr>
          <w:rFonts w:ascii="宋体" w:hAnsi="宋体" w:cs="宋体" w:eastAsia="宋体" w:hint="default"/>
          <w:spacing w:val="-6"/>
        </w:rPr>
        <w:t>2</w:t>
      </w:r>
      <w:r>
        <w:rPr>
          <w:rFonts w:ascii="宋体" w:hAnsi="宋体" w:cs="宋体" w:eastAsia="宋体" w:hint="default"/>
          <w:spacing w:val="-34"/>
        </w:rPr>
        <w:t> </w:t>
      </w:r>
      <w:r>
        <w:rPr/>
        <w:t>在子公司制度中明确子公</w:t>
      </w:r>
      <w:r>
        <w:rPr>
          <w:spacing w:val="-115"/>
        </w:rPr>
        <w:t> </w:t>
      </w:r>
      <w:r>
        <w:rPr>
          <w:spacing w:val="-115"/>
        </w:rPr>
      </w:r>
      <w:r>
        <w:rPr>
          <w:spacing w:val="-12"/>
        </w:rPr>
        <w:t>司财务负责人的职责和权限。○</w:t>
      </w:r>
      <w:r>
        <w:rPr>
          <w:rFonts w:ascii="宋体" w:hAnsi="宋体" w:cs="宋体" w:eastAsia="宋体" w:hint="default"/>
          <w:spacing w:val="-12"/>
        </w:rPr>
        <w:t>3</w:t>
      </w:r>
      <w:r>
        <w:rPr>
          <w:rFonts w:ascii="宋体" w:hAnsi="宋体" w:cs="宋体" w:eastAsia="宋体" w:hint="default"/>
          <w:spacing w:val="-37"/>
        </w:rPr>
        <w:t> </w:t>
      </w:r>
      <w:r>
        <w:rPr/>
        <w:t>加强财务人员的后续教育，特别是有关资本市场财务会计业</w:t>
      </w:r>
      <w:r>
        <w:rPr>
          <w:spacing w:val="-114"/>
        </w:rPr>
        <w:t> </w:t>
      </w:r>
      <w:r>
        <w:rPr>
          <w:spacing w:val="-114"/>
        </w:rPr>
      </w:r>
      <w:r>
        <w:rPr/>
        <w:t>务培训。</w:t>
      </w:r>
    </w:p>
    <w:p>
      <w:pPr>
        <w:pStyle w:val="BodyText"/>
        <w:spacing w:line="240" w:lineRule="auto" w:before="154"/>
        <w:ind w:left="593" w:right="0"/>
        <w:jc w:val="left"/>
      </w:pPr>
      <w:r>
        <w:rPr/>
        <w:t>在整改期间，财务部新增了财务人员 </w:t>
      </w:r>
      <w:r>
        <w:rPr>
          <w:rFonts w:ascii="宋体" w:hAnsi="宋体" w:cs="宋体" w:eastAsia="宋体" w:hint="default"/>
        </w:rPr>
        <w:t>1</w:t>
      </w:r>
      <w:r>
        <w:rPr>
          <w:rFonts w:ascii="宋体" w:hAnsi="宋体" w:cs="宋体" w:eastAsia="宋体" w:hint="default"/>
          <w:spacing w:val="-82"/>
        </w:rPr>
        <w:t> </w:t>
      </w:r>
      <w:r>
        <w:rPr/>
        <w:t>名、协助财务经理工作。在子公司制度中增加了</w:t>
      </w:r>
    </w:p>
    <w:p>
      <w:pPr>
        <w:pStyle w:val="BodyText"/>
        <w:spacing w:line="357" w:lineRule="auto" w:before="154"/>
        <w:ind w:right="1131"/>
        <w:jc w:val="both"/>
      </w:pPr>
      <w:r>
        <w:rPr/>
        <w:t>财务负责人的职责和权限的具体内容。新增会计人员下半年培训经费 </w:t>
      </w:r>
      <w:r>
        <w:rPr>
          <w:rFonts w:ascii="宋体" w:hAnsi="宋体" w:cs="宋体" w:eastAsia="宋体" w:hint="default"/>
        </w:rPr>
        <w:t>1.6</w:t>
      </w:r>
      <w:r>
        <w:rPr>
          <w:rFonts w:ascii="宋体" w:hAnsi="宋体" w:cs="宋体" w:eastAsia="宋体" w:hint="default"/>
          <w:spacing w:val="-81"/>
        </w:rPr>
        <w:t> </w:t>
      </w:r>
      <w:r>
        <w:rPr/>
        <w:t>万元，切实加强了 </w:t>
      </w:r>
      <w:r>
        <w:rPr>
          <w:spacing w:val="-7"/>
        </w:rPr>
        <w:t>财务人员的后续教育，</w:t>
      </w:r>
      <w:r>
        <w:rPr>
          <w:rFonts w:ascii="宋体" w:hAnsi="宋体" w:cs="宋体" w:eastAsia="宋体" w:hint="default"/>
          <w:spacing w:val="-7"/>
        </w:rPr>
        <w:t>8</w:t>
      </w:r>
      <w:r>
        <w:rPr>
          <w:rFonts w:ascii="宋体" w:hAnsi="宋体" w:cs="宋体" w:eastAsia="宋体" w:hint="default"/>
          <w:spacing w:val="-41"/>
        </w:rPr>
        <w:t> </w:t>
      </w:r>
      <w:r>
        <w:rPr>
          <w:spacing w:val="-3"/>
        </w:rPr>
        <w:t>月份选派财务总监参加深交所组织的财务总监专题培训并取得了《上</w:t>
      </w:r>
      <w:r>
        <w:rPr>
          <w:spacing w:val="-117"/>
        </w:rPr>
        <w:t> </w:t>
      </w:r>
      <w:r>
        <w:rPr>
          <w:spacing w:val="-117"/>
        </w:rPr>
      </w:r>
      <w:r>
        <w:rPr/>
        <w:t>市公司高级管理人员培训结业证》、</w:t>
      </w:r>
      <w:r>
        <w:rPr>
          <w:rFonts w:ascii="宋体" w:hAnsi="宋体" w:cs="宋体" w:eastAsia="宋体" w:hint="default"/>
        </w:rPr>
        <w:t>9 </w:t>
      </w:r>
      <w:r>
        <w:rPr/>
        <w:t>月份选派子公司财务主管 </w:t>
      </w:r>
      <w:r>
        <w:rPr>
          <w:rFonts w:ascii="宋体" w:hAnsi="宋体" w:cs="宋体" w:eastAsia="宋体" w:hint="default"/>
        </w:rPr>
        <w:t>2</w:t>
      </w:r>
      <w:r>
        <w:rPr>
          <w:rFonts w:ascii="宋体" w:hAnsi="宋体" w:cs="宋体" w:eastAsia="宋体" w:hint="default"/>
          <w:spacing w:val="-81"/>
        </w:rPr>
        <w:t> </w:t>
      </w:r>
      <w:r>
        <w:rPr/>
        <w:t>人次参加青岛大学组织的 会计报表专题培训。</w:t>
      </w:r>
    </w:p>
    <w:p>
      <w:pPr>
        <w:pStyle w:val="BodyText"/>
        <w:spacing w:line="357" w:lineRule="auto" w:before="154"/>
        <w:ind w:right="994" w:firstLine="540"/>
        <w:jc w:val="left"/>
      </w:pPr>
      <w:r>
        <w:rPr>
          <w:rFonts w:ascii="宋体" w:hAnsi="宋体" w:cs="宋体" w:eastAsia="宋体" w:hint="default"/>
          <w:spacing w:val="-9"/>
        </w:rPr>
        <w:t>2</w:t>
      </w:r>
      <w:r>
        <w:rPr>
          <w:spacing w:val="-9"/>
        </w:rPr>
        <w:t>）、“自查报告”</w:t>
      </w:r>
      <w:r>
        <w:rPr>
          <w:spacing w:val="-59"/>
        </w:rPr>
        <w:t> </w:t>
      </w:r>
      <w:r>
        <w:rPr/>
        <w:t>整改计划中提到，针对自查中发现的问题，依据财务人员管理权限，</w:t>
      </w:r>
      <w:r>
        <w:rPr/>
        <w:t> 一级对一级负责，董事会审计委员会督导总经理的整改，总经理督导财务总监的整改，财务</w:t>
      </w:r>
      <w:r>
        <w:rPr>
          <w:spacing w:val="-91"/>
        </w:rPr>
        <w:t> </w:t>
      </w:r>
      <w:r>
        <w:rPr>
          <w:spacing w:val="-91"/>
        </w:rPr>
      </w:r>
      <w:r>
        <w:rPr>
          <w:spacing w:val="-2"/>
        </w:rPr>
        <w:t>总监督导财务经理及子公司财务负责人的整改，财务经理、子公司财务负责人对整改负执行、</w:t>
      </w:r>
      <w:r>
        <w:rPr/>
        <w:t> 落实的责任。</w:t>
      </w:r>
    </w:p>
    <w:p>
      <w:pPr>
        <w:pStyle w:val="BodyText"/>
        <w:spacing w:line="357" w:lineRule="auto" w:before="154"/>
        <w:ind w:right="1132" w:firstLine="480"/>
        <w:jc w:val="both"/>
      </w:pPr>
      <w:r>
        <w:rPr/>
        <w:t>在整改期间，财务总监多次在总经理办公会议上就整改活动向总经理汇报了整改进度和 存在的问题。在月计划和周计划中，总经理多次就整改活动向财务总监作了专门批示。财务</w:t>
      </w:r>
      <w:r>
        <w:rPr>
          <w:spacing w:val="-91"/>
        </w:rPr>
        <w:t> </w:t>
      </w:r>
      <w:r>
        <w:rPr>
          <w:spacing w:val="-91"/>
        </w:rPr>
      </w:r>
      <w:r>
        <w:rPr/>
        <w:t>总监通过直接督办、主办联系单、工作计划批复、工作汇报批复等方式就整改活动督导财务</w:t>
      </w:r>
      <w:r>
        <w:rPr>
          <w:spacing w:val="-91"/>
        </w:rPr>
        <w:t> </w:t>
      </w:r>
      <w:r>
        <w:rPr>
          <w:spacing w:val="-91"/>
        </w:rPr>
      </w:r>
      <w:r>
        <w:rPr>
          <w:spacing w:val="-3"/>
        </w:rPr>
        <w:t>经理及子公司财务负责人。在</w:t>
      </w:r>
      <w:r>
        <w:rPr>
          <w:spacing w:val="-53"/>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22</w:t>
      </w:r>
      <w:r>
        <w:rPr>
          <w:rFonts w:ascii="宋体" w:hAnsi="宋体" w:cs="宋体" w:eastAsia="宋体" w:hint="default"/>
          <w:spacing w:val="-54"/>
        </w:rPr>
        <w:t> </w:t>
      </w:r>
      <w:r>
        <w:rPr>
          <w:spacing w:val="-3"/>
        </w:rPr>
        <w:t>日召开的公司财务会计工作会议上，财务经理、子公司</w:t>
      </w:r>
      <w:r>
        <w:rPr/>
        <w:t> 财务负责人对整改活动做了汇报，财务总监对子公司财务会计基础工作做了评价。</w:t>
      </w:r>
    </w:p>
    <w:p>
      <w:pPr>
        <w:pStyle w:val="BodyText"/>
        <w:spacing w:line="357" w:lineRule="auto" w:before="154"/>
        <w:ind w:right="1129" w:firstLine="540"/>
        <w:jc w:val="both"/>
      </w:pPr>
      <w:r>
        <w:rPr>
          <w:rFonts w:ascii="宋体" w:hAnsi="宋体" w:cs="宋体" w:eastAsia="宋体" w:hint="default"/>
        </w:rPr>
        <w:t>3</w:t>
      </w:r>
      <w:r>
        <w:rPr/>
        <w:t>）、“自查报告”</w:t>
      </w:r>
      <w:r>
        <w:rPr>
          <w:spacing w:val="-20"/>
        </w:rPr>
        <w:t> </w:t>
      </w:r>
      <w:r>
        <w:rPr/>
        <w:t>整改计划中提到，对于资金管理，针对银行账户基本户处于被查封</w:t>
      </w:r>
      <w:r>
        <w:rPr/>
        <w:t> 状态问题，公司通过协调股东、主动诉讼等渠道抓紧解决，为货币资金的日常性管理提供环</w:t>
      </w:r>
      <w:r>
        <w:rPr>
          <w:spacing w:val="-91"/>
        </w:rPr>
        <w:t> </w:t>
      </w:r>
      <w:r>
        <w:rPr>
          <w:spacing w:val="-91"/>
        </w:rPr>
      </w:r>
      <w:r>
        <w:rPr/>
        <w:t>境保障。除此以外的货币资金问题，由财务经理和子公司财务负责人督导出纳的整改，涉及</w:t>
      </w:r>
      <w:r>
        <w:rPr>
          <w:spacing w:val="-91"/>
        </w:rPr>
        <w:t> </w:t>
      </w:r>
      <w:r>
        <w:rPr>
          <w:spacing w:val="-91"/>
        </w:rPr>
      </w:r>
      <w:r>
        <w:rPr/>
        <w:t>上级审批的，由财务经理和子公司财务负责人提出方案依据权限逐级向上报批。</w:t>
      </w:r>
    </w:p>
    <w:p>
      <w:pPr>
        <w:pStyle w:val="BodyText"/>
        <w:spacing w:line="357" w:lineRule="auto" w:before="154"/>
        <w:ind w:right="996" w:firstLine="480"/>
        <w:jc w:val="left"/>
      </w:pPr>
      <w:r>
        <w:rPr/>
        <w:t>在整改期间，通过努力，解封了长期处于被查封状态的银行账户基本户，通过新设、撤 </w:t>
      </w:r>
      <w:r>
        <w:rPr>
          <w:spacing w:val="-2"/>
        </w:rPr>
        <w:t>销银行账户和规范审批流程等手段，理顺了公司及子公司货币资金的收取、支付和划转程序。</w:t>
      </w:r>
      <w:r>
        <w:rPr/>
        <w:t> 强化了银行印鉴和结算证的监管。</w:t>
      </w:r>
    </w:p>
    <w:p>
      <w:pPr>
        <w:pStyle w:val="BodyText"/>
        <w:spacing w:line="357" w:lineRule="auto" w:before="154"/>
        <w:ind w:right="1133" w:firstLine="480"/>
        <w:jc w:val="both"/>
      </w:pPr>
      <w:r>
        <w:rPr/>
        <w:t>根据“深圳证监局”下发的《关于对防止资金占用长效机制建立和落实情况开展自查工 作的通知》（深证局公司字〔</w:t>
      </w:r>
      <w:r>
        <w:rPr>
          <w:rFonts w:ascii="宋体" w:hAnsi="宋体" w:cs="宋体" w:eastAsia="宋体" w:hint="default"/>
        </w:rPr>
        <w:t>2010</w:t>
      </w:r>
      <w:r>
        <w:rPr/>
        <w:t>〕</w:t>
      </w:r>
      <w:r>
        <w:rPr>
          <w:rFonts w:ascii="宋体" w:hAnsi="宋体" w:cs="宋体" w:eastAsia="宋体" w:hint="default"/>
        </w:rPr>
        <w:t>59</w:t>
      </w:r>
      <w:r>
        <w:rPr>
          <w:rFonts w:ascii="宋体" w:hAnsi="宋体" w:cs="宋体" w:eastAsia="宋体" w:hint="default"/>
          <w:spacing w:val="-82"/>
        </w:rPr>
        <w:t> </w:t>
      </w:r>
      <w:r>
        <w:rPr/>
        <w:t>号）（以下简称“自查工作”）相关要求，及公司总 经理办公会议精神，公司对大股东及其关联方占用上市公司资金情况、相应制度完善情况进</w:t>
      </w:r>
      <w:r>
        <w:rPr>
          <w:spacing w:val="-86"/>
        </w:rPr>
        <w:t> </w:t>
      </w:r>
      <w:r>
        <w:rPr>
          <w:spacing w:val="-86"/>
        </w:rPr>
      </w:r>
      <w:r>
        <w:rPr/>
        <w:t>行了全面的自查和梳理，主要包括两方面的工作：一是核查公司资金状况和往来账目；二是</w:t>
      </w:r>
    </w:p>
    <w:p>
      <w:pPr>
        <w:spacing w:after="0" w:line="357" w:lineRule="auto"/>
        <w:jc w:val="both"/>
        <w:sectPr>
          <w:pgSz w:w="11910" w:h="16840"/>
          <w:pgMar w:header="0" w:footer="956" w:top="1060" w:bottom="1140" w:left="1020" w:right="0"/>
        </w:sectPr>
      </w:pPr>
    </w:p>
    <w:p>
      <w:pPr>
        <w:pStyle w:val="BodyText"/>
        <w:spacing w:line="357" w:lineRule="auto" w:before="14"/>
        <w:ind w:right="1132"/>
        <w:jc w:val="both"/>
      </w:pPr>
      <w:r>
        <w:rPr/>
        <w:t>梳理、完善公司资金管理制度。</w:t>
      </w:r>
      <w:r>
        <w:rPr>
          <w:rFonts w:ascii="宋体" w:hAnsi="宋体" w:cs="宋体" w:eastAsia="宋体" w:hint="default"/>
        </w:rPr>
        <w:t>2010</w:t>
      </w:r>
      <w:r>
        <w:rPr>
          <w:rFonts w:ascii="宋体" w:hAnsi="宋体" w:cs="宋体" w:eastAsia="宋体" w:hint="default"/>
          <w:spacing w:val="-80"/>
        </w:rPr>
        <w:t> </w:t>
      </w:r>
      <w:r>
        <w:rPr/>
        <w:t>年半年报审计报告和自查结果表明：公司未出现以经营 性资金占用代替非经营性资金占用、为亚星实业及其关联方垫付费用、“期间占用、期末返</w:t>
      </w:r>
      <w:r>
        <w:rPr>
          <w:spacing w:val="-91"/>
        </w:rPr>
        <w:t> </w:t>
      </w:r>
      <w:r>
        <w:rPr>
          <w:spacing w:val="-91"/>
        </w:rPr>
      </w:r>
      <w:r>
        <w:rPr/>
        <w:t>还”以及通过不公允关联交易等方式变相占用公司资金等问题</w:t>
      </w:r>
    </w:p>
    <w:p>
      <w:pPr>
        <w:pStyle w:val="BodyText"/>
        <w:spacing w:line="357" w:lineRule="auto" w:before="154"/>
        <w:ind w:right="0" w:firstLine="540"/>
        <w:jc w:val="left"/>
      </w:pPr>
      <w:r>
        <w:rPr>
          <w:rFonts w:ascii="宋体" w:hAnsi="宋体" w:cs="宋体" w:eastAsia="宋体" w:hint="default"/>
        </w:rPr>
        <w:t>4</w:t>
      </w:r>
      <w:r>
        <w:rPr/>
        <w:t>）、“自查报告”</w:t>
      </w:r>
      <w:r>
        <w:rPr>
          <w:spacing w:val="-12"/>
        </w:rPr>
        <w:t> </w:t>
      </w:r>
      <w:r>
        <w:rPr/>
        <w:t>整改计划中提到，对于制度建设，由总经理根据优化调整后的总体</w:t>
      </w:r>
      <w:r>
        <w:rPr/>
        <w:t> </w:t>
      </w:r>
      <w:r>
        <w:rPr>
          <w:spacing w:val="-3"/>
        </w:rPr>
        <w:t>计划，组织实施，并依据公司章程等规定的权限，成熟一项，报批（批准）一项，实施一项。</w:t>
      </w:r>
      <w:r>
        <w:rPr>
          <w:spacing w:val="-81"/>
        </w:rPr>
        <w:t> </w:t>
      </w:r>
      <w:r>
        <w:rPr>
          <w:spacing w:val="-81"/>
        </w:rPr>
      </w:r>
      <w:r>
        <w:rPr/>
        <w:t>其中，涉及到专业技术方面的操作办法、作业指引由财务总监牵头细化、补充、完善。有必</w:t>
      </w:r>
      <w:r>
        <w:rPr>
          <w:spacing w:val="-91"/>
        </w:rPr>
        <w:t> </w:t>
      </w:r>
      <w:r>
        <w:rPr>
          <w:spacing w:val="-91"/>
        </w:rPr>
      </w:r>
      <w:r>
        <w:rPr/>
        <w:t>要时，也可以寻求会计师事务所等中介机构协助完善有关专业技术方面的规程。</w:t>
      </w:r>
    </w:p>
    <w:p>
      <w:pPr>
        <w:pStyle w:val="BodyText"/>
        <w:spacing w:line="357" w:lineRule="auto" w:before="154"/>
        <w:ind w:right="1013" w:firstLine="480"/>
        <w:jc w:val="left"/>
      </w:pPr>
      <w:r>
        <w:rPr>
          <w:spacing w:val="-6"/>
        </w:rPr>
        <w:t>在整改期间，全面的大规范的修订、完善了财务管理制度。已经下发实施的制度包括《全</w:t>
      </w:r>
      <w:r>
        <w:rPr/>
        <w:t> 面预算设计（框架）》、《财务管理制度</w:t>
      </w:r>
      <w:r>
        <w:rPr>
          <w:rFonts w:ascii="宋体" w:hAnsi="宋体" w:cs="宋体" w:eastAsia="宋体" w:hint="default"/>
        </w:rPr>
        <w:t>-</w:t>
      </w:r>
      <w:r>
        <w:rPr/>
        <w:t>财务交接》、《财务管理制度</w:t>
      </w:r>
      <w:r>
        <w:rPr>
          <w:rFonts w:ascii="宋体" w:hAnsi="宋体" w:cs="宋体" w:eastAsia="宋体" w:hint="default"/>
        </w:rPr>
        <w:t>-</w:t>
      </w:r>
      <w:r>
        <w:rPr/>
        <w:t>财务培训》、《财</w:t>
      </w:r>
      <w:r>
        <w:rPr>
          <w:spacing w:val="-85"/>
        </w:rPr>
        <w:t> </w:t>
      </w:r>
      <w:r>
        <w:rPr>
          <w:spacing w:val="-85"/>
        </w:rPr>
      </w:r>
      <w:r>
        <w:rPr/>
        <w:t>务管理制度</w:t>
      </w:r>
      <w:r>
        <w:rPr>
          <w:rFonts w:ascii="宋体" w:hAnsi="宋体" w:cs="宋体" w:eastAsia="宋体" w:hint="default"/>
        </w:rPr>
        <w:t>-</w:t>
      </w:r>
      <w:r>
        <w:rPr/>
        <w:t>纳税管理》、《财务管理制度</w:t>
      </w:r>
      <w:r>
        <w:rPr>
          <w:rFonts w:ascii="宋体" w:hAnsi="宋体" w:cs="宋体" w:eastAsia="宋体" w:hint="default"/>
        </w:rPr>
        <w:t>-</w:t>
      </w:r>
      <w:r>
        <w:rPr/>
        <w:t>工程尾款支付》等，正在依据审批权限报批的制</w:t>
      </w:r>
      <w:r>
        <w:rPr>
          <w:spacing w:val="-88"/>
        </w:rPr>
        <w:t> </w:t>
      </w:r>
      <w:r>
        <w:rPr>
          <w:spacing w:val="-88"/>
        </w:rPr>
      </w:r>
      <w:r>
        <w:rPr>
          <w:spacing w:val="-2"/>
        </w:rPr>
        <w:t>度包括《财务管理制度</w:t>
      </w:r>
      <w:r>
        <w:rPr>
          <w:rFonts w:ascii="宋体" w:hAnsi="宋体" w:cs="宋体" w:eastAsia="宋体" w:hint="default"/>
          <w:spacing w:val="-2"/>
        </w:rPr>
        <w:t>-</w:t>
      </w:r>
      <w:r>
        <w:rPr>
          <w:spacing w:val="-2"/>
        </w:rPr>
        <w:t>总则》、《财务管理制度—组织体系》、《财务管理制度</w:t>
      </w:r>
      <w:r>
        <w:rPr>
          <w:rFonts w:ascii="宋体" w:hAnsi="宋体" w:cs="宋体" w:eastAsia="宋体" w:hint="default"/>
          <w:spacing w:val="-2"/>
        </w:rPr>
        <w:t>-</w:t>
      </w:r>
      <w:r>
        <w:rPr>
          <w:spacing w:val="-2"/>
        </w:rPr>
        <w:t>财务审批》</w:t>
      </w:r>
      <w:r>
        <w:rPr/>
        <w:t> 等。其中《财务管理制度</w:t>
      </w:r>
      <w:r>
        <w:rPr>
          <w:rFonts w:ascii="宋体" w:hAnsi="宋体" w:cs="宋体" w:eastAsia="宋体" w:hint="default"/>
        </w:rPr>
        <w:t>-</w:t>
      </w:r>
      <w:r>
        <w:rPr/>
        <w:t>开发成本》正在征求会计师事务所的专业意见。</w:t>
      </w:r>
    </w:p>
    <w:p>
      <w:pPr>
        <w:pStyle w:val="BodyText"/>
        <w:spacing w:line="357" w:lineRule="auto" w:before="156"/>
        <w:ind w:right="1129" w:firstLine="540"/>
        <w:jc w:val="right"/>
      </w:pPr>
      <w:r>
        <w:rPr>
          <w:rFonts w:ascii="宋体" w:hAnsi="宋体" w:cs="宋体" w:eastAsia="宋体" w:hint="default"/>
        </w:rPr>
        <w:t>5</w:t>
      </w:r>
      <w:r>
        <w:rPr>
          <w:spacing w:val="-3"/>
        </w:rPr>
        <w:t>）</w:t>
      </w:r>
      <w:r>
        <w:rPr>
          <w:spacing w:val="-5"/>
        </w:rPr>
        <w:t>、</w:t>
      </w:r>
      <w:r>
        <w:rPr/>
        <w:t>“自查报告”</w:t>
      </w:r>
      <w:r>
        <w:rPr>
          <w:spacing w:val="-2"/>
        </w:rPr>
        <w:t> </w:t>
      </w:r>
      <w:r>
        <w:rPr>
          <w:spacing w:val="-3"/>
        </w:rPr>
        <w:t>整</w:t>
      </w:r>
      <w:r>
        <w:rPr/>
        <w:t>改计划中提到</w:t>
      </w:r>
      <w:r>
        <w:rPr>
          <w:spacing w:val="-3"/>
        </w:rPr>
        <w:t>，</w:t>
      </w:r>
      <w:r>
        <w:rPr/>
        <w:t>关于财务信息系统</w:t>
      </w:r>
      <w:r>
        <w:rPr>
          <w:spacing w:val="-2"/>
        </w:rPr>
        <w:t>，</w:t>
      </w:r>
      <w:r>
        <w:rPr>
          <w:spacing w:val="-180"/>
        </w:rPr>
        <w:t>○</w:t>
      </w:r>
      <w:r>
        <w:rPr>
          <w:rFonts w:ascii="宋体" w:hAnsi="宋体" w:cs="宋体" w:eastAsia="宋体" w:hint="default"/>
        </w:rPr>
        <w:t>1</w:t>
      </w:r>
      <w:r>
        <w:rPr>
          <w:rFonts w:ascii="宋体" w:hAnsi="宋体" w:cs="宋体" w:eastAsia="宋体" w:hint="default"/>
          <w:spacing w:val="-60"/>
        </w:rPr>
        <w:t> </w:t>
      </w:r>
      <w:r>
        <w:rPr/>
        <w:t>调整有关查询</w:t>
      </w:r>
      <w:r>
        <w:rPr>
          <w:spacing w:val="-3"/>
        </w:rPr>
        <w:t>、</w:t>
      </w:r>
      <w:r>
        <w:rPr/>
        <w:t>修改等权</w:t>
      </w:r>
      <w:r>
        <w:rPr/>
        <w:t> 限设</w:t>
      </w:r>
      <w:r>
        <w:rPr>
          <w:spacing w:val="2"/>
        </w:rPr>
        <w:t>置</w:t>
      </w:r>
      <w:r>
        <w:rPr/>
        <w:t>，强</w:t>
      </w:r>
      <w:r>
        <w:rPr>
          <w:spacing w:val="2"/>
        </w:rPr>
        <w:t>化</w:t>
      </w:r>
      <w:r>
        <w:rPr/>
        <w:t>岗</w:t>
      </w:r>
      <w:r>
        <w:rPr>
          <w:spacing w:val="2"/>
        </w:rPr>
        <w:t>位</w:t>
      </w:r>
      <w:r>
        <w:rPr/>
        <w:t>牵</w:t>
      </w:r>
      <w:r>
        <w:rPr>
          <w:spacing w:val="2"/>
        </w:rPr>
        <w:t>制</w:t>
      </w:r>
      <w:r>
        <w:rPr/>
        <w:t>、增</w:t>
      </w:r>
      <w:r>
        <w:rPr>
          <w:spacing w:val="2"/>
        </w:rPr>
        <w:t>强</w:t>
      </w:r>
      <w:r>
        <w:rPr/>
        <w:t>防范</w:t>
      </w:r>
      <w:r>
        <w:rPr>
          <w:spacing w:val="2"/>
        </w:rPr>
        <w:t>风</w:t>
      </w:r>
      <w:r>
        <w:rPr/>
        <w:t>险</w:t>
      </w:r>
      <w:r>
        <w:rPr>
          <w:spacing w:val="2"/>
        </w:rPr>
        <w:t>能</w:t>
      </w:r>
      <w:r>
        <w:rPr/>
        <w:t>力</w:t>
      </w:r>
      <w:r>
        <w:rPr>
          <w:spacing w:val="5"/>
        </w:rPr>
        <w:t>。</w:t>
      </w:r>
      <w:r>
        <w:rPr>
          <w:spacing w:val="-180"/>
        </w:rPr>
        <w:t>○</w:t>
      </w:r>
      <w:r>
        <w:rPr>
          <w:rFonts w:ascii="宋体" w:hAnsi="宋体" w:cs="宋体" w:eastAsia="宋体" w:hint="default"/>
        </w:rPr>
        <w:t>2</w:t>
      </w:r>
      <w:r>
        <w:rPr>
          <w:rFonts w:ascii="宋体" w:hAnsi="宋体" w:cs="宋体" w:eastAsia="宋体" w:hint="default"/>
          <w:spacing w:val="-60"/>
        </w:rPr>
        <w:t> </w:t>
      </w:r>
      <w:r>
        <w:rPr/>
        <w:t>实现</w:t>
      </w:r>
      <w:r>
        <w:rPr>
          <w:spacing w:val="2"/>
        </w:rPr>
        <w:t>对</w:t>
      </w:r>
      <w:r>
        <w:rPr/>
        <w:t>财务</w:t>
      </w:r>
      <w:r>
        <w:rPr>
          <w:spacing w:val="2"/>
        </w:rPr>
        <w:t>信</w:t>
      </w:r>
      <w:r>
        <w:rPr/>
        <w:t>息</w:t>
      </w:r>
      <w:r>
        <w:rPr>
          <w:spacing w:val="2"/>
        </w:rPr>
        <w:t>软</w:t>
      </w:r>
      <w:r>
        <w:rPr/>
        <w:t>件</w:t>
      </w:r>
      <w:r>
        <w:rPr>
          <w:spacing w:val="2"/>
        </w:rPr>
        <w:t>的</w:t>
      </w:r>
      <w:r>
        <w:rPr/>
        <w:t>升级</w:t>
      </w:r>
      <w:r>
        <w:rPr>
          <w:spacing w:val="2"/>
        </w:rPr>
        <w:t>、</w:t>
      </w:r>
      <w:r>
        <w:rPr/>
        <w:t>电算</w:t>
      </w:r>
      <w:r>
        <w:rPr>
          <w:spacing w:val="2"/>
        </w:rPr>
        <w:t>化</w:t>
      </w:r>
      <w:r>
        <w:rPr/>
        <w:t>设备的</w:t>
      </w:r>
      <w:r>
        <w:rPr/>
        <w:t> 更新。</w:t>
      </w:r>
      <w:r>
        <w:rPr>
          <w:spacing w:val="-180"/>
        </w:rPr>
        <w:t>○</w:t>
      </w:r>
      <w:r>
        <w:rPr>
          <w:rFonts w:ascii="宋体" w:hAnsi="宋体" w:cs="宋体" w:eastAsia="宋体" w:hint="default"/>
        </w:rPr>
        <w:t>3</w:t>
      </w:r>
      <w:r>
        <w:rPr>
          <w:rFonts w:ascii="宋体" w:hAnsi="宋体" w:cs="宋体" w:eastAsia="宋体" w:hint="default"/>
          <w:spacing w:val="-61"/>
        </w:rPr>
        <w:t> </w:t>
      </w:r>
      <w:r>
        <w:rPr/>
        <w:t>逐步实现全部合并范围单位的财务会计信息异地联网，实现合并报表的自动生成。</w:t>
      </w:r>
    </w:p>
    <w:p>
      <w:pPr>
        <w:pStyle w:val="BodyText"/>
        <w:spacing w:line="357" w:lineRule="auto" w:before="154"/>
        <w:ind w:right="1138" w:firstLine="480"/>
        <w:jc w:val="both"/>
      </w:pPr>
      <w:r>
        <w:rPr/>
        <w:t>在整改期间，依据岗位分工和内部牵制制度对查询、修改等权限做了优化、调整；子公 司新增了财务用电脑，打印、传真设备；结合目标成本管理等需要正在调研电算化软件的更</w:t>
      </w:r>
      <w:r>
        <w:rPr>
          <w:spacing w:val="-91"/>
        </w:rPr>
        <w:t> </w:t>
      </w:r>
      <w:r>
        <w:rPr>
          <w:spacing w:val="-91"/>
        </w:rPr>
      </w:r>
      <w:r>
        <w:rPr/>
        <w:t>新或者升级以及财务管理信息化领域的扩容等问题。</w:t>
      </w:r>
    </w:p>
    <w:p>
      <w:pPr>
        <w:pStyle w:val="BodyText"/>
        <w:spacing w:line="448" w:lineRule="auto" w:before="154"/>
        <w:ind w:left="593" w:right="2593" w:firstLine="60"/>
        <w:jc w:val="left"/>
      </w:pPr>
      <w:r>
        <w:rPr>
          <w:rFonts w:ascii="宋体" w:hAnsi="宋体" w:cs="宋体" w:eastAsia="宋体" w:hint="default"/>
        </w:rPr>
        <w:t>2</w:t>
      </w:r>
      <w:r>
        <w:rPr/>
        <w:t>、持续完善事项的长效机制 为建立持续完善事项的长效机制，公司正在从以下几个方面进一步推进：</w:t>
      </w:r>
    </w:p>
    <w:p>
      <w:pPr>
        <w:pStyle w:val="BodyText"/>
        <w:spacing w:line="357" w:lineRule="auto" w:before="62"/>
        <w:ind w:right="1133" w:firstLine="540"/>
        <w:jc w:val="both"/>
      </w:pPr>
      <w:r>
        <w:rPr>
          <w:rFonts w:ascii="宋体" w:hAnsi="宋体" w:cs="宋体" w:eastAsia="宋体" w:hint="default"/>
          <w:spacing w:val="2"/>
        </w:rPr>
        <w:t>1</w:t>
      </w:r>
      <w:r>
        <w:rPr>
          <w:spacing w:val="2"/>
        </w:rPr>
        <w:t>）、全面梳理现有的资金管理制度，查找制度漏洞，并针对制度漏洞对现有资金管理 </w:t>
      </w:r>
      <w:r>
        <w:rPr/>
        <w:t>制度进行了修订、完善和补充。比如，</w:t>
      </w:r>
      <w:r>
        <w:rPr>
          <w:rFonts w:ascii="宋体" w:hAnsi="宋体" w:cs="宋体" w:eastAsia="宋体" w:hint="default"/>
        </w:rPr>
        <w:t>2010</w:t>
      </w:r>
      <w:r>
        <w:rPr>
          <w:rFonts w:ascii="宋体" w:hAnsi="宋体" w:cs="宋体" w:eastAsia="宋体" w:hint="default"/>
          <w:spacing w:val="-68"/>
        </w:rPr>
        <w:t> </w:t>
      </w:r>
      <w:r>
        <w:rPr/>
        <w:t>年</w:t>
      </w:r>
      <w:r>
        <w:rPr>
          <w:spacing w:val="-68"/>
        </w:rPr>
        <w:t> </w:t>
      </w:r>
      <w:r>
        <w:rPr>
          <w:rFonts w:ascii="宋体" w:hAnsi="宋体" w:cs="宋体" w:eastAsia="宋体" w:hint="default"/>
        </w:rPr>
        <w:t>7</w:t>
      </w:r>
      <w:r>
        <w:rPr>
          <w:rFonts w:ascii="宋体" w:hAnsi="宋体" w:cs="宋体" w:eastAsia="宋体" w:hint="default"/>
          <w:spacing w:val="-68"/>
        </w:rPr>
        <w:t> </w:t>
      </w:r>
      <w:r>
        <w:rPr/>
        <w:t>月下发执行了《货币资金管理补充规定》等 相关的规范性文件。</w:t>
      </w:r>
    </w:p>
    <w:p>
      <w:pPr>
        <w:pStyle w:val="BodyText"/>
        <w:spacing w:line="357" w:lineRule="auto" w:before="154"/>
        <w:ind w:right="0" w:firstLine="540"/>
        <w:jc w:val="left"/>
      </w:pPr>
      <w:r>
        <w:rPr>
          <w:rFonts w:ascii="宋体" w:hAnsi="宋体" w:cs="宋体" w:eastAsia="宋体" w:hint="default"/>
          <w:spacing w:val="-1"/>
        </w:rPr>
        <w:t>2</w:t>
      </w:r>
      <w:r>
        <w:rPr>
          <w:spacing w:val="-1"/>
        </w:rPr>
        <w:t>）、积极、有序地根据《企业内部控制基本规范》及其配套指引制订一系列新的财务、</w:t>
      </w:r>
      <w:r>
        <w:rPr/>
        <w:t> 资金管理制度，以避免大股东资金占用的可能和风险。比如，</w:t>
      </w:r>
      <w:r>
        <w:rPr>
          <w:rFonts w:ascii="宋体" w:hAnsi="宋体" w:cs="宋体" w:eastAsia="宋体" w:hint="default"/>
        </w:rPr>
        <w:t>2010 </w:t>
      </w:r>
      <w:r>
        <w:rPr/>
        <w:t>年 </w:t>
      </w:r>
      <w:r>
        <w:rPr>
          <w:rFonts w:ascii="宋体" w:hAnsi="宋体" w:cs="宋体" w:eastAsia="宋体" w:hint="default"/>
        </w:rPr>
        <w:t>10</w:t>
      </w:r>
      <w:r>
        <w:rPr>
          <w:rFonts w:ascii="宋体" w:hAnsi="宋体" w:cs="宋体" w:eastAsia="宋体" w:hint="default"/>
          <w:spacing w:val="-82"/>
        </w:rPr>
        <w:t> </w:t>
      </w:r>
      <w:r>
        <w:rPr/>
        <w:t>月下发执行了《关 于调整大额资金收支业务的审批流程和表格的规定》等相关的规范性文件。</w:t>
      </w:r>
    </w:p>
    <w:p>
      <w:pPr>
        <w:pStyle w:val="BodyText"/>
        <w:spacing w:line="240" w:lineRule="auto" w:before="154"/>
        <w:ind w:left="593" w:right="0"/>
        <w:jc w:val="left"/>
      </w:pPr>
      <w:r>
        <w:rPr>
          <w:rFonts w:ascii="宋体" w:hAnsi="宋体" w:cs="宋体" w:eastAsia="宋体" w:hint="default"/>
        </w:rPr>
        <w:t>3</w:t>
      </w:r>
      <w:r>
        <w:rPr/>
        <w:t>）、明确持续完善事项的责任人。正在报批中的《财务管理制度</w:t>
      </w:r>
      <w:r>
        <w:rPr>
          <w:rFonts w:ascii="宋体" w:hAnsi="宋体" w:cs="宋体" w:eastAsia="宋体" w:hint="default"/>
        </w:rPr>
        <w:t>-</w:t>
      </w:r>
      <w:r>
        <w:rPr/>
        <w:t>总则》中明确规定，</w:t>
      </w:r>
    </w:p>
    <w:p>
      <w:pPr>
        <w:pStyle w:val="BodyText"/>
        <w:spacing w:line="460" w:lineRule="atLeast" w:before="8"/>
        <w:ind w:right="1139"/>
        <w:jc w:val="both"/>
      </w:pPr>
      <w:r>
        <w:rPr/>
        <w:t>公司法定代表人、管理层负责人（公司经理或者总经理）、财务负责人（财务总监或者财务</w:t>
      </w:r>
      <w:r>
        <w:rPr>
          <w:spacing w:val="-91"/>
        </w:rPr>
        <w:t> </w:t>
      </w:r>
      <w:r>
        <w:rPr>
          <w:spacing w:val="-91"/>
        </w:rPr>
      </w:r>
      <w:r>
        <w:rPr/>
        <w:t>经理）对财务会计基础工作的持续完善事项共同负责。</w:t>
      </w:r>
    </w:p>
    <w:p>
      <w:pPr>
        <w:spacing w:after="0" w:line="460" w:lineRule="atLeast"/>
        <w:jc w:val="both"/>
        <w:sectPr>
          <w:pgSz w:w="11910" w:h="16840"/>
          <w:pgMar w:header="0" w:footer="956" w:top="1060" w:bottom="1140" w:left="1020" w:right="0"/>
        </w:sectPr>
      </w:pPr>
    </w:p>
    <w:p>
      <w:pPr>
        <w:pStyle w:val="BodyText"/>
        <w:spacing w:line="357" w:lineRule="auto" w:before="14"/>
        <w:ind w:left="593" w:right="1153" w:firstLine="60"/>
        <w:jc w:val="left"/>
      </w:pPr>
      <w:r>
        <w:rPr/>
        <w:t>（三）公司独立董事履行职责情况 根据中国证监会《关于在上市公司建立独立董事制度的指导意见》，公司建立了较为规</w:t>
      </w:r>
    </w:p>
    <w:p>
      <w:pPr>
        <w:pStyle w:val="BodyText"/>
        <w:spacing w:line="355" w:lineRule="auto" w:before="36"/>
        <w:ind w:left="593" w:right="1153" w:hanging="481"/>
        <w:jc w:val="left"/>
      </w:pPr>
      <w:r>
        <w:rPr/>
        <w:t>范的独立董事制度。 报告期内，公司现任独立董事在任职后严格按照《上市公司治理准则》、《关于在上市</w:t>
      </w:r>
    </w:p>
    <w:p>
      <w:pPr>
        <w:pStyle w:val="BodyText"/>
        <w:spacing w:line="357" w:lineRule="auto" w:before="38"/>
        <w:ind w:right="1171"/>
        <w:jc w:val="both"/>
      </w:pPr>
      <w:r>
        <w:rPr/>
        <w:t>公司建立独立董事制度的指导意见》等相关法规、规章和《公司章程》、《公司独立董事工 作制度》的要求，诚实守信，勤勉尽责，认真出席董事会及股东大会会议，独立履行职责， 不受公司控股股东、实际控制人的影响。独立董事在审议公司重大事项时充分利用自身的专 业知识作出审慎的判断，并发表独立意见。对防范公司风险、顺利发展发挥了独立董事应有 的监督作用。</w:t>
      </w:r>
    </w:p>
    <w:p>
      <w:pPr>
        <w:pStyle w:val="BodyText"/>
        <w:spacing w:line="240" w:lineRule="auto"/>
        <w:ind w:left="593" w:right="0"/>
        <w:jc w:val="left"/>
      </w:pPr>
      <w:r>
        <w:rPr>
          <w:rFonts w:ascii="宋体" w:hAnsi="宋体" w:cs="宋体" w:eastAsia="宋体" w:hint="default"/>
        </w:rPr>
        <w:t>1</w:t>
      </w:r>
      <w:r>
        <w:rPr/>
        <w:t>、独立董事出席董事会情况</w:t>
      </w:r>
    </w:p>
    <w:p>
      <w:pPr>
        <w:spacing w:line="240" w:lineRule="auto" w:before="11"/>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469"/>
        <w:gridCol w:w="1118"/>
        <w:gridCol w:w="1119"/>
        <w:gridCol w:w="1118"/>
        <w:gridCol w:w="1116"/>
        <w:gridCol w:w="1118"/>
        <w:gridCol w:w="1249"/>
      </w:tblGrid>
      <w:tr>
        <w:trPr>
          <w:trHeight w:val="90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1"/>
              <w:ind w:left="28" w:right="24"/>
              <w:jc w:val="left"/>
              <w:rPr>
                <w:rFonts w:ascii="宋体" w:hAnsi="宋体" w:cs="宋体" w:eastAsia="宋体" w:hint="default"/>
                <w:sz w:val="21"/>
                <w:szCs w:val="21"/>
              </w:rPr>
            </w:pPr>
            <w:r>
              <w:rPr>
                <w:rFonts w:ascii="宋体" w:hAnsi="宋体" w:cs="宋体" w:eastAsia="宋体" w:hint="default"/>
                <w:sz w:val="21"/>
                <w:szCs w:val="21"/>
              </w:rPr>
              <w:t>本年应参加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董事会次数</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1"/>
              <w:ind w:left="449" w:right="24" w:hanging="421"/>
              <w:jc w:val="left"/>
              <w:rPr>
                <w:rFonts w:ascii="宋体" w:hAnsi="宋体" w:cs="宋体" w:eastAsia="宋体" w:hint="default"/>
                <w:sz w:val="21"/>
                <w:szCs w:val="21"/>
              </w:rPr>
            </w:pPr>
            <w:r>
              <w:rPr>
                <w:rFonts w:ascii="宋体" w:hAnsi="宋体" w:cs="宋体" w:eastAsia="宋体" w:hint="default"/>
                <w:sz w:val="21"/>
                <w:szCs w:val="21"/>
              </w:rPr>
              <w:t>亲自出席次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28" w:right="24"/>
              <w:jc w:val="center"/>
              <w:rPr>
                <w:rFonts w:ascii="宋体" w:hAnsi="宋体" w:cs="宋体" w:eastAsia="宋体" w:hint="default"/>
                <w:sz w:val="21"/>
                <w:szCs w:val="21"/>
              </w:rPr>
            </w:pPr>
            <w:r>
              <w:rPr>
                <w:rFonts w:ascii="宋体" w:hAnsi="宋体" w:cs="宋体" w:eastAsia="宋体" w:hint="default"/>
                <w:sz w:val="21"/>
                <w:szCs w:val="21"/>
              </w:rPr>
              <w:t>以通讯方式</w:t>
            </w:r>
            <w:r>
              <w:rPr>
                <w:rFonts w:ascii="宋体" w:hAnsi="宋体" w:cs="宋体" w:eastAsia="宋体" w:hint="default"/>
                <w:w w:val="100"/>
                <w:sz w:val="21"/>
                <w:szCs w:val="21"/>
              </w:rPr>
              <w:t> </w:t>
            </w:r>
            <w:r>
              <w:rPr>
                <w:rFonts w:ascii="宋体" w:hAnsi="宋体" w:cs="宋体" w:eastAsia="宋体" w:hint="default"/>
                <w:sz w:val="21"/>
                <w:szCs w:val="21"/>
              </w:rPr>
              <w:t>参加会议次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1"/>
              <w:ind w:left="449" w:right="22" w:hanging="421"/>
              <w:jc w:val="left"/>
              <w:rPr>
                <w:rFonts w:ascii="宋体" w:hAnsi="宋体" w:cs="宋体" w:eastAsia="宋体" w:hint="default"/>
                <w:sz w:val="21"/>
                <w:szCs w:val="21"/>
              </w:rPr>
            </w:pPr>
            <w:r>
              <w:rPr>
                <w:rFonts w:ascii="宋体" w:hAnsi="宋体" w:cs="宋体" w:eastAsia="宋体" w:hint="default"/>
                <w:sz w:val="21"/>
                <w:szCs w:val="21"/>
              </w:rPr>
              <w:t>委托出席次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93" w:right="89"/>
              <w:jc w:val="center"/>
              <w:rPr>
                <w:rFonts w:ascii="宋体" w:hAnsi="宋体" w:cs="宋体" w:eastAsia="宋体" w:hint="default"/>
                <w:sz w:val="21"/>
                <w:szCs w:val="21"/>
              </w:rPr>
            </w:pPr>
            <w:r>
              <w:rPr>
                <w:rFonts w:ascii="宋体" w:hAnsi="宋体" w:cs="宋体" w:eastAsia="宋体" w:hint="default"/>
                <w:sz w:val="21"/>
                <w:szCs w:val="21"/>
              </w:rPr>
              <w:t>是否连续两</w:t>
            </w:r>
            <w:r>
              <w:rPr>
                <w:rFonts w:ascii="宋体" w:hAnsi="宋体" w:cs="宋体" w:eastAsia="宋体" w:hint="default"/>
                <w:w w:val="100"/>
                <w:sz w:val="21"/>
                <w:szCs w:val="21"/>
              </w:rPr>
              <w:t> </w:t>
            </w:r>
            <w:r>
              <w:rPr>
                <w:rFonts w:ascii="宋体" w:hAnsi="宋体" w:cs="宋体" w:eastAsia="宋体" w:hint="default"/>
                <w:sz w:val="21"/>
                <w:szCs w:val="21"/>
              </w:rPr>
              <w:t>次未亲自出</w:t>
            </w:r>
            <w:r>
              <w:rPr>
                <w:rFonts w:ascii="宋体" w:hAnsi="宋体" w:cs="宋体" w:eastAsia="宋体" w:hint="default"/>
                <w:w w:val="100"/>
                <w:sz w:val="21"/>
                <w:szCs w:val="21"/>
              </w:rPr>
              <w:t> </w:t>
            </w:r>
            <w:r>
              <w:rPr>
                <w:rFonts w:ascii="宋体" w:hAnsi="宋体" w:cs="宋体" w:eastAsia="宋体" w:hint="default"/>
                <w:sz w:val="21"/>
                <w:szCs w:val="21"/>
              </w:rPr>
              <w:t>席会议</w:t>
            </w:r>
          </w:p>
        </w:tc>
      </w:tr>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宋体" w:hAnsi="宋体" w:cs="宋体" w:eastAsia="宋体" w:hint="default"/>
                <w:sz w:val="21"/>
                <w:szCs w:val="21"/>
              </w:rPr>
            </w:pPr>
            <w:r>
              <w:rPr>
                <w:rFonts w:ascii="宋体" w:hAnsi="宋体" w:cs="宋体" w:eastAsia="宋体" w:hint="default"/>
                <w:sz w:val="21"/>
                <w:szCs w:val="21"/>
              </w:rPr>
              <w:t>舒强兴</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1" w:right="0"/>
              <w:jc w:val="left"/>
              <w:rPr>
                <w:rFonts w:ascii="Times New Roman" w:hAnsi="Times New Roman" w:cs="Times New Roman" w:eastAsia="Times New Roman" w:hint="default"/>
                <w:sz w:val="21"/>
                <w:szCs w:val="21"/>
              </w:rPr>
            </w:pPr>
            <w:r>
              <w:rPr>
                <w:rFonts w:ascii="Times New Roman"/>
                <w:w w:val="100"/>
                <w:sz w:val="21"/>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99"/>
              <w:jc w:val="right"/>
              <w:rPr>
                <w:rFonts w:ascii="Times New Roman" w:hAnsi="Times New Roman" w:cs="Times New Roman" w:eastAsia="Times New Roman" w:hint="default"/>
                <w:sz w:val="21"/>
                <w:szCs w:val="21"/>
              </w:rPr>
            </w:pPr>
            <w:r>
              <w:rPr>
                <w:rFonts w:ascii="Times New Roman"/>
                <w:w w:val="100"/>
                <w:sz w:val="21"/>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97"/>
              <w:jc w:val="right"/>
              <w:rPr>
                <w:rFonts w:ascii="Times New Roman" w:hAnsi="Times New Roman" w:cs="Times New Roman" w:eastAsia="Times New Roman" w:hint="default"/>
                <w:sz w:val="21"/>
                <w:szCs w:val="21"/>
              </w:rPr>
            </w:pPr>
            <w:r>
              <w:rPr>
                <w:rFonts w:ascii="Times New Roman"/>
                <w:w w:val="100"/>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w w:val="100"/>
                <w:sz w:val="21"/>
              </w:rPr>
              <w:t>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12"/>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宋体" w:hAnsi="宋体" w:cs="宋体" w:eastAsia="宋体" w:hint="default"/>
                <w:sz w:val="21"/>
                <w:szCs w:val="21"/>
              </w:rPr>
            </w:pPr>
            <w:r>
              <w:rPr>
                <w:rFonts w:ascii="宋体" w:hAnsi="宋体" w:cs="宋体" w:eastAsia="宋体" w:hint="default"/>
                <w:sz w:val="21"/>
                <w:szCs w:val="21"/>
              </w:rPr>
              <w:t>王洪</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1" w:right="0"/>
              <w:jc w:val="left"/>
              <w:rPr>
                <w:rFonts w:ascii="Times New Roman" w:hAnsi="Times New Roman" w:cs="Times New Roman" w:eastAsia="Times New Roman" w:hint="default"/>
                <w:sz w:val="21"/>
                <w:szCs w:val="21"/>
              </w:rPr>
            </w:pPr>
            <w:r>
              <w:rPr>
                <w:rFonts w:ascii="Times New Roman"/>
                <w:w w:val="100"/>
                <w:sz w:val="21"/>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99"/>
              <w:jc w:val="right"/>
              <w:rPr>
                <w:rFonts w:ascii="Times New Roman" w:hAnsi="Times New Roman" w:cs="Times New Roman" w:eastAsia="Times New Roman" w:hint="default"/>
                <w:sz w:val="21"/>
                <w:szCs w:val="21"/>
              </w:rPr>
            </w:pPr>
            <w:r>
              <w:rPr>
                <w:rFonts w:ascii="Times New Roman"/>
                <w:w w:val="100"/>
                <w:sz w:val="21"/>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97"/>
              <w:jc w:val="right"/>
              <w:rPr>
                <w:rFonts w:ascii="Times New Roman" w:hAnsi="Times New Roman" w:cs="Times New Roman" w:eastAsia="Times New Roman" w:hint="default"/>
                <w:sz w:val="21"/>
                <w:szCs w:val="21"/>
              </w:rPr>
            </w:pPr>
            <w:r>
              <w:rPr>
                <w:rFonts w:ascii="Times New Roman"/>
                <w:w w:val="100"/>
                <w:sz w:val="21"/>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w w:val="100"/>
                <w:sz w:val="21"/>
              </w:rPr>
              <w:t>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12"/>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宋体" w:hAnsi="宋体" w:cs="宋体" w:eastAsia="宋体" w:hint="default"/>
                <w:sz w:val="21"/>
                <w:szCs w:val="21"/>
              </w:rPr>
            </w:pPr>
            <w:r>
              <w:rPr>
                <w:rFonts w:ascii="宋体" w:hAnsi="宋体" w:cs="宋体" w:eastAsia="宋体" w:hint="default"/>
                <w:sz w:val="21"/>
                <w:szCs w:val="21"/>
              </w:rPr>
              <w:t>齐二石</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1" w:right="0"/>
              <w:jc w:val="left"/>
              <w:rPr>
                <w:rFonts w:ascii="Times New Roman" w:hAnsi="Times New Roman" w:cs="Times New Roman" w:eastAsia="Times New Roman" w:hint="default"/>
                <w:sz w:val="21"/>
                <w:szCs w:val="21"/>
              </w:rPr>
            </w:pPr>
            <w:r>
              <w:rPr>
                <w:rFonts w:ascii="Times New Roman"/>
                <w:w w:val="100"/>
                <w:sz w:val="21"/>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99"/>
              <w:jc w:val="right"/>
              <w:rPr>
                <w:rFonts w:ascii="Times New Roman" w:hAnsi="Times New Roman" w:cs="Times New Roman" w:eastAsia="Times New Roman" w:hint="default"/>
                <w:sz w:val="21"/>
                <w:szCs w:val="21"/>
              </w:rPr>
            </w:pPr>
            <w:r>
              <w:rPr>
                <w:rFonts w:ascii="Times New Roman"/>
                <w:w w:val="100"/>
                <w:sz w:val="21"/>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97"/>
              <w:jc w:val="right"/>
              <w:rPr>
                <w:rFonts w:ascii="Times New Roman" w:hAnsi="Times New Roman" w:cs="Times New Roman" w:eastAsia="Times New Roman" w:hint="default"/>
                <w:sz w:val="21"/>
                <w:szCs w:val="21"/>
              </w:rPr>
            </w:pPr>
            <w:r>
              <w:rPr>
                <w:rFonts w:ascii="Times New Roman"/>
                <w:w w:val="100"/>
                <w:sz w:val="21"/>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w w:val="100"/>
                <w:sz w:val="21"/>
              </w:rPr>
              <w:t>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12"/>
              <w:jc w:val="righ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20"/>
          <w:szCs w:val="20"/>
        </w:rPr>
      </w:pPr>
    </w:p>
    <w:p>
      <w:pPr>
        <w:pStyle w:val="BodyText"/>
        <w:spacing w:line="357" w:lineRule="auto" w:before="163"/>
        <w:ind w:left="593" w:right="1153"/>
        <w:jc w:val="left"/>
      </w:pPr>
      <w:r>
        <w:rPr>
          <w:rFonts w:ascii="宋体" w:hAnsi="宋体" w:cs="宋体" w:eastAsia="宋体" w:hint="default"/>
        </w:rPr>
        <w:t>2</w:t>
      </w:r>
      <w:r>
        <w:rPr/>
        <w:t>、独立董事对公司有关事项提出异议的情况： 报告期内，公司独立董事对本年度公司董事会各项议案及非董事会议案的其他事项未提</w:t>
      </w:r>
    </w:p>
    <w:p>
      <w:pPr>
        <w:pStyle w:val="BodyText"/>
        <w:spacing w:line="240" w:lineRule="auto"/>
        <w:ind w:right="0"/>
        <w:jc w:val="left"/>
      </w:pPr>
      <w:r>
        <w:rPr/>
        <w:t>出异议。</w:t>
      </w:r>
    </w:p>
    <w:p>
      <w:pPr>
        <w:pStyle w:val="BodyText"/>
        <w:spacing w:line="336" w:lineRule="auto" w:before="154"/>
        <w:ind w:left="593" w:right="1153"/>
        <w:jc w:val="left"/>
      </w:pPr>
      <w:r>
        <w:rPr>
          <w:spacing w:val="-1"/>
          <w:w w:val="100"/>
        </w:rPr>
        <w:t>（四）公司与控股股东在业务、人员、资产、机构、财务上的</w:t>
      </w:r>
      <w:r>
        <w:rPr>
          <w:rFonts w:ascii="Times New Roman" w:hAnsi="Times New Roman" w:cs="Times New Roman" w:eastAsia="Times New Roman" w:hint="default"/>
          <w:spacing w:val="-1"/>
          <w:w w:val="100"/>
        </w:rPr>
        <w:t>―</w:t>
      </w:r>
      <w:r>
        <w:rPr>
          <w:spacing w:val="-1"/>
          <w:w w:val="100"/>
        </w:rPr>
        <w:t>五分开</w:t>
      </w:r>
      <w:r>
        <w:rPr>
          <w:rFonts w:ascii="Times New Roman" w:hAnsi="Times New Roman" w:cs="Times New Roman" w:eastAsia="Times New Roman" w:hint="default"/>
          <w:spacing w:val="-1"/>
          <w:w w:val="100"/>
        </w:rPr>
        <w:t>‖</w:t>
      </w:r>
      <w:r>
        <w:rPr>
          <w:spacing w:val="-1"/>
          <w:w w:val="100"/>
        </w:rPr>
        <w:t>情况。</w:t>
      </w:r>
      <w:r>
        <w:rPr/>
        <w:t> 本公司与控股股东在业务、人员资产、机构、财务等方面严格分开，公司具有独立完整</w:t>
      </w:r>
    </w:p>
    <w:p>
      <w:pPr>
        <w:pStyle w:val="BodyText"/>
        <w:spacing w:line="357" w:lineRule="auto" w:before="58"/>
        <w:ind w:left="593" w:right="0" w:hanging="481"/>
        <w:jc w:val="left"/>
      </w:pPr>
      <w:r>
        <w:rPr/>
        <w:t>的业务和自主经营能力。 </w:t>
      </w:r>
      <w:r>
        <w:rPr>
          <w:rFonts w:ascii="宋体" w:hAnsi="宋体" w:cs="宋体" w:eastAsia="宋体" w:hint="default"/>
          <w:spacing w:val="-3"/>
        </w:rPr>
        <w:t>1</w:t>
      </w:r>
      <w:r>
        <w:rPr>
          <w:spacing w:val="-3"/>
        </w:rPr>
        <w:t>、人员方面：公司在劳动、人事及工资管理方面独立，高级管理人员均不在股东单位担</w:t>
      </w:r>
    </w:p>
    <w:p>
      <w:pPr>
        <w:pStyle w:val="BodyText"/>
        <w:spacing w:line="240" w:lineRule="auto"/>
        <w:ind w:right="0"/>
        <w:jc w:val="left"/>
      </w:pPr>
      <w:r>
        <w:rPr/>
        <w:t>任要职；</w:t>
      </w:r>
    </w:p>
    <w:p>
      <w:pPr>
        <w:pStyle w:val="BodyText"/>
        <w:spacing w:line="355" w:lineRule="auto" w:before="154"/>
        <w:ind w:right="0" w:firstLine="480"/>
        <w:jc w:val="left"/>
      </w:pPr>
      <w:r>
        <w:rPr>
          <w:rFonts w:ascii="宋体" w:hAnsi="宋体" w:cs="宋体" w:eastAsia="宋体" w:hint="default"/>
          <w:spacing w:val="-3"/>
        </w:rPr>
        <w:t>2</w:t>
      </w:r>
      <w:r>
        <w:rPr>
          <w:spacing w:val="-3"/>
        </w:rPr>
        <w:t>、资产方面：公司与控股股东产权关系明确，资产独立完整，拥有独立的运营系统和相</w:t>
      </w:r>
      <w:r>
        <w:rPr/>
        <w:t> 应的配套设施；</w:t>
      </w:r>
    </w:p>
    <w:p>
      <w:pPr>
        <w:pStyle w:val="BodyText"/>
        <w:spacing w:line="355" w:lineRule="auto" w:before="38"/>
        <w:ind w:right="0" w:firstLine="480"/>
        <w:jc w:val="left"/>
      </w:pPr>
      <w:r>
        <w:rPr>
          <w:rFonts w:ascii="宋体" w:hAnsi="宋体" w:cs="宋体" w:eastAsia="宋体" w:hint="default"/>
          <w:spacing w:val="-6"/>
        </w:rPr>
        <w:t>3</w:t>
      </w:r>
      <w:r>
        <w:rPr>
          <w:spacing w:val="-6"/>
        </w:rPr>
        <w:t>、财务方面：公司拥有独立的财务机构，并建立了独立的会计核算体系和财务管理制度，</w:t>
      </w:r>
      <w:r>
        <w:rPr/>
        <w:t> 在银行独立开设账户，独立进行纳税申报和缴纳；</w:t>
      </w:r>
    </w:p>
    <w:p>
      <w:pPr>
        <w:pStyle w:val="BodyText"/>
        <w:spacing w:line="355" w:lineRule="auto" w:before="38"/>
        <w:ind w:right="1118" w:firstLine="480"/>
        <w:jc w:val="left"/>
      </w:pPr>
      <w:r>
        <w:rPr>
          <w:rFonts w:ascii="宋体" w:hAnsi="宋体" w:cs="宋体" w:eastAsia="宋体" w:hint="default"/>
          <w:spacing w:val="-3"/>
        </w:rPr>
        <w:t>4</w:t>
      </w:r>
      <w:r>
        <w:rPr>
          <w:spacing w:val="-3"/>
        </w:rPr>
        <w:t>、机构方面：公司设立了完全独立于控股股东的组织机构，不存在与控股股东合署办公</w:t>
      </w:r>
      <w:r>
        <w:rPr/>
        <w:t> 的情况；</w:t>
      </w:r>
    </w:p>
    <w:p>
      <w:pPr>
        <w:pStyle w:val="BodyText"/>
        <w:spacing w:line="355" w:lineRule="auto" w:before="38"/>
        <w:ind w:right="1118" w:firstLine="480"/>
        <w:jc w:val="left"/>
      </w:pPr>
      <w:r>
        <w:rPr>
          <w:rFonts w:ascii="宋体" w:hAnsi="宋体" w:cs="宋体" w:eastAsia="宋体" w:hint="default"/>
          <w:spacing w:val="-3"/>
        </w:rPr>
        <w:t>5</w:t>
      </w:r>
      <w:r>
        <w:rPr>
          <w:spacing w:val="-3"/>
        </w:rPr>
        <w:t>、业务独立方面：公司具有独立完整的业务和决策体系及自主经营能力，完全独立于控</w:t>
      </w:r>
      <w:r>
        <w:rPr/>
        <w:t> 股股东。</w:t>
      </w:r>
    </w:p>
    <w:p>
      <w:pPr>
        <w:spacing w:after="0" w:line="355" w:lineRule="auto"/>
        <w:jc w:val="left"/>
        <w:sectPr>
          <w:pgSz w:w="11910" w:h="16840"/>
          <w:pgMar w:header="0" w:footer="956" w:top="1060" w:bottom="1140" w:left="1020" w:right="0"/>
        </w:sectPr>
      </w:pPr>
    </w:p>
    <w:p>
      <w:pPr>
        <w:pStyle w:val="BodyText"/>
        <w:spacing w:line="357" w:lineRule="auto" w:before="14"/>
        <w:ind w:left="593" w:right="1153"/>
        <w:jc w:val="left"/>
      </w:pPr>
      <w:r>
        <w:rPr/>
        <w:t>（五）公司内部控制自我评价 公司内部控制制度比较合理、完善，符合现代企业要求的法人治理结构。对照深圳交易</w:t>
      </w:r>
    </w:p>
    <w:p>
      <w:pPr>
        <w:pStyle w:val="BodyText"/>
        <w:spacing w:line="355" w:lineRule="auto" w:before="36"/>
        <w:ind w:right="1154"/>
        <w:jc w:val="left"/>
      </w:pPr>
      <w:r>
        <w:rPr/>
        <w:t>所《上市公司内部控制指引》，公司内部控制总体上符合中国证监会、深圳证券交易所的相 关要求。</w:t>
      </w:r>
    </w:p>
    <w:p>
      <w:pPr>
        <w:pStyle w:val="BodyText"/>
        <w:spacing w:line="240" w:lineRule="auto" w:before="38"/>
        <w:ind w:left="593" w:right="0"/>
        <w:jc w:val="left"/>
      </w:pPr>
      <w:r>
        <w:rPr>
          <w:rFonts w:ascii="宋体" w:hAnsi="宋体" w:cs="宋体" w:eastAsia="宋体" w:hint="default"/>
        </w:rPr>
        <w:t>1</w:t>
      </w:r>
      <w:r>
        <w:rPr/>
        <w:t>、公司内部控制基本情况</w:t>
      </w:r>
    </w:p>
    <w:p>
      <w:pPr>
        <w:pStyle w:val="BodyText"/>
        <w:spacing w:line="240" w:lineRule="auto" w:before="151"/>
        <w:ind w:left="593" w:right="0"/>
        <w:jc w:val="left"/>
      </w:pPr>
      <w:r>
        <w:rPr>
          <w:rFonts w:ascii="宋体" w:hAnsi="宋体" w:cs="宋体" w:eastAsia="宋体" w:hint="default"/>
        </w:rPr>
        <w:t>1</w:t>
      </w:r>
      <w:r>
        <w:rPr/>
        <w:t>）公司内部控制的组织架构</w:t>
      </w:r>
    </w:p>
    <w:p>
      <w:pPr>
        <w:spacing w:line="240" w:lineRule="auto" w:before="3"/>
        <w:rPr>
          <w:rFonts w:ascii="宋体" w:hAnsi="宋体" w:cs="宋体" w:eastAsia="宋体" w:hint="default"/>
          <w:sz w:val="4"/>
          <w:szCs w:val="4"/>
        </w:rPr>
      </w:pPr>
    </w:p>
    <w:p>
      <w:pPr>
        <w:spacing w:line="6309" w:lineRule="exact"/>
        <w:ind w:left="482" w:right="0" w:firstLine="0"/>
        <w:rPr>
          <w:rFonts w:ascii="宋体" w:hAnsi="宋体" w:cs="宋体" w:eastAsia="宋体" w:hint="default"/>
          <w:sz w:val="20"/>
          <w:szCs w:val="20"/>
        </w:rPr>
      </w:pPr>
      <w:r>
        <w:rPr>
          <w:rFonts w:ascii="宋体" w:hAnsi="宋体" w:cs="宋体" w:eastAsia="宋体" w:hint="default"/>
          <w:position w:val="-125"/>
          <w:sz w:val="20"/>
          <w:szCs w:val="20"/>
        </w:rPr>
        <w:drawing>
          <wp:inline distT="0" distB="0" distL="0" distR="0">
            <wp:extent cx="5481841" cy="4006596"/>
            <wp:effectExtent l="0" t="0" r="0" b="0"/>
            <wp:docPr id="1" name="image4.png" descr=""/>
            <wp:cNvGraphicFramePr>
              <a:graphicFrameLocks noChangeAspect="1"/>
            </wp:cNvGraphicFramePr>
            <a:graphic>
              <a:graphicData uri="http://schemas.openxmlformats.org/drawingml/2006/picture">
                <pic:pic>
                  <pic:nvPicPr>
                    <pic:cNvPr id="2" name="image4.png"/>
                    <pic:cNvPicPr/>
                  </pic:nvPicPr>
                  <pic:blipFill>
                    <a:blip r:embed="rId13" cstate="print"/>
                    <a:stretch>
                      <a:fillRect/>
                    </a:stretch>
                  </pic:blipFill>
                  <pic:spPr>
                    <a:xfrm>
                      <a:off x="0" y="0"/>
                      <a:ext cx="5481841" cy="4006596"/>
                    </a:xfrm>
                    <a:prstGeom prst="rect">
                      <a:avLst/>
                    </a:prstGeom>
                  </pic:spPr>
                </pic:pic>
              </a:graphicData>
            </a:graphic>
          </wp:inline>
        </w:drawing>
      </w:r>
      <w:r>
        <w:rPr>
          <w:rFonts w:ascii="宋体" w:hAnsi="宋体" w:cs="宋体" w:eastAsia="宋体" w:hint="default"/>
          <w:position w:val="-125"/>
          <w:sz w:val="20"/>
          <w:szCs w:val="20"/>
        </w:rPr>
      </w:r>
    </w:p>
    <w:p>
      <w:pPr>
        <w:spacing w:line="240" w:lineRule="auto" w:before="13"/>
        <w:rPr>
          <w:rFonts w:ascii="宋体" w:hAnsi="宋体" w:cs="宋体" w:eastAsia="宋体" w:hint="default"/>
          <w:sz w:val="19"/>
          <w:szCs w:val="19"/>
        </w:rPr>
      </w:pPr>
    </w:p>
    <w:p>
      <w:pPr>
        <w:pStyle w:val="BodyText"/>
        <w:spacing w:line="357" w:lineRule="auto" w:before="0"/>
        <w:ind w:left="593" w:right="1153"/>
        <w:jc w:val="left"/>
      </w:pPr>
      <w:r>
        <w:rPr>
          <w:rFonts w:ascii="宋体" w:hAnsi="宋体" w:cs="宋体" w:eastAsia="宋体" w:hint="default"/>
        </w:rPr>
        <w:t>2</w:t>
      </w:r>
      <w:r>
        <w:rPr/>
        <w:t>）内部控制制度的建立和健全情况 公司已经根据中国证券监督管理委员会、深圳证券交易所等部门对上市公司内部控制的</w:t>
      </w:r>
    </w:p>
    <w:p>
      <w:pPr>
        <w:pStyle w:val="BodyText"/>
        <w:spacing w:line="357" w:lineRule="auto"/>
        <w:ind w:right="0"/>
        <w:jc w:val="left"/>
      </w:pPr>
      <w:r>
        <w:rPr>
          <w:spacing w:val="-3"/>
        </w:rPr>
        <w:t>有关要求，依据《公司法》、《证券法》、《上市公司治理准则》、《上市公司章程指引》、</w:t>
      </w:r>
      <w:r>
        <w:rPr>
          <w:spacing w:val="-88"/>
        </w:rPr>
        <w:t> </w:t>
      </w:r>
      <w:r>
        <w:rPr>
          <w:spacing w:val="-88"/>
        </w:rPr>
      </w:r>
      <w:r>
        <w:rPr/>
        <w:t>深圳证券交易所《上市公司内部控制指引》等法律、法规和规章制度的规定，结合公司自身</w:t>
      </w:r>
      <w:r>
        <w:rPr/>
        <w:t> 情况的情况，，坚持以风险导向为原则，修订和完善了内部控制制度。并不断对公司的内部 控制体系进行持续的改进及优化，以适应不断变化的外部环境及内部管理的要求。</w:t>
      </w:r>
    </w:p>
    <w:p>
      <w:pPr>
        <w:pStyle w:val="BodyText"/>
        <w:spacing w:line="357" w:lineRule="auto"/>
        <w:ind w:left="593" w:right="1153"/>
        <w:jc w:val="left"/>
      </w:pPr>
      <w:r>
        <w:rPr>
          <w:rFonts w:ascii="宋体" w:hAnsi="宋体" w:cs="宋体" w:eastAsia="宋体" w:hint="default"/>
        </w:rPr>
        <w:t>3</w:t>
      </w:r>
      <w:r>
        <w:rPr/>
        <w:t>）公司内部审计部门的设立情况、人员配备及工作情况 公司已经成立了内部审计部门，并聘请了赵垲先生担任公司内部审计专员。解决了公司</w:t>
      </w:r>
    </w:p>
    <w:p>
      <w:pPr>
        <w:pStyle w:val="BodyText"/>
        <w:spacing w:line="357" w:lineRule="auto"/>
        <w:ind w:left="593" w:right="2953" w:hanging="481"/>
        <w:jc w:val="left"/>
      </w:pPr>
      <w:r>
        <w:rPr/>
        <w:t>内部审计部门长期缺位的问题。 </w:t>
      </w:r>
      <w:r>
        <w:rPr>
          <w:rFonts w:ascii="宋体" w:hAnsi="宋体" w:cs="宋体" w:eastAsia="宋体" w:hint="default"/>
        </w:rPr>
        <w:t>4</w:t>
      </w:r>
      <w:r>
        <w:rPr/>
        <w:t>）</w:t>
      </w:r>
      <w:r>
        <w:rPr>
          <w:rFonts w:ascii="宋体" w:hAnsi="宋体" w:cs="宋体" w:eastAsia="宋体" w:hint="default"/>
        </w:rPr>
        <w:t>2010</w:t>
      </w:r>
      <w:r>
        <w:rPr/>
        <w:t>年公司为建立和完善内部控制所进行的重要活动、工作及成效</w:t>
      </w:r>
    </w:p>
    <w:p>
      <w:pPr>
        <w:pStyle w:val="BodyText"/>
        <w:spacing w:line="240" w:lineRule="auto"/>
        <w:ind w:left="593" w:right="0"/>
        <w:jc w:val="left"/>
      </w:pPr>
      <w:r>
        <w:rPr/>
        <w:t>①根据《中华人民共和国公司法》、《中华人民共和国证券法》、《深圳证券交易所股</w:t>
      </w:r>
    </w:p>
    <w:p>
      <w:pPr>
        <w:spacing w:after="0" w:line="240" w:lineRule="auto"/>
        <w:jc w:val="left"/>
        <w:sectPr>
          <w:pgSz w:w="11910" w:h="16840"/>
          <w:pgMar w:header="0" w:footer="956" w:top="1060" w:bottom="1140" w:left="1020" w:right="0"/>
        </w:sectPr>
      </w:pPr>
    </w:p>
    <w:p>
      <w:pPr>
        <w:pStyle w:val="BodyText"/>
        <w:spacing w:line="357" w:lineRule="auto" w:before="14"/>
        <w:ind w:right="1170"/>
        <w:jc w:val="both"/>
      </w:pPr>
      <w:r>
        <w:rPr/>
        <w:t>票上市规则》等有关法律、法规、规范性文件和《公司章程》、《上市公司信息披露管理办 法》的有关规定，公司制订了《内幕信息知情人登记制度》，以规范公司内幕信息管理，加 强内幕信息保密工作，维护信息披露公平原则。</w:t>
      </w:r>
    </w:p>
    <w:p>
      <w:pPr>
        <w:pStyle w:val="BodyText"/>
        <w:spacing w:line="357" w:lineRule="auto"/>
        <w:ind w:right="1171" w:firstLine="480"/>
        <w:jc w:val="both"/>
      </w:pPr>
      <w:r>
        <w:rPr/>
        <w:t>②公司组织学习证监会和交易所的各项业务通知，并加强上市公司高管人员培训，使培 训工作制度化、经常化。加强培训工作的一个重要目的就是要切实提高上市公司规范运作的 意识，加强上市公司系统协调管理能力。</w:t>
      </w:r>
    </w:p>
    <w:p>
      <w:pPr>
        <w:pStyle w:val="BodyText"/>
        <w:spacing w:line="357" w:lineRule="auto" w:before="36"/>
        <w:ind w:right="0" w:firstLine="480"/>
        <w:jc w:val="left"/>
      </w:pPr>
      <w:r>
        <w:rPr>
          <w:spacing w:val="-90"/>
        </w:rPr>
        <w:t>○</w:t>
      </w:r>
      <w:r>
        <w:rPr>
          <w:rFonts w:ascii="宋体" w:hAnsi="宋体" w:cs="宋体" w:eastAsia="宋体" w:hint="default"/>
          <w:spacing w:val="-90"/>
        </w:rPr>
        <w:t>3</w:t>
      </w:r>
      <w:r>
        <w:rPr>
          <w:rFonts w:ascii="宋体" w:hAnsi="宋体" w:cs="宋体" w:eastAsia="宋体" w:hint="default"/>
          <w:spacing w:val="-49"/>
        </w:rPr>
        <w:t> </w:t>
      </w:r>
      <w:r>
        <w:rPr>
          <w:spacing w:val="-3"/>
        </w:rPr>
        <w:t>公司已于</w:t>
      </w:r>
      <w:r>
        <w:rPr>
          <w:rFonts w:ascii="宋体" w:hAnsi="宋体" w:cs="宋体" w:eastAsia="宋体" w:hint="default"/>
          <w:spacing w:val="-3"/>
        </w:rPr>
        <w:t>2010</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23</w:t>
      </w:r>
      <w:r>
        <w:rPr>
          <w:spacing w:val="-3"/>
        </w:rPr>
        <w:t>日经董事会审议通过，修订了《审计委员会议事规则》、《信息</w:t>
      </w:r>
      <w:r>
        <w:rPr/>
        <w:t> 披露管理制度》，报股东大会修订公司的相关制度，包括《公司章程》、《股东大会议事规 </w:t>
      </w:r>
      <w:r>
        <w:rPr>
          <w:spacing w:val="-3"/>
        </w:rPr>
        <w:t>则》、《董事会议事规则》、《监事会议事规则》、《董监事薪酬制度》，并按贵局的要求，</w:t>
      </w:r>
      <w:r>
        <w:rPr>
          <w:spacing w:val="-81"/>
        </w:rPr>
        <w:t> </w:t>
      </w:r>
      <w:r>
        <w:rPr>
          <w:spacing w:val="-81"/>
        </w:rPr>
      </w:r>
      <w:r>
        <w:rPr/>
        <w:t>建立了《年报信息重大差错责任追究制度》。</w:t>
      </w:r>
      <w:r>
        <w:rPr>
          <w:rFonts w:ascii="宋体" w:hAnsi="宋体" w:cs="宋体" w:eastAsia="宋体" w:hint="default"/>
        </w:rPr>
        <w:t>2010</w:t>
      </w:r>
      <w:r>
        <w:rPr/>
        <w:t>年修订了《重大投资管理制度》、《对外 </w:t>
      </w:r>
      <w:r>
        <w:rPr>
          <w:spacing w:val="-6"/>
        </w:rPr>
        <w:t>担保管理制度》、《关联交易管理制度》、《财务管理组织体系与会计人员管理制度》、《总</w:t>
      </w:r>
      <w:r>
        <w:rPr>
          <w:spacing w:val="-81"/>
        </w:rPr>
        <w:t> </w:t>
      </w:r>
      <w:r>
        <w:rPr>
          <w:spacing w:val="-81"/>
        </w:rPr>
      </w:r>
      <w:r>
        <w:rPr/>
        <w:t>经理工作细则》等一系列管控制度，建立健全了符合监管要求的基本制度。公司将进一步修 订和完善公司的其他内控制度，以全面完善公司的内控体系和提高公司的治理水平。</w:t>
      </w:r>
    </w:p>
    <w:p>
      <w:pPr>
        <w:pStyle w:val="BodyText"/>
        <w:spacing w:line="240" w:lineRule="auto"/>
        <w:ind w:left="593" w:right="0"/>
        <w:jc w:val="left"/>
      </w:pPr>
      <w:r>
        <w:rPr>
          <w:rFonts w:ascii="宋体" w:hAnsi="宋体" w:cs="宋体" w:eastAsia="宋体" w:hint="default"/>
        </w:rPr>
        <w:t>2</w:t>
      </w:r>
      <w:r>
        <w:rPr/>
        <w:t>、公司</w:t>
      </w:r>
      <w:r>
        <w:rPr>
          <w:rFonts w:ascii="宋体" w:hAnsi="宋体" w:cs="宋体" w:eastAsia="宋体" w:hint="default"/>
        </w:rPr>
        <w:t>2010</w:t>
      </w:r>
      <w:r>
        <w:rPr/>
        <w:t>年度内部控制重点工作</w:t>
      </w:r>
    </w:p>
    <w:p>
      <w:pPr>
        <w:pStyle w:val="BodyText"/>
        <w:spacing w:line="240" w:lineRule="auto" w:before="154"/>
        <w:ind w:left="593" w:right="0"/>
        <w:jc w:val="left"/>
      </w:pPr>
      <w:r>
        <w:rPr>
          <w:rFonts w:ascii="宋体" w:hAnsi="宋体" w:cs="宋体" w:eastAsia="宋体" w:hint="default"/>
        </w:rPr>
        <w:t>1)</w:t>
      </w:r>
      <w:r>
        <w:rPr/>
        <w:t>控股子公司控制结构及持股比例图</w:t>
      </w:r>
    </w:p>
    <w:p>
      <w:pPr>
        <w:spacing w:line="240" w:lineRule="auto" w:before="1"/>
        <w:rPr>
          <w:rFonts w:ascii="宋体" w:hAnsi="宋体" w:cs="宋体" w:eastAsia="宋体" w:hint="default"/>
          <w:sz w:val="14"/>
          <w:szCs w:val="14"/>
        </w:rPr>
      </w:pPr>
    </w:p>
    <w:p>
      <w:pPr>
        <w:spacing w:line="2997" w:lineRule="exact"/>
        <w:ind w:left="593" w:right="0" w:firstLine="0"/>
        <w:rPr>
          <w:rFonts w:ascii="宋体" w:hAnsi="宋体" w:cs="宋体" w:eastAsia="宋体" w:hint="default"/>
          <w:sz w:val="20"/>
          <w:szCs w:val="20"/>
        </w:rPr>
      </w:pPr>
      <w:r>
        <w:rPr>
          <w:rFonts w:ascii="宋体" w:hAnsi="宋体" w:cs="宋体" w:eastAsia="宋体" w:hint="default"/>
          <w:position w:val="-59"/>
          <w:sz w:val="20"/>
          <w:szCs w:val="20"/>
        </w:rPr>
        <w:pict>
          <v:group style="width:367.95pt;height:149.85pt;mso-position-horizontal-relative:char;mso-position-vertical-relative:line" coordorigin="0,0" coordsize="7359,2997">
            <v:group style="position:absolute;left:2221;top:8;width:3060;height:468" coordorigin="2221,8" coordsize="3060,468">
              <v:shape style="position:absolute;left:2221;top:8;width:3060;height:468" coordorigin="2221,8" coordsize="3060,468" path="m2221,475l5281,475,5281,8,2221,8,2221,475xe" filled="false" stroked="true" strokeweight=".75pt" strokecolor="#000000">
                <v:path arrowok="t"/>
              </v:shape>
            </v:group>
            <v:group style="position:absolute;left:1681;top:787;width:4140;height:2" coordorigin="1681,787" coordsize="4140,2">
              <v:shape style="position:absolute;left:1681;top:787;width:4140;height:2" coordorigin="1681,787" coordsize="4140,0" path="m1681,787l5821,787e" filled="false" stroked="true" strokeweight=".75pt" strokecolor="#000000">
                <v:path arrowok="t"/>
              </v:shape>
            </v:group>
            <v:group style="position:absolute;left:3841;top:475;width:2;height:312" coordorigin="3841,475" coordsize="2,312">
              <v:shape style="position:absolute;left:3841;top:475;width:2;height:312" coordorigin="3841,475" coordsize="0,312" path="m3841,475l3841,787e" filled="false" stroked="true" strokeweight=".75pt" strokecolor="#000000">
                <v:path arrowok="t"/>
              </v:shape>
            </v:group>
            <v:group style="position:absolute;left:151;top:1444;width:3060;height:468" coordorigin="151,1444" coordsize="3060,468">
              <v:shape style="position:absolute;left:151;top:1444;width:3060;height:468" coordorigin="151,1444" coordsize="3060,468" path="m151,1912l3211,1912,3211,1444,151,1444,151,1912xe" filled="false" stroked="true" strokeweight=".75pt" strokecolor="#000000">
                <v:path arrowok="t"/>
              </v:shape>
            </v:group>
            <v:group style="position:absolute;left:1681;top:787;width:2;height:624" coordorigin="1681,787" coordsize="2,624">
              <v:shape style="position:absolute;left:1681;top:787;width:2;height:624" coordorigin="1681,787" coordsize="0,624" path="m1681,787l1681,1411e" filled="false" stroked="true" strokeweight=".75pt" strokecolor="#000000">
                <v:path arrowok="t"/>
              </v:shape>
            </v:group>
            <v:group style="position:absolute;left:4291;top:1444;width:3060;height:468" coordorigin="4291,1444" coordsize="3060,468">
              <v:shape style="position:absolute;left:4291;top:1444;width:3060;height:468" coordorigin="4291,1444" coordsize="3060,468" path="m4291,1912l7351,1912,7351,1444,4291,1444,4291,1912xe" filled="false" stroked="true" strokeweight=".75pt" strokecolor="#000000">
                <v:path arrowok="t"/>
              </v:shape>
            </v:group>
            <v:group style="position:absolute;left:5821;top:787;width:2;height:624" coordorigin="5821,787" coordsize="2,624">
              <v:shape style="position:absolute;left:5821;top:787;width:2;height:624" coordorigin="5821,787" coordsize="0,624" path="m5821,787l5821,1411e" filled="false" stroked="true" strokeweight=".75pt" strokecolor="#000000">
                <v:path arrowok="t"/>
              </v:shape>
            </v:group>
            <v:group style="position:absolute;left:4291;top:2521;width:3060;height:468" coordorigin="4291,2521" coordsize="3060,468">
              <v:shape style="position:absolute;left:4291;top:2521;width:3060;height:468" coordorigin="4291,2521" coordsize="3060,468" path="m4291,2989l7351,2989,7351,2521,4291,2521,4291,2989xe" filled="false" stroked="true" strokeweight=".75pt" strokecolor="#000000">
                <v:path arrowok="t"/>
              </v:shape>
            </v:group>
            <v:group style="position:absolute;left:5821;top:1891;width:2;height:624" coordorigin="5821,1891" coordsize="2,624">
              <v:shape style="position:absolute;left:5821;top:1891;width:2;height:624" coordorigin="5821,1891" coordsize="0,624" path="m5821,1891l5821,2515e" filled="false" stroked="true" strokeweight=".75pt" strokecolor="#000000">
                <v:path arrowok="t"/>
              </v:shape>
              <v:shape style="position:absolute;left:2221;top:8;width:3060;height:468" type="#_x0000_t202" filled="false" stroked="false">
                <v:textbox inset="0,0,0,0">
                  <w:txbxContent>
                    <w:p>
                      <w:pPr>
                        <w:spacing w:before="86"/>
                        <w:ind w:left="271" w:right="0" w:firstLine="0"/>
                        <w:jc w:val="left"/>
                        <w:rPr>
                          <w:rFonts w:ascii="宋体" w:hAnsi="宋体" w:cs="宋体" w:eastAsia="宋体" w:hint="default"/>
                          <w:sz w:val="21"/>
                          <w:szCs w:val="21"/>
                        </w:rPr>
                      </w:pPr>
                      <w:r>
                        <w:rPr>
                          <w:rFonts w:ascii="宋体" w:hAnsi="宋体" w:cs="宋体" w:eastAsia="宋体" w:hint="default"/>
                          <w:sz w:val="21"/>
                          <w:szCs w:val="21"/>
                        </w:rPr>
                        <w:t>深圳大通实业股份有限公司</w:t>
                      </w:r>
                    </w:p>
                  </w:txbxContent>
                </v:textbox>
                <w10:wrap type="none"/>
              </v:shape>
              <v:shape style="position:absolute;left:151;top:1444;width:3060;height:468" type="#_x0000_t202" filled="false" stroked="false">
                <v:textbox inset="0,0,0,0">
                  <w:txbxContent>
                    <w:p>
                      <w:pPr>
                        <w:spacing w:before="84"/>
                        <w:ind w:left="374" w:right="0" w:firstLine="0"/>
                        <w:jc w:val="left"/>
                        <w:rPr>
                          <w:rFonts w:ascii="宋体" w:hAnsi="宋体" w:cs="宋体" w:eastAsia="宋体" w:hint="default"/>
                          <w:sz w:val="21"/>
                          <w:szCs w:val="21"/>
                        </w:rPr>
                      </w:pPr>
                      <w:r>
                        <w:rPr>
                          <w:rFonts w:ascii="宋体" w:hAnsi="宋体" w:cs="宋体" w:eastAsia="宋体" w:hint="default"/>
                          <w:sz w:val="21"/>
                          <w:szCs w:val="21"/>
                        </w:rPr>
                        <w:t>青岛广顺房地产有限公司</w:t>
                      </w:r>
                    </w:p>
                  </w:txbxContent>
                </v:textbox>
                <w10:wrap type="none"/>
              </v:shape>
              <v:shape style="position:absolute;left:4291;top:1444;width:3060;height:468" type="#_x0000_t202" filled="false" stroked="false">
                <v:textbox inset="0,0,0,0">
                  <w:txbxContent>
                    <w:p>
                      <w:pPr>
                        <w:spacing w:before="84"/>
                        <w:ind w:left="481" w:right="0" w:firstLine="0"/>
                        <w:jc w:val="left"/>
                        <w:rPr>
                          <w:rFonts w:ascii="宋体" w:hAnsi="宋体" w:cs="宋体" w:eastAsia="宋体" w:hint="default"/>
                          <w:sz w:val="21"/>
                          <w:szCs w:val="21"/>
                        </w:rPr>
                      </w:pPr>
                      <w:r>
                        <w:rPr>
                          <w:rFonts w:ascii="宋体" w:hAnsi="宋体" w:cs="宋体" w:eastAsia="宋体" w:hint="default"/>
                          <w:sz w:val="21"/>
                          <w:szCs w:val="21"/>
                        </w:rPr>
                        <w:t>济宁海情置业有限公司</w:t>
                      </w:r>
                    </w:p>
                  </w:txbxContent>
                </v:textbox>
                <w10:wrap type="none"/>
              </v:shape>
              <v:shape style="position:absolute;left:4291;top:2521;width:3060;height:468" type="#_x0000_t202" filled="false" stroked="false">
                <v:textbox inset="0,0,0,0">
                  <w:txbxContent>
                    <w:p>
                      <w:pPr>
                        <w:spacing w:before="85"/>
                        <w:ind w:left="481" w:right="0" w:firstLine="0"/>
                        <w:jc w:val="left"/>
                        <w:rPr>
                          <w:rFonts w:ascii="宋体" w:hAnsi="宋体" w:cs="宋体" w:eastAsia="宋体" w:hint="default"/>
                          <w:sz w:val="21"/>
                          <w:szCs w:val="21"/>
                        </w:rPr>
                      </w:pPr>
                      <w:r>
                        <w:rPr>
                          <w:rFonts w:ascii="宋体" w:hAnsi="宋体" w:cs="宋体" w:eastAsia="宋体" w:hint="default"/>
                          <w:sz w:val="21"/>
                          <w:szCs w:val="21"/>
                        </w:rPr>
                        <w:t>泗水海情置业有限公司</w:t>
                      </w:r>
                    </w:p>
                  </w:txbxContent>
                </v:textbox>
                <w10:wrap type="none"/>
              </v:shape>
              <v:shape style="position:absolute;left:775;top:1008;width:33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83%</w:t>
                      </w:r>
                    </w:p>
                  </w:txbxContent>
                </v:textbox>
                <w10:wrap type="none"/>
              </v:shape>
              <v:shape style="position:absolute;left:6099;top:1008;width:33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90%</w:t>
                      </w:r>
                    </w:p>
                  </w:txbxContent>
                </v:textbox>
                <w10:wrap type="none"/>
              </v:shape>
              <v:shape style="position:absolute;left:6099;top:2177;width:42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v:shape style="position:absolute;left:0;top:2727;width:31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控股子公司的管理控制情况</w:t>
                      </w:r>
                    </w:p>
                  </w:txbxContent>
                </v:textbox>
                <w10:wrap type="none"/>
              </v:shape>
            </v:group>
          </v:group>
        </w:pict>
      </w:r>
      <w:r>
        <w:rPr>
          <w:rFonts w:ascii="宋体" w:hAnsi="宋体" w:cs="宋体" w:eastAsia="宋体" w:hint="default"/>
          <w:position w:val="-59"/>
          <w:sz w:val="20"/>
          <w:szCs w:val="20"/>
        </w:rPr>
      </w:r>
    </w:p>
    <w:p>
      <w:pPr>
        <w:spacing w:line="240" w:lineRule="auto" w:before="7"/>
        <w:rPr>
          <w:rFonts w:ascii="宋体" w:hAnsi="宋体" w:cs="宋体" w:eastAsia="宋体" w:hint="default"/>
          <w:sz w:val="7"/>
          <w:szCs w:val="7"/>
        </w:rPr>
      </w:pPr>
    </w:p>
    <w:p>
      <w:pPr>
        <w:pStyle w:val="BodyText"/>
        <w:spacing w:line="357" w:lineRule="auto" w:before="26"/>
        <w:ind w:right="996" w:firstLine="480"/>
        <w:jc w:val="left"/>
      </w:pPr>
      <w:r>
        <w:rPr/>
        <w:t>公司构建了总部、区域的二级架构体系。在二级架构体系下，总部对区域子公司的授权 </w:t>
      </w:r>
      <w:r>
        <w:rPr>
          <w:spacing w:val="-2"/>
        </w:rPr>
        <w:t>和职责划分坚持相分离原则；总部各专业部门统一制定相关制度，对区域公司进行专业指导；</w:t>
      </w:r>
      <w:r>
        <w:rPr/>
        <w:t> 并通过内部审计、专业检查、监事巡查等手段，检查、监督公司各层级职责的有效履行。</w:t>
      </w:r>
    </w:p>
    <w:p>
      <w:pPr>
        <w:pStyle w:val="BodyText"/>
        <w:spacing w:line="357" w:lineRule="auto"/>
        <w:ind w:right="1171" w:firstLine="480"/>
        <w:jc w:val="both"/>
      </w:pPr>
      <w:r>
        <w:rPr>
          <w:spacing w:val="-90"/>
        </w:rPr>
        <w:t>○</w:t>
      </w:r>
      <w:r>
        <w:rPr>
          <w:rFonts w:ascii="宋体" w:hAnsi="宋体" w:cs="宋体" w:eastAsia="宋体" w:hint="default"/>
          <w:spacing w:val="-90"/>
        </w:rPr>
        <w:t>1</w:t>
      </w:r>
      <w:r>
        <w:rPr>
          <w:rFonts w:ascii="宋体" w:hAnsi="宋体" w:cs="宋体" w:eastAsia="宋体" w:hint="default"/>
          <w:spacing w:val="-60"/>
        </w:rPr>
        <w:t> </w:t>
      </w:r>
      <w:r>
        <w:rPr/>
        <w:t>公司对子公司的公司各项需审批业务有明确的审批权限及流程，明确各岗位办理业务 和事项的权限范围、审批程序和相应责任。公司及各控股公司的日常审批业务通过在信息化 平台上进行自动控制以保证授权审批控制的效率和效果。</w:t>
      </w:r>
    </w:p>
    <w:p>
      <w:pPr>
        <w:pStyle w:val="BodyText"/>
        <w:spacing w:line="357" w:lineRule="auto" w:before="36"/>
        <w:ind w:right="1171" w:firstLine="480"/>
        <w:jc w:val="both"/>
      </w:pPr>
      <w:r>
        <w:rPr>
          <w:spacing w:val="-90"/>
        </w:rPr>
        <w:t>○</w:t>
      </w:r>
      <w:r>
        <w:rPr>
          <w:rFonts w:ascii="宋体" w:hAnsi="宋体" w:cs="宋体" w:eastAsia="宋体" w:hint="default"/>
          <w:spacing w:val="-90"/>
        </w:rPr>
        <w:t>2</w:t>
      </w:r>
      <w:r>
        <w:rPr>
          <w:rFonts w:ascii="宋体" w:hAnsi="宋体" w:cs="宋体" w:eastAsia="宋体" w:hint="default"/>
          <w:spacing w:val="-60"/>
        </w:rPr>
        <w:t> </w:t>
      </w:r>
      <w:r>
        <w:rPr/>
        <w:t>重大事项报告与审议方面，公司建立了统一规范的报告渠道和方式，建立包括经营管 理例会、总裁办公会等在内的定期、不定期专题办公会议制度，以及时把握集团的整体经营 状况，决策重大经营管理事项。子公司定期向总部上报各类经营信息，对临时重大事项，即</w:t>
      </w:r>
    </w:p>
    <w:p>
      <w:pPr>
        <w:spacing w:after="0" w:line="357" w:lineRule="auto"/>
        <w:jc w:val="both"/>
        <w:sectPr>
          <w:pgSz w:w="11910" w:h="16840"/>
          <w:pgMar w:header="0" w:footer="956" w:top="1060" w:bottom="1140" w:left="1020" w:right="0"/>
        </w:sectPr>
      </w:pPr>
    </w:p>
    <w:p>
      <w:pPr>
        <w:pStyle w:val="BodyText"/>
        <w:spacing w:line="240" w:lineRule="auto" w:before="14"/>
        <w:ind w:right="0"/>
        <w:jc w:val="left"/>
      </w:pPr>
      <w:r>
        <w:rPr/>
        <w:t>时向总部相关职能部门专项报告。</w:t>
      </w:r>
    </w:p>
    <w:p>
      <w:pPr>
        <w:pStyle w:val="BodyText"/>
        <w:spacing w:line="357" w:lineRule="auto" w:before="154"/>
        <w:ind w:right="1154" w:firstLine="480"/>
        <w:jc w:val="left"/>
      </w:pPr>
      <w:r>
        <w:rPr>
          <w:spacing w:val="-90"/>
        </w:rPr>
        <w:t>○</w:t>
      </w:r>
      <w:r>
        <w:rPr>
          <w:rFonts w:ascii="宋体" w:hAnsi="宋体" w:cs="宋体" w:eastAsia="宋体" w:hint="default"/>
          <w:spacing w:val="-90"/>
        </w:rPr>
        <w:t>3</w:t>
      </w:r>
      <w:r>
        <w:rPr>
          <w:rFonts w:ascii="宋体" w:hAnsi="宋体" w:cs="宋体" w:eastAsia="宋体" w:hint="default"/>
          <w:spacing w:val="-60"/>
        </w:rPr>
        <w:t> </w:t>
      </w:r>
      <w:r>
        <w:rPr/>
        <w:t>财务核算管理方面，各公司适用统一会计标准，执行统一的会计政策，总部财务制定 并修订了一系列财务核算管理制度，指导控股公司的财务核算工作。</w:t>
      </w:r>
    </w:p>
    <w:p>
      <w:pPr>
        <w:pStyle w:val="BodyText"/>
        <w:spacing w:line="357" w:lineRule="auto"/>
        <w:ind w:left="593" w:right="1153"/>
        <w:jc w:val="left"/>
      </w:pPr>
      <w:r>
        <w:rPr>
          <w:rFonts w:ascii="宋体" w:hAnsi="宋体" w:cs="宋体" w:eastAsia="宋体" w:hint="default"/>
        </w:rPr>
        <w:t>3)</w:t>
      </w:r>
      <w:r>
        <w:rPr/>
        <w:t>公司关联交易的内部控制情况 公司明确划分了公司股东大会、董事会对关联交易事项的审批权限，规定了关联交易事</w:t>
      </w:r>
    </w:p>
    <w:p>
      <w:pPr>
        <w:pStyle w:val="BodyText"/>
        <w:spacing w:line="357" w:lineRule="auto"/>
        <w:ind w:left="593" w:right="1153" w:hanging="481"/>
        <w:jc w:val="left"/>
      </w:pPr>
      <w:r>
        <w:rPr/>
        <w:t>项的审议程序和回避表决要求。 对照深交所《内部控制指引》的有关规定，公司对关联交易的内部控制严格、充分、有</w:t>
      </w:r>
    </w:p>
    <w:p>
      <w:pPr>
        <w:pStyle w:val="BodyText"/>
        <w:spacing w:line="357" w:lineRule="auto"/>
        <w:ind w:left="593" w:right="5474" w:hanging="481"/>
        <w:jc w:val="left"/>
      </w:pPr>
      <w:r>
        <w:rPr/>
        <w:t>效，未发现有违反《内部控制指引》的情形发生。 </w:t>
      </w:r>
      <w:r>
        <w:rPr>
          <w:rFonts w:ascii="宋体" w:hAnsi="宋体" w:cs="宋体" w:eastAsia="宋体" w:hint="default"/>
        </w:rPr>
        <w:t>4)</w:t>
      </w:r>
      <w:r>
        <w:rPr/>
        <w:t>公司对外担保的内部控制情况</w:t>
      </w:r>
    </w:p>
    <w:p>
      <w:pPr>
        <w:pStyle w:val="BodyText"/>
        <w:spacing w:line="357" w:lineRule="auto"/>
        <w:ind w:right="1170" w:firstLine="480"/>
        <w:jc w:val="both"/>
      </w:pPr>
      <w:r>
        <w:rPr/>
        <w:t>根据中国证监会发布的《关于规范上市公司与关联方资金往来及上市公司对外担保若干 问题的通知》，公司严格控制自身对外担保行为，同时也加强了对各控股子公司担保行为的 管理。公司章程中明确规定了对外担保的基本原则、审批权限、审批程序、被担保对象的资 信标准等。</w:t>
      </w:r>
    </w:p>
    <w:p>
      <w:pPr>
        <w:pStyle w:val="BodyText"/>
        <w:spacing w:line="357" w:lineRule="auto"/>
        <w:ind w:left="593" w:right="6193"/>
        <w:jc w:val="left"/>
      </w:pPr>
      <w:r>
        <w:rPr/>
        <w:t>报告期内，公司未发生对外担保事项。 </w:t>
      </w:r>
      <w:r>
        <w:rPr>
          <w:rFonts w:ascii="宋体" w:hAnsi="宋体" w:cs="宋体" w:eastAsia="宋体" w:hint="default"/>
        </w:rPr>
        <w:t>5)</w:t>
      </w:r>
      <w:r>
        <w:rPr/>
        <w:t>募集资金使用的内部控制情况</w:t>
      </w:r>
    </w:p>
    <w:p>
      <w:pPr>
        <w:pStyle w:val="BodyText"/>
        <w:spacing w:line="357" w:lineRule="auto"/>
        <w:ind w:right="1154" w:firstLine="480"/>
        <w:jc w:val="left"/>
      </w:pPr>
      <w:r>
        <w:rPr/>
        <w:t>公司已建立了《募集资金管理制度》，对募集资金的管理、使用、变更、信息披露等作 了明确规定。</w:t>
      </w:r>
    </w:p>
    <w:p>
      <w:pPr>
        <w:pStyle w:val="BodyText"/>
        <w:spacing w:line="355" w:lineRule="auto" w:before="36"/>
        <w:ind w:left="593" w:right="6193"/>
        <w:jc w:val="left"/>
      </w:pPr>
      <w:r>
        <w:rPr/>
        <w:t>报告期内，公司无募集资金使用情况。 </w:t>
      </w:r>
      <w:r>
        <w:rPr>
          <w:rFonts w:ascii="宋体" w:hAnsi="宋体" w:cs="宋体" w:eastAsia="宋体" w:hint="default"/>
        </w:rPr>
        <w:t>6)</w:t>
      </w:r>
      <w:r>
        <w:rPr/>
        <w:t>重大投资的内部控制情况</w:t>
      </w:r>
    </w:p>
    <w:p>
      <w:pPr>
        <w:pStyle w:val="BodyText"/>
        <w:spacing w:line="357" w:lineRule="auto" w:before="38"/>
        <w:ind w:right="996" w:firstLine="480"/>
        <w:jc w:val="left"/>
      </w:pPr>
      <w:r>
        <w:rPr>
          <w:spacing w:val="-3"/>
        </w:rPr>
        <w:t>为规范公司重大投资行为、规避相应投资风险，公司股东大会对董事会进行了有限授权。</w:t>
      </w:r>
      <w:r>
        <w:rPr/>
        <w:t> 公司章程明确规定，“董事会应当确定其运用公司资产所做出的对外投资、收购出售资产等 权限，建立严格的审查和决策程序；重大投资项目应当组织有关专家、专业人员做好专业评 </w:t>
      </w:r>
      <w:r>
        <w:rPr>
          <w:spacing w:val="-2"/>
        </w:rPr>
        <w:t>审。为了更好的适应市场和公司发展的需要，保证公司经营决策的及时高效，董事会在法律、</w:t>
      </w:r>
      <w:r>
        <w:rPr/>
        <w:t> 法规及公司章程允许的范围内对外投资和处置资产及审批贷款时，拥有不得超出该项行为发 生时公司净资产的</w:t>
      </w:r>
      <w:r>
        <w:rPr>
          <w:rFonts w:ascii="宋体" w:hAnsi="宋体" w:cs="宋体" w:eastAsia="宋体" w:hint="default"/>
        </w:rPr>
        <w:t>30%</w:t>
      </w:r>
      <w:r>
        <w:rPr/>
        <w:t>的审批权”，比较好的控制了重大投资的风险。</w:t>
      </w:r>
    </w:p>
    <w:p>
      <w:pPr>
        <w:pStyle w:val="BodyText"/>
        <w:spacing w:line="355" w:lineRule="auto" w:before="36"/>
        <w:ind w:left="593" w:right="1873"/>
        <w:jc w:val="left"/>
      </w:pPr>
      <w:r>
        <w:rPr>
          <w:rFonts w:ascii="宋体" w:hAnsi="宋体" w:cs="宋体" w:eastAsia="宋体" w:hint="default"/>
        </w:rPr>
        <w:t>2010</w:t>
      </w:r>
      <w:r>
        <w:rPr/>
        <w:t>年修订了《重大投资管理制度》，进一步对公司重大投资进行细化和规范。 报告期内，公司无重大投资的情况。</w:t>
      </w:r>
    </w:p>
    <w:p>
      <w:pPr>
        <w:pStyle w:val="BodyText"/>
        <w:spacing w:line="355" w:lineRule="auto" w:before="38"/>
        <w:ind w:left="593" w:right="1153"/>
        <w:jc w:val="left"/>
      </w:pPr>
      <w:r>
        <w:rPr>
          <w:rFonts w:ascii="宋体" w:hAnsi="宋体" w:cs="宋体" w:eastAsia="宋体" w:hint="default"/>
        </w:rPr>
        <w:t>7)</w:t>
      </w:r>
      <w:r>
        <w:rPr/>
        <w:t>公司信息披露的内部控制情况 公司按照《上市公司信息披露管理办法》的要求建立了信息披露内控制度，制定了定期</w:t>
      </w:r>
    </w:p>
    <w:p>
      <w:pPr>
        <w:pStyle w:val="BodyText"/>
        <w:spacing w:line="355" w:lineRule="auto" w:before="38"/>
        <w:ind w:right="1154"/>
        <w:jc w:val="left"/>
      </w:pPr>
      <w:r>
        <w:rPr/>
        <w:t>报告的编制、审议、披露程序，制定了重大事件的报告、传递、审核、披露程序，明确了内 部保密责任。</w:t>
      </w:r>
    </w:p>
    <w:p>
      <w:pPr>
        <w:spacing w:after="0" w:line="355" w:lineRule="auto"/>
        <w:jc w:val="left"/>
        <w:sectPr>
          <w:pgSz w:w="11910" w:h="16840"/>
          <w:pgMar w:header="0" w:footer="956" w:top="1060" w:bottom="1140" w:left="1020" w:right="0"/>
        </w:sectPr>
      </w:pPr>
    </w:p>
    <w:p>
      <w:pPr>
        <w:pStyle w:val="BodyText"/>
        <w:spacing w:line="357" w:lineRule="auto" w:before="14"/>
        <w:ind w:right="1171" w:firstLine="480"/>
        <w:jc w:val="both"/>
      </w:pPr>
      <w:r>
        <w:rPr/>
        <w:t>对照深交所《内部控制指引》的有关规定，公司对信息披露的内部控制严格、充分、有 效，未有违反《内部控制指引》的情形发生。</w:t>
      </w:r>
    </w:p>
    <w:p>
      <w:pPr>
        <w:pStyle w:val="BodyText"/>
        <w:spacing w:line="355" w:lineRule="auto" w:before="36"/>
        <w:ind w:left="593" w:right="1153"/>
        <w:jc w:val="left"/>
      </w:pPr>
      <w:r>
        <w:rPr>
          <w:rFonts w:ascii="宋体" w:hAnsi="宋体" w:cs="宋体" w:eastAsia="宋体" w:hint="default"/>
        </w:rPr>
        <w:t>3</w:t>
      </w:r>
      <w:r>
        <w:rPr/>
        <w:t>、内部控制制度总体评价 通过董事会和监事会的换届改选恢复了公司董事会、监事会正常运作，解决了董事会秘</w:t>
      </w:r>
    </w:p>
    <w:p>
      <w:pPr>
        <w:pStyle w:val="BodyText"/>
        <w:spacing w:line="357" w:lineRule="auto" w:before="38"/>
        <w:ind w:right="1169"/>
        <w:jc w:val="both"/>
      </w:pPr>
      <w:r>
        <w:rPr/>
        <w:t>书、财务总监、内部审计专员的任职和履职，解决了公司内部审计部门长期缺位的问题等法 人治理结构和内部控制体系存在的主要问题，通过学习和整改，公司对一些过时的内控制度 和管理制度进行了推成出新，新推出了若干紧贴公司实际需要的管控制度，报告期内公司治 理结构和内部控制体系建设取得了很大进步。</w:t>
      </w:r>
    </w:p>
    <w:p>
      <w:pPr>
        <w:pStyle w:val="BodyText"/>
        <w:spacing w:line="357" w:lineRule="auto" w:before="36"/>
        <w:ind w:right="1171" w:firstLine="480"/>
        <w:jc w:val="both"/>
      </w:pPr>
      <w:r>
        <w:rPr/>
        <w:t>与行业内优秀上市公司相比，公司仍存在较大差距，有很大的改进和提升空间。随着公 司重组的完成及外部环境的变化和公司经营活动变化的需要，公司将继续不断修订和完善相 关内部控制管理制度，使之始终符合相关法律法规的要求和适应公司长期发展的需要，同时 完善内部审计机构的工作，防范风险，促进公司更快更好地发展。</w:t>
      </w:r>
    </w:p>
    <w:p>
      <w:pPr>
        <w:pStyle w:val="BodyText"/>
        <w:spacing w:line="357" w:lineRule="auto" w:before="36"/>
        <w:ind w:right="1170" w:firstLine="480"/>
        <w:jc w:val="both"/>
      </w:pPr>
      <w:r>
        <w:rPr/>
        <w:t>公司内部控制制度比较合理、完善，符合现代企业要求的法人治理结构。对照深圳交易 所《上市公司内部控制指引》，公司内部控制总体上符合中国证监会、深圳证券交易所的相 关要求。</w:t>
      </w:r>
    </w:p>
    <w:p>
      <w:pPr>
        <w:pStyle w:val="BodyText"/>
        <w:spacing w:line="357" w:lineRule="auto"/>
        <w:ind w:left="593" w:right="1153"/>
        <w:jc w:val="left"/>
      </w:pPr>
      <w:r>
        <w:rPr>
          <w:rFonts w:ascii="宋体" w:hAnsi="宋体" w:cs="宋体" w:eastAsia="宋体" w:hint="default"/>
        </w:rPr>
        <w:t>4</w:t>
      </w:r>
      <w:r>
        <w:rPr/>
        <w:t>、公司监事会对公司内部控制自我评价的意见 公司根据中国证监会、深圳证券交易所有关规定，遵循内部控制的基本原则，按照自身</w:t>
      </w:r>
    </w:p>
    <w:p>
      <w:pPr>
        <w:pStyle w:val="BodyText"/>
        <w:spacing w:line="355" w:lineRule="auto" w:before="36"/>
        <w:ind w:right="1170"/>
        <w:jc w:val="both"/>
      </w:pPr>
      <w:r>
        <w:rPr/>
        <w:t>的实际情况，逐渐建立、完善内部控制制度，以保证各项业务活动的正常进行。公司内部控 制自我评价真实、准确地反映了公司内部控制的实际情况。</w:t>
      </w:r>
    </w:p>
    <w:p>
      <w:pPr>
        <w:pStyle w:val="BodyText"/>
        <w:spacing w:line="355" w:lineRule="auto" w:before="38"/>
        <w:ind w:left="593" w:right="1153"/>
        <w:jc w:val="left"/>
      </w:pPr>
      <w:r>
        <w:rPr>
          <w:rFonts w:ascii="宋体" w:hAnsi="宋体" w:cs="宋体" w:eastAsia="宋体" w:hint="default"/>
        </w:rPr>
        <w:t>5</w:t>
      </w:r>
      <w:r>
        <w:rPr/>
        <w:t>、公司独立董事对公司内部控制自我评价的意见 报告期内，针对公司治理结构和内部控制存在的问题进行认真整改，公司治理结构和内</w:t>
      </w:r>
    </w:p>
    <w:p>
      <w:pPr>
        <w:pStyle w:val="BodyText"/>
        <w:spacing w:line="357" w:lineRule="auto" w:before="38"/>
        <w:ind w:right="1171"/>
        <w:jc w:val="both"/>
      </w:pPr>
      <w:r>
        <w:rPr/>
        <w:t>部控制体系继续完善。同时，董事会按照监管部门的要求和公司发展的内在需要及行业特点 对公司原来的管理制度和内控制度进行了修订增补，以保证公司经营业务和日常管理的正常 运行。</w:t>
      </w:r>
    </w:p>
    <w:p>
      <w:pPr>
        <w:pStyle w:val="BodyText"/>
        <w:spacing w:line="357" w:lineRule="auto"/>
        <w:ind w:right="1171" w:firstLine="480"/>
        <w:jc w:val="both"/>
      </w:pPr>
      <w:r>
        <w:rPr/>
        <w:t>我们认为：公司内部控制体系正在不断趋于完善。公司内部控制自我评价符合公司内部 控制的实际情况。</w:t>
      </w:r>
    </w:p>
    <w:p>
      <w:pPr>
        <w:pStyle w:val="BodyText"/>
        <w:spacing w:line="357" w:lineRule="auto"/>
        <w:ind w:left="593" w:right="1153"/>
        <w:jc w:val="left"/>
      </w:pPr>
      <w:r>
        <w:rPr/>
        <w:t>（六）公司对高级管理人员的考评及激励机制 公司针对高级管理人员建立了一套绩效考评制度和薪酬制度。报告期内，因公司重组和</w:t>
      </w:r>
    </w:p>
    <w:p>
      <w:pPr>
        <w:pStyle w:val="BodyText"/>
        <w:spacing w:line="240" w:lineRule="auto"/>
        <w:ind w:right="0"/>
        <w:jc w:val="both"/>
      </w:pPr>
      <w:r>
        <w:rPr/>
        <w:t>恢复上市工作尚未完成，公司对高级管理人员的长期激励机制尚有待建立和完善。</w:t>
      </w:r>
    </w:p>
    <w:p>
      <w:pPr>
        <w:spacing w:after="0" w:line="240" w:lineRule="auto"/>
        <w:jc w:val="both"/>
        <w:sectPr>
          <w:pgSz w:w="11910" w:h="16840"/>
          <w:pgMar w:header="0" w:footer="956" w:top="1060" w:bottom="1140" w:left="1020" w:right="0"/>
        </w:sectPr>
      </w:pPr>
    </w:p>
    <w:p>
      <w:pPr>
        <w:pStyle w:val="Heading1"/>
        <w:tabs>
          <w:tab w:pos="4392" w:val="left" w:leader="none"/>
        </w:tabs>
        <w:spacing w:line="401" w:lineRule="exact"/>
        <w:ind w:left="3105" w:right="1034"/>
        <w:jc w:val="left"/>
        <w:rPr>
          <w:b w:val="0"/>
          <w:bCs w:val="0"/>
        </w:rPr>
      </w:pPr>
      <w:bookmarkStart w:name="_TOC_250005" w:id="7"/>
      <w:r>
        <w:rPr>
          <w:w w:val="95"/>
        </w:rPr>
        <w:t>第七章</w:t>
        <w:tab/>
      </w:r>
      <w:r>
        <w:rPr/>
        <w:t>股东大会情况简介</w:t>
      </w:r>
      <w:bookmarkEnd w:id="7"/>
      <w:r>
        <w:rPr>
          <w:b w:val="0"/>
          <w:bCs w:val="0"/>
        </w:rPr>
      </w:r>
    </w:p>
    <w:p>
      <w:pPr>
        <w:spacing w:line="240" w:lineRule="auto" w:before="13"/>
        <w:rPr>
          <w:rFonts w:ascii="宋体" w:hAnsi="宋体" w:cs="宋体" w:eastAsia="宋体" w:hint="default"/>
          <w:b/>
          <w:bCs/>
          <w:sz w:val="34"/>
          <w:szCs w:val="34"/>
        </w:rPr>
      </w:pPr>
    </w:p>
    <w:p>
      <w:pPr>
        <w:pStyle w:val="BodyText"/>
        <w:spacing w:line="240" w:lineRule="auto" w:before="0"/>
        <w:ind w:left="693" w:right="1034"/>
        <w:jc w:val="left"/>
      </w:pPr>
      <w:r>
        <w:rPr/>
        <w:t>（一）年度股东大会情况</w:t>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908"/>
        <w:gridCol w:w="1621"/>
        <w:gridCol w:w="3600"/>
        <w:gridCol w:w="2727"/>
      </w:tblGrid>
      <w:tr>
        <w:trPr>
          <w:trHeight w:val="283"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会议决议刊登的信息披露报纸</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283"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z w:val="21"/>
                <w:szCs w:val="21"/>
              </w:rPr>
              <w:t>年度股东大会</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11</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中国证券报、证券时报</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12</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pStyle w:val="BodyText"/>
        <w:spacing w:line="357" w:lineRule="auto" w:before="163"/>
        <w:ind w:left="212" w:right="1154" w:firstLine="480"/>
        <w:jc w:val="left"/>
      </w:pPr>
      <w:r>
        <w:rPr/>
        <w:t>公司</w:t>
      </w:r>
      <w:r>
        <w:rPr>
          <w:rFonts w:ascii="宋体" w:hAnsi="宋体" w:cs="宋体" w:eastAsia="宋体" w:hint="default"/>
        </w:rPr>
        <w:t>2009</w:t>
      </w:r>
      <w:r>
        <w:rPr/>
        <w:t>年度股东大会于</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11</w:t>
      </w:r>
      <w:r>
        <w:rPr/>
        <w:t>日在深圳市福田区深南大道</w:t>
      </w:r>
      <w:r>
        <w:rPr>
          <w:rFonts w:ascii="宋体" w:hAnsi="宋体" w:cs="宋体" w:eastAsia="宋体" w:hint="default"/>
        </w:rPr>
        <w:t>6017</w:t>
      </w:r>
      <w:r>
        <w:rPr/>
        <w:t>号都市阳光名苑</w:t>
      </w:r>
      <w:r>
        <w:rPr>
          <w:rFonts w:ascii="宋体" w:hAnsi="宋体" w:cs="宋体" w:eastAsia="宋体" w:hint="default"/>
        </w:rPr>
        <w:t>1 </w:t>
      </w:r>
      <w:r>
        <w:rPr/>
        <w:t>栋</w:t>
      </w:r>
      <w:r>
        <w:rPr>
          <w:rFonts w:ascii="宋体" w:hAnsi="宋体" w:cs="宋体" w:eastAsia="宋体" w:hint="default"/>
        </w:rPr>
        <w:t>4</w:t>
      </w:r>
      <w:r>
        <w:rPr/>
        <w:t>楼</w:t>
      </w:r>
      <w:r>
        <w:rPr>
          <w:rFonts w:ascii="宋体" w:hAnsi="宋体" w:cs="宋体" w:eastAsia="宋体" w:hint="default"/>
        </w:rPr>
        <w:t>CEO</w:t>
      </w:r>
      <w:r>
        <w:rPr/>
        <w:t>商务中心会议室召开。会议由公司董事会召集，出席会议的股东（代理人）共计</w:t>
      </w:r>
      <w:r>
        <w:rPr>
          <w:rFonts w:ascii="宋体" w:hAnsi="宋体" w:cs="宋体" w:eastAsia="宋体" w:hint="default"/>
        </w:rPr>
        <w:t>1 </w:t>
      </w:r>
      <w:r>
        <w:rPr/>
        <w:t>人，持有表决权的股份</w:t>
      </w:r>
      <w:r>
        <w:rPr>
          <w:rFonts w:ascii="宋体" w:hAnsi="宋体" w:cs="宋体" w:eastAsia="宋体" w:hint="default"/>
        </w:rPr>
        <w:t>23,300,000</w:t>
      </w:r>
      <w:r>
        <w:rPr/>
        <w:t>股，占公司有表决权股份总数的</w:t>
      </w:r>
      <w:r>
        <w:rPr>
          <w:rFonts w:ascii="宋体" w:hAnsi="宋体" w:cs="宋体" w:eastAsia="宋体" w:hint="default"/>
        </w:rPr>
        <w:t>24.21%</w:t>
      </w:r>
      <w:r>
        <w:rPr/>
        <w:t>，符合《公司法》 和《公司章程》的规定。会议由董事长许亚楠先生主持，以记名方式投票表决，审议并表决 通过了以下议案：</w:t>
      </w:r>
    </w:p>
    <w:p>
      <w:pPr>
        <w:pStyle w:val="BodyText"/>
        <w:spacing w:line="240" w:lineRule="auto"/>
        <w:ind w:left="693" w:right="1034"/>
        <w:jc w:val="left"/>
      </w:pPr>
      <w:r>
        <w:rPr>
          <w:rFonts w:ascii="宋体" w:hAnsi="宋体" w:cs="宋体" w:eastAsia="宋体" w:hint="default"/>
        </w:rPr>
        <w:t>1</w:t>
      </w:r>
      <w:r>
        <w:rPr/>
        <w:t>、《公司</w:t>
      </w:r>
      <w:r>
        <w:rPr>
          <w:rFonts w:ascii="宋体" w:hAnsi="宋体" w:cs="宋体" w:eastAsia="宋体" w:hint="default"/>
        </w:rPr>
        <w:t>2009</w:t>
      </w:r>
      <w:r>
        <w:rPr/>
        <w:t>年董事会工作报告》；</w:t>
      </w:r>
    </w:p>
    <w:p>
      <w:pPr>
        <w:pStyle w:val="BodyText"/>
        <w:spacing w:line="240" w:lineRule="auto" w:before="154"/>
        <w:ind w:left="693" w:right="1034"/>
        <w:jc w:val="left"/>
      </w:pPr>
      <w:r>
        <w:rPr>
          <w:rFonts w:ascii="宋体" w:hAnsi="宋体" w:cs="宋体" w:eastAsia="宋体" w:hint="default"/>
        </w:rPr>
        <w:t>2</w:t>
      </w:r>
      <w:r>
        <w:rPr/>
        <w:t>、《公司</w:t>
      </w:r>
      <w:r>
        <w:rPr>
          <w:rFonts w:ascii="宋体" w:hAnsi="宋体" w:cs="宋体" w:eastAsia="宋体" w:hint="default"/>
        </w:rPr>
        <w:t>2009</w:t>
      </w:r>
      <w:r>
        <w:rPr/>
        <w:t>年监事会工作报告》；</w:t>
      </w:r>
    </w:p>
    <w:p>
      <w:pPr>
        <w:pStyle w:val="BodyText"/>
        <w:spacing w:line="240" w:lineRule="auto" w:before="151"/>
        <w:ind w:left="693" w:right="1034"/>
        <w:jc w:val="left"/>
      </w:pPr>
      <w:r>
        <w:rPr>
          <w:rFonts w:ascii="宋体" w:hAnsi="宋体" w:cs="宋体" w:eastAsia="宋体" w:hint="default"/>
        </w:rPr>
        <w:t>3</w:t>
      </w:r>
      <w:r>
        <w:rPr/>
        <w:t>、《公司</w:t>
      </w:r>
      <w:r>
        <w:rPr>
          <w:rFonts w:ascii="宋体" w:hAnsi="宋体" w:cs="宋体" w:eastAsia="宋体" w:hint="default"/>
        </w:rPr>
        <w:t>2009</w:t>
      </w:r>
      <w:r>
        <w:rPr/>
        <w:t>年度财务决算报告》；</w:t>
      </w:r>
    </w:p>
    <w:p>
      <w:pPr>
        <w:pStyle w:val="BodyText"/>
        <w:spacing w:line="240" w:lineRule="auto" w:before="154"/>
        <w:ind w:left="693" w:right="1034"/>
        <w:jc w:val="left"/>
      </w:pPr>
      <w:r>
        <w:rPr>
          <w:rFonts w:ascii="宋体" w:hAnsi="宋体" w:cs="宋体" w:eastAsia="宋体" w:hint="default"/>
        </w:rPr>
        <w:t>4</w:t>
      </w:r>
      <w:r>
        <w:rPr/>
        <w:t>、《</w:t>
      </w:r>
      <w:r>
        <w:rPr>
          <w:rFonts w:ascii="宋体" w:hAnsi="宋体" w:cs="宋体" w:eastAsia="宋体" w:hint="default"/>
        </w:rPr>
        <w:t>2009</w:t>
      </w:r>
      <w:r>
        <w:rPr/>
        <w:t>年度利润分配预案》；</w:t>
      </w:r>
    </w:p>
    <w:p>
      <w:pPr>
        <w:pStyle w:val="BodyText"/>
        <w:spacing w:line="240" w:lineRule="auto" w:before="151"/>
        <w:ind w:left="693" w:right="1034"/>
        <w:jc w:val="left"/>
      </w:pPr>
      <w:r>
        <w:rPr>
          <w:rFonts w:ascii="宋体" w:hAnsi="宋体" w:cs="宋体" w:eastAsia="宋体" w:hint="default"/>
        </w:rPr>
        <w:t>5</w:t>
      </w:r>
      <w:r>
        <w:rPr/>
        <w:t>、《</w:t>
      </w:r>
      <w:r>
        <w:rPr>
          <w:rFonts w:ascii="宋体" w:hAnsi="宋体" w:cs="宋体" w:eastAsia="宋体" w:hint="default"/>
        </w:rPr>
        <w:t>2009 </w:t>
      </w:r>
      <w:r>
        <w:rPr/>
        <w:t>年度报告及其摘要、</w:t>
      </w:r>
      <w:r>
        <w:rPr>
          <w:rFonts w:ascii="宋体" w:hAnsi="宋体" w:cs="宋体" w:eastAsia="宋体" w:hint="default"/>
        </w:rPr>
        <w:t>2009</w:t>
      </w:r>
      <w:r>
        <w:rPr>
          <w:rFonts w:ascii="宋体" w:hAnsi="宋体" w:cs="宋体" w:eastAsia="宋体" w:hint="default"/>
          <w:spacing w:val="-1"/>
        </w:rPr>
        <w:t> </w:t>
      </w:r>
      <w:r>
        <w:rPr/>
        <w:t>年度财务报告》；</w:t>
      </w:r>
    </w:p>
    <w:p>
      <w:pPr>
        <w:pStyle w:val="BodyText"/>
        <w:spacing w:line="240" w:lineRule="auto" w:before="154"/>
        <w:ind w:left="693" w:right="1034"/>
        <w:jc w:val="left"/>
      </w:pPr>
      <w:r>
        <w:rPr>
          <w:rFonts w:ascii="宋体" w:hAnsi="宋体" w:cs="宋体" w:eastAsia="宋体" w:hint="default"/>
        </w:rPr>
        <w:t>6</w:t>
      </w:r>
      <w:r>
        <w:rPr/>
        <w:t>、《关于修改〈公司章程〉的特别议案》；</w:t>
      </w:r>
    </w:p>
    <w:p>
      <w:pPr>
        <w:pStyle w:val="BodyText"/>
        <w:spacing w:line="240" w:lineRule="auto" w:before="151"/>
        <w:ind w:left="693" w:right="1034"/>
        <w:jc w:val="left"/>
      </w:pPr>
      <w:r>
        <w:rPr>
          <w:rFonts w:ascii="宋体" w:hAnsi="宋体" w:cs="宋体" w:eastAsia="宋体" w:hint="default"/>
        </w:rPr>
        <w:t>7</w:t>
      </w:r>
      <w:r>
        <w:rPr/>
        <w:t>、《监事会议事规则》；</w:t>
      </w:r>
    </w:p>
    <w:p>
      <w:pPr>
        <w:pStyle w:val="BodyText"/>
        <w:spacing w:line="240" w:lineRule="auto" w:before="154"/>
        <w:ind w:left="693" w:right="1034"/>
        <w:jc w:val="left"/>
      </w:pPr>
      <w:r>
        <w:rPr>
          <w:rFonts w:ascii="宋体" w:hAnsi="宋体" w:cs="宋体" w:eastAsia="宋体" w:hint="default"/>
        </w:rPr>
        <w:t>8</w:t>
      </w:r>
      <w:r>
        <w:rPr/>
        <w:t>、《股东大会议事规则》</w:t>
      </w:r>
    </w:p>
    <w:p>
      <w:pPr>
        <w:pStyle w:val="BodyText"/>
        <w:spacing w:line="240" w:lineRule="auto" w:before="151"/>
        <w:ind w:left="693" w:right="1034"/>
        <w:jc w:val="left"/>
      </w:pPr>
      <w:r>
        <w:rPr>
          <w:rFonts w:ascii="宋体" w:hAnsi="宋体" w:cs="宋体" w:eastAsia="宋体" w:hint="default"/>
        </w:rPr>
        <w:t>9</w:t>
      </w:r>
      <w:r>
        <w:rPr/>
        <w:t>、《董事会议事规则》</w:t>
      </w:r>
    </w:p>
    <w:p>
      <w:pPr>
        <w:pStyle w:val="BodyText"/>
        <w:spacing w:line="240" w:lineRule="auto" w:before="154"/>
        <w:ind w:left="693" w:right="1034"/>
        <w:jc w:val="left"/>
      </w:pPr>
      <w:r>
        <w:rPr>
          <w:rFonts w:ascii="宋体" w:hAnsi="宋体" w:cs="宋体" w:eastAsia="宋体" w:hint="default"/>
        </w:rPr>
        <w:t>10</w:t>
      </w:r>
      <w:r>
        <w:rPr/>
        <w:t>、《董、监事薪酬制度》</w:t>
      </w:r>
    </w:p>
    <w:p>
      <w:pPr>
        <w:pStyle w:val="BodyText"/>
        <w:spacing w:line="357" w:lineRule="auto" w:before="151"/>
        <w:ind w:left="693" w:right="1153"/>
        <w:jc w:val="left"/>
      </w:pPr>
      <w:r>
        <w:rPr>
          <w:rFonts w:ascii="宋体" w:hAnsi="宋体" w:cs="宋体" w:eastAsia="宋体" w:hint="default"/>
        </w:rPr>
        <w:t>11</w:t>
      </w:r>
      <w:r>
        <w:rPr/>
        <w:t>、《关于续聘会计师事务所的议案》； 公司聘请北京市君合律师事务所郭晓夏律师和何俊辉律师出席本次股东大会现场见证，</w:t>
      </w:r>
    </w:p>
    <w:p>
      <w:pPr>
        <w:pStyle w:val="BodyText"/>
        <w:spacing w:line="240" w:lineRule="auto"/>
        <w:ind w:left="212" w:right="1034"/>
        <w:jc w:val="left"/>
      </w:pPr>
      <w:r>
        <w:rPr/>
        <w:t>并出具法律意见书。</w:t>
      </w:r>
    </w:p>
    <w:p>
      <w:pPr>
        <w:pStyle w:val="BodyText"/>
        <w:spacing w:line="240" w:lineRule="auto" w:before="154"/>
        <w:ind w:left="693" w:right="1034"/>
        <w:jc w:val="left"/>
      </w:pPr>
      <w:r>
        <w:rPr/>
        <w:t>（二）临时股东大会情况</w:t>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908"/>
        <w:gridCol w:w="1801"/>
        <w:gridCol w:w="2948"/>
        <w:gridCol w:w="2545"/>
      </w:tblGrid>
      <w:tr>
        <w:trPr>
          <w:trHeight w:val="28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会议决议刊登的信息披露报纸</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5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年第一次临时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股东大会</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中国证券报、证券时报</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z w:val="21"/>
                <w:szCs w:val="21"/>
              </w:rPr>
              <w:t>日</w:t>
            </w:r>
          </w:p>
        </w:tc>
      </w:tr>
      <w:tr>
        <w:trPr>
          <w:trHeight w:val="55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年第二次临时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股东大会</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中国证券报、证券时报</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w:t>
            </w:r>
          </w:p>
        </w:tc>
      </w:tr>
      <w:tr>
        <w:trPr>
          <w:trHeight w:val="557"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年底三次临时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股东大会</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中国证券报、证券时报</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w:t>
            </w:r>
          </w:p>
        </w:tc>
      </w:tr>
    </w:tbl>
    <w:p>
      <w:pPr>
        <w:pStyle w:val="BodyText"/>
        <w:spacing w:line="274" w:lineRule="exact" w:before="0"/>
        <w:ind w:left="693" w:right="1034"/>
        <w:jc w:val="left"/>
      </w:pPr>
      <w:r>
        <w:rPr>
          <w:rFonts w:ascii="宋体" w:hAnsi="宋体" w:cs="宋体" w:eastAsia="宋体" w:hint="default"/>
        </w:rPr>
        <w:t>1</w:t>
      </w:r>
      <w:r>
        <w:rPr/>
        <w:t>、公司</w:t>
      </w:r>
      <w:r>
        <w:rPr>
          <w:rFonts w:ascii="宋体" w:hAnsi="宋体" w:cs="宋体" w:eastAsia="宋体" w:hint="default"/>
        </w:rPr>
        <w:t>2010</w:t>
      </w:r>
      <w:r>
        <w:rPr/>
        <w:t>年第一次临时股东大会于</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20</w:t>
      </w:r>
      <w:r>
        <w:rPr/>
        <w:t>日在深圳市福田区深南大道</w:t>
      </w:r>
      <w:r>
        <w:rPr>
          <w:rFonts w:ascii="宋体" w:hAnsi="宋体" w:cs="宋体" w:eastAsia="宋体" w:hint="default"/>
        </w:rPr>
        <w:t>6017</w:t>
      </w:r>
      <w:r>
        <w:rPr/>
        <w:t>号都</w:t>
      </w:r>
    </w:p>
    <w:p>
      <w:pPr>
        <w:pStyle w:val="BodyText"/>
        <w:spacing w:line="357" w:lineRule="auto" w:before="151"/>
        <w:ind w:left="212" w:right="1034"/>
        <w:jc w:val="left"/>
      </w:pPr>
      <w:r>
        <w:rPr/>
        <w:t>市阳光名苑</w:t>
      </w:r>
      <w:r>
        <w:rPr>
          <w:rFonts w:ascii="宋体" w:hAnsi="宋体" w:cs="宋体" w:eastAsia="宋体" w:hint="default"/>
        </w:rPr>
        <w:t>1</w:t>
      </w:r>
      <w:r>
        <w:rPr/>
        <w:t>栋</w:t>
      </w:r>
      <w:r>
        <w:rPr>
          <w:rFonts w:ascii="宋体" w:hAnsi="宋体" w:cs="宋体" w:eastAsia="宋体" w:hint="default"/>
        </w:rPr>
        <w:t>4</w:t>
      </w:r>
      <w:r>
        <w:rPr/>
        <w:t>楼</w:t>
      </w:r>
      <w:r>
        <w:rPr>
          <w:rFonts w:ascii="宋体" w:hAnsi="宋体" w:cs="宋体" w:eastAsia="宋体" w:hint="default"/>
        </w:rPr>
        <w:t>CEO</w:t>
      </w:r>
      <w:r>
        <w:rPr/>
        <w:t>商务中心会议室召开。会议由董事会召集，出席会议的股东（代理人） </w:t>
      </w:r>
      <w:r>
        <w:rPr>
          <w:spacing w:val="-2"/>
        </w:rPr>
        <w:t>共计</w:t>
      </w:r>
      <w:r>
        <w:rPr>
          <w:rFonts w:ascii="宋体" w:hAnsi="宋体" w:cs="宋体" w:eastAsia="宋体" w:hint="default"/>
          <w:spacing w:val="-2"/>
        </w:rPr>
        <w:t>1</w:t>
      </w:r>
      <w:r>
        <w:rPr>
          <w:spacing w:val="-2"/>
        </w:rPr>
        <w:t>人，持有表决权的股份</w:t>
      </w:r>
      <w:r>
        <w:rPr>
          <w:rFonts w:ascii="宋体" w:hAnsi="宋体" w:cs="宋体" w:eastAsia="宋体" w:hint="default"/>
          <w:spacing w:val="-2"/>
        </w:rPr>
        <w:t>10,000,000</w:t>
      </w:r>
      <w:r>
        <w:rPr>
          <w:spacing w:val="-2"/>
        </w:rPr>
        <w:t>股，占公司有表决权股份总数的</w:t>
      </w:r>
      <w:r>
        <w:rPr>
          <w:rFonts w:ascii="宋体" w:hAnsi="宋体" w:cs="宋体" w:eastAsia="宋体" w:hint="default"/>
          <w:spacing w:val="-2"/>
        </w:rPr>
        <w:t>10.39%</w:t>
      </w:r>
      <w:r>
        <w:rPr>
          <w:spacing w:val="-2"/>
        </w:rPr>
        <w:t>，符合《公司</w:t>
      </w:r>
    </w:p>
    <w:p>
      <w:pPr>
        <w:spacing w:after="0" w:line="357" w:lineRule="auto"/>
        <w:jc w:val="left"/>
        <w:sectPr>
          <w:pgSz w:w="11910" w:h="16840"/>
          <w:pgMar w:header="0" w:footer="956" w:top="1080" w:bottom="1140" w:left="920" w:right="0"/>
        </w:sectPr>
      </w:pPr>
    </w:p>
    <w:p>
      <w:pPr>
        <w:pStyle w:val="BodyText"/>
        <w:spacing w:line="357" w:lineRule="auto" w:before="14"/>
        <w:ind w:right="1170"/>
        <w:jc w:val="both"/>
      </w:pPr>
      <w:r>
        <w:rPr/>
        <w:t>法》和《公司章程》的规定。会议由董事张庆文先生主持，以记名方式投票表决，审议并表 决通过了以下议案：</w:t>
      </w:r>
    </w:p>
    <w:p>
      <w:pPr>
        <w:pStyle w:val="BodyText"/>
        <w:spacing w:line="240" w:lineRule="auto" w:before="36"/>
        <w:ind w:left="593" w:right="0"/>
        <w:jc w:val="left"/>
      </w:pPr>
      <w:r>
        <w:rPr>
          <w:rFonts w:ascii="宋体" w:hAnsi="宋体" w:cs="宋体" w:eastAsia="宋体" w:hint="default"/>
        </w:rPr>
        <w:t>1</w:t>
      </w:r>
      <w:r>
        <w:rPr/>
        <w:t>）、以特别决议方式审议通过了关于修改公司章程的议案</w:t>
      </w:r>
    </w:p>
    <w:p>
      <w:pPr>
        <w:pStyle w:val="BodyText"/>
        <w:spacing w:line="357" w:lineRule="auto" w:before="151"/>
        <w:ind w:right="0" w:firstLine="480"/>
        <w:jc w:val="left"/>
      </w:pPr>
      <w:r>
        <w:rPr>
          <w:rFonts w:ascii="宋体" w:hAnsi="宋体" w:cs="宋体" w:eastAsia="宋体" w:hint="default"/>
          <w:spacing w:val="-3"/>
        </w:rPr>
        <w:t>2</w:t>
      </w:r>
      <w:r>
        <w:rPr>
          <w:spacing w:val="-3"/>
        </w:rPr>
        <w:t>）、审议通过了关于公司控股子公司兖州海情置业有限公司拟成立全资子公司开发泗水</w:t>
      </w:r>
      <w:r>
        <w:rPr/>
        <w:t> 圣德路项目的议案</w:t>
      </w:r>
    </w:p>
    <w:p>
      <w:pPr>
        <w:pStyle w:val="BodyText"/>
        <w:spacing w:line="357" w:lineRule="auto"/>
        <w:ind w:right="1154" w:firstLine="480"/>
        <w:jc w:val="left"/>
      </w:pPr>
      <w:r>
        <w:rPr/>
        <w:t>公司聘请北京市君合律师事务所深圳分所郭晓夏律师和何俊辉律师出席本次股东大会现 场见证，并出具法律意见书。</w:t>
      </w:r>
    </w:p>
    <w:p>
      <w:pPr>
        <w:pStyle w:val="BodyText"/>
        <w:spacing w:line="357" w:lineRule="auto"/>
        <w:ind w:right="1034" w:firstLine="480"/>
        <w:jc w:val="left"/>
      </w:pPr>
      <w:r>
        <w:rPr>
          <w:rFonts w:ascii="宋体" w:hAnsi="宋体" w:cs="宋体" w:eastAsia="宋体" w:hint="default"/>
        </w:rPr>
        <w:t>2</w:t>
      </w:r>
      <w:r>
        <w:rPr/>
        <w:t>、公司</w:t>
      </w:r>
      <w:r>
        <w:rPr>
          <w:rFonts w:ascii="宋体" w:hAnsi="宋体" w:cs="宋体" w:eastAsia="宋体" w:hint="default"/>
        </w:rPr>
        <w:t>2010</w:t>
      </w:r>
      <w:r>
        <w:rPr/>
        <w:t>年第二次临时股东大会于</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28</w:t>
      </w:r>
      <w:r>
        <w:rPr/>
        <w:t>日在深圳市福田区深南大道</w:t>
      </w:r>
      <w:r>
        <w:rPr>
          <w:rFonts w:ascii="宋体" w:hAnsi="宋体" w:cs="宋体" w:eastAsia="宋体" w:hint="default"/>
        </w:rPr>
        <w:t>6017</w:t>
      </w:r>
      <w:r>
        <w:rPr/>
        <w:t>号都 市阳光名苑</w:t>
      </w:r>
      <w:r>
        <w:rPr>
          <w:rFonts w:ascii="宋体" w:hAnsi="宋体" w:cs="宋体" w:eastAsia="宋体" w:hint="default"/>
        </w:rPr>
        <w:t>1</w:t>
      </w:r>
      <w:r>
        <w:rPr/>
        <w:t>栋</w:t>
      </w:r>
      <w:r>
        <w:rPr>
          <w:rFonts w:ascii="宋体" w:hAnsi="宋体" w:cs="宋体" w:eastAsia="宋体" w:hint="default"/>
        </w:rPr>
        <w:t>4</w:t>
      </w:r>
      <w:r>
        <w:rPr/>
        <w:t>楼</w:t>
      </w:r>
      <w:r>
        <w:rPr>
          <w:rFonts w:ascii="宋体" w:hAnsi="宋体" w:cs="宋体" w:eastAsia="宋体" w:hint="default"/>
        </w:rPr>
        <w:t>CEO</w:t>
      </w:r>
      <w:r>
        <w:rPr/>
        <w:t>商务中心会议室召开。会议由董事会召集，出席会议的股东（代理人） </w:t>
      </w:r>
      <w:r>
        <w:rPr>
          <w:spacing w:val="-2"/>
        </w:rPr>
        <w:t>共计</w:t>
      </w:r>
      <w:r>
        <w:rPr>
          <w:rFonts w:ascii="宋体" w:hAnsi="宋体" w:cs="宋体" w:eastAsia="宋体" w:hint="default"/>
          <w:spacing w:val="-2"/>
        </w:rPr>
        <w:t>1</w:t>
      </w:r>
      <w:r>
        <w:rPr>
          <w:spacing w:val="-2"/>
        </w:rPr>
        <w:t>人，持有表决权的股份</w:t>
      </w:r>
      <w:r>
        <w:rPr>
          <w:rFonts w:ascii="宋体" w:hAnsi="宋体" w:cs="宋体" w:eastAsia="宋体" w:hint="default"/>
          <w:spacing w:val="-2"/>
        </w:rPr>
        <w:t>10,000,000</w:t>
      </w:r>
      <w:r>
        <w:rPr>
          <w:spacing w:val="-2"/>
        </w:rPr>
        <w:t>股，占公司有表决权股份总数的</w:t>
      </w:r>
      <w:r>
        <w:rPr>
          <w:rFonts w:ascii="宋体" w:hAnsi="宋体" w:cs="宋体" w:eastAsia="宋体" w:hint="default"/>
          <w:spacing w:val="-2"/>
        </w:rPr>
        <w:t>10.39%</w:t>
      </w:r>
      <w:r>
        <w:rPr>
          <w:spacing w:val="-2"/>
        </w:rPr>
        <w:t>，符合《公司</w:t>
      </w:r>
      <w:r>
        <w:rPr>
          <w:spacing w:val="-104"/>
        </w:rPr>
        <w:t> </w:t>
      </w:r>
      <w:r>
        <w:rPr>
          <w:spacing w:val="-104"/>
        </w:rPr>
      </w:r>
      <w:r>
        <w:rPr/>
        <w:t>法》和《公司章程》的规定。会议由董事长许亚楠主持，以记名方式投票表决，审议并表决</w:t>
      </w:r>
      <w:r>
        <w:rPr/>
        <w:t> 通过了以下议案：</w:t>
      </w:r>
    </w:p>
    <w:p>
      <w:pPr>
        <w:pStyle w:val="BodyText"/>
        <w:spacing w:line="355" w:lineRule="auto" w:before="36"/>
        <w:ind w:left="593" w:right="1153"/>
        <w:jc w:val="left"/>
      </w:pPr>
      <w:r>
        <w:rPr>
          <w:rFonts w:ascii="宋体" w:hAnsi="宋体" w:cs="宋体" w:eastAsia="宋体" w:hint="default"/>
        </w:rPr>
        <w:t>1</w:t>
      </w:r>
      <w:r>
        <w:rPr/>
        <w:t>）、关于选举孙登义先生为公司第七届董事会非独立董事的议案 公司聘请北京市君合律师事务所深圳分所郭晓夏律师和余峥律师出席本次股东大会现场</w:t>
      </w:r>
    </w:p>
    <w:p>
      <w:pPr>
        <w:pStyle w:val="BodyText"/>
        <w:spacing w:line="355" w:lineRule="auto" w:before="38"/>
        <w:ind w:left="593" w:right="1123" w:hanging="481"/>
        <w:jc w:val="left"/>
      </w:pPr>
      <w:r>
        <w:rPr/>
        <w:t>见证，并出具法律意见书。 </w:t>
      </w:r>
      <w:r>
        <w:rPr>
          <w:rFonts w:ascii="宋体" w:hAnsi="宋体" w:cs="宋体" w:eastAsia="宋体" w:hint="default"/>
          <w:spacing w:val="-2"/>
        </w:rPr>
        <w:t>3</w:t>
      </w:r>
      <w:r>
        <w:rPr>
          <w:spacing w:val="-2"/>
        </w:rPr>
        <w:t>、公司</w:t>
      </w:r>
      <w:r>
        <w:rPr>
          <w:rFonts w:ascii="宋体" w:hAnsi="宋体" w:cs="宋体" w:eastAsia="宋体" w:hint="default"/>
          <w:spacing w:val="-2"/>
        </w:rPr>
        <w:t>2010</w:t>
      </w:r>
      <w:r>
        <w:rPr>
          <w:spacing w:val="-2"/>
        </w:rPr>
        <w:t>年第三次临时股东大会于</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17</w:t>
      </w:r>
      <w:r>
        <w:rPr>
          <w:spacing w:val="-2"/>
        </w:rPr>
        <w:t>日在青岛广顺房地产有限公司会议室</w:t>
      </w:r>
    </w:p>
    <w:p>
      <w:pPr>
        <w:pStyle w:val="BodyText"/>
        <w:spacing w:line="357" w:lineRule="auto" w:before="38"/>
        <w:ind w:right="1133"/>
        <w:jc w:val="both"/>
      </w:pPr>
      <w:r>
        <w:rPr>
          <w:spacing w:val="-7"/>
        </w:rPr>
        <w:t>召开。会议由董事会召集，出席会议的股东（代理人）共计</w:t>
      </w:r>
      <w:r>
        <w:rPr>
          <w:rFonts w:ascii="宋体" w:hAnsi="宋体" w:cs="宋体" w:eastAsia="宋体" w:hint="default"/>
          <w:spacing w:val="-7"/>
        </w:rPr>
        <w:t>4</w:t>
      </w:r>
      <w:r>
        <w:rPr>
          <w:spacing w:val="-7"/>
        </w:rPr>
        <w:t>人，持有表决权的股份</w:t>
      </w:r>
      <w:r>
        <w:rPr>
          <w:rFonts w:ascii="宋体" w:hAnsi="宋体" w:cs="宋体" w:eastAsia="宋体" w:hint="default"/>
          <w:spacing w:val="-7"/>
        </w:rPr>
        <w:t>37,285,808</w:t>
      </w:r>
      <w:r>
        <w:rPr>
          <w:rFonts w:ascii="宋体" w:hAnsi="宋体" w:cs="宋体" w:eastAsia="宋体" w:hint="default"/>
          <w:spacing w:val="-115"/>
        </w:rPr>
        <w:t> </w:t>
      </w:r>
      <w:r>
        <w:rPr/>
        <w:t>股，占公司有表决权股份总数的</w:t>
      </w:r>
      <w:r>
        <w:rPr>
          <w:rFonts w:ascii="宋体" w:hAnsi="宋体" w:cs="宋体" w:eastAsia="宋体" w:hint="default"/>
        </w:rPr>
        <w:t>38.71%</w:t>
      </w:r>
      <w:r>
        <w:rPr/>
        <w:t>，符合《公司法》和《公司章程》的规定。会议由董 事长许亚楠主持，以记名方式投票表决，审议并表决通过了以下议案：</w:t>
      </w:r>
    </w:p>
    <w:p>
      <w:pPr>
        <w:pStyle w:val="BodyText"/>
        <w:spacing w:line="240" w:lineRule="auto" w:before="36"/>
        <w:ind w:left="593" w:right="0"/>
        <w:jc w:val="left"/>
      </w:pPr>
      <w:r>
        <w:rPr>
          <w:rFonts w:ascii="宋体" w:hAnsi="宋体" w:cs="宋体" w:eastAsia="宋体" w:hint="default"/>
        </w:rPr>
        <w:t>1</w:t>
      </w:r>
      <w:r>
        <w:rPr/>
        <w:t>）、关于修改《公司章程》的议案</w:t>
      </w:r>
    </w:p>
    <w:p>
      <w:pPr>
        <w:pStyle w:val="BodyText"/>
        <w:spacing w:line="357" w:lineRule="auto" w:before="151"/>
        <w:ind w:left="593" w:right="1153"/>
        <w:jc w:val="left"/>
      </w:pPr>
      <w:r>
        <w:rPr>
          <w:rFonts w:ascii="宋体" w:hAnsi="宋体" w:cs="宋体" w:eastAsia="宋体" w:hint="default"/>
        </w:rPr>
        <w:t>2</w:t>
      </w:r>
      <w:r>
        <w:rPr/>
        <w:t>）、关于修改《股东大会议事规则》的议案 公司聘请北京市君合律师事务所深圳分所郭晓夏律师和余峥律师出席本次股东大会现场</w:t>
      </w:r>
    </w:p>
    <w:p>
      <w:pPr>
        <w:pStyle w:val="BodyText"/>
        <w:spacing w:line="240" w:lineRule="auto"/>
        <w:ind w:right="0"/>
        <w:jc w:val="both"/>
      </w:pPr>
      <w:r>
        <w:rPr/>
        <w:t>见证，并出具法律意见书。</w:t>
      </w:r>
    </w:p>
    <w:p>
      <w:pPr>
        <w:spacing w:after="0" w:line="240" w:lineRule="auto"/>
        <w:jc w:val="both"/>
        <w:sectPr>
          <w:pgSz w:w="11910" w:h="16840"/>
          <w:pgMar w:header="0" w:footer="956" w:top="1060" w:bottom="1140" w:left="1020" w:right="0"/>
        </w:sectPr>
      </w:pPr>
    </w:p>
    <w:p>
      <w:pPr>
        <w:pStyle w:val="Heading1"/>
        <w:tabs>
          <w:tab w:pos="4872" w:val="left" w:leader="none"/>
        </w:tabs>
        <w:spacing w:line="401" w:lineRule="exact"/>
        <w:ind w:left="3585" w:right="1034"/>
        <w:jc w:val="left"/>
        <w:rPr>
          <w:b w:val="0"/>
          <w:bCs w:val="0"/>
        </w:rPr>
      </w:pPr>
      <w:bookmarkStart w:name="_TOC_250004" w:id="8"/>
      <w:r>
        <w:rPr>
          <w:w w:val="95"/>
        </w:rPr>
        <w:t>第八章</w:t>
        <w:tab/>
      </w:r>
      <w:r>
        <w:rPr/>
        <w:t>董事会报告</w:t>
      </w:r>
      <w:bookmarkEnd w:id="8"/>
      <w:r>
        <w:rPr>
          <w:b w:val="0"/>
          <w:bCs w:val="0"/>
        </w:rPr>
      </w:r>
    </w:p>
    <w:p>
      <w:pPr>
        <w:spacing w:line="240" w:lineRule="auto" w:before="13"/>
        <w:rPr>
          <w:rFonts w:ascii="宋体" w:hAnsi="宋体" w:cs="宋体" w:eastAsia="宋体" w:hint="default"/>
          <w:b/>
          <w:bCs/>
          <w:sz w:val="34"/>
          <w:szCs w:val="34"/>
        </w:rPr>
      </w:pPr>
    </w:p>
    <w:p>
      <w:pPr>
        <w:pStyle w:val="BodyText"/>
        <w:spacing w:line="355" w:lineRule="auto" w:before="0"/>
        <w:ind w:left="693" w:right="6433"/>
        <w:jc w:val="left"/>
      </w:pPr>
      <w:r>
        <w:rPr/>
        <w:t>（一）报告期内公司经营情况的回顾 </w:t>
      </w:r>
      <w:r>
        <w:rPr>
          <w:rFonts w:ascii="宋体" w:hAnsi="宋体" w:cs="宋体" w:eastAsia="宋体" w:hint="default"/>
        </w:rPr>
        <w:t>1</w:t>
      </w:r>
      <w:r>
        <w:rPr/>
        <w:t>、报告期内总体经营情况</w:t>
      </w:r>
    </w:p>
    <w:p>
      <w:pPr>
        <w:pStyle w:val="BodyText"/>
        <w:spacing w:line="357" w:lineRule="auto" w:before="38"/>
        <w:ind w:left="212" w:right="1169" w:firstLine="480"/>
        <w:jc w:val="both"/>
      </w:pPr>
      <w:r>
        <w:rPr/>
        <w:t>本报告期内，公司主营业务转变为房地产开发，前期注入公司的子公司产生了较好的收 入和利润，加之公司新设的子公司也实现了项目开发和回报，公司已具备了持续经营和发展 的能力。</w:t>
      </w:r>
    </w:p>
    <w:p>
      <w:pPr>
        <w:pStyle w:val="BodyText"/>
        <w:spacing w:line="357" w:lineRule="auto" w:before="36"/>
        <w:ind w:left="212" w:right="1170" w:firstLine="480"/>
        <w:jc w:val="both"/>
      </w:pPr>
      <w:r>
        <w:rPr/>
        <w:t>报告期内，公司在前期股权分置改革实施完成工作的基础上，继续积极推进股权分置改 革后续工作，股权分置改革垫付对价偿还工作取得重大突破和进展，重组方青岛亚星实业有 限公司通过垫付对价偿还方式取得公司控股地位，为公司恢复上市和后续重组打下了良好的 前提和基础。</w:t>
      </w:r>
    </w:p>
    <w:p>
      <w:pPr>
        <w:pStyle w:val="BodyText"/>
        <w:spacing w:line="357" w:lineRule="auto" w:before="36"/>
        <w:ind w:left="212" w:right="1170" w:firstLine="480"/>
        <w:jc w:val="both"/>
      </w:pPr>
      <w:r>
        <w:rPr/>
        <w:t>报告期内，公司控股子公司济宁海情置业有限公司海情丽都项目一期工程和青岛广顺房 地产开发有限公司的石雀滩项目及新成立的泗水海情置业有限公司一期项目均已对外销售并 竣工验收，产生了收入和利润。</w:t>
      </w:r>
    </w:p>
    <w:p>
      <w:pPr>
        <w:pStyle w:val="BodyText"/>
        <w:spacing w:line="357" w:lineRule="auto"/>
        <w:ind w:left="212" w:right="1034" w:firstLine="480"/>
        <w:jc w:val="left"/>
      </w:pPr>
      <w:r>
        <w:rPr>
          <w:rFonts w:ascii="宋体" w:hAnsi="宋体" w:cs="宋体" w:eastAsia="宋体" w:hint="default"/>
          <w:spacing w:val="-2"/>
        </w:rPr>
        <w:t>2010</w:t>
      </w:r>
      <w:r>
        <w:rPr>
          <w:spacing w:val="-2"/>
        </w:rPr>
        <w:t>年度，公司实现营业收入</w:t>
      </w:r>
      <w:r>
        <w:rPr>
          <w:rFonts w:ascii="宋体" w:hAnsi="宋体" w:cs="宋体" w:eastAsia="宋体" w:hint="default"/>
          <w:spacing w:val="-2"/>
        </w:rPr>
        <w:t>30129.41</w:t>
      </w:r>
      <w:r>
        <w:rPr>
          <w:spacing w:val="-2"/>
        </w:rPr>
        <w:t>万元；实现利润总额</w:t>
      </w:r>
      <w:r>
        <w:rPr>
          <w:rFonts w:ascii="宋体" w:hAnsi="宋体" w:cs="宋体" w:eastAsia="宋体" w:hint="default"/>
          <w:spacing w:val="-2"/>
        </w:rPr>
        <w:t>5025.28</w:t>
      </w:r>
      <w:r>
        <w:rPr>
          <w:spacing w:val="-2"/>
        </w:rPr>
        <w:t>万元；实现归属母公</w:t>
      </w:r>
      <w:r>
        <w:rPr/>
        <w:t> 司所有者的净利润</w:t>
      </w:r>
      <w:r>
        <w:rPr>
          <w:rFonts w:ascii="宋体" w:hAnsi="宋体" w:cs="宋体" w:eastAsia="宋体" w:hint="default"/>
        </w:rPr>
        <w:t>2671.62</w:t>
      </w:r>
      <w:r>
        <w:rPr/>
        <w:t>万元；实现扣除非经常性损益后归属母公司所有者的净利润 </w:t>
      </w:r>
      <w:r>
        <w:rPr>
          <w:rFonts w:ascii="宋体" w:hAnsi="宋体" w:cs="宋体" w:eastAsia="宋体" w:hint="default"/>
        </w:rPr>
        <w:t>2624.21</w:t>
      </w:r>
      <w:r>
        <w:rPr/>
        <w:t>万元。</w:t>
      </w:r>
    </w:p>
    <w:p>
      <w:pPr>
        <w:pStyle w:val="BodyText"/>
        <w:spacing w:line="240" w:lineRule="auto" w:before="36"/>
        <w:ind w:left="693" w:right="1034"/>
        <w:jc w:val="left"/>
      </w:pPr>
      <w:r>
        <w:rPr>
          <w:rFonts w:ascii="宋体" w:hAnsi="宋体" w:cs="宋体" w:eastAsia="宋体" w:hint="default"/>
        </w:rPr>
        <w:t>2</w:t>
      </w:r>
      <w:r>
        <w:rPr/>
        <w:t>、报告期内公司主营业务及其经营状况</w:t>
      </w:r>
    </w:p>
    <w:p>
      <w:pPr>
        <w:pStyle w:val="BodyText"/>
        <w:spacing w:line="240" w:lineRule="auto" w:before="151"/>
        <w:ind w:left="693" w:right="1034"/>
        <w:jc w:val="left"/>
      </w:pPr>
      <w:r>
        <w:rPr>
          <w:rFonts w:ascii="宋体" w:hAnsi="宋体" w:cs="宋体" w:eastAsia="宋体" w:hint="default"/>
        </w:rPr>
        <w:t>1</w:t>
      </w:r>
      <w:r>
        <w:rPr/>
        <w:t>）公司目前的实际主营业务为：房地产开发和经营。</w:t>
      </w:r>
    </w:p>
    <w:p>
      <w:pPr>
        <w:pStyle w:val="BodyText"/>
        <w:spacing w:line="240" w:lineRule="auto" w:before="154"/>
        <w:ind w:left="693" w:right="1034"/>
        <w:jc w:val="left"/>
      </w:pPr>
      <w:r>
        <w:rPr>
          <w:rFonts w:ascii="宋体" w:hAnsi="宋体" w:cs="宋体" w:eastAsia="宋体" w:hint="default"/>
        </w:rPr>
        <w:t>2</w:t>
      </w:r>
      <w:r>
        <w:rPr/>
        <w:t>）公司</w:t>
      </w:r>
      <w:r>
        <w:rPr>
          <w:rFonts w:ascii="宋体" w:hAnsi="宋体" w:cs="宋体" w:eastAsia="宋体" w:hint="default"/>
        </w:rPr>
        <w:t>2010</w:t>
      </w:r>
      <w:r>
        <w:rPr/>
        <w:t>年实现主营业务收入</w:t>
      </w:r>
      <w:r>
        <w:rPr>
          <w:rFonts w:ascii="宋体" w:hAnsi="宋体" w:cs="宋体" w:eastAsia="宋体" w:hint="default"/>
        </w:rPr>
        <w:t>30129.41</w:t>
      </w:r>
      <w:r>
        <w:rPr/>
        <w:t>万元，利润主要来源于以下项目：</w:t>
      </w:r>
    </w:p>
    <w:p>
      <w:pPr>
        <w:spacing w:before="157"/>
        <w:ind w:left="0" w:right="1128" w:firstLine="0"/>
        <w:jc w:val="right"/>
        <w:rPr>
          <w:rFonts w:ascii="宋体" w:hAnsi="宋体" w:cs="宋体" w:eastAsia="宋体" w:hint="default"/>
          <w:sz w:val="21"/>
          <w:szCs w:val="21"/>
        </w:rPr>
      </w:pPr>
      <w:r>
        <w:rPr>
          <w:rFonts w:ascii="宋体" w:hAnsi="宋体" w:cs="宋体" w:eastAsia="宋体" w:hint="default"/>
          <w:spacing w:val="-2"/>
          <w:sz w:val="21"/>
          <w:szCs w:val="21"/>
        </w:rPr>
        <w:t>单位：人民币万元</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28"/>
        <w:gridCol w:w="1261"/>
        <w:gridCol w:w="1260"/>
        <w:gridCol w:w="1080"/>
        <w:gridCol w:w="1080"/>
        <w:gridCol w:w="1200"/>
        <w:gridCol w:w="1157"/>
        <w:gridCol w:w="1063"/>
      </w:tblGrid>
      <w:tr>
        <w:trPr>
          <w:trHeight w:val="55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9"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净资产</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6"/>
              <w:jc w:val="right"/>
              <w:rPr>
                <w:rFonts w:ascii="宋体" w:hAnsi="宋体" w:cs="宋体" w:eastAsia="宋体" w:hint="default"/>
                <w:sz w:val="21"/>
                <w:szCs w:val="21"/>
              </w:rPr>
            </w:pPr>
            <w:r>
              <w:rPr>
                <w:rFonts w:ascii="宋体" w:hAnsi="宋体" w:cs="宋体" w:eastAsia="宋体" w:hint="default"/>
                <w:sz w:val="21"/>
                <w:szCs w:val="21"/>
              </w:rPr>
              <w:t>净利润</w:t>
            </w:r>
          </w:p>
        </w:tc>
      </w:tr>
      <w:tr>
        <w:trPr>
          <w:trHeight w:val="55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济宁海情置业有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海情丽都</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12191.61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7525.40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sz w:val="21"/>
              </w:rPr>
              <w:t>10691.73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1"/>
              <w:jc w:val="right"/>
              <w:rPr>
                <w:rFonts w:ascii="宋体" w:hAnsi="宋体" w:cs="宋体" w:eastAsia="宋体" w:hint="default"/>
                <w:sz w:val="21"/>
                <w:szCs w:val="21"/>
              </w:rPr>
            </w:pPr>
            <w:r>
              <w:rPr>
                <w:rFonts w:ascii="宋体"/>
                <w:spacing w:val="-1"/>
                <w:sz w:val="21"/>
              </w:rPr>
              <w:t>4145.97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6"/>
              <w:jc w:val="right"/>
              <w:rPr>
                <w:rFonts w:ascii="宋体" w:hAnsi="宋体" w:cs="宋体" w:eastAsia="宋体" w:hint="default"/>
                <w:sz w:val="21"/>
                <w:szCs w:val="21"/>
              </w:rPr>
            </w:pPr>
            <w:r>
              <w:rPr>
                <w:rFonts w:ascii="宋体"/>
                <w:spacing w:val="-1"/>
                <w:sz w:val="21"/>
              </w:rPr>
              <w:t>3107.73</w:t>
            </w:r>
          </w:p>
        </w:tc>
      </w:tr>
      <w:tr>
        <w:trPr>
          <w:trHeight w:val="55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泗水海情置业有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海情圣地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22627.34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7040.70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sz w:val="21"/>
              </w:rPr>
              <w:t>12431.41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1"/>
              <w:jc w:val="right"/>
              <w:rPr>
                <w:rFonts w:ascii="宋体" w:hAnsi="宋体" w:cs="宋体" w:eastAsia="宋体" w:hint="default"/>
                <w:sz w:val="21"/>
                <w:szCs w:val="21"/>
              </w:rPr>
            </w:pPr>
            <w:r>
              <w:rPr>
                <w:rFonts w:ascii="宋体"/>
                <w:spacing w:val="-1"/>
                <w:sz w:val="21"/>
              </w:rPr>
              <w:t>8226.16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6"/>
              <w:jc w:val="right"/>
              <w:rPr>
                <w:rFonts w:ascii="宋体" w:hAnsi="宋体" w:cs="宋体" w:eastAsia="宋体" w:hint="default"/>
                <w:sz w:val="21"/>
                <w:szCs w:val="21"/>
              </w:rPr>
            </w:pPr>
            <w:r>
              <w:rPr>
                <w:rFonts w:ascii="宋体"/>
                <w:spacing w:val="-1"/>
                <w:sz w:val="21"/>
              </w:rPr>
              <w:t>2117.80</w:t>
            </w:r>
          </w:p>
        </w:tc>
      </w:tr>
      <w:tr>
        <w:trPr>
          <w:trHeight w:val="557"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青岛广顺房地产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开发有限公司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石雀滩</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11755.85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2746.87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8" w:right="0"/>
              <w:jc w:val="left"/>
              <w:rPr>
                <w:rFonts w:ascii="宋体" w:hAnsi="宋体" w:cs="宋体" w:eastAsia="宋体" w:hint="default"/>
                <w:sz w:val="21"/>
                <w:szCs w:val="21"/>
              </w:rPr>
            </w:pPr>
            <w:r>
              <w:rPr>
                <w:rFonts w:ascii="宋体"/>
                <w:sz w:val="21"/>
              </w:rPr>
              <w:t>7006.27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1"/>
              <w:jc w:val="right"/>
              <w:rPr>
                <w:rFonts w:ascii="宋体" w:hAnsi="宋体" w:cs="宋体" w:eastAsia="宋体" w:hint="default"/>
                <w:sz w:val="21"/>
                <w:szCs w:val="21"/>
              </w:rPr>
            </w:pPr>
            <w:r>
              <w:rPr>
                <w:rFonts w:ascii="宋体"/>
                <w:spacing w:val="-1"/>
                <w:sz w:val="21"/>
              </w:rPr>
              <w:t>1185.04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6"/>
              <w:jc w:val="right"/>
              <w:rPr>
                <w:rFonts w:ascii="宋体" w:hAnsi="宋体" w:cs="宋体" w:eastAsia="宋体" w:hint="default"/>
                <w:sz w:val="21"/>
                <w:szCs w:val="21"/>
              </w:rPr>
            </w:pPr>
            <w:r>
              <w:rPr>
                <w:rFonts w:ascii="宋体"/>
                <w:sz w:val="21"/>
              </w:rPr>
              <w:t>892.28</w:t>
            </w:r>
          </w:p>
        </w:tc>
      </w:tr>
    </w:tbl>
    <w:p>
      <w:pPr>
        <w:pStyle w:val="BodyText"/>
        <w:spacing w:line="274" w:lineRule="exact" w:before="0"/>
        <w:ind w:left="693" w:right="1034"/>
        <w:jc w:val="left"/>
      </w:pPr>
      <w:r>
        <w:rPr>
          <w:rFonts w:ascii="宋体" w:hAnsi="宋体" w:cs="宋体" w:eastAsia="宋体" w:hint="default"/>
        </w:rPr>
        <w:t>3</w:t>
      </w:r>
      <w:r>
        <w:rPr/>
        <w:t>）公司</w:t>
      </w:r>
      <w:r>
        <w:rPr>
          <w:rFonts w:ascii="宋体" w:hAnsi="宋体" w:cs="宋体" w:eastAsia="宋体" w:hint="default"/>
        </w:rPr>
        <w:t>2010</w:t>
      </w:r>
      <w:r>
        <w:rPr/>
        <w:t>年前</w:t>
      </w:r>
      <w:r>
        <w:rPr>
          <w:rFonts w:ascii="宋体" w:hAnsi="宋体" w:cs="宋体" w:eastAsia="宋体" w:hint="default"/>
        </w:rPr>
        <w:t>5</w:t>
      </w:r>
      <w:r>
        <w:rPr/>
        <w:t>名供应商合计的采购金额占年度采购总额的比例为</w:t>
      </w:r>
      <w:r>
        <w:rPr>
          <w:rFonts w:ascii="宋体" w:hAnsi="宋体" w:cs="宋体" w:eastAsia="宋体" w:hint="default"/>
        </w:rPr>
        <w:t>50.06%</w:t>
      </w:r>
      <w:r>
        <w:rPr/>
        <w:t>。</w:t>
      </w:r>
    </w:p>
    <w:p>
      <w:pPr>
        <w:spacing w:line="240" w:lineRule="auto" w:before="9"/>
        <w:rPr>
          <w:rFonts w:ascii="宋体" w:hAnsi="宋体" w:cs="宋体" w:eastAsia="宋体" w:hint="default"/>
          <w:sz w:val="14"/>
          <w:szCs w:val="14"/>
        </w:rPr>
      </w:pPr>
    </w:p>
    <w:tbl>
      <w:tblPr>
        <w:tblW w:w="0" w:type="auto"/>
        <w:jc w:val="left"/>
        <w:tblInd w:w="748" w:type="dxa"/>
        <w:tblLayout w:type="fixed"/>
        <w:tblCellMar>
          <w:top w:w="0" w:type="dxa"/>
          <w:left w:w="0" w:type="dxa"/>
          <w:bottom w:w="0" w:type="dxa"/>
          <w:right w:w="0" w:type="dxa"/>
        </w:tblCellMar>
        <w:tblLook w:val="01E0"/>
      </w:tblPr>
      <w:tblGrid>
        <w:gridCol w:w="4681"/>
        <w:gridCol w:w="2340"/>
        <w:gridCol w:w="1441"/>
      </w:tblGrid>
      <w:tr>
        <w:trPr>
          <w:trHeight w:val="50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66" w:right="0"/>
              <w:jc w:val="center"/>
              <w:rPr>
                <w:rFonts w:ascii="宋体" w:hAnsi="宋体" w:cs="宋体" w:eastAsia="宋体" w:hint="default"/>
                <w:sz w:val="22"/>
                <w:szCs w:val="22"/>
              </w:rPr>
            </w:pPr>
            <w:r>
              <w:rPr>
                <w:rFonts w:ascii="宋体" w:hAnsi="宋体" w:cs="宋体" w:eastAsia="宋体" w:hint="default"/>
                <w:sz w:val="22"/>
                <w:szCs w:val="22"/>
              </w:rPr>
              <w:t>供应商</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281"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9"/>
              <w:jc w:val="right"/>
              <w:rPr>
                <w:rFonts w:ascii="宋体" w:hAnsi="宋体" w:cs="宋体" w:eastAsia="宋体" w:hint="default"/>
                <w:sz w:val="22"/>
                <w:szCs w:val="22"/>
              </w:rPr>
            </w:pPr>
            <w:r>
              <w:rPr>
                <w:rFonts w:ascii="宋体" w:hAnsi="宋体" w:cs="宋体" w:eastAsia="宋体" w:hint="default"/>
                <w:sz w:val="22"/>
                <w:szCs w:val="22"/>
              </w:rPr>
              <w:t>占比</w:t>
            </w:r>
          </w:p>
        </w:tc>
      </w:tr>
      <w:tr>
        <w:trPr>
          <w:trHeight w:val="660"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667" w:right="0"/>
              <w:jc w:val="left"/>
              <w:rPr>
                <w:rFonts w:ascii="宋体" w:hAnsi="宋体" w:cs="宋体" w:eastAsia="宋体" w:hint="default"/>
                <w:sz w:val="22"/>
                <w:szCs w:val="22"/>
              </w:rPr>
            </w:pPr>
            <w:r>
              <w:rPr>
                <w:rFonts w:ascii="宋体" w:hAnsi="宋体" w:cs="宋体" w:eastAsia="宋体" w:hint="default"/>
                <w:sz w:val="22"/>
                <w:szCs w:val="22"/>
              </w:rPr>
              <w:t>山东港基建设集团有限公司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2"/>
                <w:szCs w:val="22"/>
              </w:rPr>
            </w:pPr>
            <w:r>
              <w:rPr>
                <w:rFonts w:ascii="宋体"/>
                <w:sz w:val="22"/>
              </w:rPr>
              <w:t>95,917,749.04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2"/>
                <w:szCs w:val="22"/>
              </w:rPr>
            </w:pPr>
            <w:r>
              <w:rPr>
                <w:rFonts w:ascii="宋体"/>
                <w:sz w:val="22"/>
              </w:rPr>
              <w:t>38.47%</w:t>
            </w:r>
          </w:p>
        </w:tc>
      </w:tr>
      <w:tr>
        <w:trPr>
          <w:trHeight w:val="66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667" w:right="0"/>
              <w:jc w:val="left"/>
              <w:rPr>
                <w:rFonts w:ascii="宋体" w:hAnsi="宋体" w:cs="宋体" w:eastAsia="宋体" w:hint="default"/>
                <w:sz w:val="22"/>
                <w:szCs w:val="22"/>
              </w:rPr>
            </w:pPr>
            <w:r>
              <w:rPr>
                <w:rFonts w:ascii="宋体" w:hAnsi="宋体" w:cs="宋体" w:eastAsia="宋体" w:hint="default"/>
                <w:sz w:val="22"/>
                <w:szCs w:val="22"/>
              </w:rPr>
              <w:t>青岛宇宏达工贸有限公司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2"/>
                <w:szCs w:val="22"/>
              </w:rPr>
            </w:pPr>
            <w:r>
              <w:rPr>
                <w:rFonts w:ascii="宋体"/>
                <w:sz w:val="22"/>
              </w:rPr>
              <w:t>11,550,637.38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2"/>
                <w:szCs w:val="22"/>
              </w:rPr>
            </w:pPr>
            <w:r>
              <w:rPr>
                <w:rFonts w:ascii="宋体"/>
                <w:sz w:val="22"/>
              </w:rPr>
              <w:t>4.63%</w:t>
            </w:r>
          </w:p>
        </w:tc>
      </w:tr>
    </w:tbl>
    <w:p>
      <w:pPr>
        <w:spacing w:after="0" w:line="240" w:lineRule="auto"/>
        <w:jc w:val="right"/>
        <w:rPr>
          <w:rFonts w:ascii="宋体" w:hAnsi="宋体" w:cs="宋体" w:eastAsia="宋体" w:hint="default"/>
          <w:sz w:val="22"/>
          <w:szCs w:val="22"/>
        </w:rPr>
        <w:sectPr>
          <w:pgSz w:w="11910" w:h="16840"/>
          <w:pgMar w:header="0" w:footer="956" w:top="1080" w:bottom="1140" w:left="920" w:right="0"/>
        </w:sectPr>
      </w:pPr>
    </w:p>
    <w:p>
      <w:pPr>
        <w:spacing w:line="240" w:lineRule="auto" w:before="11"/>
        <w:rPr>
          <w:rFonts w:ascii="宋体" w:hAnsi="宋体" w:cs="宋体" w:eastAsia="宋体" w:hint="default"/>
          <w:sz w:val="6"/>
          <w:szCs w:val="6"/>
        </w:rPr>
      </w:pPr>
      <w:r>
        <w:rPr/>
        <w:pict>
          <v:shape style="position:absolute;margin-left:494.049988pt;margin-top:784.099731pt;width:101.25pt;height:57.75pt;mso-position-horizontal-relative:page;mso-position-vertical-relative:page;z-index:-623248" type="#_x0000_t75" stroked="false">
            <v:imagedata r:id="rId15" o:title=""/>
          </v:shape>
        </w:pict>
      </w:r>
    </w:p>
    <w:tbl>
      <w:tblPr>
        <w:tblW w:w="0" w:type="auto"/>
        <w:jc w:val="left"/>
        <w:tblInd w:w="748" w:type="dxa"/>
        <w:tblLayout w:type="fixed"/>
        <w:tblCellMar>
          <w:top w:w="0" w:type="dxa"/>
          <w:left w:w="0" w:type="dxa"/>
          <w:bottom w:w="0" w:type="dxa"/>
          <w:right w:w="0" w:type="dxa"/>
        </w:tblCellMar>
        <w:tblLook w:val="01E0"/>
      </w:tblPr>
      <w:tblGrid>
        <w:gridCol w:w="4681"/>
        <w:gridCol w:w="2340"/>
        <w:gridCol w:w="1441"/>
      </w:tblGrid>
      <w:tr>
        <w:trPr>
          <w:trHeight w:val="658" w:hRule="exact"/>
        </w:trPr>
        <w:tc>
          <w:tcPr>
            <w:tcW w:w="468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777" w:right="0"/>
              <w:jc w:val="left"/>
              <w:rPr>
                <w:rFonts w:ascii="宋体" w:hAnsi="宋体" w:cs="宋体" w:eastAsia="宋体" w:hint="default"/>
                <w:sz w:val="22"/>
                <w:szCs w:val="22"/>
              </w:rPr>
            </w:pPr>
            <w:r>
              <w:rPr>
                <w:rFonts w:ascii="宋体" w:hAnsi="宋体" w:cs="宋体" w:eastAsia="宋体" w:hint="default"/>
                <w:sz w:val="22"/>
                <w:szCs w:val="22"/>
              </w:rPr>
              <w:t>济南花木联合开发公司</w:t>
            </w: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2"/>
                <w:szCs w:val="22"/>
              </w:rPr>
            </w:pPr>
            <w:r>
              <w:rPr>
                <w:rFonts w:ascii="宋体"/>
                <w:sz w:val="22"/>
              </w:rPr>
              <w:t>7,324,207.28</w:t>
            </w:r>
          </w:p>
        </w:tc>
        <w:tc>
          <w:tcPr>
            <w:tcW w:w="144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2"/>
                <w:szCs w:val="22"/>
              </w:rPr>
            </w:pPr>
            <w:r>
              <w:rPr>
                <w:rFonts w:ascii="宋体"/>
                <w:sz w:val="22"/>
              </w:rPr>
              <w:t>2.94%</w:t>
            </w:r>
          </w:p>
        </w:tc>
      </w:tr>
      <w:tr>
        <w:trPr>
          <w:trHeight w:val="660"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667" w:right="0"/>
              <w:jc w:val="left"/>
              <w:rPr>
                <w:rFonts w:ascii="宋体" w:hAnsi="宋体" w:cs="宋体" w:eastAsia="宋体" w:hint="default"/>
                <w:sz w:val="22"/>
                <w:szCs w:val="22"/>
              </w:rPr>
            </w:pPr>
            <w:r>
              <w:rPr>
                <w:rFonts w:ascii="宋体" w:hAnsi="宋体" w:cs="宋体" w:eastAsia="宋体" w:hint="default"/>
                <w:sz w:val="22"/>
                <w:szCs w:val="22"/>
              </w:rPr>
              <w:t>青岛洋光幕墙门窗工程有限公司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2"/>
                <w:szCs w:val="22"/>
              </w:rPr>
            </w:pPr>
            <w:r>
              <w:rPr>
                <w:rFonts w:ascii="宋体"/>
                <w:sz w:val="22"/>
              </w:rPr>
              <w:t>6,958,203.02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2"/>
                <w:szCs w:val="22"/>
              </w:rPr>
            </w:pPr>
            <w:r>
              <w:rPr>
                <w:rFonts w:ascii="宋体"/>
                <w:sz w:val="22"/>
              </w:rPr>
              <w:t>2.79%</w:t>
            </w:r>
          </w:p>
        </w:tc>
      </w:tr>
      <w:tr>
        <w:trPr>
          <w:trHeight w:val="660"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667" w:right="0"/>
              <w:jc w:val="left"/>
              <w:rPr>
                <w:rFonts w:ascii="宋体" w:hAnsi="宋体" w:cs="宋体" w:eastAsia="宋体" w:hint="default"/>
                <w:sz w:val="22"/>
                <w:szCs w:val="22"/>
              </w:rPr>
            </w:pPr>
            <w:r>
              <w:rPr>
                <w:rFonts w:ascii="宋体" w:hAnsi="宋体" w:cs="宋体" w:eastAsia="宋体" w:hint="default"/>
                <w:sz w:val="22"/>
                <w:szCs w:val="22"/>
              </w:rPr>
              <w:t>山东省建设建工（集团）有限责任公司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2"/>
                <w:szCs w:val="22"/>
              </w:rPr>
            </w:pPr>
            <w:r>
              <w:rPr>
                <w:rFonts w:ascii="宋体"/>
                <w:sz w:val="22"/>
              </w:rPr>
              <w:t>3,069,397.17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2"/>
                <w:szCs w:val="22"/>
              </w:rPr>
            </w:pPr>
            <w:r>
              <w:rPr>
                <w:rFonts w:ascii="宋体"/>
                <w:sz w:val="22"/>
              </w:rPr>
              <w:t>1.23%</w:t>
            </w:r>
          </w:p>
        </w:tc>
      </w:tr>
      <w:tr>
        <w:trPr>
          <w:trHeight w:val="66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566"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2"/>
                <w:szCs w:val="22"/>
              </w:rPr>
            </w:pPr>
            <w:r>
              <w:rPr>
                <w:rFonts w:ascii="宋体"/>
                <w:sz w:val="22"/>
              </w:rPr>
              <w:t>124,820,193.89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2"/>
                <w:szCs w:val="22"/>
              </w:rPr>
            </w:pPr>
            <w:r>
              <w:rPr>
                <w:rFonts w:ascii="宋体"/>
                <w:sz w:val="22"/>
              </w:rPr>
              <w:t>50.06%</w:t>
            </w:r>
          </w:p>
        </w:tc>
      </w:tr>
    </w:tbl>
    <w:p>
      <w:pPr>
        <w:spacing w:line="240" w:lineRule="auto" w:before="0"/>
        <w:rPr>
          <w:rFonts w:ascii="宋体" w:hAnsi="宋体" w:cs="宋体" w:eastAsia="宋体" w:hint="default"/>
          <w:sz w:val="20"/>
          <w:szCs w:val="20"/>
        </w:rPr>
      </w:pPr>
    </w:p>
    <w:p>
      <w:pPr>
        <w:pStyle w:val="BodyText"/>
        <w:spacing w:line="357" w:lineRule="auto" w:before="163"/>
        <w:ind w:left="693" w:right="2833" w:firstLine="360"/>
        <w:jc w:val="left"/>
      </w:pPr>
      <w:r>
        <w:rPr/>
        <w:t>公司</w:t>
      </w:r>
      <w:r>
        <w:rPr>
          <w:rFonts w:ascii="宋体" w:hAnsi="宋体" w:cs="宋体" w:eastAsia="宋体" w:hint="default"/>
        </w:rPr>
        <w:t>2010</w:t>
      </w:r>
      <w:r>
        <w:rPr/>
        <w:t>年前</w:t>
      </w:r>
      <w:r>
        <w:rPr>
          <w:rFonts w:ascii="宋体" w:hAnsi="宋体" w:cs="宋体" w:eastAsia="宋体" w:hint="default"/>
        </w:rPr>
        <w:t>5</w:t>
      </w:r>
      <w:r>
        <w:rPr/>
        <w:t>名客户销售额合计占公司销售总额的比例为</w:t>
      </w:r>
      <w:r>
        <w:rPr>
          <w:rFonts w:ascii="宋体" w:hAnsi="宋体" w:cs="宋体" w:eastAsia="宋体" w:hint="default"/>
        </w:rPr>
      </w:r>
      <w:r>
        <w:rPr>
          <w:rFonts w:ascii="宋体" w:hAnsi="宋体" w:cs="宋体" w:eastAsia="宋体" w:hint="default"/>
          <w:u w:val="single" w:color="000000"/>
        </w:rPr>
        <w:t>21.93%</w:t>
      </w:r>
      <w:r>
        <w:rPr>
          <w:rFonts w:ascii="宋体" w:hAnsi="宋体" w:cs="宋体" w:eastAsia="宋体" w:hint="default"/>
        </w:rPr>
      </w:r>
      <w:r>
        <w:rPr/>
        <w:t>。 </w:t>
      </w:r>
      <w:r>
        <w:rPr>
          <w:rFonts w:ascii="宋体" w:hAnsi="宋体" w:cs="宋体" w:eastAsia="宋体" w:hint="default"/>
        </w:rPr>
        <w:t>3</w:t>
      </w:r>
      <w:r>
        <w:rPr/>
        <w:t>、主要财务状况、经营成果指标变化情况</w:t>
      </w:r>
    </w:p>
    <w:p>
      <w:pPr>
        <w:pStyle w:val="BodyText"/>
        <w:spacing w:line="240" w:lineRule="auto"/>
        <w:ind w:left="693" w:right="1034"/>
        <w:jc w:val="left"/>
      </w:pPr>
      <w:r>
        <w:rPr>
          <w:rFonts w:ascii="宋体" w:hAnsi="宋体" w:cs="宋体" w:eastAsia="宋体" w:hint="default"/>
        </w:rPr>
        <w:t>1</w:t>
      </w:r>
      <w:r>
        <w:rPr/>
        <w:t>）资产构成发生重大变化情况</w:t>
      </w:r>
    </w:p>
    <w:p>
      <w:pPr>
        <w:spacing w:line="240" w:lineRule="auto" w:before="6"/>
        <w:rPr>
          <w:rFonts w:ascii="宋体" w:hAnsi="宋体" w:cs="宋体" w:eastAsia="宋体" w:hint="default"/>
          <w:sz w:val="9"/>
          <w:szCs w:val="9"/>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28"/>
        <w:gridCol w:w="1556"/>
        <w:gridCol w:w="1644"/>
        <w:gridCol w:w="1642"/>
        <w:gridCol w:w="1280"/>
        <w:gridCol w:w="2006"/>
      </w:tblGrid>
      <w:tr>
        <w:trPr>
          <w:trHeight w:val="35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变化比例</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变化原因</w:t>
            </w:r>
          </w:p>
        </w:tc>
      </w:tr>
      <w:tr>
        <w:trPr>
          <w:trHeight w:val="82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144,800,392.95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23,125,978.79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-121,674,414.16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-84.03%</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105"/>
              <w:jc w:val="left"/>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71"/>
                <w:sz w:val="21"/>
                <w:szCs w:val="21"/>
              </w:rPr>
              <w:t> </w:t>
            </w:r>
            <w:r>
              <w:rPr>
                <w:rFonts w:ascii="宋体" w:hAnsi="宋体" w:cs="宋体" w:eastAsia="宋体" w:hint="default"/>
                <w:sz w:val="21"/>
                <w:szCs w:val="21"/>
              </w:rPr>
              <w:t>建</w:t>
            </w:r>
            <w:r>
              <w:rPr>
                <w:rFonts w:ascii="宋体" w:hAnsi="宋体" w:cs="宋体" w:eastAsia="宋体" w:hint="default"/>
                <w:spacing w:val="-69"/>
                <w:sz w:val="21"/>
                <w:szCs w:val="21"/>
              </w:rPr>
              <w:t> </w:t>
            </w:r>
            <w:r>
              <w:rPr>
                <w:rFonts w:ascii="宋体" w:hAnsi="宋体" w:cs="宋体" w:eastAsia="宋体" w:hint="default"/>
                <w:sz w:val="21"/>
                <w:szCs w:val="21"/>
              </w:rPr>
              <w:t>设</w:t>
            </w:r>
            <w:r>
              <w:rPr>
                <w:rFonts w:ascii="宋体" w:hAnsi="宋体" w:cs="宋体" w:eastAsia="宋体" w:hint="default"/>
                <w:spacing w:val="-71"/>
                <w:sz w:val="21"/>
                <w:szCs w:val="21"/>
              </w:rPr>
              <w:t> </w:t>
            </w:r>
            <w:r>
              <w:rPr>
                <w:rFonts w:ascii="宋体" w:hAnsi="宋体" w:cs="宋体" w:eastAsia="宋体" w:hint="default"/>
                <w:sz w:val="21"/>
                <w:szCs w:val="21"/>
              </w:rPr>
              <w:t>项</w:t>
            </w:r>
            <w:r>
              <w:rPr>
                <w:rFonts w:ascii="宋体" w:hAnsi="宋体" w:cs="宋体" w:eastAsia="宋体" w:hint="default"/>
                <w:spacing w:val="-71"/>
                <w:sz w:val="21"/>
                <w:szCs w:val="21"/>
              </w:rPr>
              <w:t> </w:t>
            </w:r>
            <w:r>
              <w:rPr>
                <w:rFonts w:ascii="宋体" w:hAnsi="宋体" w:cs="宋体" w:eastAsia="宋体" w:hint="default"/>
                <w:sz w:val="21"/>
                <w:szCs w:val="21"/>
              </w:rPr>
              <w:t>目</w:t>
            </w:r>
            <w:r>
              <w:rPr>
                <w:rFonts w:ascii="宋体" w:hAnsi="宋体" w:cs="宋体" w:eastAsia="宋体" w:hint="default"/>
                <w:spacing w:val="-69"/>
                <w:sz w:val="21"/>
                <w:szCs w:val="21"/>
              </w:rPr>
              <w:t> </w:t>
            </w:r>
            <w:r>
              <w:rPr>
                <w:rFonts w:ascii="宋体" w:hAnsi="宋体" w:cs="宋体" w:eastAsia="宋体" w:hint="default"/>
                <w:sz w:val="21"/>
                <w:szCs w:val="21"/>
              </w:rPr>
              <w:t>增</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3"/>
                <w:sz w:val="21"/>
                <w:szCs w:val="21"/>
              </w:rPr>
              <w:t>加，支出增加，贷款</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发放迟缓。</w:t>
            </w:r>
          </w:p>
        </w:tc>
      </w:tr>
      <w:tr>
        <w:trPr>
          <w:trHeight w:val="82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应收帐款</w:t>
            </w:r>
          </w:p>
        </w:tc>
        <w:tc>
          <w:tcPr>
            <w:tcW w:w="155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20,094,288.00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20,094,288.00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此款项为子公司应</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3"/>
                <w:w w:val="100"/>
                <w:sz w:val="21"/>
                <w:szCs w:val="21"/>
              </w:rPr>
              <w:t>收房款，已办理按揭</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手续但银行未放款</w:t>
            </w:r>
          </w:p>
        </w:tc>
      </w:tr>
      <w:tr>
        <w:trPr>
          <w:trHeight w:val="62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3" w:right="0"/>
              <w:jc w:val="center"/>
              <w:rPr>
                <w:rFonts w:ascii="宋体" w:hAnsi="宋体" w:cs="宋体" w:eastAsia="宋体" w:hint="default"/>
                <w:sz w:val="21"/>
                <w:szCs w:val="21"/>
              </w:rPr>
            </w:pPr>
            <w:r>
              <w:rPr>
                <w:rFonts w:ascii="宋体" w:hAnsi="宋体" w:cs="宋体" w:eastAsia="宋体" w:hint="default"/>
                <w:sz w:val="21"/>
                <w:szCs w:val="21"/>
              </w:rPr>
              <w:t>预付账款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59,300.00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5,824,259.69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98"/>
              <w:jc w:val="right"/>
              <w:rPr>
                <w:rFonts w:ascii="Times New Roman" w:hAnsi="Times New Roman" w:cs="Times New Roman" w:eastAsia="Times New Roman" w:hint="default"/>
                <w:sz w:val="21"/>
                <w:szCs w:val="21"/>
              </w:rPr>
            </w:pPr>
            <w:r>
              <w:rPr>
                <w:rFonts w:ascii="Times New Roman"/>
                <w:spacing w:val="-1"/>
                <w:sz w:val="21"/>
              </w:rPr>
              <w:t>5,764,959.69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98"/>
              <w:jc w:val="right"/>
              <w:rPr>
                <w:rFonts w:ascii="Times New Roman" w:hAnsi="Times New Roman" w:cs="Times New Roman" w:eastAsia="Times New Roman" w:hint="default"/>
                <w:sz w:val="21"/>
                <w:szCs w:val="21"/>
              </w:rPr>
            </w:pPr>
            <w:r>
              <w:rPr>
                <w:rFonts w:ascii="Times New Roman"/>
                <w:spacing w:val="-1"/>
                <w:sz w:val="21"/>
              </w:rPr>
              <w:t>9721.69%</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 w:right="0"/>
              <w:jc w:val="center"/>
              <w:rPr>
                <w:rFonts w:ascii="宋体" w:hAnsi="宋体" w:cs="宋体" w:eastAsia="宋体" w:hint="default"/>
                <w:sz w:val="21"/>
                <w:szCs w:val="21"/>
              </w:rPr>
            </w:pPr>
            <w:r>
              <w:rPr>
                <w:rFonts w:ascii="宋体" w:hAnsi="宋体" w:cs="宋体" w:eastAsia="宋体" w:hint="default"/>
                <w:sz w:val="21"/>
                <w:szCs w:val="21"/>
              </w:rPr>
              <w:t>预付工程款均所致</w:t>
            </w:r>
          </w:p>
        </w:tc>
      </w:tr>
      <w:tr>
        <w:trPr>
          <w:trHeight w:val="82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3,373,668.80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5,458,917.38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2,085,248.58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61.81%</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60"/>
              <w:jc w:val="left"/>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pacing w:val="-61"/>
                <w:sz w:val="21"/>
                <w:szCs w:val="21"/>
              </w:rPr>
              <w:t> </w:t>
            </w:r>
            <w:r>
              <w:rPr>
                <w:rFonts w:ascii="宋体" w:hAnsi="宋体" w:cs="宋体" w:eastAsia="宋体" w:hint="default"/>
                <w:sz w:val="21"/>
                <w:szCs w:val="21"/>
              </w:rPr>
              <w:t>工</w:t>
            </w:r>
            <w:r>
              <w:rPr>
                <w:rFonts w:ascii="宋体" w:hAnsi="宋体" w:cs="宋体" w:eastAsia="宋体" w:hint="default"/>
                <w:spacing w:val="-64"/>
                <w:sz w:val="21"/>
                <w:szCs w:val="21"/>
              </w:rPr>
              <w:t> </w:t>
            </w:r>
            <w:r>
              <w:rPr>
                <w:rFonts w:ascii="宋体" w:hAnsi="宋体" w:cs="宋体" w:eastAsia="宋体" w:hint="default"/>
                <w:sz w:val="21"/>
                <w:szCs w:val="21"/>
              </w:rPr>
              <w:t>建</w:t>
            </w:r>
            <w:r>
              <w:rPr>
                <w:rFonts w:ascii="宋体" w:hAnsi="宋体" w:cs="宋体" w:eastAsia="宋体" w:hint="default"/>
                <w:spacing w:val="-61"/>
                <w:sz w:val="21"/>
                <w:szCs w:val="21"/>
              </w:rPr>
              <w:t> </w:t>
            </w:r>
            <w:r>
              <w:rPr>
                <w:rFonts w:ascii="宋体" w:hAnsi="宋体" w:cs="宋体" w:eastAsia="宋体" w:hint="default"/>
                <w:sz w:val="21"/>
                <w:szCs w:val="21"/>
              </w:rPr>
              <w:t>设</w:t>
            </w:r>
            <w:r>
              <w:rPr>
                <w:rFonts w:ascii="宋体" w:hAnsi="宋体" w:cs="宋体" w:eastAsia="宋体" w:hint="default"/>
                <w:spacing w:val="-64"/>
                <w:sz w:val="21"/>
                <w:szCs w:val="21"/>
              </w:rPr>
              <w:t> </w:t>
            </w:r>
            <w:r>
              <w:rPr>
                <w:rFonts w:ascii="宋体" w:hAnsi="宋体" w:cs="宋体" w:eastAsia="宋体" w:hint="default"/>
                <w:sz w:val="21"/>
                <w:szCs w:val="21"/>
              </w:rPr>
              <w:t>项</w:t>
            </w:r>
            <w:r>
              <w:rPr>
                <w:rFonts w:ascii="宋体" w:hAnsi="宋体" w:cs="宋体" w:eastAsia="宋体" w:hint="default"/>
                <w:spacing w:val="-61"/>
                <w:sz w:val="21"/>
                <w:szCs w:val="21"/>
              </w:rPr>
              <w:t> </w:t>
            </w:r>
            <w:r>
              <w:rPr>
                <w:rFonts w:ascii="宋体" w:hAnsi="宋体" w:cs="宋体" w:eastAsia="宋体" w:hint="default"/>
                <w:sz w:val="21"/>
                <w:szCs w:val="21"/>
              </w:rPr>
              <w:t>目</w:t>
            </w:r>
            <w:r>
              <w:rPr>
                <w:rFonts w:ascii="宋体" w:hAnsi="宋体" w:cs="宋体" w:eastAsia="宋体" w:hint="default"/>
                <w:spacing w:val="-64"/>
                <w:sz w:val="21"/>
                <w:szCs w:val="21"/>
              </w:rPr>
              <w:t> </w:t>
            </w:r>
            <w:r>
              <w:rPr>
                <w:rFonts w:ascii="宋体" w:hAnsi="宋体" w:cs="宋体" w:eastAsia="宋体" w:hint="default"/>
                <w:sz w:val="21"/>
                <w:szCs w:val="21"/>
              </w:rPr>
              <w:t>增</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3"/>
                <w:w w:val="100"/>
                <w:sz w:val="21"/>
                <w:szCs w:val="21"/>
              </w:rPr>
              <w:t>加，支付了各项工程</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保证金增加</w:t>
            </w:r>
          </w:p>
        </w:tc>
      </w:tr>
      <w:tr>
        <w:trPr>
          <w:trHeight w:val="109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9"/>
              <w:jc w:val="right"/>
              <w:rPr>
                <w:rFonts w:ascii="Times New Roman" w:hAnsi="Times New Roman" w:cs="Times New Roman" w:eastAsia="Times New Roman" w:hint="default"/>
                <w:sz w:val="21"/>
                <w:szCs w:val="21"/>
              </w:rPr>
            </w:pPr>
            <w:r>
              <w:rPr>
                <w:rFonts w:ascii="Times New Roman"/>
                <w:spacing w:val="-1"/>
                <w:sz w:val="21"/>
              </w:rPr>
              <w:t>327,140,703.69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8"/>
              <w:jc w:val="right"/>
              <w:rPr>
                <w:rFonts w:ascii="Times New Roman" w:hAnsi="Times New Roman" w:cs="Times New Roman" w:eastAsia="Times New Roman" w:hint="default"/>
                <w:sz w:val="21"/>
                <w:szCs w:val="21"/>
              </w:rPr>
            </w:pPr>
            <w:r>
              <w:rPr>
                <w:rFonts w:ascii="Times New Roman"/>
                <w:spacing w:val="-1"/>
                <w:sz w:val="21"/>
              </w:rPr>
              <w:t>461,877,673.37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9"/>
              <w:jc w:val="right"/>
              <w:rPr>
                <w:rFonts w:ascii="Times New Roman" w:hAnsi="Times New Roman" w:cs="Times New Roman" w:eastAsia="Times New Roman" w:hint="default"/>
                <w:sz w:val="21"/>
                <w:szCs w:val="21"/>
              </w:rPr>
            </w:pPr>
            <w:r>
              <w:rPr>
                <w:rFonts w:ascii="Times New Roman"/>
                <w:spacing w:val="-1"/>
                <w:sz w:val="21"/>
              </w:rPr>
              <w:t>134,736,969.68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8"/>
              <w:jc w:val="right"/>
              <w:rPr>
                <w:rFonts w:ascii="Times New Roman" w:hAnsi="Times New Roman" w:cs="Times New Roman" w:eastAsia="Times New Roman" w:hint="default"/>
                <w:sz w:val="21"/>
                <w:szCs w:val="21"/>
              </w:rPr>
            </w:pPr>
            <w:r>
              <w:rPr>
                <w:rFonts w:ascii="Times New Roman"/>
                <w:sz w:val="21"/>
              </w:rPr>
              <w:t>41.19%</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年子公司开发</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3"/>
                <w:w w:val="100"/>
                <w:sz w:val="21"/>
                <w:szCs w:val="21"/>
              </w:rPr>
              <w:t>项目已动工，导致在</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11"/>
                <w:sz w:val="21"/>
                <w:szCs w:val="21"/>
              </w:rPr>
              <w:t>建开发产品大幅增</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加</w:t>
            </w:r>
          </w:p>
        </w:tc>
      </w:tr>
      <w:tr>
        <w:trPr>
          <w:trHeight w:val="137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递延所得税资产</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507,127.85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98,835.35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-408,292.50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-80.51%</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前期预收款项形成</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3"/>
                <w:w w:val="100"/>
                <w:sz w:val="21"/>
                <w:szCs w:val="21"/>
              </w:rPr>
              <w:t>的预缴税金，本年改</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11"/>
                <w:sz w:val="21"/>
                <w:szCs w:val="21"/>
              </w:rPr>
              <w:t>部分预收款结转收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1"/>
                <w:sz w:val="21"/>
                <w:szCs w:val="21"/>
              </w:rPr>
              <w:t>入该部分递延所得</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税资产入到此</w:t>
            </w:r>
          </w:p>
        </w:tc>
      </w:tr>
      <w:tr>
        <w:trPr>
          <w:trHeight w:val="82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25,956,482.60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15,956,482.60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159.57%</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归还</w:t>
            </w:r>
            <w:r>
              <w:rPr>
                <w:rFonts w:ascii="宋体" w:hAnsi="宋体" w:cs="宋体" w:eastAsia="宋体" w:hint="default"/>
                <w:spacing w:val="-3"/>
                <w:w w:val="100"/>
                <w:sz w:val="21"/>
                <w:szCs w:val="21"/>
              </w:rPr>
              <w:t>前</w:t>
            </w:r>
            <w:r>
              <w:rPr>
                <w:rFonts w:ascii="宋体" w:hAnsi="宋体" w:cs="宋体" w:eastAsia="宋体" w:hint="default"/>
                <w:w w:val="100"/>
                <w:sz w:val="21"/>
                <w:szCs w:val="21"/>
              </w:rPr>
              <w:t>期</w:t>
            </w:r>
            <w:r>
              <w:rPr>
                <w:rFonts w:ascii="宋体" w:hAnsi="宋体" w:cs="宋体" w:eastAsia="宋体" w:hint="default"/>
                <w:spacing w:val="-3"/>
                <w:w w:val="100"/>
                <w:sz w:val="21"/>
                <w:szCs w:val="21"/>
              </w:rPr>
              <w:t>借</w:t>
            </w:r>
            <w:r>
              <w:rPr>
                <w:rFonts w:ascii="宋体" w:hAnsi="宋体" w:cs="宋体" w:eastAsia="宋体" w:hint="default"/>
                <w:w w:val="100"/>
                <w:sz w:val="21"/>
                <w:szCs w:val="21"/>
              </w:rPr>
              <w:t>款</w:t>
            </w:r>
            <w:r>
              <w:rPr>
                <w:rFonts w:ascii="宋体" w:hAnsi="宋体" w:cs="宋体" w:eastAsia="宋体" w:hint="default"/>
                <w:spacing w:val="-104"/>
                <w:w w:val="100"/>
                <w:sz w:val="21"/>
                <w:szCs w:val="21"/>
              </w:rPr>
              <w:t>，</w:t>
            </w:r>
            <w:r>
              <w:rPr>
                <w:rFonts w:ascii="宋体" w:hAnsi="宋体" w:cs="宋体" w:eastAsia="宋体" w:hint="default"/>
                <w:w w:val="100"/>
                <w:sz w:val="21"/>
                <w:szCs w:val="21"/>
              </w:rPr>
              <w:t>将长</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期借款中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年内到</w:t>
            </w:r>
            <w:r>
              <w:rPr>
                <w:rFonts w:ascii="宋体" w:hAnsi="宋体" w:cs="宋体" w:eastAsia="宋体" w:hint="default"/>
                <w:w w:val="100"/>
                <w:sz w:val="21"/>
                <w:szCs w:val="21"/>
              </w:rPr>
              <w:t> </w:t>
            </w:r>
            <w:r>
              <w:rPr>
                <w:rFonts w:ascii="宋体" w:hAnsi="宋体" w:cs="宋体" w:eastAsia="宋体" w:hint="default"/>
                <w:sz w:val="21"/>
                <w:szCs w:val="21"/>
              </w:rPr>
              <w:t>期的转入此</w:t>
            </w:r>
          </w:p>
        </w:tc>
      </w:tr>
      <w:tr>
        <w:trPr>
          <w:trHeight w:val="137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77,876,431.31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159,144,089.52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81,267,658.21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104.36%</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年子公司开发</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3"/>
                <w:w w:val="100"/>
                <w:sz w:val="21"/>
                <w:szCs w:val="21"/>
              </w:rPr>
              <w:t>项目已动工，导致材</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11"/>
                <w:sz w:val="21"/>
                <w:szCs w:val="21"/>
              </w:rPr>
              <w:t>料款及工程款相应</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3"/>
                <w:w w:val="100"/>
                <w:sz w:val="21"/>
                <w:szCs w:val="21"/>
              </w:rPr>
              <w:t>增加，应付供应商款</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相应增加</w:t>
            </w:r>
          </w:p>
        </w:tc>
      </w:tr>
      <w:tr>
        <w:trPr>
          <w:trHeight w:val="164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预收账款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right="99"/>
              <w:jc w:val="right"/>
              <w:rPr>
                <w:rFonts w:ascii="Times New Roman" w:hAnsi="Times New Roman" w:cs="Times New Roman" w:eastAsia="Times New Roman" w:hint="default"/>
                <w:sz w:val="21"/>
                <w:szCs w:val="21"/>
              </w:rPr>
            </w:pPr>
            <w:r>
              <w:rPr>
                <w:rFonts w:ascii="Times New Roman"/>
                <w:spacing w:val="-1"/>
                <w:sz w:val="21"/>
              </w:rPr>
              <w:t>29,743,802.05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3,869,403.15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9"/>
              <w:jc w:val="right"/>
              <w:rPr>
                <w:rFonts w:ascii="Times New Roman" w:hAnsi="Times New Roman" w:cs="Times New Roman" w:eastAsia="Times New Roman" w:hint="default"/>
                <w:sz w:val="21"/>
                <w:szCs w:val="21"/>
              </w:rPr>
            </w:pPr>
            <w:r>
              <w:rPr>
                <w:rFonts w:ascii="Times New Roman"/>
                <w:spacing w:val="-1"/>
                <w:sz w:val="21"/>
              </w:rPr>
              <w:t>-25,874,398.90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101"/>
              <w:jc w:val="right"/>
              <w:rPr>
                <w:rFonts w:ascii="Times New Roman" w:hAnsi="Times New Roman" w:cs="Times New Roman" w:eastAsia="Times New Roman" w:hint="default"/>
                <w:sz w:val="21"/>
                <w:szCs w:val="21"/>
              </w:rPr>
            </w:pPr>
            <w:r>
              <w:rPr>
                <w:rFonts w:ascii="Times New Roman"/>
                <w:spacing w:val="-1"/>
                <w:sz w:val="21"/>
              </w:rPr>
              <w:t>-86.99%</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年度销售的房</w:t>
            </w:r>
          </w:p>
          <w:p>
            <w:pPr>
              <w:pStyle w:val="TableParagraph"/>
              <w:spacing w:line="235" w:lineRule="auto"/>
              <w:ind w:left="103" w:right="98"/>
              <w:jc w:val="both"/>
              <w:rPr>
                <w:rFonts w:ascii="宋体" w:hAnsi="宋体" w:cs="宋体" w:eastAsia="宋体" w:hint="default"/>
                <w:sz w:val="21"/>
                <w:szCs w:val="21"/>
              </w:rPr>
            </w:pPr>
            <w:r>
              <w:rPr>
                <w:rFonts w:ascii="宋体" w:hAnsi="宋体" w:cs="宋体" w:eastAsia="宋体" w:hint="default"/>
                <w:spacing w:val="-13"/>
                <w:w w:val="100"/>
                <w:sz w:val="21"/>
                <w:szCs w:val="21"/>
              </w:rPr>
              <w:t>屋，因未达到收入确</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11"/>
                <w:sz w:val="21"/>
                <w:szCs w:val="21"/>
              </w:rPr>
              <w:t>认条件，暂挂账，</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年达到收入确</w:t>
            </w:r>
            <w:r>
              <w:rPr>
                <w:rFonts w:ascii="宋体" w:hAnsi="宋体" w:cs="宋体" w:eastAsia="宋体" w:hint="default"/>
                <w:w w:val="100"/>
                <w:sz w:val="21"/>
                <w:szCs w:val="21"/>
              </w:rPr>
              <w:t> </w:t>
            </w:r>
            <w:r>
              <w:rPr>
                <w:rFonts w:ascii="宋体" w:hAnsi="宋体" w:cs="宋体" w:eastAsia="宋体" w:hint="default"/>
                <w:spacing w:val="11"/>
                <w:sz w:val="21"/>
                <w:szCs w:val="21"/>
              </w:rPr>
              <w:t>认条件结转销售收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入，因此增幅较大</w:t>
            </w:r>
          </w:p>
        </w:tc>
      </w:tr>
    </w:tbl>
    <w:p>
      <w:pPr>
        <w:spacing w:after="0" w:line="235" w:lineRule="auto"/>
        <w:jc w:val="both"/>
        <w:rPr>
          <w:rFonts w:ascii="宋体" w:hAnsi="宋体" w:cs="宋体" w:eastAsia="宋体" w:hint="default"/>
          <w:sz w:val="21"/>
          <w:szCs w:val="21"/>
        </w:rPr>
        <w:sectPr>
          <w:footerReference w:type="default" r:id="rId14"/>
          <w:pgSz w:w="11910" w:h="16840"/>
          <w:pgMar w:footer="781" w:header="0" w:top="1020" w:bottom="980" w:left="920" w:right="0"/>
          <w:pgNumType w:start="27"/>
        </w:sectPr>
      </w:pPr>
    </w:p>
    <w:p>
      <w:pPr>
        <w:spacing w:line="240" w:lineRule="auto" w:before="9"/>
        <w:rPr>
          <w:rFonts w:ascii="宋体" w:hAnsi="宋体" w:cs="宋体" w:eastAsia="宋体" w:hint="default"/>
          <w:sz w:val="5"/>
          <w:szCs w:val="5"/>
        </w:rPr>
      </w:pPr>
      <w:r>
        <w:rPr/>
        <w:pict>
          <v:shape style="position:absolute;margin-left:494.049988pt;margin-top:784.099731pt;width:101.25pt;height:57.75pt;mso-position-horizontal-relative:page;mso-position-vertical-relative:page;z-index:1888" type="#_x0000_t75" stroked="false">
            <v:imagedata r:id="rId15" o:title=""/>
          </v:shape>
        </w:pict>
      </w:r>
    </w:p>
    <w:tbl>
      <w:tblPr>
        <w:tblW w:w="0" w:type="auto"/>
        <w:jc w:val="left"/>
        <w:tblInd w:w="100" w:type="dxa"/>
        <w:tblLayout w:type="fixed"/>
        <w:tblCellMar>
          <w:top w:w="0" w:type="dxa"/>
          <w:left w:w="0" w:type="dxa"/>
          <w:bottom w:w="0" w:type="dxa"/>
          <w:right w:w="0" w:type="dxa"/>
        </w:tblCellMar>
        <w:tblLook w:val="01E0"/>
      </w:tblPr>
      <w:tblGrid>
        <w:gridCol w:w="1728"/>
        <w:gridCol w:w="1556"/>
        <w:gridCol w:w="1644"/>
        <w:gridCol w:w="1642"/>
        <w:gridCol w:w="1280"/>
        <w:gridCol w:w="2006"/>
      </w:tblGrid>
      <w:tr>
        <w:trPr>
          <w:trHeight w:val="557"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24,068,917.25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27,552,904.68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3,483,987.43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14.48%</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房屋</w:t>
            </w:r>
            <w:r>
              <w:rPr>
                <w:rFonts w:ascii="宋体" w:hAnsi="宋体" w:cs="宋体" w:eastAsia="宋体" w:hint="default"/>
                <w:spacing w:val="-3"/>
                <w:w w:val="100"/>
                <w:sz w:val="21"/>
                <w:szCs w:val="21"/>
              </w:rPr>
              <w:t>销</w:t>
            </w:r>
            <w:r>
              <w:rPr>
                <w:rFonts w:ascii="宋体" w:hAnsi="宋体" w:cs="宋体" w:eastAsia="宋体" w:hint="default"/>
                <w:w w:val="100"/>
                <w:sz w:val="21"/>
                <w:szCs w:val="21"/>
              </w:rPr>
              <w:t>售</w:t>
            </w:r>
            <w:r>
              <w:rPr>
                <w:rFonts w:ascii="宋体" w:hAnsi="宋体" w:cs="宋体" w:eastAsia="宋体" w:hint="default"/>
                <w:spacing w:val="-3"/>
                <w:w w:val="100"/>
                <w:sz w:val="21"/>
                <w:szCs w:val="21"/>
              </w:rPr>
              <w:t>的</w:t>
            </w:r>
            <w:r>
              <w:rPr>
                <w:rFonts w:ascii="宋体" w:hAnsi="宋体" w:cs="宋体" w:eastAsia="宋体" w:hint="default"/>
                <w:w w:val="100"/>
                <w:sz w:val="21"/>
                <w:szCs w:val="21"/>
              </w:rPr>
              <w:t>增</w:t>
            </w:r>
            <w:r>
              <w:rPr>
                <w:rFonts w:ascii="宋体" w:hAnsi="宋体" w:cs="宋体" w:eastAsia="宋体" w:hint="default"/>
                <w:spacing w:val="-3"/>
                <w:w w:val="100"/>
                <w:sz w:val="21"/>
                <w:szCs w:val="21"/>
              </w:rPr>
              <w:t>长</w:t>
            </w:r>
            <w:r>
              <w:rPr>
                <w:rFonts w:ascii="宋体" w:hAnsi="宋体" w:cs="宋体" w:eastAsia="宋体" w:hint="default"/>
                <w:spacing w:val="-101"/>
                <w:w w:val="100"/>
                <w:sz w:val="21"/>
                <w:szCs w:val="21"/>
              </w:rPr>
              <w:t>，</w:t>
            </w:r>
            <w:r>
              <w:rPr>
                <w:rFonts w:ascii="宋体" w:hAnsi="宋体" w:cs="宋体" w:eastAsia="宋体" w:hint="default"/>
                <w:w w:val="100"/>
                <w:sz w:val="21"/>
                <w:szCs w:val="21"/>
              </w:rPr>
              <w:t>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税金随之增长</w:t>
            </w:r>
          </w:p>
        </w:tc>
      </w:tr>
      <w:tr>
        <w:trPr>
          <w:trHeight w:val="555"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61,736,355.84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66,663,501.08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1"/>
                <w:szCs w:val="21"/>
              </w:rPr>
            </w:pPr>
            <w:r>
              <w:rPr>
                <w:rFonts w:ascii="Times New Roman"/>
                <w:spacing w:val="-1"/>
                <w:sz w:val="21"/>
              </w:rPr>
              <w:t>4,927,145.24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Times New Roman" w:hAnsi="Times New Roman" w:cs="Times New Roman" w:eastAsia="Times New Roman" w:hint="default"/>
                <w:sz w:val="21"/>
                <w:szCs w:val="21"/>
              </w:rPr>
            </w:pPr>
            <w:r>
              <w:rPr>
                <w:rFonts w:ascii="Times New Roman"/>
                <w:sz w:val="21"/>
              </w:rPr>
              <w:t>7.98%</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pacing w:val="3"/>
                <w:sz w:val="21"/>
                <w:szCs w:val="21"/>
              </w:rPr>
              <w:t>公司收到前期关联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方往来款所致</w:t>
            </w:r>
          </w:p>
        </w:tc>
      </w:tr>
      <w:tr>
        <w:trPr>
          <w:trHeight w:val="1421"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118,370,842.28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49,000,000.00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-69,370,842.28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-58.61</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3" w:right="98"/>
              <w:jc w:val="both"/>
              <w:rPr>
                <w:rFonts w:ascii="宋体" w:hAnsi="宋体" w:cs="宋体" w:eastAsia="宋体" w:hint="default"/>
                <w:sz w:val="21"/>
                <w:szCs w:val="21"/>
              </w:rPr>
            </w:pPr>
            <w:r>
              <w:rPr>
                <w:rFonts w:ascii="宋体" w:hAnsi="宋体" w:cs="宋体" w:eastAsia="宋体" w:hint="default"/>
                <w:spacing w:val="11"/>
                <w:sz w:val="21"/>
                <w:szCs w:val="21"/>
              </w:rPr>
              <w:t>本期子公司贷款减</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3"/>
                <w:w w:val="100"/>
                <w:sz w:val="21"/>
                <w:szCs w:val="21"/>
              </w:rPr>
              <w:t>少，长期借款因期限</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13"/>
                <w:w w:val="100"/>
                <w:sz w:val="21"/>
                <w:szCs w:val="21"/>
              </w:rPr>
              <w:t>变为一年以内，调整</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到短期借款</w:t>
            </w:r>
          </w:p>
        </w:tc>
      </w:tr>
    </w:tbl>
    <w:p>
      <w:pPr>
        <w:pStyle w:val="BodyText"/>
        <w:spacing w:line="274" w:lineRule="exact" w:before="0"/>
        <w:ind w:left="693" w:right="1034"/>
        <w:jc w:val="left"/>
      </w:pPr>
      <w:r>
        <w:rPr>
          <w:rFonts w:ascii="宋体" w:hAnsi="宋体" w:cs="宋体" w:eastAsia="宋体" w:hint="default"/>
        </w:rPr>
        <w:t>2</w:t>
      </w:r>
      <w:r>
        <w:rPr/>
        <w:t>）报告期内，公司主要资产采用的计量属性：</w:t>
      </w:r>
    </w:p>
    <w:p>
      <w:pPr>
        <w:pStyle w:val="BodyText"/>
        <w:spacing w:line="357" w:lineRule="auto" w:before="151"/>
        <w:ind w:left="693" w:right="1153"/>
        <w:jc w:val="left"/>
      </w:pPr>
      <w:r>
        <w:rPr/>
        <w:t>根据新企业会计准则的规定，报告期内，公司主要资产采用的计量属性为： 存货采用成本与可变现净值孰低计量；长期股权投资、固定资产、无形资产采用资产的</w:t>
      </w:r>
    </w:p>
    <w:p>
      <w:pPr>
        <w:pStyle w:val="BodyText"/>
        <w:spacing w:line="355" w:lineRule="auto" w:before="36"/>
        <w:ind w:left="212" w:right="1154"/>
        <w:jc w:val="left"/>
      </w:pPr>
      <w:r>
        <w:rPr/>
        <w:t>账面价值与可回收金额孰低计量；可供出售金融资产采用公允价值计量模式；应收款项采用 备抵法核算坏账损失；投资性房地产采用成本模式计量。</w:t>
      </w:r>
    </w:p>
    <w:p>
      <w:pPr>
        <w:pStyle w:val="BodyText"/>
        <w:spacing w:line="355" w:lineRule="auto" w:before="38"/>
        <w:ind w:left="212" w:right="1034" w:firstLine="480"/>
        <w:jc w:val="left"/>
      </w:pPr>
      <w:r>
        <w:rPr>
          <w:spacing w:val="-3"/>
        </w:rPr>
        <w:t>金融资产的公允价值确定方法：</w:t>
      </w:r>
      <w:r>
        <w:rPr>
          <w:rFonts w:ascii="宋体" w:hAnsi="宋体" w:cs="宋体" w:eastAsia="宋体" w:hint="default"/>
          <w:spacing w:val="-3"/>
        </w:rPr>
        <w:t>a</w:t>
      </w:r>
      <w:r>
        <w:rPr>
          <w:spacing w:val="-3"/>
        </w:rPr>
        <w:t>、存在活跃市场的金融资产，以活跃市场中的报价确定</w:t>
      </w:r>
      <w:r>
        <w:rPr/>
        <w:t> 其公允价值。</w:t>
      </w:r>
      <w:r>
        <w:rPr>
          <w:rFonts w:ascii="宋体" w:hAnsi="宋体" w:cs="宋体" w:eastAsia="宋体" w:hint="default"/>
        </w:rPr>
        <w:t>b</w:t>
      </w:r>
      <w:r>
        <w:rPr/>
        <w:t>、不存在活跃市场的，公司采用估值技术确定其公允价值。</w:t>
      </w:r>
    </w:p>
    <w:p>
      <w:pPr>
        <w:pStyle w:val="BodyText"/>
        <w:spacing w:line="240" w:lineRule="auto" w:before="38"/>
        <w:ind w:left="693" w:right="1034"/>
        <w:jc w:val="left"/>
      </w:pPr>
      <w:r>
        <w:rPr>
          <w:rFonts w:ascii="宋体" w:hAnsi="宋体" w:cs="宋体" w:eastAsia="宋体" w:hint="default"/>
        </w:rPr>
        <w:t>3</w:t>
      </w:r>
      <w:r>
        <w:rPr/>
        <w:t>）公司费用发生重大变化情况：</w:t>
      </w:r>
    </w:p>
    <w:p>
      <w:pPr>
        <w:spacing w:before="157"/>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088"/>
        <w:gridCol w:w="1981"/>
        <w:gridCol w:w="1800"/>
        <w:gridCol w:w="1800"/>
        <w:gridCol w:w="1981"/>
      </w:tblGrid>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变化比例</w:t>
            </w:r>
          </w:p>
        </w:tc>
      </w:tr>
      <w:tr>
        <w:trPr>
          <w:trHeight w:val="29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110,043,571.90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301,294,136.49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191,250,564.59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173.795%</w:t>
            </w:r>
          </w:p>
        </w:tc>
      </w:tr>
      <w:tr>
        <w:trPr>
          <w:trHeight w:val="29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70,124,034.22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208,536,020.78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138,411,986.56</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197.38%</w:t>
            </w:r>
          </w:p>
        </w:tc>
      </w:tr>
      <w:tr>
        <w:trPr>
          <w:trHeight w:val="29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营业税金及附加</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7,169,500.82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22,737,826.69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15,568,325.87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217.18%</w:t>
            </w:r>
          </w:p>
        </w:tc>
      </w:tr>
      <w:tr>
        <w:trPr>
          <w:trHeight w:val="296"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1,160,171.73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6,604,791.37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5,444,619.64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469.29%</w:t>
            </w:r>
          </w:p>
        </w:tc>
      </w:tr>
      <w:tr>
        <w:trPr>
          <w:trHeight w:val="29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2,524,447.72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5,583,042.57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3,058,594.85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121.16%</w:t>
            </w:r>
          </w:p>
        </w:tc>
      </w:tr>
      <w:tr>
        <w:trPr>
          <w:trHeight w:val="29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资产减值损失</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98,352.04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-88,002.04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-186,354.08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-189.48%</w:t>
            </w:r>
          </w:p>
        </w:tc>
      </w:tr>
      <w:tr>
        <w:trPr>
          <w:trHeight w:val="29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10,566,546.44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493,452.44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-10,073,094.00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z w:val="18"/>
              </w:rPr>
              <w:t>-95.33%</w:t>
            </w:r>
          </w:p>
        </w:tc>
      </w:tr>
      <w:tr>
        <w:trPr>
          <w:trHeight w:val="29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 w:right="0"/>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4.53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-4.53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18"/>
                <w:szCs w:val="18"/>
              </w:rPr>
            </w:pPr>
            <w:r>
              <w:rPr>
                <w:rFonts w:ascii="Times New Roman"/>
                <w:sz w:val="18"/>
              </w:rPr>
              <w:t>100%</w:t>
            </w:r>
          </w:p>
        </w:tc>
      </w:tr>
      <w:tr>
        <w:trPr>
          <w:trHeight w:val="29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2"/>
                <w:sz w:val="21"/>
              </w:rPr>
              <w:t>11,525,520.05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20,240,938.86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8,715,418.81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75.62%</w:t>
            </w:r>
          </w:p>
        </w:tc>
      </w:tr>
    </w:tbl>
    <w:p>
      <w:pPr>
        <w:pStyle w:val="BodyText"/>
        <w:spacing w:line="274" w:lineRule="exact" w:before="0"/>
        <w:ind w:left="693" w:right="1034"/>
        <w:jc w:val="left"/>
      </w:pPr>
      <w:r>
        <w:rPr/>
        <w:t>说明：利润表项目本期报告期末数比年初数均有较大增减变动，主要因为公司</w:t>
      </w:r>
      <w:r>
        <w:rPr>
          <w:rFonts w:ascii="宋体" w:hAnsi="宋体" w:cs="宋体" w:eastAsia="宋体" w:hint="default"/>
        </w:rPr>
        <w:t>2010</w:t>
      </w:r>
      <w:r>
        <w:rPr/>
        <w:t>年子</w:t>
      </w:r>
    </w:p>
    <w:p>
      <w:pPr>
        <w:pStyle w:val="BodyText"/>
        <w:spacing w:line="355" w:lineRule="auto" w:before="154"/>
        <w:ind w:left="693" w:right="2594" w:hanging="481"/>
        <w:jc w:val="left"/>
      </w:pPr>
      <w:r>
        <w:rPr/>
        <w:t>公司房地产项目已实现销售，导致相应收入、成本、费用、所得税费用增加。 </w:t>
      </w:r>
      <w:r>
        <w:rPr>
          <w:rFonts w:ascii="宋体" w:hAnsi="宋体" w:cs="宋体" w:eastAsia="宋体" w:hint="default"/>
        </w:rPr>
        <w:t>4) </w:t>
      </w:r>
      <w:r>
        <w:rPr/>
        <w:t>公司现金流量表相关数据：</w:t>
      </w:r>
    </w:p>
    <w:p>
      <w:pPr>
        <w:spacing w:before="45"/>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45"/>
        <w:gridCol w:w="1579"/>
        <w:gridCol w:w="1620"/>
        <w:gridCol w:w="1621"/>
        <w:gridCol w:w="1800"/>
      </w:tblGrid>
      <w:tr>
        <w:trPr>
          <w:trHeight w:val="284"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变化比例</w:t>
            </w:r>
          </w:p>
        </w:tc>
      </w:tr>
      <w:tr>
        <w:trPr>
          <w:trHeight w:val="36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2"/>
                <w:sz w:val="21"/>
              </w:rPr>
              <w:t>138,911,942.80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255,325,449.59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116,413,506.79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sz w:val="21"/>
              </w:rPr>
              <w:t>83.80%</w:t>
            </w:r>
          </w:p>
        </w:tc>
      </w:tr>
      <w:tr>
        <w:trPr>
          <w:trHeight w:val="36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665,326.87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2"/>
                <w:sz w:val="21"/>
              </w:rPr>
              <w:t>4,185,111.85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3,519,784.98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sz w:val="21"/>
              </w:rPr>
              <w:t>529.03%</w:t>
            </w:r>
          </w:p>
        </w:tc>
      </w:tr>
      <w:tr>
        <w:trPr>
          <w:trHeight w:val="36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64,153,743.90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267,199,561.46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203,045,817.56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sz w:val="21"/>
              </w:rPr>
              <w:t>316.50%</w:t>
            </w:r>
          </w:p>
        </w:tc>
      </w:tr>
      <w:tr>
        <w:trPr>
          <w:trHeight w:val="36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6,968,366.22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43,312,975.70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36,344,609.48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sz w:val="21"/>
              </w:rPr>
              <w:t>521.57%</w:t>
            </w:r>
          </w:p>
        </w:tc>
      </w:tr>
      <w:tr>
        <w:trPr>
          <w:trHeight w:val="36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47,273,785.54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16,657,839.07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-30,615946.47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-64.76%</w:t>
            </w:r>
          </w:p>
        </w:tc>
      </w:tr>
      <w:tr>
        <w:trPr>
          <w:trHeight w:val="634"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02"/>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现金净额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62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6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92,000,000.00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z w:val="21"/>
              </w:rPr>
              <w:t>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-92,000,000.00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781" w:top="1040" w:bottom="980" w:left="920" w:right="0"/>
        </w:sectPr>
      </w:pPr>
    </w:p>
    <w:p>
      <w:pPr>
        <w:pStyle w:val="BodyText"/>
        <w:spacing w:line="357" w:lineRule="auto" w:before="14"/>
        <w:ind w:right="996" w:firstLine="480"/>
        <w:jc w:val="left"/>
      </w:pPr>
      <w:r>
        <w:rPr>
          <w:spacing w:val="-2"/>
        </w:rPr>
        <w:t>说明：本期子公司</w:t>
      </w:r>
      <w:r>
        <w:rPr>
          <w:rFonts w:ascii="宋体" w:hAnsi="宋体" w:cs="宋体" w:eastAsia="宋体" w:hint="default"/>
          <w:spacing w:val="-2"/>
        </w:rPr>
        <w:t>2010</w:t>
      </w:r>
      <w:r>
        <w:rPr>
          <w:spacing w:val="-2"/>
        </w:rPr>
        <w:t>年已实现销售，导致销售商品、提供劳务收到的现金与购买商品、</w:t>
      </w:r>
      <w:r>
        <w:rPr/>
        <w:t> 接收劳务支付的现金变动较大。</w:t>
      </w:r>
    </w:p>
    <w:p>
      <w:pPr>
        <w:pStyle w:val="BodyText"/>
        <w:spacing w:line="355" w:lineRule="auto" w:before="36"/>
        <w:ind w:left="593" w:right="5713"/>
        <w:jc w:val="left"/>
      </w:pPr>
      <w:r>
        <w:rPr>
          <w:rFonts w:ascii="宋体" w:hAnsi="宋体" w:cs="宋体" w:eastAsia="宋体" w:hint="default"/>
        </w:rPr>
        <w:t>4</w:t>
      </w:r>
      <w:r>
        <w:rPr/>
        <w:t>、公司控制的特殊目的主体情况 报告期内，公司无控制的特殊目的的主体。</w:t>
      </w:r>
    </w:p>
    <w:p>
      <w:pPr>
        <w:pStyle w:val="BodyText"/>
        <w:spacing w:line="355" w:lineRule="auto" w:before="38"/>
        <w:ind w:left="593" w:right="4393"/>
        <w:jc w:val="left"/>
      </w:pPr>
      <w:r>
        <w:rPr/>
        <w:t>（二）对公司未来发展的展望 </w:t>
      </w:r>
      <w:r>
        <w:rPr>
          <w:rFonts w:ascii="宋体" w:hAnsi="宋体" w:cs="宋体" w:eastAsia="宋体" w:hint="default"/>
        </w:rPr>
        <w:t>1</w:t>
      </w:r>
      <w:r>
        <w:rPr/>
        <w:t>、公司所处行业的发展趋势及公司面临的市场竞争格局</w:t>
      </w:r>
    </w:p>
    <w:p>
      <w:pPr>
        <w:pStyle w:val="BodyText"/>
        <w:spacing w:line="357" w:lineRule="auto" w:before="38"/>
        <w:ind w:left="593" w:right="5953"/>
        <w:jc w:val="left"/>
      </w:pPr>
      <w:r>
        <w:rPr>
          <w:rFonts w:ascii="宋体" w:hAnsi="宋体" w:cs="宋体" w:eastAsia="宋体" w:hint="default"/>
        </w:rPr>
        <w:t>1</w:t>
      </w:r>
      <w:r>
        <w:rPr/>
        <w:t>）公司所处行业的发展趋势 报告期内，公司所属行业为房地产行业。 </w:t>
      </w:r>
      <w:r>
        <w:rPr>
          <w:rFonts w:ascii="宋体" w:hAnsi="宋体" w:cs="宋体" w:eastAsia="宋体" w:hint="default"/>
        </w:rPr>
        <w:t>A</w:t>
      </w:r>
      <w:r>
        <w:rPr/>
        <w:t>、未来</w:t>
      </w:r>
      <w:r>
        <w:rPr>
          <w:rFonts w:ascii="宋体" w:hAnsi="宋体" w:cs="宋体" w:eastAsia="宋体" w:hint="default"/>
        </w:rPr>
        <w:t>10</w:t>
      </w:r>
      <w:r>
        <w:rPr/>
        <w:t>年中国住宅需求依然旺盛</w:t>
      </w:r>
    </w:p>
    <w:p>
      <w:pPr>
        <w:pStyle w:val="BodyText"/>
        <w:spacing w:line="357" w:lineRule="auto"/>
        <w:ind w:right="1169" w:firstLine="480"/>
        <w:jc w:val="both"/>
      </w:pPr>
      <w:r>
        <w:rPr/>
        <w:t>首先从中国城市化、更新改造、改善需求来看，在相当长的时期内，住房供应需保持高 增长才能满足需求。据住建部统计的相关资料显示，上世纪</w:t>
      </w:r>
      <w:r>
        <w:rPr>
          <w:rFonts w:ascii="宋体" w:hAnsi="宋体" w:cs="宋体" w:eastAsia="宋体" w:hint="default"/>
        </w:rPr>
        <w:t>90</w:t>
      </w:r>
      <w:r>
        <w:rPr/>
        <w:t>年代初，发达国家的人均住房 建筑面积状况如下：美国</w:t>
      </w:r>
      <w:r>
        <w:rPr>
          <w:rFonts w:ascii="宋体" w:hAnsi="宋体" w:cs="宋体" w:eastAsia="宋体" w:hint="default"/>
        </w:rPr>
        <w:t>60</w:t>
      </w:r>
      <w:r>
        <w:rPr/>
        <w:t>平方米，英国</w:t>
      </w:r>
      <w:r>
        <w:rPr>
          <w:rFonts w:ascii="宋体" w:hAnsi="宋体" w:cs="宋体" w:eastAsia="宋体" w:hint="default"/>
        </w:rPr>
        <w:t>38</w:t>
      </w:r>
      <w:r>
        <w:rPr/>
        <w:t>平方米，法国</w:t>
      </w:r>
      <w:r>
        <w:rPr>
          <w:rFonts w:ascii="宋体" w:hAnsi="宋体" w:cs="宋体" w:eastAsia="宋体" w:hint="default"/>
        </w:rPr>
        <w:t>37</w:t>
      </w:r>
      <w:r>
        <w:rPr/>
        <w:t>平方米，日本为</w:t>
      </w:r>
      <w:r>
        <w:rPr>
          <w:rFonts w:ascii="宋体" w:hAnsi="宋体" w:cs="宋体" w:eastAsia="宋体" w:hint="default"/>
        </w:rPr>
        <w:t>31</w:t>
      </w:r>
      <w:r>
        <w:rPr/>
        <w:t>平方米。中国 统计局数据显示：</w:t>
      </w:r>
      <w:r>
        <w:rPr>
          <w:rFonts w:ascii="宋体" w:hAnsi="宋体" w:cs="宋体" w:eastAsia="宋体" w:hint="default"/>
        </w:rPr>
        <w:t>2009</w:t>
      </w:r>
      <w:r>
        <w:rPr/>
        <w:t>年全国城镇居民人均居住面积为</w:t>
      </w:r>
      <w:r>
        <w:rPr>
          <w:rFonts w:ascii="宋体" w:hAnsi="宋体" w:cs="宋体" w:eastAsia="宋体" w:hint="default"/>
        </w:rPr>
        <w:t>28.5</w:t>
      </w:r>
      <w:r>
        <w:rPr/>
        <w:t>平方米；</w:t>
      </w:r>
      <w:r>
        <w:rPr>
          <w:rFonts w:ascii="宋体" w:hAnsi="宋体" w:cs="宋体" w:eastAsia="宋体" w:hint="default"/>
        </w:rPr>
        <w:t>2009</w:t>
      </w:r>
      <w:r>
        <w:rPr/>
        <w:t>年中国城市化率为 </w:t>
      </w:r>
      <w:r>
        <w:rPr>
          <w:rFonts w:ascii="宋体" w:hAnsi="宋体" w:cs="宋体" w:eastAsia="宋体" w:hint="default"/>
        </w:rPr>
        <w:t>46.6%</w:t>
      </w:r>
      <w:r>
        <w:rPr/>
        <w:t>，到</w:t>
      </w:r>
      <w:r>
        <w:rPr>
          <w:rFonts w:ascii="宋体" w:hAnsi="宋体" w:cs="宋体" w:eastAsia="宋体" w:hint="default"/>
        </w:rPr>
        <w:t>2020</w:t>
      </w:r>
      <w:r>
        <w:rPr/>
        <w:t>年将达到</w:t>
      </w:r>
      <w:r>
        <w:rPr>
          <w:rFonts w:ascii="宋体" w:hAnsi="宋体" w:cs="宋体" w:eastAsia="宋体" w:hint="default"/>
        </w:rPr>
        <w:t>55%</w:t>
      </w:r>
      <w:r>
        <w:rPr/>
        <w:t>，按照人均居住面积</w:t>
      </w:r>
      <w:r>
        <w:rPr>
          <w:rFonts w:ascii="宋体" w:hAnsi="宋体" w:cs="宋体" w:eastAsia="宋体" w:hint="default"/>
        </w:rPr>
        <w:t>30</w:t>
      </w:r>
      <w:r>
        <w:rPr/>
        <w:t>平方米计算，未来</w:t>
      </w:r>
      <w:r>
        <w:rPr>
          <w:rFonts w:ascii="宋体" w:hAnsi="宋体" w:cs="宋体" w:eastAsia="宋体" w:hint="default"/>
        </w:rPr>
        <w:t>10</w:t>
      </w:r>
      <w:r>
        <w:rPr/>
        <w:t>年城市化带来的新增 住宅需求是建面</w:t>
      </w:r>
      <w:r>
        <w:rPr>
          <w:rFonts w:ascii="宋体" w:hAnsi="宋体" w:cs="宋体" w:eastAsia="宋体" w:hint="default"/>
        </w:rPr>
        <w:t>58.62</w:t>
      </w:r>
      <w:r>
        <w:rPr/>
        <w:t>亿平方米，即年增刚性需求</w:t>
      </w:r>
      <w:r>
        <w:rPr>
          <w:rFonts w:ascii="宋体" w:hAnsi="宋体" w:cs="宋体" w:eastAsia="宋体" w:hint="default"/>
        </w:rPr>
        <w:t>5.862</w:t>
      </w:r>
      <w:r>
        <w:rPr/>
        <w:t>亿平方米。根据有关测算，预计未来 </w:t>
      </w:r>
      <w:r>
        <w:rPr>
          <w:rFonts w:ascii="宋体" w:hAnsi="宋体" w:cs="宋体" w:eastAsia="宋体" w:hint="default"/>
        </w:rPr>
        <w:t>20</w:t>
      </w:r>
      <w:r>
        <w:rPr/>
        <w:t>年年均住宅更新需求建面</w:t>
      </w:r>
      <w:r>
        <w:rPr>
          <w:rFonts w:ascii="宋体" w:hAnsi="宋体" w:cs="宋体" w:eastAsia="宋体" w:hint="default"/>
        </w:rPr>
        <w:t>4</w:t>
      </w:r>
      <w:r>
        <w:rPr/>
        <w:t>亿平方米。也即，未来</w:t>
      </w:r>
      <w:r>
        <w:rPr>
          <w:rFonts w:ascii="宋体" w:hAnsi="宋体" w:cs="宋体" w:eastAsia="宋体" w:hint="default"/>
        </w:rPr>
        <w:t>10</w:t>
      </w:r>
      <w:r>
        <w:rPr/>
        <w:t>年年均刚性需求加更新需求量至少在</w:t>
      </w:r>
    </w:p>
    <w:p>
      <w:pPr>
        <w:pStyle w:val="BodyText"/>
        <w:spacing w:line="357" w:lineRule="auto" w:before="36"/>
        <w:ind w:right="1130"/>
        <w:jc w:val="both"/>
      </w:pPr>
      <w:r>
        <w:rPr>
          <w:rFonts w:ascii="宋体" w:hAnsi="宋体" w:cs="宋体" w:eastAsia="宋体" w:hint="default"/>
          <w:spacing w:val="-4"/>
        </w:rPr>
        <w:t>9.862</w:t>
      </w:r>
      <w:r>
        <w:rPr>
          <w:spacing w:val="-4"/>
        </w:rPr>
        <w:t>亿平方米（</w:t>
      </w:r>
      <w:r>
        <w:rPr>
          <w:rFonts w:ascii="宋体" w:hAnsi="宋体" w:cs="宋体" w:eastAsia="宋体" w:hint="default"/>
          <w:spacing w:val="-4"/>
        </w:rPr>
        <w:t>2007</w:t>
      </w:r>
      <w:r>
        <w:rPr>
          <w:spacing w:val="-4"/>
        </w:rPr>
        <w:t>年</w:t>
      </w:r>
      <w:r>
        <w:rPr>
          <w:rFonts w:ascii="宋体" w:hAnsi="宋体" w:cs="宋体" w:eastAsia="宋体" w:hint="default"/>
          <w:spacing w:val="-4"/>
        </w:rPr>
        <w:t>-2009</w:t>
      </w:r>
      <w:r>
        <w:rPr>
          <w:spacing w:val="-4"/>
        </w:rPr>
        <w:t>年全国住宅销售面积分别为</w:t>
      </w:r>
      <w:r>
        <w:rPr>
          <w:rFonts w:ascii="宋体" w:hAnsi="宋体" w:cs="宋体" w:eastAsia="宋体" w:hint="default"/>
          <w:spacing w:val="-4"/>
        </w:rPr>
        <w:t>6.91</w:t>
      </w:r>
      <w:r>
        <w:rPr>
          <w:spacing w:val="-4"/>
        </w:rPr>
        <w:t>亿平方米、</w:t>
      </w:r>
      <w:r>
        <w:rPr>
          <w:rFonts w:ascii="宋体" w:hAnsi="宋体" w:cs="宋体" w:eastAsia="宋体" w:hint="default"/>
          <w:spacing w:val="-4"/>
        </w:rPr>
        <w:t>5.59</w:t>
      </w:r>
      <w:r>
        <w:rPr>
          <w:spacing w:val="-4"/>
        </w:rPr>
        <w:t>亿平方米、</w:t>
      </w:r>
      <w:r>
        <w:rPr>
          <w:rFonts w:ascii="宋体" w:hAnsi="宋体" w:cs="宋体" w:eastAsia="宋体" w:hint="default"/>
          <w:spacing w:val="-4"/>
        </w:rPr>
        <w:t>8.62</w:t>
      </w:r>
      <w:r>
        <w:rPr>
          <w:rFonts w:ascii="宋体" w:hAnsi="宋体" w:cs="宋体" w:eastAsia="宋体" w:hint="default"/>
          <w:spacing w:val="-109"/>
        </w:rPr>
        <w:t> </w:t>
      </w:r>
      <w:r>
        <w:rPr>
          <w:spacing w:val="-2"/>
        </w:rPr>
        <w:t>亿平方米，</w:t>
      </w:r>
      <w:r>
        <w:rPr>
          <w:rFonts w:ascii="宋体" w:hAnsi="宋体" w:cs="宋体" w:eastAsia="宋体" w:hint="default"/>
          <w:spacing w:val="-2"/>
        </w:rPr>
        <w:t>3</w:t>
      </w:r>
      <w:r>
        <w:rPr>
          <w:spacing w:val="-2"/>
        </w:rPr>
        <w:t>年年均住宅销售面积为</w:t>
      </w:r>
      <w:r>
        <w:rPr>
          <w:rFonts w:ascii="宋体" w:hAnsi="宋体" w:cs="宋体" w:eastAsia="宋体" w:hint="default"/>
          <w:spacing w:val="-2"/>
        </w:rPr>
        <w:t>7.04</w:t>
      </w:r>
      <w:r>
        <w:rPr>
          <w:spacing w:val="-2"/>
        </w:rPr>
        <w:t>亿平方米）。考虑改善需求的适当增加，人均居住面</w:t>
      </w:r>
      <w:r>
        <w:rPr>
          <w:spacing w:val="-116"/>
        </w:rPr>
        <w:t> </w:t>
      </w:r>
      <w:r>
        <w:rPr>
          <w:spacing w:val="-116"/>
        </w:rPr>
      </w:r>
      <w:r>
        <w:rPr>
          <w:spacing w:val="-5"/>
        </w:rPr>
        <w:t>积达到</w:t>
      </w:r>
      <w:r>
        <w:rPr>
          <w:rFonts w:ascii="宋体" w:hAnsi="宋体" w:cs="宋体" w:eastAsia="宋体" w:hint="default"/>
          <w:spacing w:val="-5"/>
        </w:rPr>
        <w:t>35</w:t>
      </w:r>
      <w:r>
        <w:rPr>
          <w:spacing w:val="-5"/>
        </w:rPr>
        <w:t>平方米，未来</w:t>
      </w:r>
      <w:r>
        <w:rPr>
          <w:rFonts w:ascii="宋体" w:hAnsi="宋体" w:cs="宋体" w:eastAsia="宋体" w:hint="default"/>
          <w:spacing w:val="-5"/>
        </w:rPr>
        <w:t>10</w:t>
      </w:r>
      <w:r>
        <w:rPr>
          <w:spacing w:val="-5"/>
        </w:rPr>
        <w:t>年年均改善性住宅需求建面将达到</w:t>
      </w:r>
      <w:r>
        <w:rPr>
          <w:rFonts w:ascii="宋体" w:hAnsi="宋体" w:cs="宋体" w:eastAsia="宋体" w:hint="default"/>
          <w:spacing w:val="-5"/>
        </w:rPr>
        <w:t>9.66</w:t>
      </w:r>
      <w:r>
        <w:rPr>
          <w:spacing w:val="-5"/>
        </w:rPr>
        <w:t>亿平方米。若按官方预计</w:t>
      </w:r>
      <w:r>
        <w:rPr>
          <w:rFonts w:ascii="宋体" w:hAnsi="宋体" w:cs="宋体" w:eastAsia="宋体" w:hint="default"/>
          <w:spacing w:val="-5"/>
        </w:rPr>
        <w:t>2020</w:t>
      </w:r>
      <w:r>
        <w:rPr>
          <w:rFonts w:ascii="宋体" w:hAnsi="宋体" w:cs="宋体" w:eastAsia="宋体" w:hint="default"/>
          <w:spacing w:val="-87"/>
        </w:rPr>
        <w:t> </w:t>
      </w:r>
      <w:r>
        <w:rPr>
          <w:spacing w:val="-2"/>
        </w:rPr>
        <w:t>年城市化率</w:t>
      </w:r>
      <w:r>
        <w:rPr>
          <w:rFonts w:ascii="宋体" w:hAnsi="宋体" w:cs="宋体" w:eastAsia="宋体" w:hint="default"/>
          <w:spacing w:val="-2"/>
        </w:rPr>
        <w:t>55%</w:t>
      </w:r>
      <w:r>
        <w:rPr>
          <w:spacing w:val="-2"/>
        </w:rPr>
        <w:t>，人均居住面积</w:t>
      </w:r>
      <w:r>
        <w:rPr>
          <w:rFonts w:ascii="宋体" w:hAnsi="宋体" w:cs="宋体" w:eastAsia="宋体" w:hint="default"/>
          <w:spacing w:val="-2"/>
        </w:rPr>
        <w:t>35</w:t>
      </w:r>
      <w:r>
        <w:rPr>
          <w:spacing w:val="-2"/>
        </w:rPr>
        <w:t>平方米，</w:t>
      </w:r>
      <w:r>
        <w:rPr>
          <w:rFonts w:ascii="宋体" w:hAnsi="宋体" w:cs="宋体" w:eastAsia="宋体" w:hint="default"/>
          <w:spacing w:val="-2"/>
        </w:rPr>
        <w:t>10</w:t>
      </w:r>
      <w:r>
        <w:rPr>
          <w:spacing w:val="-2"/>
        </w:rPr>
        <w:t>年内年均刚性需求加改善性需求将达到</w:t>
      </w:r>
      <w:r>
        <w:rPr>
          <w:rFonts w:ascii="宋体" w:hAnsi="宋体" w:cs="宋体" w:eastAsia="宋体" w:hint="default"/>
          <w:spacing w:val="-2"/>
        </w:rPr>
        <w:t>19.5</w:t>
      </w:r>
      <w:r>
        <w:rPr>
          <w:spacing w:val="-2"/>
        </w:rPr>
        <w:t>亿平</w:t>
      </w:r>
      <w:r>
        <w:rPr>
          <w:spacing w:val="-109"/>
        </w:rPr>
        <w:t> </w:t>
      </w:r>
      <w:r>
        <w:rPr/>
        <w:t>方米。</w:t>
      </w:r>
    </w:p>
    <w:p>
      <w:pPr>
        <w:pStyle w:val="BodyText"/>
        <w:spacing w:line="355" w:lineRule="auto" w:before="36"/>
        <w:ind w:right="0" w:firstLine="480"/>
        <w:jc w:val="left"/>
      </w:pPr>
      <w:r>
        <w:rPr>
          <w:spacing w:val="-5"/>
        </w:rPr>
        <w:t>其次从人口角度看，</w:t>
      </w:r>
      <w:r>
        <w:rPr>
          <w:rFonts w:ascii="宋体" w:hAnsi="宋体" w:cs="宋体" w:eastAsia="宋体" w:hint="default"/>
          <w:spacing w:val="-5"/>
        </w:rPr>
        <w:t>2003</w:t>
      </w:r>
      <w:r>
        <w:rPr>
          <w:spacing w:val="-5"/>
        </w:rPr>
        <w:t>年</w:t>
      </w:r>
      <w:r>
        <w:rPr>
          <w:rFonts w:ascii="宋体" w:hAnsi="宋体" w:cs="宋体" w:eastAsia="宋体" w:hint="default"/>
          <w:spacing w:val="-5"/>
        </w:rPr>
        <w:t>-2019</w:t>
      </w:r>
      <w:r>
        <w:rPr>
          <w:spacing w:val="-5"/>
        </w:rPr>
        <w:t>年系中国人口红利暴利期，经济持续高增长，储蓄率高，</w:t>
      </w:r>
      <w:r>
        <w:rPr/>
        <w:t> 购买力强，住房消费力强劲，未来</w:t>
      </w:r>
      <w:r>
        <w:rPr>
          <w:rFonts w:ascii="宋体" w:hAnsi="宋体" w:cs="宋体" w:eastAsia="宋体" w:hint="default"/>
        </w:rPr>
        <w:t>10</w:t>
      </w:r>
      <w:r>
        <w:rPr/>
        <w:t>年内中国房地产需求仍将保持平稳增长。</w:t>
      </w:r>
    </w:p>
    <w:p>
      <w:pPr>
        <w:pStyle w:val="BodyText"/>
        <w:spacing w:line="355" w:lineRule="auto" w:before="38"/>
        <w:ind w:left="593" w:right="1153"/>
        <w:jc w:val="left"/>
      </w:pPr>
      <w:r>
        <w:rPr>
          <w:rFonts w:ascii="宋体" w:hAnsi="宋体" w:cs="宋体" w:eastAsia="宋体" w:hint="default"/>
        </w:rPr>
        <w:t>B</w:t>
      </w:r>
      <w:r>
        <w:rPr/>
        <w:t>、供给不足背景下供给制度正在纠偏 土地供给不足是住宅供应不足的重要因素，土地成本持续上升是房价持续上升的重要因</w:t>
      </w:r>
    </w:p>
    <w:p>
      <w:pPr>
        <w:pStyle w:val="BodyText"/>
        <w:spacing w:line="355" w:lineRule="auto" w:before="38"/>
        <w:ind w:right="1171"/>
        <w:jc w:val="both"/>
      </w:pPr>
      <w:r>
        <w:rPr/>
        <w:t>素，在未来土地供给机制、政策难以根本改变，土地供给难以大幅释放，住房供应量一定的 背景下，土地成本的上升将最终转嫁到房价上的机制短期内不会得到根本改变。</w:t>
      </w:r>
    </w:p>
    <w:p>
      <w:pPr>
        <w:pStyle w:val="BodyText"/>
        <w:spacing w:line="355" w:lineRule="auto" w:before="38"/>
        <w:ind w:right="1170" w:firstLine="480"/>
        <w:jc w:val="both"/>
      </w:pPr>
      <w:r>
        <w:rPr/>
        <w:t>住房体制改革正在进行，供应主体正在改变，供应主体在增加。以政府财政支持引入市 场主体和社会机构为投资主体的保障房供应体系将在全国逐步建立起来。住宅市场的多元供 应主体以及巨量保障房的建设远超市场预期，对未来</w:t>
      </w:r>
      <w:r>
        <w:rPr>
          <w:rFonts w:ascii="宋体" w:hAnsi="宋体" w:cs="宋体" w:eastAsia="宋体" w:hint="default"/>
        </w:rPr>
        <w:t>5-10</w:t>
      </w:r>
      <w:r>
        <w:rPr/>
        <w:t>年房地产市场影响深远，将有利于 抑制房价过快上涨带来的一系列社会问题，为中国经济持续较快发展铺平道路，同时也将给</w:t>
      </w:r>
    </w:p>
    <w:p>
      <w:pPr>
        <w:spacing w:after="0" w:line="355" w:lineRule="auto"/>
        <w:jc w:val="both"/>
        <w:sectPr>
          <w:footerReference w:type="default" r:id="rId16"/>
          <w:pgSz w:w="11910" w:h="16840"/>
          <w:pgMar w:footer="956" w:header="0" w:top="1060" w:bottom="1140" w:left="1020" w:right="0"/>
          <w:pgNumType w:start="29"/>
        </w:sectPr>
      </w:pPr>
    </w:p>
    <w:p>
      <w:pPr>
        <w:pStyle w:val="BodyText"/>
        <w:spacing w:line="357" w:lineRule="auto" w:before="14"/>
        <w:ind w:left="593" w:right="1153" w:hanging="481"/>
        <w:jc w:val="left"/>
      </w:pPr>
      <w:r>
        <w:rPr/>
        <w:t>行业长期稳定的发展营造良好外部环境，减少政策调控给行业和市场带来的冲击。 </w:t>
      </w:r>
      <w:r>
        <w:rPr>
          <w:rFonts w:ascii="宋体" w:hAnsi="宋体" w:cs="宋体" w:eastAsia="宋体" w:hint="default"/>
        </w:rPr>
        <w:t>C</w:t>
      </w:r>
      <w:r>
        <w:rPr/>
        <w:t>、长期供需矛盾使长期调控成常态，行业在调整中谋发展 本轮调控从严从紧至</w:t>
      </w:r>
      <w:r>
        <w:rPr>
          <w:rFonts w:ascii="宋体" w:hAnsi="宋体" w:cs="宋体" w:eastAsia="宋体" w:hint="default"/>
        </w:rPr>
        <w:t>2011</w:t>
      </w:r>
      <w:r>
        <w:rPr/>
        <w:t>年中期才可能出现变化，房地产企业对此要有清醒的认识和判</w:t>
      </w:r>
    </w:p>
    <w:p>
      <w:pPr>
        <w:pStyle w:val="BodyText"/>
        <w:spacing w:line="386" w:lineRule="auto"/>
        <w:ind w:left="593" w:right="1118" w:hanging="481"/>
        <w:jc w:val="left"/>
      </w:pPr>
      <w:r>
        <w:rPr/>
        <w:t>断，做好充分准备和积极应对，争取在调整中谋求发展和壮大。 </w:t>
      </w:r>
      <w:r>
        <w:rPr>
          <w:rFonts w:ascii="宋体" w:hAnsi="宋体" w:cs="宋体" w:eastAsia="宋体" w:hint="default"/>
        </w:rPr>
        <w:t>2</w:t>
      </w:r>
      <w:r>
        <w:rPr/>
        <w:t>）公司面临的市场竞争格局 公司目前拥有两个下属子公司青岛广顺和兖州海情，兖州海情有子公司泗水海情，其项</w:t>
      </w:r>
    </w:p>
    <w:p>
      <w:pPr>
        <w:pStyle w:val="BodyText"/>
        <w:spacing w:line="240" w:lineRule="auto" w:before="7"/>
        <w:ind w:right="0"/>
        <w:jc w:val="left"/>
      </w:pPr>
      <w:r>
        <w:rPr/>
        <w:t>目分别位于青岛市黄岛区和、兖州西城区和泗水新区，三地市场竞争情况各不相同。</w:t>
      </w:r>
    </w:p>
    <w:p>
      <w:pPr>
        <w:pStyle w:val="BodyText"/>
        <w:spacing w:line="357" w:lineRule="auto" w:before="154"/>
        <w:ind w:right="1004" w:firstLine="480"/>
        <w:jc w:val="left"/>
      </w:pPr>
      <w:r>
        <w:rPr>
          <w:spacing w:val="-3"/>
        </w:rPr>
        <w:t>①青岛是我国重要的海滨城市之一，也是我国著名的风景旅游胜地和国家历史文化名城，</w:t>
      </w:r>
      <w:r>
        <w:rPr/>
        <w:t> 舒适的居住环境和较为发达的经济水平使得青岛成为我国房地产发展较早和较快的城市之 一，其房地产行业的竞争也较为充分。目前青岛的房地产行业通过近十余年的发展，已经形 成了一支较具规模的本土品牌团队，如青建集团、城建地产、天泰集团、海信地产、海尔地 产、亚星置业、百通集团等企业已为社会各界所熟悉；近年来，一些全国知名地产品牌，如 万科、绿城、保利、上实、宝龙地产等企业纷纷进入青岛市场，逐渐打破本土企业垄断青岛 房地产市场的局面。伴随着青岛消费者对精品住宅的渴求、相对开放的消费观念以及持续增 长的市场需求量等综合因素，无论是本土还是外来的房地产企业都将对青岛的房地产市场继 </w:t>
      </w:r>
      <w:r>
        <w:rPr>
          <w:spacing w:val="-3"/>
        </w:rPr>
        <w:t>续看好，市场竞争将日趋激烈。目前，青岛市正在建设青岛市至黄岛的跨海大桥和海底隧道，</w:t>
      </w:r>
      <w:r>
        <w:rPr>
          <w:spacing w:val="-81"/>
        </w:rPr>
        <w:t> </w:t>
      </w:r>
      <w:r>
        <w:rPr>
          <w:spacing w:val="-81"/>
        </w:rPr>
      </w:r>
      <w:r>
        <w:rPr/>
        <w:t>跨海大桥建成后，黄岛区到青岛市将建成大的都市圈，将极大的拉升黄岛的经济发展和房地</w:t>
      </w:r>
      <w:r>
        <w:rPr/>
        <w:t> </w:t>
      </w:r>
      <w:r>
        <w:rPr>
          <w:spacing w:val="-5"/>
        </w:rPr>
        <w:t>产市场的发展。广顺的石雀滩项目，距黄岛区政府仅</w:t>
      </w:r>
      <w:r>
        <w:rPr>
          <w:rFonts w:ascii="宋体" w:hAnsi="宋体" w:cs="宋体" w:eastAsia="宋体" w:hint="default"/>
          <w:spacing w:val="-5"/>
        </w:rPr>
        <w:t>5</w:t>
      </w:r>
      <w:r>
        <w:rPr>
          <w:spacing w:val="-5"/>
        </w:rPr>
        <w:t>分钟车程，南临滨海大道，紧邻胶州湾，</w:t>
      </w:r>
      <w:r>
        <w:rPr>
          <w:spacing w:val="-113"/>
        </w:rPr>
        <w:t> </w:t>
      </w:r>
      <w:r>
        <w:rPr>
          <w:spacing w:val="-113"/>
        </w:rPr>
      </w:r>
      <w:r>
        <w:rPr/>
        <w:t>地理位置优越，且具有一定的竞争优势。</w:t>
      </w:r>
    </w:p>
    <w:p>
      <w:pPr>
        <w:pStyle w:val="BodyText"/>
        <w:spacing w:line="357" w:lineRule="auto" w:before="36"/>
        <w:ind w:right="1128" w:firstLine="480"/>
        <w:jc w:val="both"/>
      </w:pPr>
      <w:r>
        <w:rPr/>
        <w:t>②相对于青岛而言，兖州、泗水的房地产市场竞争的激烈程度和水平要低许多，房地产 企业数量相对较少，而且资质较低，由于经济发展、地理位置等关系，兖州、泗水相对于青 岛等二线城市，房地产起步更晚，前几年主要以当地开发商为主进行开发，随着当地经济的 发展、当地开发商的逐渐成熟，以及一线城市的房地产开发商向二线、三线城市的渗透，</w:t>
      </w:r>
      <w:r>
        <w:rPr>
          <w:spacing w:val="-74"/>
        </w:rPr>
        <w:t> </w:t>
      </w:r>
      <w:r>
        <w:rPr/>
        <w:t>兖</w:t>
      </w:r>
      <w:r>
        <w:rPr/>
        <w:t> 州、泗水市场竞争的激烈程度逐渐加强。兖州海情公司的海情丽都项目位于兖州市西城区的 商贸居住综合区，在当地地理位置得天独厚，是不可多得的黄金地段；同时，兖州海情丽都 项目已经被国家评为最高级别的“康居工程”，拟建成兖州市的示范居住小区，将其打造为 地标性的楼盘，在兖州有着比较大的竞争优势；泗水海情开发的海情圣地项目系公司着力精 心打造的全国第一个县级国家康居示范工程项目，产品定位高，走的是精品高端路线，在当 地产生了较大的影响，树立了公司的良好品牌和市场形象。</w:t>
      </w:r>
    </w:p>
    <w:p>
      <w:pPr>
        <w:pStyle w:val="BodyText"/>
        <w:spacing w:line="240" w:lineRule="auto"/>
        <w:ind w:left="593" w:right="0"/>
        <w:jc w:val="left"/>
      </w:pPr>
      <w:r>
        <w:rPr>
          <w:rFonts w:ascii="宋体" w:hAnsi="宋体" w:cs="宋体" w:eastAsia="宋体" w:hint="default"/>
        </w:rPr>
        <w:t>2</w:t>
      </w:r>
      <w:r>
        <w:rPr/>
        <w:t>、公司发展战略和新年度经营计划</w:t>
      </w:r>
    </w:p>
    <w:p>
      <w:pPr>
        <w:pStyle w:val="BodyText"/>
        <w:spacing w:line="240" w:lineRule="auto" w:before="154"/>
        <w:ind w:left="593" w:right="0"/>
        <w:jc w:val="left"/>
      </w:pPr>
      <w:r>
        <w:rPr>
          <w:rFonts w:ascii="宋体" w:hAnsi="宋体" w:cs="宋体" w:eastAsia="宋体" w:hint="default"/>
        </w:rPr>
        <w:t>1</w:t>
      </w:r>
      <w:r>
        <w:rPr/>
        <w:t>）发展战略和实现路径</w:t>
      </w:r>
    </w:p>
    <w:p>
      <w:pPr>
        <w:spacing w:after="0" w:line="240" w:lineRule="auto"/>
        <w:jc w:val="left"/>
        <w:sectPr>
          <w:footerReference w:type="default" r:id="rId17"/>
          <w:pgSz w:w="11910" w:h="16840"/>
          <w:pgMar w:footer="956" w:header="0" w:top="1060" w:bottom="1140" w:left="1020" w:right="0"/>
          <w:pgNumType w:start="30"/>
        </w:sectPr>
      </w:pPr>
    </w:p>
    <w:p>
      <w:pPr>
        <w:pStyle w:val="BodyText"/>
        <w:spacing w:line="357" w:lineRule="auto" w:before="14"/>
        <w:ind w:right="1170" w:firstLine="480"/>
        <w:jc w:val="both"/>
      </w:pPr>
      <w:r>
        <w:rPr>
          <w:rFonts w:ascii="宋体" w:hAnsi="宋体" w:cs="宋体" w:eastAsia="宋体" w:hint="default"/>
        </w:rPr>
        <w:t>2011</w:t>
      </w:r>
      <w:r>
        <w:rPr/>
        <w:t>年公司将继续推进公司的资产重组计划，督促其他中小股东和重组方亚星实业加快 推进股改垫付对价偿还的股份过户工作，进一步推进公司债务的彻底解决，剥离除亚星实业 赠与的股权外的全部资产和农业银行负债外的全部债务。</w:t>
      </w:r>
    </w:p>
    <w:p>
      <w:pPr>
        <w:pStyle w:val="BodyText"/>
        <w:spacing w:line="357" w:lineRule="auto"/>
        <w:ind w:right="996" w:firstLine="480"/>
        <w:jc w:val="left"/>
      </w:pPr>
      <w:r>
        <w:rPr/>
        <w:t>在结合行业未来发展环境、公司自身的资源实力、产品定位特点、管理运作水平等情况 下，公司对未来可持续发展进行了战略规划，制定了以下的自身业务发展目标：在产品上主 要专注于住宅开发，走精细化道路，着力塑造一流设计、品质卓越的中高端物业产品；在项 目建设上，通过加快开发，缩短投资周期，实现稳健、快速的良性循环，实现住宅标准化、 产业化、规模化运作；在地域发展上，立足山东，以青岛、兖州、潍坊等二、三、四线城市 </w:t>
      </w:r>
      <w:r>
        <w:rPr>
          <w:spacing w:val="-2"/>
        </w:rPr>
        <w:t>为开发主战场，同时紧密地关注各其他城市的商业机会，在充分评估风险和收益后择机进入，</w:t>
      </w:r>
      <w:r>
        <w:rPr/>
        <w:t> 提升公司的经营规模和效益。</w:t>
      </w:r>
    </w:p>
    <w:p>
      <w:pPr>
        <w:pStyle w:val="BodyText"/>
        <w:spacing w:line="240" w:lineRule="auto" w:before="36"/>
        <w:ind w:left="653" w:right="0"/>
        <w:jc w:val="left"/>
      </w:pPr>
      <w:r>
        <w:rPr/>
        <w:pict>
          <v:group style="position:absolute;margin-left:83.324997pt;margin-top:67.780647pt;width:360.75pt;height:95.7pt;mso-position-horizontal-relative:page;mso-position-vertical-relative:paragraph;z-index:-623152" coordorigin="1666,1356" coordsize="7215,1914">
            <v:group style="position:absolute;left:7434;top:1363;width:180;height:624" coordorigin="7434,1363" coordsize="180,624">
              <v:shape style="position:absolute;left:7434;top:1363;width:180;height:624" coordorigin="7434,1363" coordsize="180,624" path="m7434,1831l7479,1831,7479,1363,7569,1363,7569,1831,7614,1831,7524,1987,7434,1831xe" filled="false" stroked="true" strokeweight=".75pt" strokecolor="#000000">
                <v:path arrowok="t"/>
              </v:shape>
            </v:group>
            <v:group style="position:absolute;left:5994;top:1998;width:2880;height:787" coordorigin="5994,1998" coordsize="2880,787">
              <v:shape style="position:absolute;left:5994;top:1998;width:2880;height:787" coordorigin="5994,1998" coordsize="2880,787" path="m5994,2785l8874,2785,8874,1998,5994,1998,5994,2785xe" filled="false" stroked="true" strokeweight=".75pt" strokecolor="#000000">
                <v:path arrowok="t"/>
              </v:shape>
            </v:group>
            <v:group style="position:absolute;left:7434;top:2638;width:180;height:624" coordorigin="7434,2638" coordsize="180,624">
              <v:shape style="position:absolute;left:7434;top:2638;width:180;height:624" coordorigin="7434,2638" coordsize="180,624" path="m7614,3106l7434,3106,7524,3262,7614,3106xe" filled="true" fillcolor="#ffffff" stroked="false">
                <v:path arrowok="t"/>
                <v:fill type="solid"/>
              </v:shape>
              <v:shape style="position:absolute;left:7434;top:2638;width:180;height:624" coordorigin="7434,2638" coordsize="180,624" path="m7569,2638l7479,2638,7479,3106,7569,3106,7569,2638xe" filled="true" fillcolor="#ffffff" stroked="false">
                <v:path arrowok="t"/>
                <v:fill type="solid"/>
              </v:shape>
            </v:group>
            <v:group style="position:absolute;left:7434;top:2638;width:180;height:624" coordorigin="7434,2638" coordsize="180,624">
              <v:shape style="position:absolute;left:7434;top:2638;width:180;height:624" coordorigin="7434,2638" coordsize="180,624" path="m7434,3106l7479,3106,7479,2638,7569,2638,7569,3106,7614,3106,7524,3262,7434,3106xe" filled="false" stroked="true" strokeweight=".75pt" strokecolor="#000000">
                <v:path arrowok="t"/>
              </v:shape>
            </v:group>
            <v:group style="position:absolute;left:1674;top:1998;width:3060;height:624" coordorigin="1674,1998" coordsize="3060,624">
              <v:shape style="position:absolute;left:1674;top:1998;width:3060;height:624" coordorigin="1674,1998" coordsize="3060,624" path="m1674,2622l4734,2622,4734,1998,1674,1998,1674,2622xe" filled="false" stroked="true" strokeweight=".75pt" strokecolor="#000000">
                <v:path arrowok="t"/>
              </v:shape>
            </v:group>
            <v:group style="position:absolute;left:4734;top:2321;width:1260;height:2" coordorigin="4734,2321" coordsize="1260,2">
              <v:shape style="position:absolute;left:4734;top:2321;width:1260;height:2" coordorigin="4734,2321" coordsize="1260,1" path="m4734,2321l5994,2322e" filled="false" stroked="true" strokeweight="3pt" strokecolor="#000000">
                <v:path arrowok="t"/>
                <v:stroke dashstyle="dash"/>
              </v:shape>
            </v:group>
            <v:group style="position:absolute;left:2934;top:2638;width:180;height:624" coordorigin="2934,2638" coordsize="180,624">
              <v:shape style="position:absolute;left:2934;top:2638;width:180;height:624" coordorigin="2934,2638" coordsize="180,624" path="m2934,3106l2979,3106,2979,2638,3069,2638,3069,3106,3114,3106,3024,3262,2934,3106xe" filled="false" stroked="true" strokeweight=".75pt" strokecolor="#000000">
                <v:path arrowok="t"/>
              </v:shape>
            </v:group>
            <v:group style="position:absolute;left:2934;top:1363;width:180;height:624" coordorigin="2934,1363" coordsize="180,624">
              <v:shape style="position:absolute;left:2934;top:1363;width:180;height:624" coordorigin="2934,1363" coordsize="180,624" path="m2934,1831l2979,1831,2979,1363,3069,1363,3069,1831,3114,1831,3024,1987,2934,1831xe" filled="false" stroked="true" strokeweight=".75pt" strokecolor="#000000">
                <v:path arrowok="t"/>
              </v:shape>
              <v:shape style="position:absolute;left:1674;top:1998;width:3060;height:624" type="#_x0000_t202" filled="false" stroked="false">
                <v:textbox inset="0,0,0,0">
                  <w:txbxContent>
                    <w:p>
                      <w:pPr>
                        <w:tabs>
                          <w:tab w:pos="1218" w:val="left" w:leader="none"/>
                          <w:tab w:pos="1638" w:val="left" w:leader="none"/>
                          <w:tab w:pos="2058" w:val="left" w:leader="none"/>
                        </w:tabs>
                        <w:spacing w:before="50"/>
                        <w:ind w:left="796" w:right="0" w:firstLine="0"/>
                        <w:jc w:val="left"/>
                        <w:rPr>
                          <w:rFonts w:ascii="宋体" w:hAnsi="宋体" w:cs="宋体" w:eastAsia="宋体" w:hint="default"/>
                          <w:sz w:val="21"/>
                          <w:szCs w:val="21"/>
                        </w:rPr>
                      </w:pPr>
                      <w:r>
                        <w:rPr>
                          <w:rFonts w:ascii="宋体" w:hAnsi="宋体" w:cs="宋体" w:eastAsia="宋体" w:hint="default"/>
                          <w:sz w:val="21"/>
                          <w:szCs w:val="21"/>
                        </w:rPr>
                        <w:t>规</w:t>
                        <w:tab/>
                        <w:t>模</w:t>
                        <w:tab/>
                        <w:t>扩</w:t>
                        <w:tab/>
                        <w:t>张</w:t>
                      </w:r>
                    </w:p>
                  </w:txbxContent>
                </v:textbox>
                <w10:wrap type="none"/>
              </v:shape>
              <v:shape style="position:absolute;left:5994;top:1998;width:2880;height:787" type="#_x0000_t202" filled="false" stroked="false">
                <v:textbox inset="0,0,0,0">
                  <w:txbxContent>
                    <w:p>
                      <w:pPr>
                        <w:spacing w:before="89"/>
                        <w:ind w:left="444" w:right="175" w:hanging="265"/>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天津、兖州、绵阳、泗水、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潍坊（辐射扩张）</w:t>
                      </w:r>
                      <w:r>
                        <w:rPr>
                          <w:rFonts w:ascii="Times New Roman" w:hAnsi="Times New Roman" w:cs="Times New Roman" w:eastAsia="Times New Roman" w:hint="default"/>
                          <w:sz w:val="21"/>
                          <w:szCs w:val="21"/>
                        </w:rPr>
                        <w:t>…..</w:t>
                      </w:r>
                    </w:p>
                  </w:txbxContent>
                </v:textbox>
                <w10:wrap type="none"/>
              </v:shape>
            </v:group>
            <w10:wrap type="none"/>
          </v:group>
        </w:pict>
      </w:r>
      <w:r>
        <w:rPr/>
        <w:t>上述战略规划与目标的实现路径是：</w:t>
      </w:r>
    </w:p>
    <w:p>
      <w:pPr>
        <w:spacing w:line="240" w:lineRule="auto" w:before="9"/>
        <w:rPr>
          <w:rFonts w:ascii="宋体" w:hAnsi="宋体" w:cs="宋体" w:eastAsia="宋体" w:hint="default"/>
          <w:sz w:val="23"/>
          <w:szCs w:val="23"/>
        </w:rPr>
      </w:pPr>
    </w:p>
    <w:tbl>
      <w:tblPr>
        <w:tblW w:w="0" w:type="auto"/>
        <w:jc w:val="left"/>
        <w:tblInd w:w="646" w:type="dxa"/>
        <w:tblLayout w:type="fixed"/>
        <w:tblCellMar>
          <w:top w:w="0" w:type="dxa"/>
          <w:left w:w="0" w:type="dxa"/>
          <w:bottom w:w="0" w:type="dxa"/>
          <w:right w:w="0" w:type="dxa"/>
        </w:tblCellMar>
        <w:tblLook w:val="01E0"/>
      </w:tblPr>
      <w:tblGrid>
        <w:gridCol w:w="3060"/>
        <w:gridCol w:w="1260"/>
        <w:gridCol w:w="2880"/>
      </w:tblGrid>
      <w:tr>
        <w:trPr>
          <w:trHeight w:val="322" w:hRule="exact"/>
        </w:trPr>
        <w:tc>
          <w:tcPr>
            <w:tcW w:w="3060" w:type="dxa"/>
            <w:vMerge w:val="restart"/>
            <w:tcBorders>
              <w:top w:val="single" w:sz="6" w:space="0" w:color="000000"/>
              <w:left w:val="single" w:sz="6" w:space="0" w:color="000000"/>
              <w:right w:val="single" w:sz="6" w:space="0" w:color="000000"/>
            </w:tcBorders>
          </w:tcPr>
          <w:p>
            <w:pPr>
              <w:pStyle w:val="TableParagraph"/>
              <w:tabs>
                <w:tab w:pos="1210" w:val="left" w:leader="none"/>
                <w:tab w:pos="1630" w:val="left" w:leader="none"/>
                <w:tab w:pos="2050" w:val="left" w:leader="none"/>
              </w:tabs>
              <w:spacing w:line="240" w:lineRule="auto" w:before="83"/>
              <w:ind w:left="788" w:right="0"/>
              <w:jc w:val="left"/>
              <w:rPr>
                <w:rFonts w:ascii="宋体" w:hAnsi="宋体" w:cs="宋体" w:eastAsia="宋体" w:hint="default"/>
                <w:sz w:val="21"/>
                <w:szCs w:val="21"/>
              </w:rPr>
            </w:pPr>
            <w:r>
              <w:rPr>
                <w:rFonts w:ascii="宋体" w:hAnsi="宋体" w:cs="宋体" w:eastAsia="宋体" w:hint="default"/>
                <w:sz w:val="21"/>
                <w:szCs w:val="21"/>
              </w:rPr>
              <w:t>品</w:t>
              <w:tab/>
              <w:t>牌</w:t>
              <w:tab/>
              <w:t>扩</w:t>
              <w:tab/>
              <w:t>张</w:t>
            </w:r>
          </w:p>
        </w:tc>
        <w:tc>
          <w:tcPr>
            <w:tcW w:w="1260" w:type="dxa"/>
            <w:tcBorders>
              <w:top w:val="nil" w:sz="6" w:space="0" w:color="auto"/>
              <w:left w:val="single" w:sz="6" w:space="0" w:color="000000"/>
              <w:bottom w:val="dotted" w:sz="24" w:space="0" w:color="000000"/>
              <w:right w:val="single" w:sz="6" w:space="0" w:color="000000"/>
            </w:tcBorders>
          </w:tcPr>
          <w:p>
            <w:pPr/>
          </w:p>
        </w:tc>
        <w:tc>
          <w:tcPr>
            <w:tcW w:w="2880" w:type="dxa"/>
            <w:vMerge w:val="restart"/>
            <w:tcBorders>
              <w:top w:val="single" w:sz="6" w:space="0" w:color="000000"/>
              <w:left w:val="single" w:sz="6" w:space="0" w:color="000000"/>
              <w:right w:val="single" w:sz="6" w:space="0" w:color="000000"/>
            </w:tcBorders>
          </w:tcPr>
          <w:p>
            <w:pPr>
              <w:pStyle w:val="TableParagraph"/>
              <w:spacing w:line="240" w:lineRule="auto" w:before="83"/>
              <w:ind w:left="803" w:right="0"/>
              <w:jc w:val="left"/>
              <w:rPr>
                <w:rFonts w:ascii="宋体" w:hAnsi="宋体" w:cs="宋体" w:eastAsia="宋体" w:hint="default"/>
                <w:sz w:val="21"/>
                <w:szCs w:val="21"/>
              </w:rPr>
            </w:pPr>
            <w:r>
              <w:rPr>
                <w:rFonts w:ascii="宋体" w:hAnsi="宋体" w:cs="宋体" w:eastAsia="宋体" w:hint="default"/>
                <w:sz w:val="21"/>
                <w:szCs w:val="21"/>
              </w:rPr>
              <w:t>青岛（立足）</w:t>
            </w:r>
          </w:p>
        </w:tc>
      </w:tr>
      <w:tr>
        <w:trPr>
          <w:trHeight w:val="303" w:hRule="exact"/>
        </w:trPr>
        <w:tc>
          <w:tcPr>
            <w:tcW w:w="3060" w:type="dxa"/>
            <w:vMerge/>
            <w:tcBorders>
              <w:left w:val="single" w:sz="6" w:space="0" w:color="000000"/>
              <w:bottom w:val="single" w:sz="6" w:space="0" w:color="000000"/>
              <w:right w:val="single" w:sz="6" w:space="0" w:color="000000"/>
            </w:tcBorders>
          </w:tcPr>
          <w:p>
            <w:pPr/>
          </w:p>
        </w:tc>
        <w:tc>
          <w:tcPr>
            <w:tcW w:w="1260" w:type="dxa"/>
            <w:tcBorders>
              <w:top w:val="dotted" w:sz="24" w:space="0" w:color="000000"/>
              <w:left w:val="single" w:sz="6" w:space="0" w:color="000000"/>
              <w:bottom w:val="nil" w:sz="6" w:space="0" w:color="auto"/>
              <w:right w:val="single" w:sz="6" w:space="0" w:color="000000"/>
            </w:tcBorders>
          </w:tcPr>
          <w:p>
            <w:pPr/>
          </w:p>
        </w:tc>
        <w:tc>
          <w:tcPr>
            <w:tcW w:w="2880" w:type="dxa"/>
            <w:vMerge/>
            <w:tcBorders>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tbl>
      <w:tblPr>
        <w:tblW w:w="0" w:type="auto"/>
        <w:jc w:val="left"/>
        <w:tblInd w:w="646" w:type="dxa"/>
        <w:tblLayout w:type="fixed"/>
        <w:tblCellMar>
          <w:top w:w="0" w:type="dxa"/>
          <w:left w:w="0" w:type="dxa"/>
          <w:bottom w:w="0" w:type="dxa"/>
          <w:right w:w="0" w:type="dxa"/>
        </w:tblCellMar>
        <w:tblLook w:val="01E0"/>
      </w:tblPr>
      <w:tblGrid>
        <w:gridCol w:w="3060"/>
        <w:gridCol w:w="1260"/>
        <w:gridCol w:w="3060"/>
      </w:tblGrid>
      <w:tr>
        <w:trPr>
          <w:trHeight w:val="332" w:hRule="exact"/>
        </w:trPr>
        <w:tc>
          <w:tcPr>
            <w:tcW w:w="3060" w:type="dxa"/>
            <w:vMerge w:val="restart"/>
            <w:tcBorders>
              <w:top w:val="single" w:sz="6" w:space="0" w:color="000000"/>
              <w:left w:val="single" w:sz="6" w:space="0" w:color="000000"/>
              <w:right w:val="single" w:sz="6" w:space="0" w:color="000000"/>
            </w:tcBorders>
          </w:tcPr>
          <w:p>
            <w:pPr>
              <w:pStyle w:val="TableParagraph"/>
              <w:spacing w:line="240" w:lineRule="auto" w:before="83"/>
              <w:ind w:left="145" w:right="0"/>
              <w:jc w:val="left"/>
              <w:rPr>
                <w:rFonts w:ascii="宋体" w:hAnsi="宋体" w:cs="宋体" w:eastAsia="宋体" w:hint="default"/>
                <w:sz w:val="21"/>
                <w:szCs w:val="21"/>
              </w:rPr>
            </w:pPr>
            <w:r>
              <w:rPr>
                <w:rFonts w:ascii="宋体" w:hAnsi="宋体" w:cs="宋体" w:eastAsia="宋体" w:hint="default"/>
                <w:sz w:val="21"/>
                <w:szCs w:val="21"/>
              </w:rPr>
              <w:t>规模和综合实力挤身行业前列</w:t>
            </w:r>
          </w:p>
        </w:tc>
        <w:tc>
          <w:tcPr>
            <w:tcW w:w="1260" w:type="dxa"/>
            <w:tcBorders>
              <w:top w:val="nil" w:sz="6" w:space="0" w:color="auto"/>
              <w:left w:val="single" w:sz="6" w:space="0" w:color="000000"/>
              <w:bottom w:val="dotted" w:sz="24" w:space="0" w:color="000000"/>
              <w:right w:val="single" w:sz="6" w:space="0" w:color="000000"/>
            </w:tcBorders>
          </w:tcPr>
          <w:p>
            <w:pPr/>
          </w:p>
        </w:tc>
        <w:tc>
          <w:tcPr>
            <w:tcW w:w="3060" w:type="dxa"/>
            <w:vMerge w:val="restart"/>
            <w:tcBorders>
              <w:top w:val="single" w:sz="6" w:space="0" w:color="000000"/>
              <w:left w:val="single" w:sz="6" w:space="0" w:color="000000"/>
              <w:right w:val="single" w:sz="6" w:space="0" w:color="000000"/>
            </w:tcBorders>
          </w:tcPr>
          <w:p>
            <w:pPr>
              <w:pStyle w:val="TableParagraph"/>
              <w:spacing w:line="240" w:lineRule="auto" w:before="83"/>
              <w:ind w:left="475" w:right="0"/>
              <w:jc w:val="left"/>
              <w:rPr>
                <w:rFonts w:ascii="宋体" w:hAnsi="宋体" w:cs="宋体" w:eastAsia="宋体" w:hint="default"/>
                <w:sz w:val="21"/>
                <w:szCs w:val="21"/>
              </w:rPr>
            </w:pPr>
            <w:r>
              <w:rPr>
                <w:rFonts w:ascii="宋体" w:hAnsi="宋体" w:cs="宋体" w:eastAsia="宋体" w:hint="default"/>
                <w:sz w:val="21"/>
                <w:szCs w:val="21"/>
              </w:rPr>
              <w:t>形成全国性的战略布局</w:t>
            </w:r>
          </w:p>
        </w:tc>
      </w:tr>
      <w:tr>
        <w:trPr>
          <w:trHeight w:val="292" w:hRule="exact"/>
        </w:trPr>
        <w:tc>
          <w:tcPr>
            <w:tcW w:w="3060" w:type="dxa"/>
            <w:vMerge/>
            <w:tcBorders>
              <w:left w:val="single" w:sz="6" w:space="0" w:color="000000"/>
              <w:bottom w:val="single" w:sz="6" w:space="0" w:color="000000"/>
              <w:right w:val="single" w:sz="6" w:space="0" w:color="000000"/>
            </w:tcBorders>
          </w:tcPr>
          <w:p>
            <w:pPr/>
          </w:p>
        </w:tc>
        <w:tc>
          <w:tcPr>
            <w:tcW w:w="1260" w:type="dxa"/>
            <w:tcBorders>
              <w:top w:val="dotted" w:sz="24" w:space="0" w:color="000000"/>
              <w:left w:val="single" w:sz="6" w:space="0" w:color="000000"/>
              <w:bottom w:val="nil" w:sz="6" w:space="0" w:color="auto"/>
              <w:right w:val="single" w:sz="6" w:space="0" w:color="000000"/>
            </w:tcBorders>
          </w:tcPr>
          <w:p>
            <w:pPr/>
          </w:p>
        </w:tc>
        <w:tc>
          <w:tcPr>
            <w:tcW w:w="3060" w:type="dxa"/>
            <w:vMerge/>
            <w:tcBorders>
              <w:left w:val="single" w:sz="6" w:space="0" w:color="000000"/>
              <w:bottom w:val="single" w:sz="6" w:space="0" w:color="000000"/>
              <w:right w:val="single" w:sz="6" w:space="0" w:color="000000"/>
            </w:tcBorders>
          </w:tcPr>
          <w:p>
            <w:pPr/>
          </w:p>
        </w:tc>
      </w:tr>
    </w:tbl>
    <w:p>
      <w:pPr>
        <w:pStyle w:val="BodyText"/>
        <w:spacing w:line="240" w:lineRule="auto" w:before="89"/>
        <w:ind w:left="593" w:right="0"/>
        <w:jc w:val="left"/>
      </w:pPr>
      <w:r>
        <w:rPr>
          <w:rFonts w:ascii="宋体" w:hAnsi="宋体" w:cs="宋体" w:eastAsia="宋体" w:hint="default"/>
        </w:rPr>
        <w:t>2</w:t>
      </w:r>
      <w:r>
        <w:rPr/>
        <w:t>）主要计划</w:t>
      </w:r>
    </w:p>
    <w:p>
      <w:pPr>
        <w:pStyle w:val="BodyText"/>
        <w:spacing w:line="240" w:lineRule="auto" w:before="154"/>
        <w:ind w:left="593" w:right="0"/>
        <w:jc w:val="left"/>
      </w:pPr>
      <w:r>
        <w:rPr/>
        <w:t>①继续深入推进重组；</w:t>
      </w:r>
    </w:p>
    <w:p>
      <w:pPr>
        <w:pStyle w:val="BodyText"/>
        <w:spacing w:line="355" w:lineRule="auto" w:before="154"/>
        <w:ind w:left="593" w:right="1153"/>
        <w:jc w:val="left"/>
      </w:pPr>
      <w:r>
        <w:rPr/>
        <w:t>②市场开发与营销网络建设计划 根据项目需要，制定相应媒体推介计划，大力宣传公司的品牌及经营理念，提高公司的</w:t>
      </w:r>
    </w:p>
    <w:p>
      <w:pPr>
        <w:pStyle w:val="BodyText"/>
        <w:spacing w:line="357" w:lineRule="auto" w:before="38"/>
        <w:ind w:right="1170"/>
        <w:jc w:val="both"/>
      </w:pPr>
      <w:r>
        <w:rPr/>
        <w:t>市场影响力；加强营销理念管理和营销队伍的建设，提高营销工作的档次；在具体运作中加 强公司本部对控股子公司的营销管理监控，满足公司整体品牌建设的需求；根据公司品牌战 略规划和品牌管理原则，着力扩充营销人员，完善公司营销网络。</w:t>
      </w:r>
    </w:p>
    <w:p>
      <w:pPr>
        <w:pStyle w:val="BodyText"/>
        <w:spacing w:line="357" w:lineRule="auto"/>
        <w:ind w:left="593" w:right="0"/>
        <w:jc w:val="left"/>
      </w:pPr>
      <w:r>
        <w:rPr/>
        <w:t>③技术开发与创新计划 </w:t>
      </w:r>
      <w:r>
        <w:rPr>
          <w:spacing w:val="-3"/>
        </w:rPr>
        <w:t>公司将结合目前的海情丽都等大型住宅小区的开发建设，以《国家重点鼓励发展的产业、</w:t>
      </w:r>
    </w:p>
    <w:p>
      <w:pPr>
        <w:pStyle w:val="BodyText"/>
        <w:spacing w:line="357" w:lineRule="auto"/>
        <w:ind w:right="1171"/>
        <w:jc w:val="both"/>
      </w:pPr>
      <w:r>
        <w:rPr/>
        <w:t>产品和技术目录》为政策指引，密切跟踪国际国内房地产开发方面的最新科研成果；根据每 个项目的市场定位和特点，有针对性地把成熟的新技术、新材料、新工艺运用到在建和拟建 项目中；加大技术开发和创新力度，提高产品的整体性能构建品质化、创新化、社区化、多</w:t>
      </w:r>
    </w:p>
    <w:p>
      <w:pPr>
        <w:pStyle w:val="BodyText"/>
        <w:spacing w:line="240" w:lineRule="auto" w:before="36"/>
        <w:ind w:right="0"/>
        <w:jc w:val="both"/>
      </w:pPr>
      <w:r>
        <w:rPr/>
        <w:t>元化、数字化的产品开发理念；一方面使公司开发的项目具有优良的品质、齐备的功能和完</w:t>
      </w:r>
    </w:p>
    <w:p>
      <w:pPr>
        <w:spacing w:after="0" w:line="240" w:lineRule="auto"/>
        <w:jc w:val="both"/>
        <w:sectPr>
          <w:pgSz w:w="11910" w:h="16840"/>
          <w:pgMar w:header="0" w:footer="956" w:top="1060" w:bottom="1140" w:left="1020" w:right="0"/>
        </w:sectPr>
      </w:pPr>
    </w:p>
    <w:p>
      <w:pPr>
        <w:pStyle w:val="BodyText"/>
        <w:spacing w:line="240" w:lineRule="auto" w:before="14"/>
        <w:ind w:right="0"/>
        <w:jc w:val="left"/>
      </w:pPr>
      <w:r>
        <w:rPr/>
        <w:t>善的配套设施，另一方面实现进一步缩短工期、控制成本，提高效益的目的。</w:t>
      </w:r>
    </w:p>
    <w:p>
      <w:pPr>
        <w:pStyle w:val="BodyText"/>
        <w:spacing w:line="357" w:lineRule="auto" w:before="154"/>
        <w:ind w:left="593" w:right="1153"/>
        <w:jc w:val="left"/>
      </w:pPr>
      <w:r>
        <w:rPr/>
        <w:t>④人力资源开发计划 公司将根据实际情况进行上市公司的人力资源规划和统筹安排，尽快完善上市公司的人</w:t>
      </w:r>
    </w:p>
    <w:p>
      <w:pPr>
        <w:pStyle w:val="BodyText"/>
        <w:spacing w:line="357" w:lineRule="auto"/>
        <w:ind w:right="1171"/>
        <w:jc w:val="both"/>
      </w:pPr>
      <w:r>
        <w:rPr/>
        <w:t>员结构，保持适度的中高级人才储备，以适应公司扩张发展的需要。公司除计划招聘大量的 本科人员外，还计划聘用硕士、博士研究生和行业高级技术人员，引进一批房地产管理、规 划及工程技术人员；并适当引入投资、证券、财务、法律方面的专业人员，此外，在目前的 主管级队伍中着重培养较为全面的中层管理人员。</w:t>
      </w:r>
    </w:p>
    <w:p>
      <w:pPr>
        <w:pStyle w:val="BodyText"/>
        <w:spacing w:line="357" w:lineRule="auto"/>
        <w:ind w:left="593" w:right="1153"/>
        <w:jc w:val="left"/>
      </w:pPr>
      <w:r>
        <w:rPr/>
        <w:t>⑤收购兼并及对外扩充计划 公司在具体的项目拓展过程中，除采取常规的通过招、拍、挂获取项目的方式，在充分</w:t>
      </w:r>
    </w:p>
    <w:p>
      <w:pPr>
        <w:pStyle w:val="BodyText"/>
        <w:spacing w:line="357" w:lineRule="auto"/>
        <w:ind w:right="996"/>
        <w:jc w:val="left"/>
      </w:pPr>
      <w:r>
        <w:rPr/>
        <w:t>论证的基础上，还可以根据市场情况和公司发展的需要，采用收购和兼并等资本运作方式作 </w:t>
      </w:r>
      <w:r>
        <w:rPr>
          <w:spacing w:val="-2"/>
        </w:rPr>
        <w:t>为市场开发计划实施的补充手段，凭借重组后上市公司在资金实力和品牌文化等方面的优势，</w:t>
      </w:r>
      <w:r>
        <w:rPr/>
        <w:t> 进行横向并购同行业和纵向并购产业链环节的目标企业。</w:t>
      </w:r>
    </w:p>
    <w:p>
      <w:pPr>
        <w:pStyle w:val="BodyText"/>
        <w:spacing w:line="355" w:lineRule="auto" w:before="36"/>
        <w:ind w:left="593" w:right="1153"/>
        <w:jc w:val="left"/>
      </w:pPr>
      <w:r>
        <w:rPr>
          <w:rFonts w:ascii="宋体" w:hAnsi="宋体" w:cs="宋体" w:eastAsia="宋体" w:hint="default"/>
        </w:rPr>
        <w:t>3</w:t>
      </w:r>
      <w:r>
        <w:rPr/>
        <w:t>）公司未来发展所需的资金需求、使用及来源计划 公司将采取措施大力提升金融资本运作能力，调整以银行为主的狭窄的融资渠道，尽快</w:t>
      </w:r>
    </w:p>
    <w:p>
      <w:pPr>
        <w:pStyle w:val="BodyText"/>
        <w:spacing w:line="357" w:lineRule="auto" w:before="38"/>
        <w:ind w:right="996"/>
        <w:jc w:val="left"/>
      </w:pPr>
      <w:r>
        <w:rPr>
          <w:spacing w:val="-2"/>
        </w:rPr>
        <w:t>开拓多元化的融资渠道，通过资本市场、银行借款、房地产信托基金、项目合作等多个方面，</w:t>
      </w:r>
      <w:r>
        <w:rPr/>
        <w:t> 来大力拓宽公司融资渠道，为公司做大做强提供强有力的资金支持；公司将做好充分的统筹 安排、严格做到资金的专款专用，同时做好开源节流工作，力争在提升经营收入的同时，控 制费用，配合资产重组。</w:t>
      </w:r>
    </w:p>
    <w:p>
      <w:pPr>
        <w:pStyle w:val="BodyText"/>
        <w:spacing w:line="240" w:lineRule="auto"/>
        <w:ind w:left="593" w:right="0"/>
        <w:jc w:val="left"/>
      </w:pPr>
      <w:r>
        <w:rPr>
          <w:rFonts w:ascii="宋体" w:hAnsi="宋体" w:cs="宋体" w:eastAsia="宋体" w:hint="default"/>
        </w:rPr>
        <w:t>4</w:t>
      </w:r>
      <w:r>
        <w:rPr/>
        <w:t>）未来发展面临的风险和措施</w:t>
      </w:r>
    </w:p>
    <w:p>
      <w:pPr>
        <w:pStyle w:val="BodyText"/>
        <w:spacing w:line="386" w:lineRule="auto" w:before="192"/>
        <w:ind w:left="593" w:right="1153"/>
        <w:jc w:val="left"/>
      </w:pPr>
      <w:r>
        <w:rPr/>
        <w:t>①房地产调控政策风险 房地产行业是国家近年来重点宏观调控对象，因此国家相关房地产宏观调控政策对公司</w:t>
      </w:r>
    </w:p>
    <w:p>
      <w:pPr>
        <w:pStyle w:val="BodyText"/>
        <w:spacing w:line="357" w:lineRule="auto" w:before="7"/>
        <w:ind w:right="1169"/>
        <w:jc w:val="both"/>
      </w:pPr>
      <w:r>
        <w:rPr/>
        <w:t>将具有重大影响。</w:t>
      </w:r>
      <w:r>
        <w:rPr>
          <w:rFonts w:ascii="宋体" w:hAnsi="宋体" w:cs="宋体" w:eastAsia="宋体" w:hint="default"/>
        </w:rPr>
        <w:t>09</w:t>
      </w:r>
      <w:r>
        <w:rPr/>
        <w:t>年</w:t>
      </w:r>
      <w:r>
        <w:rPr>
          <w:rFonts w:ascii="宋体" w:hAnsi="宋体" w:cs="宋体" w:eastAsia="宋体" w:hint="default"/>
        </w:rPr>
        <w:t>12</w:t>
      </w:r>
      <w:r>
        <w:rPr/>
        <w:t>月上旬的中央经济工作会议和国务院常务会议，再次拉开了房调的 大幕。截至</w:t>
      </w:r>
      <w:r>
        <w:rPr>
          <w:rFonts w:ascii="宋体" w:hAnsi="宋体" w:cs="宋体" w:eastAsia="宋体" w:hint="default"/>
        </w:rPr>
        <w:t>2011</w:t>
      </w:r>
      <w:r>
        <w:rPr/>
        <w:t>年一季度，宏观政策调控继续深化从严从紧，将至少持续至</w:t>
      </w:r>
      <w:r>
        <w:rPr>
          <w:rFonts w:ascii="宋体" w:hAnsi="宋体" w:cs="宋体" w:eastAsia="宋体" w:hint="default"/>
        </w:rPr>
        <w:t>2011</w:t>
      </w:r>
      <w:r>
        <w:rPr/>
        <w:t>年中期，给 房地产企业开发经营带来巨大的影响和挑战，也给公司的经营带来一定的影响和风险。</w:t>
      </w:r>
    </w:p>
    <w:p>
      <w:pPr>
        <w:pStyle w:val="BodyText"/>
        <w:spacing w:line="357" w:lineRule="auto" w:before="75"/>
        <w:ind w:right="1169" w:firstLine="480"/>
        <w:jc w:val="both"/>
      </w:pPr>
      <w:r>
        <w:rPr/>
        <w:t>措施：公司的未来发展计划将适应新形势的宏观调控政策，向三个方面转变：第一，发 展节能、省地、环保型建筑；第二，重点发展面向广大群众的普通商品房；第三，保持适当 的房地产投资规模。</w:t>
      </w:r>
    </w:p>
    <w:p>
      <w:pPr>
        <w:pStyle w:val="BodyText"/>
        <w:spacing w:line="386" w:lineRule="auto" w:before="77"/>
        <w:ind w:left="593" w:right="1153"/>
        <w:jc w:val="left"/>
      </w:pPr>
      <w:r>
        <w:rPr/>
        <w:t>②项目开发风险 房地产项目具有开发周期长，投资金额大，涉及相关行业广，合作单位多等特点，从市</w:t>
      </w:r>
    </w:p>
    <w:p>
      <w:pPr>
        <w:pStyle w:val="BodyText"/>
        <w:spacing w:line="240" w:lineRule="auto" w:before="5"/>
        <w:ind w:right="0"/>
        <w:jc w:val="left"/>
      </w:pPr>
      <w:r>
        <w:rPr/>
        <w:t>场研究、土地获得、投资决策、规划设计、建设施工，到市场营销、销售服务和物业管理的</w:t>
      </w:r>
    </w:p>
    <w:p>
      <w:pPr>
        <w:pStyle w:val="BodyText"/>
        <w:spacing w:line="240" w:lineRule="auto" w:before="154"/>
        <w:ind w:right="0"/>
        <w:jc w:val="left"/>
      </w:pPr>
      <w:r>
        <w:rPr>
          <w:spacing w:val="-3"/>
        </w:rPr>
        <w:t>开发流程中，项目开发涉及到调研、规划设计、建筑施工、材料供应、广告策划等多个领域，</w:t>
      </w:r>
    </w:p>
    <w:p>
      <w:pPr>
        <w:spacing w:after="0" w:line="240" w:lineRule="auto"/>
        <w:jc w:val="left"/>
        <w:sectPr>
          <w:pgSz w:w="11910" w:h="16840"/>
          <w:pgMar w:header="0" w:footer="956" w:top="1060" w:bottom="1140" w:left="1020" w:right="0"/>
        </w:sectPr>
      </w:pPr>
    </w:p>
    <w:p>
      <w:pPr>
        <w:pStyle w:val="BodyText"/>
        <w:spacing w:line="357" w:lineRule="auto" w:before="14"/>
        <w:ind w:right="996"/>
        <w:jc w:val="left"/>
      </w:pPr>
      <w:r>
        <w:rPr/>
        <w:t>同时要接受规划、国土、建设、房管、消防和环保等多个政府部门的审批和监管。因此，虽 然公司的房地产项目公司均具备较强的房地产项目操作能力，但如果项目的某个开发环节出 </w:t>
      </w:r>
      <w:r>
        <w:rPr>
          <w:spacing w:val="-2"/>
        </w:rPr>
        <w:t>现问题，如产品定位偏差、政府出台新的规定、与政府部门沟通不畅、施工方案选定不科学、</w:t>
      </w:r>
      <w:r>
        <w:rPr/>
        <w:t> </w:t>
      </w:r>
      <w:r>
        <w:rPr>
          <w:spacing w:val="-2"/>
        </w:rPr>
        <w:t>合作单位配合不力、项目管理和组织不力等，都可能会直接或间接地导致项目开发周期延长、</w:t>
      </w:r>
      <w:r>
        <w:rPr/>
        <w:t> 成本上升，造成项目预期经营目标难以如期实现。</w:t>
      </w:r>
    </w:p>
    <w:p>
      <w:pPr>
        <w:pStyle w:val="BodyText"/>
        <w:spacing w:line="357" w:lineRule="auto" w:before="74"/>
        <w:ind w:right="1171" w:firstLine="480"/>
        <w:jc w:val="both"/>
      </w:pPr>
      <w:r>
        <w:rPr/>
        <w:t>措施：公司的房地产业务经过多年的专业化经营，已经在房地产开发方面积累了丰富的 专业经验，组建了一支具有丰富项目管理及操作经验的团队，具备较强的项目操作能力和较 强的专业经营能力。未来，公司将制定科学的项目决策程序，完善项目开发与建设的质量控 制体系，从项目开发建设到销售完成的全过程，公司将加大质量控制，充分考虑项目建设过 程中的各种潜在不利因素，合理规划开发建设周期，力争降低此类风险给公司带来的不利影 响。</w:t>
      </w:r>
    </w:p>
    <w:p>
      <w:pPr>
        <w:pStyle w:val="BodyText"/>
        <w:spacing w:line="357" w:lineRule="auto" w:before="36"/>
        <w:ind w:left="593" w:right="1153"/>
        <w:jc w:val="left"/>
      </w:pPr>
      <w:r>
        <w:rPr/>
        <w:t>③资产流动性风险 由于行业发展的特殊性，房地产开发与销售需要大量资金投入，建设周期长，大大降低</w:t>
      </w:r>
    </w:p>
    <w:p>
      <w:pPr>
        <w:pStyle w:val="BodyText"/>
        <w:spacing w:line="357" w:lineRule="auto"/>
        <w:ind w:right="1171"/>
        <w:jc w:val="both"/>
      </w:pPr>
      <w:r>
        <w:rPr/>
        <w:t>了企业资产的流动性，从前述分析可见，房地产企业速动比率较低，资产变现能力较差。本 次交易完成后，公司营销能力直接影响着公司的资产流动性及短期偿债能力，如果由于项目 开发和销售迟滞等因素导致资金周转不畅，将给公司总资产的周转和短期偿债能力带来较大 压力。</w:t>
      </w:r>
    </w:p>
    <w:p>
      <w:pPr>
        <w:pStyle w:val="BodyText"/>
        <w:spacing w:line="357" w:lineRule="auto"/>
        <w:ind w:right="1171" w:firstLine="480"/>
        <w:jc w:val="both"/>
      </w:pPr>
      <w:r>
        <w:rPr/>
        <w:t>措施：公司一直以客户需求为导向，通过深入研究项目的区域市场、目标客户和竞争对 手情况，从而准确地进行市场定位，为客户提供理想的居住环境。未来公司将进一步制定科 学的项目开发决策程序，在保证工程质量的前提下，将加大项目管理力度，通过多种手段确 保工程进度如期执行。在销售方面，通过多种形式的促销，充分发挥品牌优势，加快回款速 度，提高资金使用效率，提高资产周转率；公司还将做好资金筹集与运用的筹划工作，充分 运用多种手段募集所需的项目开发资金，严格控制公司的资产负债比率，降低财务风险。</w:t>
      </w:r>
    </w:p>
    <w:p>
      <w:pPr>
        <w:pStyle w:val="BodyText"/>
        <w:spacing w:line="357" w:lineRule="auto"/>
        <w:ind w:left="593" w:right="5473"/>
        <w:jc w:val="left"/>
      </w:pPr>
      <w:r>
        <w:rPr/>
        <w:t>（三）公司投资情况 </w:t>
      </w:r>
      <w:r>
        <w:rPr>
          <w:rFonts w:ascii="宋体" w:hAnsi="宋体" w:cs="宋体" w:eastAsia="宋体" w:hint="default"/>
        </w:rPr>
        <w:t>1</w:t>
      </w:r>
      <w:r>
        <w:rPr/>
        <w:t>、前次募集资金使用情况 公司无募集资金延续到报告期内使用的情况。 </w:t>
      </w:r>
      <w:r>
        <w:rPr>
          <w:rFonts w:ascii="宋体" w:hAnsi="宋体" w:cs="宋体" w:eastAsia="宋体" w:hint="default"/>
        </w:rPr>
        <w:t>2</w:t>
      </w:r>
      <w:r>
        <w:rPr/>
        <w:t>、非募集资金投资情况 报告期内公司无非募集资金投资情况。</w:t>
      </w:r>
    </w:p>
    <w:p>
      <w:pPr>
        <w:pStyle w:val="BodyText"/>
        <w:spacing w:line="357" w:lineRule="auto"/>
        <w:ind w:right="1171" w:firstLine="480"/>
        <w:jc w:val="both"/>
      </w:pPr>
      <w:r>
        <w:rPr/>
        <w:t>（四）陈述董事会对公司会计政策、会计估计变更、重大会计差错更正、重大遗漏信息 补充以及业绩预告修正的原因及影响的讨论结果</w:t>
      </w:r>
    </w:p>
    <w:p>
      <w:pPr>
        <w:pStyle w:val="BodyText"/>
        <w:spacing w:line="240" w:lineRule="auto"/>
        <w:ind w:left="593" w:right="0"/>
        <w:jc w:val="left"/>
      </w:pPr>
      <w:r>
        <w:rPr/>
        <w:t>报告期内，公司无会计政策、会计估计变更、重大遗漏信息补充以及业绩预告修正。</w:t>
      </w:r>
    </w:p>
    <w:p>
      <w:pPr>
        <w:spacing w:after="0" w:line="240" w:lineRule="auto"/>
        <w:jc w:val="left"/>
        <w:sectPr>
          <w:pgSz w:w="11910" w:h="16840"/>
          <w:pgMar w:header="0" w:footer="956" w:top="1060" w:bottom="1140" w:left="1020" w:right="0"/>
        </w:sectPr>
      </w:pPr>
    </w:p>
    <w:p>
      <w:pPr>
        <w:pStyle w:val="BodyText"/>
        <w:spacing w:line="357" w:lineRule="auto" w:before="14"/>
        <w:ind w:left="693" w:right="7033"/>
        <w:jc w:val="left"/>
      </w:pPr>
      <w:r>
        <w:rPr/>
        <w:t>（五）董事会日常工作情况 </w:t>
      </w:r>
      <w:r>
        <w:rPr>
          <w:rFonts w:ascii="宋体" w:hAnsi="宋体" w:cs="宋体" w:eastAsia="宋体" w:hint="default"/>
        </w:rPr>
        <w:t>1</w:t>
      </w:r>
      <w:r>
        <w:rPr/>
        <w:t>、董事会会议情况及决议内容</w:t>
      </w:r>
    </w:p>
    <w:p>
      <w:pPr>
        <w:spacing w:line="240" w:lineRule="auto" w:before="11"/>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728"/>
        <w:gridCol w:w="1081"/>
        <w:gridCol w:w="5041"/>
        <w:gridCol w:w="1620"/>
        <w:gridCol w:w="1095"/>
      </w:tblGrid>
      <w:tr>
        <w:trPr>
          <w:trHeight w:val="55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5" w:right="0"/>
              <w:jc w:val="left"/>
              <w:rPr>
                <w:rFonts w:ascii="宋体" w:hAnsi="宋体" w:cs="宋体" w:eastAsia="宋体" w:hint="default"/>
                <w:sz w:val="21"/>
                <w:szCs w:val="21"/>
              </w:rPr>
            </w:pPr>
            <w:r>
              <w:rPr>
                <w:rFonts w:ascii="宋体" w:hAnsi="宋体" w:cs="宋体" w:eastAsia="宋体" w:hint="default"/>
                <w:sz w:val="21"/>
                <w:szCs w:val="21"/>
              </w:rPr>
              <w:t>信息披露报纸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信息披露</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82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39" w:right="120" w:hanging="318"/>
              <w:jc w:val="left"/>
              <w:rPr>
                <w:rFonts w:ascii="宋体" w:hAnsi="宋体" w:cs="宋体" w:eastAsia="宋体" w:hint="default"/>
                <w:sz w:val="21"/>
                <w:szCs w:val="21"/>
              </w:rPr>
            </w:pPr>
            <w:r>
              <w:rPr>
                <w:rFonts w:ascii="宋体" w:hAnsi="宋体" w:cs="宋体" w:eastAsia="宋体" w:hint="default"/>
                <w:sz w:val="21"/>
                <w:szCs w:val="21"/>
              </w:rPr>
              <w:t>第七届董事会第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二次会议</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6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1</w:t>
            </w:r>
          </w:p>
          <w:p>
            <w:pPr>
              <w:pStyle w:val="TableParagraph"/>
              <w:spacing w:line="273" w:lineRule="exact"/>
              <w:ind w:left="21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12</w:t>
            </w:r>
            <w:r>
              <w:rPr>
                <w:rFonts w:ascii="宋体" w:hAnsi="宋体" w:cs="宋体" w:eastAsia="宋体" w:hint="default"/>
                <w:sz w:val="21"/>
                <w:szCs w:val="21"/>
              </w:rPr>
              <w:t>日</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、关于选举孙登义为公司第七届董事会非独立董事</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pacing w:val="2"/>
                <w:sz w:val="21"/>
                <w:szCs w:val="21"/>
              </w:rPr>
              <w:t>的议案。</w:t>
            </w:r>
            <w:r>
              <w:rPr>
                <w:rFonts w:ascii="宋体" w:hAnsi="宋体" w:cs="宋体" w:eastAsia="宋体" w:hint="default"/>
                <w:spacing w:val="2"/>
                <w:sz w:val="21"/>
                <w:szCs w:val="21"/>
              </w:rPr>
              <w:t>2</w:t>
            </w:r>
            <w:r>
              <w:rPr>
                <w:rFonts w:ascii="宋体" w:hAnsi="宋体" w:cs="宋体" w:eastAsia="宋体" w:hint="default"/>
                <w:spacing w:val="2"/>
                <w:sz w:val="21"/>
                <w:szCs w:val="21"/>
              </w:rPr>
              <w:t>、关于提请召开公司</w:t>
            </w:r>
            <w:r>
              <w:rPr>
                <w:rFonts w:ascii="宋体" w:hAnsi="宋体" w:cs="宋体" w:eastAsia="宋体" w:hint="default"/>
                <w:spacing w:val="2"/>
                <w:sz w:val="21"/>
                <w:szCs w:val="21"/>
              </w:rPr>
              <w:t>2010</w:t>
            </w:r>
            <w:r>
              <w:rPr>
                <w:rFonts w:ascii="宋体" w:hAnsi="宋体" w:cs="宋体" w:eastAsia="宋体" w:hint="default"/>
                <w:spacing w:val="2"/>
                <w:sz w:val="21"/>
                <w:szCs w:val="21"/>
              </w:rPr>
              <w:t>年第二次临时股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东大会的议案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3" w:right="276"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1</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13</w:t>
            </w:r>
            <w:r>
              <w:rPr>
                <w:rFonts w:ascii="宋体" w:hAnsi="宋体" w:cs="宋体" w:eastAsia="宋体" w:hint="default"/>
                <w:sz w:val="21"/>
                <w:szCs w:val="21"/>
              </w:rPr>
              <w:t>日</w:t>
            </w:r>
          </w:p>
        </w:tc>
      </w:tr>
      <w:tr>
        <w:trPr>
          <w:trHeight w:val="273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39" w:right="120" w:hanging="318"/>
              <w:jc w:val="left"/>
              <w:rPr>
                <w:rFonts w:ascii="宋体" w:hAnsi="宋体" w:cs="宋体" w:eastAsia="宋体" w:hint="default"/>
                <w:sz w:val="21"/>
                <w:szCs w:val="21"/>
              </w:rPr>
            </w:pPr>
            <w:r>
              <w:rPr>
                <w:rFonts w:ascii="宋体" w:hAnsi="宋体" w:cs="宋体" w:eastAsia="宋体" w:hint="default"/>
                <w:sz w:val="21"/>
                <w:szCs w:val="21"/>
              </w:rPr>
              <w:t>第七届董事会第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三次会议</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74" w:lineRule="exact"/>
              <w:ind w:left="16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4</w:t>
            </w:r>
          </w:p>
          <w:p>
            <w:pPr>
              <w:pStyle w:val="TableParagraph"/>
              <w:spacing w:line="274" w:lineRule="exact"/>
              <w:ind w:left="21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23</w:t>
            </w:r>
            <w:r>
              <w:rPr>
                <w:rFonts w:ascii="宋体" w:hAnsi="宋体" w:cs="宋体" w:eastAsia="宋体" w:hint="default"/>
                <w:sz w:val="21"/>
                <w:szCs w:val="21"/>
              </w:rPr>
              <w:t>日</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2009</w:t>
            </w:r>
            <w:r>
              <w:rPr>
                <w:rFonts w:ascii="宋体" w:hAnsi="宋体" w:cs="宋体" w:eastAsia="宋体" w:hint="default"/>
                <w:sz w:val="21"/>
                <w:szCs w:val="21"/>
              </w:rPr>
              <w:t>年董事会工作报告》《公司</w:t>
            </w:r>
            <w:r>
              <w:rPr>
                <w:rFonts w:ascii="宋体" w:hAnsi="宋体" w:cs="宋体" w:eastAsia="宋体" w:hint="default"/>
                <w:sz w:val="21"/>
                <w:szCs w:val="21"/>
              </w:rPr>
              <w:t>2009</w:t>
            </w:r>
            <w:r>
              <w:rPr>
                <w:rFonts w:ascii="宋体" w:hAnsi="宋体" w:cs="宋体" w:eastAsia="宋体" w:hint="default"/>
                <w:sz w:val="21"/>
                <w:szCs w:val="21"/>
              </w:rPr>
              <w:t>年度财务</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决算报告》《</w:t>
            </w:r>
            <w:r>
              <w:rPr>
                <w:rFonts w:ascii="宋体" w:hAnsi="宋体" w:cs="宋体" w:eastAsia="宋体" w:hint="default"/>
                <w:spacing w:val="-2"/>
                <w:sz w:val="21"/>
                <w:szCs w:val="21"/>
              </w:rPr>
              <w:t>2009</w:t>
            </w:r>
            <w:r>
              <w:rPr>
                <w:rFonts w:ascii="宋体" w:hAnsi="宋体" w:cs="宋体" w:eastAsia="宋体" w:hint="default"/>
                <w:spacing w:val="-2"/>
                <w:sz w:val="21"/>
                <w:szCs w:val="21"/>
              </w:rPr>
              <w:t>年度利润分配预案》《</w:t>
            </w:r>
            <w:r>
              <w:rPr>
                <w:rFonts w:ascii="宋体" w:hAnsi="宋体" w:cs="宋体" w:eastAsia="宋体" w:hint="default"/>
                <w:spacing w:val="-2"/>
                <w:sz w:val="21"/>
                <w:szCs w:val="21"/>
              </w:rPr>
              <w:t>2009</w:t>
            </w:r>
            <w:r>
              <w:rPr>
                <w:rFonts w:ascii="宋体" w:hAnsi="宋体" w:cs="宋体" w:eastAsia="宋体" w:hint="default"/>
                <w:spacing w:val="-2"/>
                <w:sz w:val="21"/>
                <w:szCs w:val="21"/>
              </w:rPr>
              <w:t>年度报</w:t>
            </w:r>
            <w:r>
              <w:rPr>
                <w:rFonts w:ascii="宋体" w:hAnsi="宋体" w:cs="宋体" w:eastAsia="宋体" w:hint="default"/>
                <w:spacing w:val="-68"/>
                <w:sz w:val="21"/>
                <w:szCs w:val="21"/>
              </w:rPr>
              <w:t> </w:t>
            </w:r>
            <w:r>
              <w:rPr>
                <w:rFonts w:ascii="宋体" w:hAnsi="宋体" w:cs="宋体" w:eastAsia="宋体" w:hint="default"/>
                <w:spacing w:val="-2"/>
                <w:sz w:val="21"/>
                <w:szCs w:val="21"/>
              </w:rPr>
              <w:t>告及其摘要、</w:t>
            </w:r>
            <w:r>
              <w:rPr>
                <w:rFonts w:ascii="宋体" w:hAnsi="宋体" w:cs="宋体" w:eastAsia="宋体" w:hint="default"/>
                <w:spacing w:val="-2"/>
                <w:sz w:val="21"/>
                <w:szCs w:val="21"/>
              </w:rPr>
              <w:t>2009</w:t>
            </w:r>
            <w:r>
              <w:rPr>
                <w:rFonts w:ascii="宋体" w:hAnsi="宋体" w:cs="宋体" w:eastAsia="宋体" w:hint="default"/>
                <w:spacing w:val="-2"/>
                <w:sz w:val="21"/>
                <w:szCs w:val="21"/>
              </w:rPr>
              <w:t>年度财务报告》《内部控制制度报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告》、关于更正年报会计差错的议案、</w:t>
            </w:r>
            <w:r>
              <w:rPr>
                <w:rFonts w:ascii="宋体" w:hAnsi="宋体" w:cs="宋体" w:eastAsia="宋体" w:hint="default"/>
                <w:spacing w:val="-2"/>
                <w:sz w:val="21"/>
                <w:szCs w:val="21"/>
              </w:rPr>
              <w:t>2010</w:t>
            </w:r>
            <w:r>
              <w:rPr>
                <w:rFonts w:ascii="宋体" w:hAnsi="宋体" w:cs="宋体" w:eastAsia="宋体" w:hint="default"/>
                <w:spacing w:val="-2"/>
                <w:sz w:val="21"/>
                <w:szCs w:val="21"/>
              </w:rPr>
              <w:t>年第一季</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度报告全文及正文、财务报告、《关于续聘会计师事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务所的议案》《年报信息重大差错追究制度》、关于</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修改《公司章程》、《股东大会议事规则》、《董事</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会议事规则》、《董、监事薪酬制度》的议案、关于</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修改《信息披露事务管理制度》的议案、《关于提议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召开公司</w:t>
            </w:r>
            <w:r>
              <w:rPr>
                <w:rFonts w:ascii="宋体" w:hAnsi="宋体" w:cs="宋体" w:eastAsia="宋体" w:hint="default"/>
                <w:sz w:val="21"/>
                <w:szCs w:val="21"/>
              </w:rPr>
              <w:t>2009</w:t>
            </w:r>
            <w:r>
              <w:rPr>
                <w:rFonts w:ascii="宋体" w:hAnsi="宋体" w:cs="宋体" w:eastAsia="宋体" w:hint="default"/>
                <w:sz w:val="21"/>
                <w:szCs w:val="21"/>
              </w:rPr>
              <w:t>年度股东大会的议案》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83" w:right="276"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4</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23</w:t>
            </w:r>
            <w:r>
              <w:rPr>
                <w:rFonts w:ascii="宋体" w:hAnsi="宋体" w:cs="宋体" w:eastAsia="宋体" w:hint="default"/>
                <w:sz w:val="21"/>
                <w:szCs w:val="21"/>
              </w:rPr>
              <w:t>日</w:t>
            </w:r>
          </w:p>
        </w:tc>
      </w:tr>
      <w:tr>
        <w:trPr>
          <w:trHeight w:val="55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第七届董事会第</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四次会议</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6</w:t>
            </w:r>
          </w:p>
          <w:p>
            <w:pPr>
              <w:pStyle w:val="TableParagraph"/>
              <w:spacing w:line="274" w:lineRule="exact"/>
              <w:ind w:left="21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11</w:t>
            </w:r>
            <w:r>
              <w:rPr>
                <w:rFonts w:ascii="宋体" w:hAnsi="宋体" w:cs="宋体" w:eastAsia="宋体" w:hint="default"/>
                <w:sz w:val="21"/>
                <w:szCs w:val="21"/>
              </w:rPr>
              <w:t>日</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关于提议召开</w:t>
            </w:r>
            <w:r>
              <w:rPr>
                <w:rFonts w:ascii="宋体" w:hAnsi="宋体" w:cs="宋体" w:eastAsia="宋体" w:hint="default"/>
                <w:sz w:val="21"/>
                <w:szCs w:val="21"/>
              </w:rPr>
              <w:t>2009</w:t>
            </w:r>
            <w:r>
              <w:rPr>
                <w:rFonts w:ascii="宋体" w:hAnsi="宋体" w:cs="宋体" w:eastAsia="宋体" w:hint="default"/>
                <w:sz w:val="21"/>
                <w:szCs w:val="21"/>
              </w:rPr>
              <w:t>年度股东大会的议案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6</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12</w:t>
            </w:r>
            <w:r>
              <w:rPr>
                <w:rFonts w:ascii="宋体" w:hAnsi="宋体" w:cs="宋体" w:eastAsia="宋体" w:hint="default"/>
                <w:sz w:val="21"/>
                <w:szCs w:val="21"/>
              </w:rPr>
              <w:t>日</w:t>
            </w:r>
          </w:p>
        </w:tc>
      </w:tr>
      <w:tr>
        <w:trPr>
          <w:trHeight w:val="82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9" w:right="120" w:hanging="318"/>
              <w:jc w:val="left"/>
              <w:rPr>
                <w:rFonts w:ascii="宋体" w:hAnsi="宋体" w:cs="宋体" w:eastAsia="宋体" w:hint="default"/>
                <w:sz w:val="21"/>
                <w:szCs w:val="21"/>
              </w:rPr>
            </w:pPr>
            <w:r>
              <w:rPr>
                <w:rFonts w:ascii="宋体" w:hAnsi="宋体" w:cs="宋体" w:eastAsia="宋体" w:hint="default"/>
                <w:sz w:val="21"/>
                <w:szCs w:val="21"/>
              </w:rPr>
              <w:t>第七届董事会第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五次会议</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8</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5</w:t>
            </w:r>
            <w:r>
              <w:rPr>
                <w:rFonts w:ascii="宋体" w:hAnsi="宋体" w:cs="宋体" w:eastAsia="宋体" w:hint="default"/>
                <w:sz w:val="21"/>
                <w:szCs w:val="21"/>
              </w:rPr>
              <w:t>日</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z w:val="21"/>
                <w:szCs w:val="21"/>
              </w:rPr>
              <w:t>2010</w:t>
            </w:r>
            <w:r>
              <w:rPr>
                <w:rFonts w:ascii="宋体" w:hAnsi="宋体" w:cs="宋体" w:eastAsia="宋体" w:hint="default"/>
                <w:sz w:val="21"/>
                <w:szCs w:val="21"/>
              </w:rPr>
              <w:t>年半年度报告及其摘要、半年度财务</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报告的议案》、关于聘任王本刚担任公司证券事务代</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表的议案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3" w:right="276"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8</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6</w:t>
            </w:r>
            <w:r>
              <w:rPr>
                <w:rFonts w:ascii="宋体" w:hAnsi="宋体" w:cs="宋体" w:eastAsia="宋体" w:hint="default"/>
                <w:sz w:val="21"/>
                <w:szCs w:val="21"/>
              </w:rPr>
              <w:t>日</w:t>
            </w:r>
          </w:p>
        </w:tc>
      </w:tr>
      <w:tr>
        <w:trPr>
          <w:trHeight w:val="55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第七届董事会第</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六次会议</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8</w:t>
            </w:r>
          </w:p>
          <w:p>
            <w:pPr>
              <w:pStyle w:val="TableParagraph"/>
              <w:spacing w:line="274" w:lineRule="exact"/>
              <w:ind w:left="21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16</w:t>
            </w:r>
            <w:r>
              <w:rPr>
                <w:rFonts w:ascii="宋体" w:hAnsi="宋体" w:cs="宋体" w:eastAsia="宋体" w:hint="default"/>
                <w:sz w:val="21"/>
                <w:szCs w:val="21"/>
              </w:rPr>
              <w:t>日</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《关于增加泗水海情置业有限公司注册资本的议案》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8</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16</w:t>
            </w:r>
            <w:r>
              <w:rPr>
                <w:rFonts w:ascii="宋体" w:hAnsi="宋体" w:cs="宋体" w:eastAsia="宋体" w:hint="default"/>
                <w:sz w:val="21"/>
                <w:szCs w:val="21"/>
              </w:rPr>
              <w:t>日</w:t>
            </w:r>
          </w:p>
        </w:tc>
      </w:tr>
      <w:tr>
        <w:trPr>
          <w:trHeight w:val="55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第七届董事会第</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七次会议</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9</w:t>
            </w:r>
          </w:p>
          <w:p>
            <w:pPr>
              <w:pStyle w:val="TableParagraph"/>
              <w:spacing w:line="274" w:lineRule="exact"/>
              <w:ind w:left="21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《关于拟收购绵阳亿嘉合投资有限公司</w:t>
            </w:r>
            <w:r>
              <w:rPr>
                <w:rFonts w:ascii="宋体" w:hAnsi="宋体" w:cs="宋体" w:eastAsia="宋体" w:hint="default"/>
                <w:spacing w:val="6"/>
                <w:sz w:val="21"/>
                <w:szCs w:val="21"/>
              </w:rPr>
              <w:t>100%</w:t>
            </w:r>
            <w:r>
              <w:rPr>
                <w:rFonts w:ascii="宋体" w:hAnsi="宋体" w:cs="宋体" w:eastAsia="宋体" w:hint="default"/>
                <w:spacing w:val="6"/>
                <w:sz w:val="21"/>
                <w:szCs w:val="21"/>
              </w:rPr>
              <w:t>股权的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议案》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9</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w:t>
            </w:r>
          </w:p>
        </w:tc>
      </w:tr>
      <w:tr>
        <w:trPr>
          <w:trHeight w:val="82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39" w:right="120" w:hanging="318"/>
              <w:jc w:val="left"/>
              <w:rPr>
                <w:rFonts w:ascii="宋体" w:hAnsi="宋体" w:cs="宋体" w:eastAsia="宋体" w:hint="default"/>
                <w:sz w:val="21"/>
                <w:szCs w:val="21"/>
              </w:rPr>
            </w:pPr>
            <w:r>
              <w:rPr>
                <w:rFonts w:ascii="宋体" w:hAnsi="宋体" w:cs="宋体" w:eastAsia="宋体" w:hint="default"/>
                <w:sz w:val="21"/>
                <w:szCs w:val="21"/>
              </w:rPr>
              <w:t>第七届董事会第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八次会议</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10</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z w:val="21"/>
                <w:szCs w:val="21"/>
              </w:rPr>
              <w:t>2010</w:t>
            </w:r>
            <w:r>
              <w:rPr>
                <w:rFonts w:ascii="宋体" w:hAnsi="宋体" w:cs="宋体" w:eastAsia="宋体" w:hint="default"/>
                <w:sz w:val="21"/>
                <w:szCs w:val="21"/>
              </w:rPr>
              <w:t>年第三季度报告全文、正文及财务报</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2"/>
                <w:sz w:val="21"/>
                <w:szCs w:val="21"/>
              </w:rPr>
              <w:t>告的议案》《深圳大通实业股份有限公司防止资金占</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用长效机制建立和落实情况的自查报告》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3" w:right="276"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10</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w:t>
            </w:r>
          </w:p>
        </w:tc>
      </w:tr>
      <w:tr>
        <w:trPr>
          <w:trHeight w:val="164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39" w:right="120" w:hanging="318"/>
              <w:jc w:val="left"/>
              <w:rPr>
                <w:rFonts w:ascii="宋体" w:hAnsi="宋体" w:cs="宋体" w:eastAsia="宋体" w:hint="default"/>
                <w:sz w:val="21"/>
                <w:szCs w:val="21"/>
              </w:rPr>
            </w:pPr>
            <w:r>
              <w:rPr>
                <w:rFonts w:ascii="宋体" w:hAnsi="宋体" w:cs="宋体" w:eastAsia="宋体" w:hint="default"/>
                <w:sz w:val="21"/>
                <w:szCs w:val="21"/>
              </w:rPr>
              <w:t>第七届董事会第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九次会议</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11</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关于修改《公司章程》的议案、关于修改《股东大会</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议事规则》的议案、《总经理工作细则》、《重大投</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资管理制度》、《关联交易管理制度》、《对外担保</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管理制度》、《财务管理组织体系与会计人员管理制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度》、《财务会计相关负责人管理制度》、关于提请</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召开公司</w:t>
            </w:r>
            <w:r>
              <w:rPr>
                <w:rFonts w:ascii="宋体" w:hAnsi="宋体" w:cs="宋体" w:eastAsia="宋体" w:hint="default"/>
                <w:sz w:val="21"/>
                <w:szCs w:val="21"/>
              </w:rPr>
              <w:t>2010</w:t>
            </w:r>
            <w:r>
              <w:rPr>
                <w:rFonts w:ascii="宋体" w:hAnsi="宋体" w:cs="宋体" w:eastAsia="宋体" w:hint="default"/>
                <w:sz w:val="21"/>
                <w:szCs w:val="21"/>
              </w:rPr>
              <w:t>年第三次临时股东大会的议案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83" w:right="276"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12</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w:t>
            </w:r>
          </w:p>
        </w:tc>
      </w:tr>
    </w:tbl>
    <w:p>
      <w:pPr>
        <w:pStyle w:val="BodyText"/>
        <w:spacing w:line="274" w:lineRule="exact" w:before="0"/>
        <w:ind w:left="693" w:right="1034"/>
        <w:jc w:val="left"/>
      </w:pPr>
      <w:r>
        <w:rPr>
          <w:rFonts w:ascii="宋体" w:hAnsi="宋体" w:cs="宋体" w:eastAsia="宋体" w:hint="default"/>
        </w:rPr>
        <w:t>2</w:t>
      </w:r>
      <w:r>
        <w:rPr/>
        <w:t>、董事会对股东大会决议的执行情况</w:t>
      </w:r>
    </w:p>
    <w:p>
      <w:pPr>
        <w:pStyle w:val="BodyText"/>
        <w:spacing w:line="357" w:lineRule="auto" w:before="151"/>
        <w:ind w:left="212" w:right="1004" w:firstLine="480"/>
        <w:jc w:val="left"/>
      </w:pPr>
      <w:r>
        <w:rPr>
          <w:spacing w:val="-3"/>
        </w:rPr>
        <w:t>报告期内，本公司董事会严格按照《公司章程》和股东大会形成的决议，认真履行职责，</w:t>
      </w:r>
      <w:r>
        <w:rPr/>
        <w:t> 落实了</w:t>
      </w:r>
      <w:r>
        <w:rPr>
          <w:rFonts w:ascii="宋体" w:hAnsi="宋体" w:cs="宋体" w:eastAsia="宋体" w:hint="default"/>
        </w:rPr>
        <w:t>2009</w:t>
      </w:r>
      <w:r>
        <w:rPr/>
        <w:t>年年度股东大会的各项决议。</w:t>
      </w:r>
    </w:p>
    <w:p>
      <w:pPr>
        <w:pStyle w:val="BodyText"/>
        <w:spacing w:line="355" w:lineRule="auto" w:before="37"/>
        <w:ind w:left="693" w:right="1153"/>
        <w:jc w:val="left"/>
      </w:pPr>
      <w:r>
        <w:rPr>
          <w:rFonts w:ascii="宋体" w:hAnsi="宋体" w:cs="宋体" w:eastAsia="宋体" w:hint="default"/>
        </w:rPr>
        <w:t>3</w:t>
      </w:r>
      <w:r>
        <w:rPr/>
        <w:t>、公司董事会审计委员会履职情况汇总报告 在此次年报审计过程中，审计委员会严格按照法律法规、《公司章程》、《公司审计委</w:t>
      </w:r>
    </w:p>
    <w:p>
      <w:pPr>
        <w:pStyle w:val="BodyText"/>
        <w:spacing w:line="355" w:lineRule="auto" w:before="38"/>
        <w:ind w:left="212" w:right="1154"/>
        <w:jc w:val="left"/>
      </w:pPr>
      <w:r>
        <w:rPr/>
        <w:t>员会年报工作规程》履行自己的职能，形成了《审计委员会履职暨关于深圳鹏城会计师事务 所有限公司</w:t>
      </w:r>
      <w:r>
        <w:rPr>
          <w:rFonts w:ascii="宋体" w:hAnsi="宋体" w:cs="宋体" w:eastAsia="宋体" w:hint="default"/>
        </w:rPr>
        <w:t>2010</w:t>
      </w:r>
      <w:r>
        <w:rPr/>
        <w:t>年度的审计工作总结报告》，具体内容如下：</w:t>
      </w:r>
    </w:p>
    <w:p>
      <w:pPr>
        <w:pStyle w:val="BodyText"/>
        <w:spacing w:line="240" w:lineRule="auto" w:before="38"/>
        <w:ind w:left="693" w:right="1034"/>
        <w:jc w:val="left"/>
      </w:pPr>
      <w:r>
        <w:rPr>
          <w:rFonts w:ascii="宋体" w:hAnsi="宋体" w:cs="宋体" w:eastAsia="宋体" w:hint="default"/>
        </w:rPr>
        <w:t>1</w:t>
      </w:r>
      <w:r>
        <w:rPr/>
        <w:t>）了解公司报告期内的基本情况，审阅公司编制的财务会计报表</w:t>
      </w:r>
    </w:p>
    <w:p>
      <w:pPr>
        <w:pStyle w:val="BodyText"/>
        <w:spacing w:line="468" w:lineRule="exact" w:before="57"/>
        <w:ind w:left="212" w:right="1154" w:firstLine="480"/>
        <w:jc w:val="left"/>
      </w:pP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5</w:t>
      </w:r>
      <w:r>
        <w:rPr/>
        <w:t>日，审计委员会召开了</w:t>
      </w:r>
      <w:r>
        <w:rPr>
          <w:rFonts w:ascii="宋体" w:hAnsi="宋体" w:cs="宋体" w:eastAsia="宋体" w:hint="default"/>
        </w:rPr>
        <w:t>2010</w:t>
      </w:r>
      <w:r>
        <w:rPr/>
        <w:t>年报第一次会议，会议听取了公司总经理对公司 报告期内生产经营情况和重大事项进展情况的全面汇报，审议了公司编制的</w:t>
      </w:r>
      <w:r>
        <w:rPr>
          <w:rFonts w:ascii="宋体" w:hAnsi="宋体" w:cs="宋体" w:eastAsia="宋体" w:hint="default"/>
        </w:rPr>
        <w:t>2010</w:t>
      </w:r>
      <w:r>
        <w:rPr/>
        <w:t>年度财务会</w:t>
      </w:r>
    </w:p>
    <w:p>
      <w:pPr>
        <w:spacing w:after="0" w:line="468" w:lineRule="exact"/>
        <w:jc w:val="left"/>
        <w:sectPr>
          <w:pgSz w:w="11910" w:h="16840"/>
          <w:pgMar w:header="0" w:footer="956" w:top="1060" w:bottom="1140" w:left="920" w:right="0"/>
        </w:sectPr>
      </w:pPr>
    </w:p>
    <w:p>
      <w:pPr>
        <w:pStyle w:val="BodyText"/>
        <w:spacing w:line="357" w:lineRule="auto" w:before="14"/>
        <w:ind w:right="1169"/>
        <w:jc w:val="both"/>
      </w:pPr>
      <w:r>
        <w:rPr/>
        <w:t>计报表，认为：公司编制的财务会计报表的有关数据总体上反映了公司截止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 的财务状况和</w:t>
      </w:r>
      <w:r>
        <w:rPr>
          <w:rFonts w:ascii="宋体" w:hAnsi="宋体" w:cs="宋体" w:eastAsia="宋体" w:hint="default"/>
        </w:rPr>
        <w:t>2010</w:t>
      </w:r>
      <w:r>
        <w:rPr/>
        <w:t>年度的经营成果，并同意以此财务报表为基础开展</w:t>
      </w:r>
      <w:r>
        <w:rPr>
          <w:rFonts w:ascii="宋体" w:hAnsi="宋体" w:cs="宋体" w:eastAsia="宋体" w:hint="default"/>
        </w:rPr>
        <w:t>2010</w:t>
      </w:r>
      <w:r>
        <w:rPr/>
        <w:t>年度的审计工作， 同时出具了相关的书面审阅意见。</w:t>
      </w:r>
    </w:p>
    <w:p>
      <w:pPr>
        <w:pStyle w:val="BodyText"/>
        <w:spacing w:line="357" w:lineRule="auto"/>
        <w:ind w:left="593" w:right="1153"/>
        <w:jc w:val="left"/>
      </w:pPr>
      <w:r>
        <w:rPr>
          <w:rFonts w:ascii="宋体" w:hAnsi="宋体" w:cs="宋体" w:eastAsia="宋体" w:hint="default"/>
        </w:rPr>
        <w:t>2</w:t>
      </w:r>
      <w:r>
        <w:rPr/>
        <w:t>）确定总体审计计划 在会计师事务所进场审计前，审计委员会与会计师事务所经过协商，确定了公司</w:t>
      </w:r>
      <w:r>
        <w:rPr>
          <w:rFonts w:ascii="宋体" w:hAnsi="宋体" w:cs="宋体" w:eastAsia="宋体" w:hint="default"/>
        </w:rPr>
        <w:t>2010</w:t>
      </w:r>
      <w:r>
        <w:rPr/>
        <w:t>年</w:t>
      </w:r>
    </w:p>
    <w:p>
      <w:pPr>
        <w:pStyle w:val="BodyText"/>
        <w:spacing w:line="357" w:lineRule="auto"/>
        <w:ind w:left="593" w:right="7874" w:hanging="481"/>
        <w:jc w:val="left"/>
      </w:pPr>
      <w:r>
        <w:rPr/>
        <w:t>年度审计工作的时间安排。 </w:t>
      </w:r>
      <w:r>
        <w:rPr>
          <w:rFonts w:ascii="宋体" w:hAnsi="宋体" w:cs="宋体" w:eastAsia="宋体" w:hint="default"/>
        </w:rPr>
        <w:t>3) </w:t>
      </w:r>
      <w:r>
        <w:rPr/>
        <w:t>督促审计工作</w:t>
      </w:r>
    </w:p>
    <w:p>
      <w:pPr>
        <w:pStyle w:val="BodyText"/>
        <w:spacing w:line="357" w:lineRule="auto"/>
        <w:ind w:right="1154" w:firstLine="480"/>
        <w:jc w:val="left"/>
      </w:pP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7</w:t>
      </w:r>
      <w:r>
        <w:rPr/>
        <w:t>日，会计师事务所正式进场开始审计工作。在审计期间，审计委员会多次督 促会计师事务所按照审计时间安排完成审计工作，确保公司年度报告及相关文件按时披露。</w:t>
      </w:r>
    </w:p>
    <w:p>
      <w:pPr>
        <w:pStyle w:val="BodyText"/>
        <w:spacing w:line="240" w:lineRule="auto"/>
        <w:ind w:left="593" w:right="0"/>
        <w:jc w:val="left"/>
      </w:pPr>
      <w:r>
        <w:rPr>
          <w:rFonts w:ascii="宋体" w:hAnsi="宋体" w:cs="宋体" w:eastAsia="宋体" w:hint="default"/>
        </w:rPr>
        <w:t>4</w:t>
      </w:r>
      <w:r>
        <w:rPr/>
        <w:t>）初步审计意见后审阅财务会计报表</w:t>
      </w:r>
    </w:p>
    <w:p>
      <w:pPr>
        <w:pStyle w:val="BodyText"/>
        <w:spacing w:line="357" w:lineRule="auto" w:before="154"/>
        <w:ind w:right="1002" w:firstLine="480"/>
        <w:jc w:val="left"/>
      </w:pP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31</w:t>
      </w:r>
      <w:r>
        <w:rPr/>
        <w:t>日，会计师事务所出具了财务会计报表的初步审计意见，审计委员会于</w:t>
      </w:r>
      <w:r>
        <w:rPr>
          <w:rFonts w:ascii="宋体" w:hAnsi="宋体" w:cs="宋体" w:eastAsia="宋体" w:hint="default"/>
        </w:rPr>
        <w:t>2011 </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w:t>
      </w:r>
      <w:r>
        <w:rPr>
          <w:spacing w:val="-2"/>
        </w:rPr>
        <w:t>日召开了审计委员会</w:t>
      </w:r>
      <w:r>
        <w:rPr>
          <w:rFonts w:ascii="宋体" w:hAnsi="宋体" w:cs="宋体" w:eastAsia="宋体" w:hint="default"/>
          <w:spacing w:val="-2"/>
        </w:rPr>
        <w:t>2010</w:t>
      </w:r>
      <w:r>
        <w:rPr>
          <w:spacing w:val="-2"/>
        </w:rPr>
        <w:t>年报第二次会议，审阅了经初步审计后的公司财务会计报表，</w:t>
      </w:r>
      <w:r>
        <w:rPr>
          <w:spacing w:val="-114"/>
        </w:rPr>
        <w:t> </w:t>
      </w:r>
      <w:r>
        <w:rPr>
          <w:spacing w:val="-114"/>
        </w:rPr>
      </w:r>
      <w:r>
        <w:rPr/>
        <w:t>认为：该报表真实、准确、完整的反映了公司截至</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日的财务状况和</w:t>
      </w:r>
      <w:r>
        <w:rPr>
          <w:rFonts w:ascii="宋体" w:hAnsi="宋体" w:cs="宋体" w:eastAsia="宋体" w:hint="default"/>
        </w:rPr>
        <w:t>2010</w:t>
      </w:r>
      <w:r>
        <w:rPr/>
        <w:t>年度经 营成果，并同意以此报表为基础制作</w:t>
      </w:r>
      <w:r>
        <w:rPr>
          <w:rFonts w:ascii="宋体" w:hAnsi="宋体" w:cs="宋体" w:eastAsia="宋体" w:hint="default"/>
        </w:rPr>
        <w:t>2010</w:t>
      </w:r>
      <w:r>
        <w:rPr/>
        <w:t>年年度报告及摘要。同时要求会计师事务所按照计 划尽快完成审计工作，以保证公司如期披露</w:t>
      </w:r>
      <w:r>
        <w:rPr>
          <w:rFonts w:ascii="宋体" w:hAnsi="宋体" w:cs="宋体" w:eastAsia="宋体" w:hint="default"/>
        </w:rPr>
        <w:t>2010</w:t>
      </w:r>
      <w:r>
        <w:rPr/>
        <w:t>年年度报告。</w:t>
      </w:r>
    </w:p>
    <w:p>
      <w:pPr>
        <w:pStyle w:val="BodyText"/>
        <w:spacing w:line="240" w:lineRule="auto"/>
        <w:ind w:left="593" w:right="0"/>
        <w:jc w:val="left"/>
      </w:pPr>
      <w:r>
        <w:rPr>
          <w:rFonts w:ascii="宋体" w:hAnsi="宋体" w:cs="宋体" w:eastAsia="宋体" w:hint="default"/>
        </w:rPr>
        <w:t>5</w:t>
      </w:r>
      <w:r>
        <w:rPr/>
        <w:t>）正式报告后的总结工作</w:t>
      </w:r>
    </w:p>
    <w:p>
      <w:pPr>
        <w:pStyle w:val="BodyText"/>
        <w:spacing w:line="357" w:lineRule="auto" w:before="154"/>
        <w:ind w:right="1131" w:firstLine="480"/>
        <w:jc w:val="both"/>
      </w:pP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15</w:t>
      </w:r>
      <w:r>
        <w:rPr>
          <w:spacing w:val="-2"/>
        </w:rPr>
        <w:t>日，会计师事务所出具正式审计报告及其他相关文件。审计委员会向董事会</w:t>
      </w:r>
      <w:r>
        <w:rPr/>
        <w:t> 提交《审计委员会履职暨关于会计师事务所</w:t>
      </w:r>
      <w:r>
        <w:rPr>
          <w:rFonts w:ascii="宋体" w:hAnsi="宋体" w:cs="宋体" w:eastAsia="宋体" w:hint="default"/>
        </w:rPr>
        <w:t>2010</w:t>
      </w:r>
      <w:r>
        <w:rPr/>
        <w:t>年度的审计工作总结报告》，认为：公司聘 请的深圳市鹏城会计师事务所有限公司在为公司提供审计服务的过程中，恪尽职守，遵守独 立、客观、公正的职业准则，较好地完成了</w:t>
      </w:r>
      <w:r>
        <w:rPr>
          <w:rFonts w:ascii="宋体" w:hAnsi="宋体" w:cs="宋体" w:eastAsia="宋体" w:hint="default"/>
        </w:rPr>
        <w:t>2010</w:t>
      </w:r>
      <w:r>
        <w:rPr/>
        <w:t>年年度报告审计的各项工作。</w:t>
      </w:r>
    </w:p>
    <w:p>
      <w:pPr>
        <w:pStyle w:val="BodyText"/>
        <w:spacing w:line="357" w:lineRule="auto"/>
        <w:ind w:left="593" w:right="1153"/>
        <w:jc w:val="left"/>
      </w:pPr>
      <w:r>
        <w:rPr>
          <w:rFonts w:ascii="宋体" w:hAnsi="宋体" w:cs="宋体" w:eastAsia="宋体" w:hint="default"/>
        </w:rPr>
        <w:t>6</w:t>
      </w:r>
      <w:r>
        <w:rPr/>
        <w:t>）续聘会计师事务所的决议 鉴于深圳市鹏城会计师事务所能够按照新的审计准则的要求，严格执行相关审计规程和</w:t>
      </w:r>
    </w:p>
    <w:p>
      <w:pPr>
        <w:pStyle w:val="BodyText"/>
        <w:spacing w:line="357" w:lineRule="auto"/>
        <w:ind w:right="1171"/>
        <w:jc w:val="both"/>
      </w:pPr>
      <w:r>
        <w:rPr/>
        <w:t>事务所质量控制制度，该所业务素质良好，恪尽职守，较好地完成了各项审计任务，决议向 董事会提请继续聘任该所为公司</w:t>
      </w:r>
      <w:r>
        <w:rPr>
          <w:rFonts w:ascii="宋体" w:hAnsi="宋体" w:cs="宋体" w:eastAsia="宋体" w:hint="default"/>
        </w:rPr>
        <w:t>2011</w:t>
      </w:r>
      <w:r>
        <w:rPr/>
        <w:t>年度审计机构。</w:t>
      </w:r>
    </w:p>
    <w:p>
      <w:pPr>
        <w:pStyle w:val="BodyText"/>
        <w:spacing w:line="357" w:lineRule="auto"/>
        <w:ind w:right="1132" w:firstLine="480"/>
        <w:jc w:val="right"/>
      </w:pPr>
      <w:r>
        <w:rPr>
          <w:rFonts w:ascii="宋体" w:hAnsi="宋体" w:cs="宋体" w:eastAsia="宋体" w:hint="default"/>
          <w:spacing w:val="-3"/>
        </w:rPr>
        <w:t>4</w:t>
      </w:r>
      <w:r>
        <w:rPr>
          <w:spacing w:val="-3"/>
        </w:rPr>
        <w:t>、独立董事对公司累计和当期对外担保情况、执行相关规定情况的专项说明及独立意见</w:t>
      </w:r>
      <w:r>
        <w:rPr/>
        <w:t> 我们基于独立判断的立场，对深圳大通实业股份有限公司对外担保情况及执行相关规定 情况进行了深入核查。经审查，报告期内，公司未为公司股东及其关联方、任何非法人单位</w:t>
      </w:r>
    </w:p>
    <w:p>
      <w:pPr>
        <w:pStyle w:val="BodyText"/>
        <w:spacing w:line="240" w:lineRule="auto" w:before="36"/>
        <w:ind w:right="0"/>
        <w:jc w:val="both"/>
      </w:pPr>
      <w:r>
        <w:rPr/>
        <w:t>或个人提供担保。</w:t>
      </w:r>
    </w:p>
    <w:p>
      <w:pPr>
        <w:pStyle w:val="BodyText"/>
        <w:spacing w:line="357" w:lineRule="auto" w:before="151"/>
        <w:ind w:left="593" w:right="1633"/>
        <w:jc w:val="left"/>
      </w:pPr>
      <w:r>
        <w:rPr/>
        <w:t>（六）利润分配预案 经深圳鹏城会计师事务所审计确认，公司</w:t>
      </w:r>
      <w:r>
        <w:rPr>
          <w:rFonts w:ascii="宋体" w:hAnsi="宋体" w:cs="宋体" w:eastAsia="宋体" w:hint="default"/>
        </w:rPr>
        <w:t>2010</w:t>
      </w:r>
      <w:r>
        <w:rPr/>
        <w:t>年度实现的归属于母公司的净利润为</w:t>
      </w:r>
    </w:p>
    <w:p>
      <w:pPr>
        <w:pStyle w:val="BodyText"/>
        <w:spacing w:line="240" w:lineRule="auto"/>
        <w:ind w:right="0"/>
        <w:jc w:val="both"/>
      </w:pPr>
      <w:r>
        <w:rPr>
          <w:rFonts w:ascii="宋体" w:hAnsi="宋体" w:cs="宋体" w:eastAsia="宋体" w:hint="default"/>
        </w:rPr>
        <w:t>26,716,195.17</w:t>
      </w:r>
      <w:r>
        <w:rPr/>
        <w:t>元，经董事会审议通过，公司本年度净利润用于弥补以前年度亏损，本年度不</w:t>
      </w:r>
    </w:p>
    <w:p>
      <w:pPr>
        <w:spacing w:after="0" w:line="240" w:lineRule="auto"/>
        <w:jc w:val="both"/>
        <w:sectPr>
          <w:pgSz w:w="11910" w:h="16840"/>
          <w:pgMar w:header="0" w:footer="956" w:top="1060" w:bottom="1140" w:left="1020" w:right="0"/>
        </w:sectPr>
      </w:pPr>
    </w:p>
    <w:p>
      <w:pPr>
        <w:pStyle w:val="BodyText"/>
        <w:spacing w:line="357" w:lineRule="auto" w:before="14"/>
        <w:ind w:right="1169"/>
        <w:jc w:val="both"/>
      </w:pPr>
      <w:r>
        <w:rPr/>
        <w:t>进行利润分配，也不进行资本公积金转增股本（股改方案中的资本公积向全体流通股定向转 增方案除外）。公司独立董事表示同意董事会作出该项预案，本方案需提交</w:t>
      </w:r>
      <w:r>
        <w:rPr>
          <w:rFonts w:ascii="宋体" w:hAnsi="宋体" w:cs="宋体" w:eastAsia="宋体" w:hint="default"/>
        </w:rPr>
        <w:t>2010</w:t>
      </w:r>
      <w:r>
        <w:rPr/>
        <w:t>年年度股东 大会审议。</w:t>
      </w:r>
    </w:p>
    <w:p>
      <w:pPr>
        <w:pStyle w:val="BodyText"/>
        <w:spacing w:line="240" w:lineRule="auto"/>
        <w:ind w:left="593" w:right="0"/>
        <w:jc w:val="left"/>
      </w:pPr>
      <w:r>
        <w:rPr/>
        <w:t>公司前三年现金分红情况</w:t>
      </w:r>
    </w:p>
    <w:p>
      <w:pPr>
        <w:spacing w:before="16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69"/>
        <w:gridCol w:w="2014"/>
        <w:gridCol w:w="2016"/>
        <w:gridCol w:w="2014"/>
        <w:gridCol w:w="2016"/>
      </w:tblGrid>
      <w:tr>
        <w:trPr>
          <w:trHeight w:val="828"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5"/>
                <w:sz w:val="21"/>
                <w:szCs w:val="21"/>
              </w:rPr>
              <w:t>现金分红金额（含税</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z w:val="21"/>
                <w:szCs w:val="21"/>
              </w:rPr>
              <w:t>分红年度合并报表中</w:t>
            </w:r>
          </w:p>
          <w:p>
            <w:pPr>
              <w:pStyle w:val="TableParagraph"/>
              <w:spacing w:line="272" w:lineRule="exact" w:before="27"/>
              <w:ind w:left="583" w:right="53" w:hanging="718"/>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的净利润</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z w:val="21"/>
                <w:szCs w:val="21"/>
              </w:rPr>
              <w:t>占合并报表中归属于</w:t>
            </w:r>
          </w:p>
          <w:p>
            <w:pPr>
              <w:pStyle w:val="TableParagraph"/>
              <w:spacing w:line="272" w:lineRule="exact" w:before="27"/>
              <w:ind w:left="583" w:right="51" w:hanging="526"/>
              <w:jc w:val="left"/>
              <w:rPr>
                <w:rFonts w:ascii="宋体" w:hAnsi="宋体" w:cs="宋体" w:eastAsia="宋体" w:hint="default"/>
                <w:sz w:val="21"/>
                <w:szCs w:val="21"/>
              </w:rPr>
            </w:pPr>
            <w:r>
              <w:rPr>
                <w:rFonts w:ascii="宋体" w:hAnsi="宋体" w:cs="宋体" w:eastAsia="宋体" w:hint="default"/>
                <w:sz w:val="21"/>
                <w:szCs w:val="21"/>
              </w:rPr>
              <w:t>上市公司股东的净利</w:t>
            </w:r>
            <w:r>
              <w:rPr>
                <w:rFonts w:ascii="宋体" w:hAnsi="宋体" w:cs="宋体" w:eastAsia="宋体" w:hint="default"/>
                <w:w w:val="100"/>
                <w:sz w:val="21"/>
                <w:szCs w:val="21"/>
              </w:rPr>
              <w:t> </w:t>
            </w:r>
            <w:r>
              <w:rPr>
                <w:rFonts w:ascii="宋体" w:hAnsi="宋体" w:cs="宋体" w:eastAsia="宋体" w:hint="default"/>
                <w:sz w:val="21"/>
                <w:szCs w:val="21"/>
              </w:rPr>
              <w:t>润的比率</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281"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21,564,136.77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1,829,373.65</w:t>
            </w:r>
          </w:p>
        </w:tc>
      </w:tr>
      <w:tr>
        <w:trPr>
          <w:trHeight w:val="283"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188,595,506.14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-19,734,763.12</w:t>
            </w:r>
          </w:p>
        </w:tc>
      </w:tr>
      <w:tr>
        <w:trPr>
          <w:trHeight w:val="283"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16,140,031.16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-207,479,768.74</w:t>
            </w:r>
          </w:p>
        </w:tc>
      </w:tr>
      <w:tr>
        <w:trPr>
          <w:trHeight w:val="281" w:hRule="exact"/>
        </w:trPr>
        <w:tc>
          <w:tcPr>
            <w:tcW w:w="58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82"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0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12"/>
        <w:rPr>
          <w:rFonts w:ascii="宋体" w:hAnsi="宋体" w:cs="宋体" w:eastAsia="宋体" w:hint="default"/>
          <w:sz w:val="15"/>
          <w:szCs w:val="15"/>
        </w:rPr>
      </w:pPr>
    </w:p>
    <w:p>
      <w:pPr>
        <w:pStyle w:val="BodyText"/>
        <w:spacing w:line="355" w:lineRule="auto" w:before="26"/>
        <w:ind w:left="593" w:right="1153"/>
        <w:jc w:val="left"/>
      </w:pPr>
      <w:r>
        <w:rPr/>
        <w:t>（七）信息披露报刊情况 本报告期，公司信息披露指定的报刊为：《证券时报》、《中国证券报》；指定的网站</w:t>
      </w:r>
    </w:p>
    <w:p>
      <w:pPr>
        <w:pStyle w:val="BodyText"/>
        <w:spacing w:line="240" w:lineRule="auto" w:before="38"/>
        <w:ind w:right="0"/>
        <w:jc w:val="left"/>
      </w:pPr>
      <w:r>
        <w:rPr/>
        <w:t>为：巨潮资讯</w:t>
      </w:r>
      <w:hyperlink r:id="rId8">
        <w:r>
          <w:rPr>
            <w:rFonts w:ascii="宋体" w:hAnsi="宋体" w:cs="宋体" w:eastAsia="宋体" w:hint="default"/>
          </w:rPr>
          <w:t>(www.cninfo.com.cn</w:t>
        </w:r>
      </w:hyperlink>
      <w:r>
        <w:rPr/>
        <w:t>），未发生变更。</w:t>
      </w:r>
    </w:p>
    <w:p>
      <w:pPr>
        <w:spacing w:after="0" w:line="240" w:lineRule="auto"/>
        <w:jc w:val="left"/>
        <w:sectPr>
          <w:pgSz w:w="11910" w:h="16840"/>
          <w:pgMar w:header="0" w:footer="956" w:top="1060" w:bottom="1140" w:left="1020" w:right="0"/>
        </w:sectPr>
      </w:pPr>
    </w:p>
    <w:p>
      <w:pPr>
        <w:pStyle w:val="Heading1"/>
        <w:tabs>
          <w:tab w:pos="1286" w:val="left" w:leader="none"/>
        </w:tabs>
        <w:spacing w:line="401" w:lineRule="exact"/>
        <w:ind w:right="1023"/>
        <w:jc w:val="center"/>
        <w:rPr>
          <w:b w:val="0"/>
          <w:bCs w:val="0"/>
        </w:rPr>
      </w:pPr>
      <w:bookmarkStart w:name="_TOC_250003" w:id="9"/>
      <w:r>
        <w:rPr>
          <w:w w:val="95"/>
        </w:rPr>
        <w:t>第九章</w:t>
        <w:tab/>
      </w:r>
      <w:r>
        <w:rPr/>
        <w:t>监事会报告</w:t>
      </w:r>
      <w:bookmarkEnd w:id="9"/>
      <w:r>
        <w:rPr>
          <w:b w:val="0"/>
          <w:bCs w:val="0"/>
        </w:rPr>
      </w:r>
    </w:p>
    <w:p>
      <w:pPr>
        <w:spacing w:line="240" w:lineRule="auto" w:before="13"/>
        <w:rPr>
          <w:rFonts w:ascii="宋体" w:hAnsi="宋体" w:cs="宋体" w:eastAsia="宋体" w:hint="default"/>
          <w:b/>
          <w:bCs/>
          <w:sz w:val="34"/>
          <w:szCs w:val="34"/>
        </w:rPr>
      </w:pPr>
    </w:p>
    <w:p>
      <w:pPr>
        <w:pStyle w:val="BodyText"/>
        <w:spacing w:line="355" w:lineRule="auto" w:before="0"/>
        <w:ind w:left="593" w:right="4873"/>
        <w:jc w:val="left"/>
      </w:pPr>
      <w:r>
        <w:rPr/>
        <w:t>（一）报告期内监事会的会议情况 报告期内，公司监事会共召开</w:t>
      </w:r>
      <w:r>
        <w:rPr>
          <w:rFonts w:ascii="宋体" w:hAnsi="宋体" w:cs="宋体" w:eastAsia="宋体" w:hint="default"/>
        </w:rPr>
        <w:t>3</w:t>
      </w:r>
      <w:r>
        <w:rPr/>
        <w:t>次会议，情况如下：</w:t>
      </w:r>
    </w:p>
    <w:p>
      <w:pPr>
        <w:pStyle w:val="BodyText"/>
        <w:spacing w:line="240" w:lineRule="auto" w:before="38"/>
        <w:ind w:left="593" w:right="0"/>
        <w:jc w:val="left"/>
      </w:pPr>
      <w:r>
        <w:rPr>
          <w:rFonts w:ascii="宋体" w:hAnsi="宋体" w:cs="宋体" w:eastAsia="宋体" w:hint="default"/>
        </w:rPr>
        <w:t>1</w:t>
      </w:r>
      <w:r>
        <w:rPr/>
        <w:t>、</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23</w:t>
      </w:r>
      <w:r>
        <w:rPr/>
        <w:t>日，公司召开了第七届监事会第二次会议，会议审议通过了以下议案：</w:t>
      </w:r>
    </w:p>
    <w:p>
      <w:pPr>
        <w:pStyle w:val="BodyText"/>
        <w:spacing w:line="240" w:lineRule="auto" w:before="151"/>
        <w:ind w:left="593" w:right="0"/>
        <w:jc w:val="left"/>
      </w:pPr>
      <w:r>
        <w:rPr>
          <w:rFonts w:ascii="宋体" w:hAnsi="宋体" w:cs="宋体" w:eastAsia="宋体" w:hint="default"/>
        </w:rPr>
        <w:t>1</w:t>
      </w:r>
      <w:r>
        <w:rPr/>
        <w:t>）《深圳大通实业股份有限公司</w:t>
      </w:r>
      <w:r>
        <w:rPr>
          <w:rFonts w:ascii="宋体" w:hAnsi="宋体" w:cs="宋体" w:eastAsia="宋体" w:hint="default"/>
        </w:rPr>
        <w:t>2009 </w:t>
      </w:r>
      <w:r>
        <w:rPr/>
        <w:t>年度监事会工作报告》；</w:t>
      </w:r>
    </w:p>
    <w:p>
      <w:pPr>
        <w:pStyle w:val="BodyText"/>
        <w:spacing w:line="240" w:lineRule="auto" w:before="154"/>
        <w:ind w:left="593" w:right="0"/>
        <w:jc w:val="left"/>
      </w:pPr>
      <w:r>
        <w:rPr>
          <w:rFonts w:ascii="宋体" w:hAnsi="宋体" w:cs="宋体" w:eastAsia="宋体" w:hint="default"/>
        </w:rPr>
        <w:t>2</w:t>
      </w:r>
      <w:r>
        <w:rPr/>
        <w:t>）《深圳大通实业股份有限公司</w:t>
      </w:r>
      <w:r>
        <w:rPr>
          <w:rFonts w:ascii="宋体" w:hAnsi="宋体" w:cs="宋体" w:eastAsia="宋体" w:hint="default"/>
        </w:rPr>
        <w:t>2009</w:t>
      </w:r>
      <w:r>
        <w:rPr/>
        <w:t>年度财务决算报告》；</w:t>
      </w:r>
    </w:p>
    <w:p>
      <w:pPr>
        <w:pStyle w:val="BodyText"/>
        <w:spacing w:line="240" w:lineRule="auto" w:before="154"/>
        <w:ind w:left="593" w:right="0"/>
        <w:jc w:val="left"/>
      </w:pPr>
      <w:r>
        <w:rPr>
          <w:rFonts w:ascii="宋体" w:hAnsi="宋体" w:cs="宋体" w:eastAsia="宋体" w:hint="default"/>
        </w:rPr>
        <w:t>3</w:t>
      </w:r>
      <w:r>
        <w:rPr/>
        <w:t>）《深圳大通实业股份有限公司</w:t>
      </w:r>
      <w:r>
        <w:rPr>
          <w:rFonts w:ascii="宋体" w:hAnsi="宋体" w:cs="宋体" w:eastAsia="宋体" w:hint="default"/>
        </w:rPr>
        <w:t>2009 </w:t>
      </w:r>
      <w:r>
        <w:rPr/>
        <w:t>年度报告及其摘要、</w:t>
      </w:r>
      <w:r>
        <w:rPr>
          <w:rFonts w:ascii="宋体" w:hAnsi="宋体" w:cs="宋体" w:eastAsia="宋体" w:hint="default"/>
        </w:rPr>
        <w:t>2009</w:t>
      </w:r>
      <w:r>
        <w:rPr/>
        <w:t>年度财务报告》；</w:t>
      </w:r>
    </w:p>
    <w:p>
      <w:pPr>
        <w:pStyle w:val="BodyText"/>
        <w:spacing w:line="240" w:lineRule="auto" w:before="151"/>
        <w:ind w:left="593" w:right="0"/>
        <w:jc w:val="left"/>
      </w:pPr>
      <w:r>
        <w:rPr>
          <w:rFonts w:ascii="宋体" w:hAnsi="宋体" w:cs="宋体" w:eastAsia="宋体" w:hint="default"/>
        </w:rPr>
        <w:t>4</w:t>
      </w:r>
      <w:r>
        <w:rPr/>
        <w:t>）《深圳大通实业股份有限公司内部控制评价报告》；</w:t>
      </w:r>
    </w:p>
    <w:p>
      <w:pPr>
        <w:pStyle w:val="BodyText"/>
        <w:spacing w:line="240" w:lineRule="auto" w:before="154"/>
        <w:ind w:left="593" w:right="0"/>
        <w:jc w:val="left"/>
      </w:pPr>
      <w:r>
        <w:rPr>
          <w:rFonts w:ascii="宋体" w:hAnsi="宋体" w:cs="宋体" w:eastAsia="宋体" w:hint="default"/>
        </w:rPr>
        <w:t>5</w:t>
      </w:r>
      <w:r>
        <w:rPr/>
        <w:t>）《</w:t>
      </w:r>
      <w:r>
        <w:rPr>
          <w:rFonts w:ascii="宋体" w:hAnsi="宋体" w:cs="宋体" w:eastAsia="宋体" w:hint="default"/>
        </w:rPr>
        <w:t>2009</w:t>
      </w:r>
      <w:r>
        <w:rPr>
          <w:rFonts w:ascii="宋体" w:hAnsi="宋体" w:cs="宋体" w:eastAsia="宋体" w:hint="default"/>
          <w:spacing w:val="-1"/>
        </w:rPr>
        <w:t> </w:t>
      </w:r>
      <w:r>
        <w:rPr/>
        <w:t>年度利润分配预案》；</w:t>
      </w:r>
    </w:p>
    <w:p>
      <w:pPr>
        <w:pStyle w:val="BodyText"/>
        <w:spacing w:line="240" w:lineRule="auto" w:before="151"/>
        <w:ind w:left="593" w:right="0"/>
        <w:jc w:val="left"/>
      </w:pPr>
      <w:r>
        <w:rPr>
          <w:rFonts w:ascii="宋体" w:hAnsi="宋体" w:cs="宋体" w:eastAsia="宋体" w:hint="default"/>
        </w:rPr>
        <w:t>6</w:t>
      </w:r>
      <w:r>
        <w:rPr/>
        <w:t>）《</w:t>
      </w:r>
      <w:r>
        <w:rPr>
          <w:rFonts w:ascii="宋体" w:hAnsi="宋体" w:cs="宋体" w:eastAsia="宋体" w:hint="default"/>
        </w:rPr>
        <w:t>2010</w:t>
      </w:r>
      <w:r>
        <w:rPr/>
        <w:t>年第一季度报告全文及正文、财务报告》；</w:t>
      </w:r>
    </w:p>
    <w:p>
      <w:pPr>
        <w:pStyle w:val="BodyText"/>
        <w:spacing w:line="240" w:lineRule="auto" w:before="154"/>
        <w:ind w:left="593" w:right="0"/>
        <w:jc w:val="left"/>
      </w:pPr>
      <w:r>
        <w:rPr>
          <w:rFonts w:ascii="宋体" w:hAnsi="宋体" w:cs="宋体" w:eastAsia="宋体" w:hint="default"/>
        </w:rPr>
        <w:t>7</w:t>
      </w:r>
      <w:r>
        <w:rPr/>
        <w:t>）《关于修订</w:t>
      </w:r>
      <w:r>
        <w:rPr>
          <w:rFonts w:ascii="宋体" w:hAnsi="宋体" w:cs="宋体" w:eastAsia="宋体" w:hint="default"/>
        </w:rPr>
        <w:t>&lt;</w:t>
      </w:r>
      <w:r>
        <w:rPr/>
        <w:t>监事会议事规则</w:t>
      </w:r>
      <w:r>
        <w:rPr>
          <w:rFonts w:ascii="宋体" w:hAnsi="宋体" w:cs="宋体" w:eastAsia="宋体" w:hint="default"/>
        </w:rPr>
        <w:t>&gt;</w:t>
      </w:r>
      <w:r>
        <w:rPr/>
        <w:t>的议案》</w:t>
      </w:r>
    </w:p>
    <w:p>
      <w:pPr>
        <w:pStyle w:val="BodyText"/>
        <w:spacing w:line="240" w:lineRule="auto" w:before="151"/>
        <w:ind w:left="593" w:right="0"/>
        <w:jc w:val="left"/>
      </w:pPr>
      <w:r>
        <w:rPr>
          <w:rFonts w:ascii="宋体" w:hAnsi="宋体" w:cs="宋体" w:eastAsia="宋体" w:hint="default"/>
        </w:rPr>
        <w:t>8</w:t>
      </w:r>
      <w:r>
        <w:rPr/>
        <w:t>）《关于修改</w:t>
      </w:r>
      <w:r>
        <w:rPr>
          <w:rFonts w:ascii="宋体" w:hAnsi="宋体" w:cs="宋体" w:eastAsia="宋体" w:hint="default"/>
        </w:rPr>
        <w:t>&lt;</w:t>
      </w:r>
      <w:r>
        <w:rPr/>
        <w:t>董事、监事薪酬制度</w:t>
      </w:r>
      <w:r>
        <w:rPr>
          <w:rFonts w:ascii="宋体" w:hAnsi="宋体" w:cs="宋体" w:eastAsia="宋体" w:hint="default"/>
        </w:rPr>
        <w:t>&gt;</w:t>
      </w:r>
      <w:r>
        <w:rPr/>
        <w:t>的议案》</w:t>
      </w:r>
    </w:p>
    <w:p>
      <w:pPr>
        <w:pStyle w:val="BodyText"/>
        <w:spacing w:line="240" w:lineRule="auto" w:before="154"/>
        <w:ind w:left="593" w:right="0"/>
        <w:jc w:val="left"/>
      </w:pPr>
      <w:r>
        <w:rPr>
          <w:rFonts w:ascii="宋体" w:hAnsi="宋体" w:cs="宋体" w:eastAsia="宋体" w:hint="default"/>
        </w:rPr>
        <w:t>9</w:t>
      </w:r>
      <w:r>
        <w:rPr/>
        <w:t>）《关于续聘会计师事务所的议案》</w:t>
      </w:r>
    </w:p>
    <w:p>
      <w:pPr>
        <w:pStyle w:val="BodyText"/>
        <w:spacing w:line="240" w:lineRule="auto" w:before="151"/>
        <w:ind w:left="593" w:right="0"/>
        <w:jc w:val="left"/>
      </w:pPr>
      <w:r>
        <w:rPr>
          <w:rFonts w:ascii="宋体" w:hAnsi="宋体" w:cs="宋体" w:eastAsia="宋体" w:hint="default"/>
        </w:rPr>
        <w:t>10</w:t>
      </w:r>
      <w:r>
        <w:rPr/>
        <w:t>）《关于提议召开公司</w:t>
      </w:r>
      <w:r>
        <w:rPr>
          <w:rFonts w:ascii="宋体" w:hAnsi="宋体" w:cs="宋体" w:eastAsia="宋体" w:hint="default"/>
        </w:rPr>
        <w:t>2009</w:t>
      </w:r>
      <w:r>
        <w:rPr/>
        <w:t>年年度股东大会的议案》。</w:t>
      </w:r>
    </w:p>
    <w:p>
      <w:pPr>
        <w:pStyle w:val="BodyText"/>
        <w:spacing w:line="355" w:lineRule="auto" w:before="154"/>
        <w:ind w:right="0" w:firstLine="480"/>
        <w:jc w:val="left"/>
      </w:pPr>
      <w:r>
        <w:rPr>
          <w:rFonts w:ascii="宋体" w:hAnsi="宋体" w:cs="宋体" w:eastAsia="宋体" w:hint="default"/>
          <w:spacing w:val="-8"/>
        </w:rPr>
        <w:t>2</w:t>
      </w:r>
      <w:r>
        <w:rPr>
          <w:spacing w:val="-8"/>
        </w:rPr>
        <w:t>、</w:t>
      </w:r>
      <w:r>
        <w:rPr>
          <w:rFonts w:ascii="宋体" w:hAnsi="宋体" w:cs="宋体" w:eastAsia="宋体" w:hint="default"/>
          <w:spacing w:val="-8"/>
        </w:rPr>
        <w:t>2010</w:t>
      </w:r>
      <w:r>
        <w:rPr>
          <w:spacing w:val="-8"/>
        </w:rPr>
        <w:t>年</w:t>
      </w:r>
      <w:r>
        <w:rPr>
          <w:rFonts w:ascii="宋体" w:hAnsi="宋体" w:cs="宋体" w:eastAsia="宋体" w:hint="default"/>
          <w:spacing w:val="-8"/>
        </w:rPr>
        <w:t>8</w:t>
      </w:r>
      <w:r>
        <w:rPr>
          <w:spacing w:val="-8"/>
        </w:rPr>
        <w:t>月</w:t>
      </w:r>
      <w:r>
        <w:rPr>
          <w:rFonts w:ascii="宋体" w:hAnsi="宋体" w:cs="宋体" w:eastAsia="宋体" w:hint="default"/>
          <w:spacing w:val="-8"/>
        </w:rPr>
        <w:t>5</w:t>
      </w:r>
      <w:r>
        <w:rPr>
          <w:spacing w:val="-8"/>
        </w:rPr>
        <w:t>日，公司召开了第七届监事会第三次会议，会议审议通过了《关于公司</w:t>
      </w:r>
      <w:r>
        <w:rPr>
          <w:rFonts w:ascii="宋体" w:hAnsi="宋体" w:cs="宋体" w:eastAsia="宋体" w:hint="default"/>
          <w:spacing w:val="-8"/>
        </w:rPr>
        <w:t>2010</w:t>
      </w:r>
      <w:r>
        <w:rPr>
          <w:rFonts w:ascii="宋体" w:hAnsi="宋体" w:cs="宋体" w:eastAsia="宋体" w:hint="default"/>
        </w:rPr>
        <w:t> </w:t>
      </w:r>
      <w:r>
        <w:rPr/>
        <w:t>年半年度报告及半年度报告摘要的议案》</w:t>
      </w:r>
    </w:p>
    <w:p>
      <w:pPr>
        <w:pStyle w:val="BodyText"/>
        <w:spacing w:line="240" w:lineRule="auto" w:before="39"/>
        <w:ind w:left="593" w:right="0"/>
        <w:jc w:val="left"/>
      </w:pPr>
      <w:r>
        <w:rPr>
          <w:rFonts w:ascii="宋体" w:hAnsi="宋体" w:cs="宋体" w:eastAsia="宋体" w:hint="default"/>
        </w:rPr>
        <w:t>3</w:t>
      </w:r>
      <w:r>
        <w:rPr/>
        <w:t>、</w:t>
      </w:r>
      <w:r>
        <w:rPr>
          <w:rFonts w:ascii="宋体" w:hAnsi="宋体" w:cs="宋体" w:eastAsia="宋体" w:hint="default"/>
        </w:rPr>
        <w:t>2010</w:t>
      </w:r>
      <w:r>
        <w:rPr/>
        <w:t>年</w:t>
      </w:r>
      <w:r>
        <w:rPr>
          <w:rFonts w:ascii="宋体" w:hAnsi="宋体" w:cs="宋体" w:eastAsia="宋体" w:hint="default"/>
        </w:rPr>
        <w:t>10</w:t>
      </w:r>
      <w:r>
        <w:rPr/>
        <w:t>月</w:t>
      </w:r>
      <w:r>
        <w:rPr>
          <w:rFonts w:ascii="宋体" w:hAnsi="宋体" w:cs="宋体" w:eastAsia="宋体" w:hint="default"/>
        </w:rPr>
        <w:t>29</w:t>
      </w:r>
      <w:r>
        <w:rPr/>
        <w:t>日，公司召开了第七届监事会第四次会议，会议审议通过了</w:t>
      </w:r>
    </w:p>
    <w:p>
      <w:pPr>
        <w:pStyle w:val="BodyText"/>
        <w:spacing w:line="240" w:lineRule="auto" w:before="151"/>
        <w:ind w:left="593" w:right="0"/>
        <w:jc w:val="left"/>
      </w:pPr>
      <w:r>
        <w:rPr>
          <w:rFonts w:ascii="宋体" w:hAnsi="宋体" w:cs="宋体" w:eastAsia="宋体" w:hint="default"/>
        </w:rPr>
        <w:t>1</w:t>
      </w:r>
      <w:r>
        <w:rPr/>
        <w:t>）、《关于公司</w:t>
      </w:r>
      <w:r>
        <w:rPr>
          <w:rFonts w:ascii="宋体" w:hAnsi="宋体" w:cs="宋体" w:eastAsia="宋体" w:hint="default"/>
        </w:rPr>
        <w:t>2010</w:t>
      </w:r>
      <w:r>
        <w:rPr/>
        <w:t>年第三季度报告全文、正文及财务报告的议案》</w:t>
      </w:r>
    </w:p>
    <w:p>
      <w:pPr>
        <w:pStyle w:val="BodyText"/>
        <w:spacing w:line="240" w:lineRule="auto" w:before="154"/>
        <w:ind w:left="593" w:right="0"/>
        <w:jc w:val="left"/>
      </w:pPr>
      <w:r>
        <w:rPr>
          <w:rFonts w:ascii="宋体" w:hAnsi="宋体" w:cs="宋体" w:eastAsia="宋体" w:hint="default"/>
        </w:rPr>
        <w:t>2</w:t>
      </w:r>
      <w:r>
        <w:rPr/>
        <w:t>）、《深圳大通实业股份有限公司防止资金占用长效机制建立和落实情况的自查报告》</w:t>
      </w:r>
    </w:p>
    <w:p>
      <w:pPr>
        <w:pStyle w:val="BodyText"/>
        <w:spacing w:line="357" w:lineRule="auto" w:before="151"/>
        <w:ind w:left="593" w:right="0"/>
        <w:jc w:val="left"/>
      </w:pPr>
      <w:r>
        <w:rPr/>
        <w:t>（二）监事会的独立意见 </w:t>
      </w:r>
      <w:r>
        <w:rPr>
          <w:rFonts w:ascii="宋体" w:hAnsi="宋体" w:cs="宋体" w:eastAsia="宋体" w:hint="default"/>
        </w:rPr>
        <w:t>2010</w:t>
      </w:r>
      <w:r>
        <w:rPr/>
        <w:t>年，公司监事会按照《公司法》、《证券法》及《公司章程》的有关规定，密切关</w:t>
      </w:r>
    </w:p>
    <w:p>
      <w:pPr>
        <w:pStyle w:val="BodyText"/>
        <w:spacing w:line="357" w:lineRule="auto"/>
        <w:ind w:left="593" w:right="1118" w:hanging="481"/>
        <w:jc w:val="left"/>
      </w:pPr>
      <w:r>
        <w:rPr/>
        <w:t>注公司运作情况，对董事、高级管理人员履行职责的情况进行了监督。 </w:t>
      </w:r>
      <w:r>
        <w:rPr>
          <w:rFonts w:ascii="宋体" w:hAnsi="宋体" w:cs="宋体" w:eastAsia="宋体" w:hint="default"/>
        </w:rPr>
        <w:t>1</w:t>
      </w:r>
      <w:r>
        <w:rPr/>
        <w:t>、公司依法运作情况 本公司监事会认为：董事会能够依法规范运作，认真执行了股东大会的决议，忠实履行</w:t>
      </w:r>
    </w:p>
    <w:p>
      <w:pPr>
        <w:pStyle w:val="BodyText"/>
        <w:spacing w:line="240" w:lineRule="auto"/>
        <w:ind w:right="0"/>
        <w:jc w:val="left"/>
      </w:pPr>
      <w:r>
        <w:rPr/>
        <w:t>了诚信义务，能够代表公司和股东的利益，董事会的各项决议符合《公司法》等法律法规和</w:t>
      </w:r>
    </w:p>
    <w:p>
      <w:pPr>
        <w:pStyle w:val="BodyText"/>
        <w:spacing w:line="357" w:lineRule="auto" w:before="154"/>
        <w:ind w:right="1139"/>
        <w:jc w:val="both"/>
      </w:pPr>
      <w:r>
        <w:rPr/>
        <w:t>《公司章程》的要求。公司经营层严格执行了董事会的各项决议、生产经营状况保持稳定。</w:t>
      </w:r>
      <w:r>
        <w:rPr>
          <w:spacing w:val="-91"/>
        </w:rPr>
        <w:t> </w:t>
      </w:r>
      <w:r>
        <w:rPr>
          <w:spacing w:val="-91"/>
        </w:rPr>
      </w:r>
      <w:r>
        <w:rPr/>
        <w:t>公司董事、总经理及其他高级管理人员执行职务时无违反法律、法规、公司章程或损害公司</w:t>
      </w:r>
      <w:r>
        <w:rPr>
          <w:spacing w:val="-91"/>
        </w:rPr>
        <w:t> </w:t>
      </w:r>
      <w:r>
        <w:rPr>
          <w:spacing w:val="-91"/>
        </w:rPr>
      </w:r>
      <w:r>
        <w:rPr/>
        <w:t>利益的行为。</w:t>
      </w:r>
    </w:p>
    <w:p>
      <w:pPr>
        <w:pStyle w:val="BodyText"/>
        <w:spacing w:line="357" w:lineRule="auto"/>
        <w:ind w:left="593" w:right="0"/>
        <w:jc w:val="left"/>
      </w:pPr>
      <w:r>
        <w:rPr>
          <w:rFonts w:ascii="宋体" w:hAnsi="宋体" w:cs="宋体" w:eastAsia="宋体" w:hint="default"/>
        </w:rPr>
        <w:t>2</w:t>
      </w:r>
      <w:r>
        <w:rPr/>
        <w:t>、检查公司财务情况 报告期内，监事会认真审阅了公司的财务报告、审计报告和其他会计资料，并认为：公</w:t>
      </w:r>
    </w:p>
    <w:p>
      <w:pPr>
        <w:spacing w:after="0" w:line="357" w:lineRule="auto"/>
        <w:jc w:val="left"/>
        <w:sectPr>
          <w:pgSz w:w="11910" w:h="16840"/>
          <w:pgMar w:header="0" w:footer="956" w:top="1080" w:bottom="1140" w:left="1020" w:right="0"/>
        </w:sectPr>
      </w:pPr>
    </w:p>
    <w:p>
      <w:pPr>
        <w:pStyle w:val="BodyText"/>
        <w:spacing w:line="357" w:lineRule="auto" w:before="14"/>
        <w:ind w:left="152" w:right="1132"/>
        <w:jc w:val="both"/>
      </w:pPr>
      <w:r>
        <w:rPr/>
        <w:t>司财务部门能够按照国家财政法规，及国家监管部门的有关规定运作；公司 </w:t>
      </w:r>
      <w:r>
        <w:rPr>
          <w:rFonts w:ascii="宋体" w:hAnsi="宋体" w:cs="宋体" w:eastAsia="宋体" w:hint="default"/>
        </w:rPr>
        <w:t>2010</w:t>
      </w:r>
      <w:r>
        <w:rPr>
          <w:rFonts w:ascii="宋体" w:hAnsi="宋体" w:cs="宋体" w:eastAsia="宋体" w:hint="default"/>
          <w:spacing w:val="29"/>
        </w:rPr>
        <w:t> </w:t>
      </w:r>
      <w:r>
        <w:rPr/>
        <w:t>年度报告 的编制和审议符合法律、法规、《公司章程》及相关制度的各项规定；深圳市鹏城会计师事</w:t>
      </w:r>
      <w:r>
        <w:rPr>
          <w:spacing w:val="-88"/>
        </w:rPr>
        <w:t> </w:t>
      </w:r>
      <w:r>
        <w:rPr>
          <w:spacing w:val="-88"/>
        </w:rPr>
      </w:r>
      <w:r>
        <w:rPr/>
        <w:t>务所有限公司对本公司</w:t>
      </w:r>
      <w:r>
        <w:rPr>
          <w:rFonts w:ascii="宋体" w:hAnsi="宋体" w:cs="宋体" w:eastAsia="宋体" w:hint="default"/>
        </w:rPr>
        <w:t>2010</w:t>
      </w:r>
      <w:r>
        <w:rPr>
          <w:rFonts w:ascii="宋体" w:hAnsi="宋体" w:cs="宋体" w:eastAsia="宋体" w:hint="default"/>
          <w:spacing w:val="1"/>
        </w:rPr>
        <w:t> </w:t>
      </w:r>
      <w:r>
        <w:rPr>
          <w:spacing w:val="-3"/>
        </w:rPr>
        <w:t>年度财务报告的审计意见符合实际，财务报告真实反映了公司的</w:t>
      </w:r>
      <w:r>
        <w:rPr/>
        <w:t> 财务状况和经营成果。</w:t>
      </w:r>
    </w:p>
    <w:p>
      <w:pPr>
        <w:pStyle w:val="BodyText"/>
        <w:spacing w:line="240" w:lineRule="auto" w:before="36"/>
        <w:ind w:left="633" w:right="3673"/>
        <w:jc w:val="left"/>
      </w:pPr>
      <w:r>
        <w:rPr>
          <w:rFonts w:ascii="宋体" w:hAnsi="宋体" w:cs="宋体" w:eastAsia="宋体" w:hint="default"/>
        </w:rPr>
        <w:t>3</w:t>
      </w:r>
      <w:r>
        <w:rPr/>
        <w:t>、公司无募集资金投资项目的情况。</w:t>
      </w:r>
    </w:p>
    <w:p>
      <w:pPr>
        <w:pStyle w:val="BodyText"/>
        <w:spacing w:line="357" w:lineRule="auto" w:before="151"/>
        <w:ind w:left="633" w:right="3673"/>
        <w:jc w:val="left"/>
      </w:pPr>
      <w:r>
        <w:rPr>
          <w:rFonts w:ascii="宋体" w:hAnsi="宋体" w:cs="宋体" w:eastAsia="宋体" w:hint="default"/>
        </w:rPr>
        <w:t>4</w:t>
      </w:r>
      <w:r>
        <w:rPr/>
        <w:t>、报告期内，公司收购、出售资产情况及关联交易情况如下： 报告期内，公司无收购、出售资产情况。</w:t>
      </w:r>
    </w:p>
    <w:p>
      <w:pPr>
        <w:pStyle w:val="BodyText"/>
        <w:spacing w:line="240" w:lineRule="auto"/>
        <w:ind w:left="633" w:right="3673"/>
        <w:jc w:val="left"/>
      </w:pPr>
      <w:r>
        <w:rPr/>
        <w:t>关联交易情况如下：</w:t>
      </w:r>
    </w:p>
    <w:p>
      <w:pPr>
        <w:pStyle w:val="BodyText"/>
        <w:spacing w:line="240" w:lineRule="auto" w:before="154"/>
        <w:ind w:left="633" w:right="3673"/>
        <w:jc w:val="left"/>
      </w:pPr>
      <w:r>
        <w:rPr>
          <w:rFonts w:ascii="Times New Roman" w:hAnsi="Times New Roman" w:cs="Times New Roman" w:eastAsia="Times New Roman" w:hint="default"/>
        </w:rPr>
        <w:t>1</w:t>
      </w:r>
      <w:r>
        <w:rPr/>
        <w:t>）关联担保情况</w:t>
      </w:r>
    </w:p>
    <w:p>
      <w:pPr>
        <w:spacing w:line="240" w:lineRule="auto" w:before="4"/>
        <w:rPr>
          <w:rFonts w:ascii="宋体" w:hAnsi="宋体" w:cs="宋体" w:eastAsia="宋体" w:hint="default"/>
          <w:sz w:val="34"/>
          <w:szCs w:val="34"/>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112"/>
        <w:gridCol w:w="1546"/>
        <w:gridCol w:w="1270"/>
        <w:gridCol w:w="1224"/>
        <w:gridCol w:w="1224"/>
        <w:gridCol w:w="3325"/>
      </w:tblGrid>
      <w:tr>
        <w:trPr>
          <w:trHeight w:val="590"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担保是否已经履行完毕</w:t>
            </w:r>
          </w:p>
        </w:tc>
      </w:tr>
      <w:tr>
        <w:trPr>
          <w:trHeight w:val="826"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青岛亚星实</w:t>
            </w:r>
          </w:p>
          <w:p>
            <w:pPr>
              <w:pStyle w:val="TableParagraph"/>
              <w:spacing w:line="240" w:lineRule="auto" w:before="133"/>
              <w:ind w:left="26"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4"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25,956,482.60</w:t>
            </w:r>
            <w:r>
              <w:rPr>
                <w:rFonts w:ascii="Times New Roman"/>
                <w:sz w:val="18"/>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2009.12.31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结清贷款</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青岛亚星实</w:t>
            </w:r>
          </w:p>
          <w:p>
            <w:pPr>
              <w:pStyle w:val="TableParagraph"/>
              <w:spacing w:line="240" w:lineRule="auto" w:before="133"/>
              <w:ind w:left="26"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青岛广顺房地产</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100"/>
                <w:sz w:val="21"/>
              </w:rPr>
            </w:r>
            <w:r>
              <w:rPr>
                <w:rFonts w:ascii="Times New Roman"/>
                <w:sz w:val="21"/>
                <w:u w:val="single" w:color="000000"/>
              </w:rPr>
              <w:t>49,000,000.00</w:t>
            </w:r>
            <w:r>
              <w:rPr>
                <w:rFonts w:ascii="Times New Roman"/>
                <w:sz w:val="21"/>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2009.3.31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2012.3.23</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0" w:footer="956" w:top="1060" w:bottom="1140" w:left="980" w:right="0"/>
        </w:sectPr>
      </w:pPr>
    </w:p>
    <w:p>
      <w:pPr>
        <w:pStyle w:val="Heading1"/>
        <w:tabs>
          <w:tab w:pos="1286" w:val="left" w:leader="none"/>
        </w:tabs>
        <w:spacing w:line="401" w:lineRule="exact"/>
        <w:ind w:right="1023"/>
        <w:jc w:val="center"/>
        <w:rPr>
          <w:b w:val="0"/>
          <w:bCs w:val="0"/>
        </w:rPr>
      </w:pPr>
      <w:bookmarkStart w:name="_TOC_250002" w:id="10"/>
      <w:r>
        <w:rPr>
          <w:w w:val="95"/>
        </w:rPr>
        <w:t>第十章</w:t>
        <w:tab/>
      </w:r>
      <w:r>
        <w:rPr/>
        <w:t>重要事项</w:t>
      </w:r>
      <w:bookmarkEnd w:id="10"/>
      <w:r>
        <w:rPr>
          <w:b w:val="0"/>
          <w:bCs w:val="0"/>
        </w:rPr>
      </w:r>
    </w:p>
    <w:p>
      <w:pPr>
        <w:spacing w:line="240" w:lineRule="auto" w:before="13"/>
        <w:rPr>
          <w:rFonts w:ascii="宋体" w:hAnsi="宋体" w:cs="宋体" w:eastAsia="宋体" w:hint="default"/>
          <w:b/>
          <w:bCs/>
          <w:sz w:val="34"/>
          <w:szCs w:val="34"/>
        </w:rPr>
      </w:pPr>
    </w:p>
    <w:p>
      <w:pPr>
        <w:pStyle w:val="BodyText"/>
        <w:spacing w:line="355" w:lineRule="auto" w:before="0"/>
        <w:ind w:left="593" w:right="0"/>
        <w:jc w:val="left"/>
      </w:pPr>
      <w:r>
        <w:rPr/>
        <w:t>（一）公司重大诉讼、仲裁事项 </w:t>
      </w:r>
      <w:r>
        <w:rPr>
          <w:rFonts w:ascii="宋体" w:hAnsi="宋体" w:cs="宋体" w:eastAsia="宋体" w:hint="default"/>
          <w:spacing w:val="-3"/>
        </w:rPr>
        <w:t>1</w:t>
      </w:r>
      <w:r>
        <w:rPr>
          <w:spacing w:val="-3"/>
        </w:rPr>
        <w:t>、深大通为深圳市益生堂生物企业有限公司（以下简称“益生堂”）向上海浦东发展银</w:t>
      </w:r>
    </w:p>
    <w:p>
      <w:pPr>
        <w:pStyle w:val="BodyText"/>
        <w:spacing w:line="357" w:lineRule="auto" w:before="38"/>
        <w:ind w:right="1135"/>
        <w:jc w:val="both"/>
      </w:pPr>
      <w:r>
        <w:rPr/>
        <w:t>行深圳红荔路支行（以下简称“浦发银行红荔路支行”）贷款</w:t>
      </w:r>
      <w:r>
        <w:rPr>
          <w:rFonts w:ascii="宋体" w:hAnsi="宋体" w:cs="宋体" w:eastAsia="宋体" w:hint="default"/>
        </w:rPr>
        <w:t>2500</w:t>
      </w:r>
      <w:r>
        <w:rPr/>
        <w:t>万元提供担保，浦发银行</w:t>
      </w:r>
      <w:r>
        <w:rPr>
          <w:spacing w:val="-88"/>
        </w:rPr>
        <w:t> </w:t>
      </w:r>
      <w:r>
        <w:rPr>
          <w:spacing w:val="-88"/>
        </w:rPr>
      </w:r>
      <w:r>
        <w:rPr/>
        <w:t>红荔路支行在深圳市中级人民法院诉益生堂、深大通借款担保合同纠纷案涉及本金</w:t>
      </w:r>
      <w:r>
        <w:rPr>
          <w:rFonts w:ascii="宋体" w:hAnsi="宋体" w:cs="宋体" w:eastAsia="宋体" w:hint="default"/>
        </w:rPr>
        <w:t>2500</w:t>
      </w:r>
      <w:r>
        <w:rPr/>
        <w:t>万元</w:t>
      </w:r>
      <w:r>
        <w:rPr>
          <w:spacing w:val="-89"/>
        </w:rPr>
        <w:t> </w:t>
      </w:r>
      <w:r>
        <w:rPr/>
        <w:t>及利息</w:t>
      </w:r>
      <w:r>
        <w:rPr>
          <w:rFonts w:ascii="宋体" w:hAnsi="宋体" w:cs="宋体" w:eastAsia="宋体" w:hint="default"/>
        </w:rPr>
        <w:t>324.6</w:t>
      </w:r>
      <w:r>
        <w:rPr/>
        <w:t>万元。</w:t>
      </w:r>
    </w:p>
    <w:p>
      <w:pPr>
        <w:pStyle w:val="BodyText"/>
        <w:spacing w:line="357" w:lineRule="auto" w:before="36"/>
        <w:ind w:right="1128" w:firstLine="480"/>
        <w:jc w:val="both"/>
      </w:pPr>
      <w:r>
        <w:rPr>
          <w:rFonts w:ascii="宋体" w:hAnsi="宋体" w:cs="宋体" w:eastAsia="宋体" w:hint="default"/>
        </w:rPr>
        <w:t>2008</w:t>
      </w:r>
      <w:r>
        <w:rPr/>
        <w:t>年</w:t>
      </w:r>
      <w:r>
        <w:rPr>
          <w:rFonts w:ascii="宋体" w:hAnsi="宋体" w:cs="宋体" w:eastAsia="宋体" w:hint="default"/>
        </w:rPr>
        <w:t>11</w:t>
      </w:r>
      <w:r>
        <w:rPr/>
        <w:t>月</w:t>
      </w:r>
      <w:r>
        <w:rPr>
          <w:rFonts w:ascii="宋体" w:hAnsi="宋体" w:cs="宋体" w:eastAsia="宋体" w:hint="default"/>
        </w:rPr>
        <w:t>27</w:t>
      </w:r>
      <w:r>
        <w:rPr/>
        <w:t>日，亚星实业、深大通、浦发银行、文慧投资、港银投资及其他相关各方 包括河南方正信息技术有限公司、深圳益生堂生物企业有限公司、深圳市益生堂药业有限公</w:t>
      </w:r>
      <w:r>
        <w:rPr>
          <w:spacing w:val="-91"/>
        </w:rPr>
        <w:t> </w:t>
      </w:r>
      <w:r>
        <w:rPr>
          <w:spacing w:val="-91"/>
        </w:rPr>
      </w:r>
      <w:r>
        <w:rPr>
          <w:spacing w:val="-2"/>
        </w:rPr>
        <w:t>司和创益生物科技有限公司签署了浦银深担保字（</w:t>
      </w:r>
      <w:r>
        <w:rPr>
          <w:rFonts w:ascii="宋体" w:hAnsi="宋体" w:cs="宋体" w:eastAsia="宋体" w:hint="default"/>
          <w:spacing w:val="-2"/>
        </w:rPr>
        <w:t>2008</w:t>
      </w:r>
      <w:r>
        <w:rPr>
          <w:spacing w:val="-2"/>
        </w:rPr>
        <w:t>）第</w:t>
      </w:r>
      <w:r>
        <w:rPr>
          <w:rFonts w:ascii="宋体" w:hAnsi="宋体" w:cs="宋体" w:eastAsia="宋体" w:hint="default"/>
          <w:spacing w:val="-2"/>
        </w:rPr>
        <w:t>001</w:t>
      </w:r>
      <w:r>
        <w:rPr>
          <w:spacing w:val="-2"/>
        </w:rPr>
        <w:t>号《协议书》，在满足约定条</w:t>
      </w:r>
      <w:r>
        <w:rPr>
          <w:spacing w:val="-114"/>
        </w:rPr>
        <w:t> </w:t>
      </w:r>
      <w:r>
        <w:rPr>
          <w:spacing w:val="-114"/>
        </w:rPr>
      </w:r>
      <w:r>
        <w:rPr/>
        <w:t>件下，浦发银行同意免除深大通</w:t>
      </w:r>
      <w:r>
        <w:rPr>
          <w:rFonts w:ascii="宋体" w:hAnsi="宋体" w:cs="宋体" w:eastAsia="宋体" w:hint="default"/>
        </w:rPr>
        <w:t>2500</w:t>
      </w:r>
      <w:r>
        <w:rPr>
          <w:rFonts w:ascii="宋体" w:hAnsi="宋体" w:cs="宋体" w:eastAsia="宋体" w:hint="default"/>
          <w:spacing w:val="-7"/>
        </w:rPr>
        <w:t> </w:t>
      </w:r>
      <w:r>
        <w:rPr>
          <w:spacing w:val="-3"/>
        </w:rPr>
        <w:t>万元的担保责任，并撤回相关诉讼。目前浦发银行已撤</w:t>
      </w:r>
      <w:r>
        <w:rPr/>
        <w:t> 回相关诉讼。</w:t>
      </w:r>
    </w:p>
    <w:p>
      <w:pPr>
        <w:pStyle w:val="BodyText"/>
        <w:spacing w:line="357" w:lineRule="auto"/>
        <w:ind w:right="1126" w:firstLine="480"/>
        <w:jc w:val="both"/>
        <w:rPr>
          <w:rFonts w:ascii="宋体" w:hAnsi="宋体" w:cs="宋体" w:eastAsia="宋体" w:hint="default"/>
        </w:rPr>
      </w:pPr>
      <w:r>
        <w:rPr>
          <w:rFonts w:ascii="宋体" w:hAnsi="宋体" w:cs="宋体" w:eastAsia="宋体" w:hint="default"/>
          <w:spacing w:val="-3"/>
        </w:rPr>
        <w:t>2</w:t>
      </w:r>
      <w:r>
        <w:rPr>
          <w:spacing w:val="-3"/>
        </w:rPr>
        <w:t>、本公司向中国农业银行深圳罗湖支行（以下简称“罗湖农行”）贷款</w:t>
      </w:r>
      <w:r>
        <w:rPr>
          <w:rFonts w:ascii="宋体" w:hAnsi="宋体" w:cs="宋体" w:eastAsia="宋体" w:hint="default"/>
          <w:spacing w:val="-3"/>
        </w:rPr>
        <w:t>5000</w:t>
      </w:r>
      <w:r>
        <w:rPr>
          <w:spacing w:val="-3"/>
        </w:rPr>
        <w:t>万元，该项</w:t>
      </w:r>
      <w:r>
        <w:rPr/>
        <w:t> 借款分别于</w:t>
      </w:r>
      <w:r>
        <w:rPr>
          <w:rFonts w:ascii="宋体" w:hAnsi="宋体" w:cs="宋体" w:eastAsia="宋体" w:hint="default"/>
        </w:rPr>
        <w:t>2005</w:t>
      </w:r>
      <w:r>
        <w:rPr/>
        <w:t>年</w:t>
      </w:r>
      <w:r>
        <w:rPr>
          <w:rFonts w:ascii="宋体" w:hAnsi="宋体" w:cs="宋体" w:eastAsia="宋体" w:hint="default"/>
        </w:rPr>
        <w:t>1</w:t>
      </w:r>
      <w:r>
        <w:rPr/>
        <w:t>月</w:t>
      </w:r>
      <w:r>
        <w:rPr>
          <w:rFonts w:ascii="宋体" w:hAnsi="宋体" w:cs="宋体" w:eastAsia="宋体" w:hint="default"/>
        </w:rPr>
        <w:t>20</w:t>
      </w:r>
      <w:r>
        <w:rPr/>
        <w:t>日到期</w:t>
      </w:r>
      <w:r>
        <w:rPr>
          <w:rFonts w:ascii="宋体" w:hAnsi="宋体" w:cs="宋体" w:eastAsia="宋体" w:hint="default"/>
        </w:rPr>
        <w:t>2000</w:t>
      </w:r>
      <w:r>
        <w:rPr/>
        <w:t>万元，于</w:t>
      </w:r>
      <w:r>
        <w:rPr>
          <w:rFonts w:ascii="宋体" w:hAnsi="宋体" w:cs="宋体" w:eastAsia="宋体" w:hint="default"/>
        </w:rPr>
        <w:t>2005</w:t>
      </w:r>
      <w:r>
        <w:rPr/>
        <w:t>年</w:t>
      </w:r>
      <w:r>
        <w:rPr>
          <w:rFonts w:ascii="宋体" w:hAnsi="宋体" w:cs="宋体" w:eastAsia="宋体" w:hint="default"/>
        </w:rPr>
        <w:t>2</w:t>
      </w:r>
      <w:r>
        <w:rPr/>
        <w:t>月</w:t>
      </w:r>
      <w:r>
        <w:rPr>
          <w:rFonts w:ascii="宋体" w:hAnsi="宋体" w:cs="宋体" w:eastAsia="宋体" w:hint="default"/>
        </w:rPr>
        <w:t>6</w:t>
      </w:r>
      <w:r>
        <w:rPr/>
        <w:t>日到期</w:t>
      </w:r>
      <w:r>
        <w:rPr>
          <w:rFonts w:ascii="宋体" w:hAnsi="宋体" w:cs="宋体" w:eastAsia="宋体" w:hint="default"/>
        </w:rPr>
        <w:t>3000</w:t>
      </w:r>
      <w:r>
        <w:rPr/>
        <w:t>万元。公司于</w:t>
      </w:r>
      <w:r>
        <w:rPr>
          <w:rFonts w:ascii="宋体" w:hAnsi="宋体" w:cs="宋体" w:eastAsia="宋体" w:hint="default"/>
        </w:rPr>
        <w:t>2006</w:t>
      </w:r>
      <w:r>
        <w:rPr/>
        <w:t>年</w:t>
      </w:r>
      <w:r>
        <w:rPr>
          <w:rFonts w:ascii="宋体" w:hAnsi="宋体" w:cs="宋体" w:eastAsia="宋体" w:hint="default"/>
        </w:rPr>
        <w:t>2</w:t>
      </w:r>
      <w:r>
        <w:rPr/>
        <w:t>月</w:t>
      </w:r>
      <w:r>
        <w:rPr>
          <w:spacing w:val="-88"/>
        </w:rPr>
        <w:t> </w:t>
      </w:r>
      <w:r>
        <w:rPr>
          <w:spacing w:val="2"/>
        </w:rPr>
        <w:t>归还</w:t>
      </w:r>
      <w:r>
        <w:rPr>
          <w:rFonts w:ascii="宋体" w:hAnsi="宋体" w:cs="宋体" w:eastAsia="宋体" w:hint="default"/>
          <w:spacing w:val="2"/>
        </w:rPr>
        <w:t>12</w:t>
      </w:r>
      <w:r>
        <w:rPr>
          <w:spacing w:val="2"/>
        </w:rPr>
        <w:t>万元，</w:t>
      </w:r>
      <w:r>
        <w:rPr>
          <w:rFonts w:ascii="宋体" w:hAnsi="宋体" w:cs="宋体" w:eastAsia="宋体" w:hint="default"/>
          <w:spacing w:val="2"/>
        </w:rPr>
        <w:t>2006</w:t>
      </w:r>
      <w:r>
        <w:rPr>
          <w:spacing w:val="2"/>
        </w:rPr>
        <w:t>年</w:t>
      </w:r>
      <w:r>
        <w:rPr>
          <w:rFonts w:ascii="宋体" w:hAnsi="宋体" w:cs="宋体" w:eastAsia="宋体" w:hint="default"/>
          <w:spacing w:val="2"/>
        </w:rPr>
        <w:t>12</w:t>
      </w:r>
      <w:r>
        <w:rPr>
          <w:spacing w:val="2"/>
        </w:rPr>
        <w:t>月归还</w:t>
      </w:r>
      <w:r>
        <w:rPr>
          <w:rFonts w:ascii="宋体" w:hAnsi="宋体" w:cs="宋体" w:eastAsia="宋体" w:hint="default"/>
          <w:spacing w:val="2"/>
        </w:rPr>
        <w:t>3,509,157.72</w:t>
      </w:r>
      <w:r>
        <w:rPr>
          <w:spacing w:val="2"/>
        </w:rPr>
        <w:t>元，截止</w:t>
      </w:r>
      <w:r>
        <w:rPr>
          <w:rFonts w:ascii="宋体" w:hAnsi="宋体" w:cs="宋体" w:eastAsia="宋体" w:hint="default"/>
          <w:spacing w:val="2"/>
        </w:rPr>
        <w:t>2006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日，尚欠</w:t>
      </w:r>
      <w:r>
        <w:rPr>
          <w:rFonts w:ascii="宋体" w:hAnsi="宋体" w:cs="宋体" w:eastAsia="宋体" w:hint="default"/>
          <w:spacing w:val="2"/>
        </w:rPr>
        <w:t>46,370,842.28</w:t>
      </w:r>
    </w:p>
    <w:p>
      <w:pPr>
        <w:pStyle w:val="BodyText"/>
        <w:spacing w:line="357" w:lineRule="auto" w:before="36"/>
        <w:ind w:right="1034"/>
        <w:jc w:val="left"/>
      </w:pPr>
      <w:r>
        <w:rPr/>
        <w:t>元。罗湖农行在</w:t>
      </w:r>
      <w:r>
        <w:rPr>
          <w:rFonts w:ascii="宋体" w:hAnsi="宋体" w:cs="宋体" w:eastAsia="宋体" w:hint="default"/>
        </w:rPr>
        <w:t>2006</w:t>
      </w:r>
      <w:r>
        <w:rPr/>
        <w:t>年</w:t>
      </w:r>
      <w:r>
        <w:rPr>
          <w:rFonts w:ascii="宋体" w:hAnsi="宋体" w:cs="宋体" w:eastAsia="宋体" w:hint="default"/>
        </w:rPr>
        <w:t>4</w:t>
      </w:r>
      <w:r>
        <w:rPr/>
        <w:t>月</w:t>
      </w:r>
      <w:r>
        <w:rPr>
          <w:rFonts w:ascii="宋体" w:hAnsi="宋体" w:cs="宋体" w:eastAsia="宋体" w:hint="default"/>
        </w:rPr>
        <w:t>18</w:t>
      </w:r>
      <w:r>
        <w:rPr/>
        <w:t>日申请要求深圳市中级人民法院强制执行（执行案号：【</w:t>
      </w:r>
      <w:r>
        <w:rPr>
          <w:rFonts w:ascii="宋体" w:hAnsi="宋体" w:cs="宋体" w:eastAsia="宋体" w:hint="default"/>
        </w:rPr>
        <w:t>2006</w:t>
      </w:r>
      <w:r>
        <w:rPr/>
        <w:t>】 </w:t>
      </w:r>
      <w:r>
        <w:rPr>
          <w:spacing w:val="3"/>
        </w:rPr>
        <w:t>深中法执字第</w:t>
      </w:r>
      <w:r>
        <w:rPr>
          <w:rFonts w:ascii="宋体" w:hAnsi="宋体" w:cs="宋体" w:eastAsia="宋体" w:hint="default"/>
          <w:spacing w:val="3"/>
        </w:rPr>
        <w:t>354</w:t>
      </w:r>
      <w:r>
        <w:rPr>
          <w:spacing w:val="3"/>
        </w:rPr>
        <w:t>、</w:t>
      </w:r>
      <w:r>
        <w:rPr>
          <w:rFonts w:ascii="宋体" w:hAnsi="宋体" w:cs="宋体" w:eastAsia="宋体" w:hint="default"/>
          <w:spacing w:val="3"/>
        </w:rPr>
        <w:t>355</w:t>
      </w:r>
      <w:r>
        <w:rPr>
          <w:spacing w:val="3"/>
        </w:rPr>
        <w:t>号），后被广东省高级人民法院指定（【</w:t>
      </w:r>
      <w:r>
        <w:rPr>
          <w:rFonts w:ascii="宋体" w:hAnsi="宋体" w:cs="宋体" w:eastAsia="宋体" w:hint="default"/>
          <w:spacing w:val="3"/>
        </w:rPr>
        <w:t>2007</w:t>
      </w:r>
      <w:r>
        <w:rPr>
          <w:spacing w:val="3"/>
        </w:rPr>
        <w:t>】粤高法执指字第</w:t>
      </w:r>
      <w:r>
        <w:rPr>
          <w:rFonts w:ascii="宋体" w:hAnsi="宋体" w:cs="宋体" w:eastAsia="宋体" w:hint="default"/>
          <w:spacing w:val="3"/>
        </w:rPr>
        <w:t>411</w:t>
      </w:r>
      <w:r>
        <w:rPr>
          <w:rFonts w:ascii="宋体" w:hAnsi="宋体" w:cs="宋体" w:eastAsia="宋体" w:hint="default"/>
          <w:spacing w:val="-116"/>
        </w:rPr>
        <w:t> </w:t>
      </w:r>
      <w:r>
        <w:rPr/>
        <w:t>号）普宁市人民法院执行（执行案号为【</w:t>
      </w:r>
      <w:r>
        <w:rPr>
          <w:rFonts w:ascii="宋体" w:hAnsi="宋体" w:cs="宋体" w:eastAsia="宋体" w:hint="default"/>
        </w:rPr>
        <w:t>2007</w:t>
      </w:r>
      <w:r>
        <w:rPr/>
        <w:t>】普法委执字第</w:t>
      </w:r>
      <w:r>
        <w:rPr>
          <w:rFonts w:ascii="宋体" w:hAnsi="宋体" w:cs="宋体" w:eastAsia="宋体" w:hint="default"/>
        </w:rPr>
        <w:t>241</w:t>
      </w:r>
      <w:r>
        <w:rPr/>
        <w:t>、</w:t>
      </w:r>
      <w:r>
        <w:rPr>
          <w:rFonts w:ascii="宋体" w:hAnsi="宋体" w:cs="宋体" w:eastAsia="宋体" w:hint="default"/>
        </w:rPr>
        <w:t>242</w:t>
      </w:r>
      <w:r>
        <w:rPr/>
        <w:t>号），责令深大通公</w:t>
      </w:r>
      <w:r>
        <w:rPr>
          <w:spacing w:val="-89"/>
        </w:rPr>
        <w:t> </w:t>
      </w:r>
      <w:r>
        <w:rPr>
          <w:spacing w:val="-89"/>
        </w:rPr>
      </w:r>
      <w:r>
        <w:rPr/>
        <w:t>司连同担保单位遵化新利能源开发有限公司履行</w:t>
      </w:r>
      <w:r>
        <w:rPr>
          <w:rFonts w:ascii="宋体" w:hAnsi="宋体" w:cs="宋体" w:eastAsia="宋体" w:hint="default"/>
        </w:rPr>
        <w:t>5000</w:t>
      </w:r>
      <w:r>
        <w:rPr/>
        <w:t>万贷款偿还义务，执行标的为</w:t>
      </w:r>
      <w:r>
        <w:rPr>
          <w:rFonts w:ascii="宋体" w:hAnsi="宋体" w:cs="宋体" w:eastAsia="宋体" w:hint="default"/>
        </w:rPr>
        <w:t>4988</w:t>
      </w:r>
      <w:r>
        <w:rPr/>
        <w:t>万元</w:t>
      </w:r>
      <w:r>
        <w:rPr>
          <w:spacing w:val="-89"/>
        </w:rPr>
        <w:t> </w:t>
      </w:r>
      <w:r>
        <w:rPr/>
        <w:t>及诉讼费为限。</w:t>
      </w:r>
    </w:p>
    <w:p>
      <w:pPr>
        <w:pStyle w:val="BodyText"/>
        <w:spacing w:line="357" w:lineRule="auto"/>
        <w:ind w:right="996" w:firstLine="480"/>
        <w:jc w:val="left"/>
      </w:pPr>
      <w:r>
        <w:rPr>
          <w:spacing w:val="-4"/>
        </w:rPr>
        <w:t>经过亚星实业、公司与罗湖农行的积极协商，</w:t>
      </w:r>
      <w:r>
        <w:rPr>
          <w:spacing w:val="-75"/>
        </w:rPr>
        <w:t> </w:t>
      </w:r>
      <w:r>
        <w:rPr>
          <w:rFonts w:ascii="宋体" w:hAnsi="宋体" w:cs="宋体" w:eastAsia="宋体" w:hint="default"/>
          <w:spacing w:val="-8"/>
        </w:rPr>
        <w:t>2009</w:t>
      </w:r>
      <w:r>
        <w:rPr>
          <w:spacing w:val="-8"/>
        </w:rPr>
        <w:t>年</w:t>
      </w:r>
      <w:r>
        <w:rPr>
          <w:rFonts w:ascii="宋体" w:hAnsi="宋体" w:cs="宋体" w:eastAsia="宋体" w:hint="default"/>
          <w:spacing w:val="-8"/>
        </w:rPr>
        <w:t>12</w:t>
      </w:r>
      <w:r>
        <w:rPr>
          <w:spacing w:val="-8"/>
        </w:rPr>
        <w:t>月</w:t>
      </w:r>
      <w:r>
        <w:rPr>
          <w:rFonts w:ascii="宋体" w:hAnsi="宋体" w:cs="宋体" w:eastAsia="宋体" w:hint="default"/>
          <w:spacing w:val="-8"/>
        </w:rPr>
        <w:t>31</w:t>
      </w:r>
      <w:r>
        <w:rPr>
          <w:spacing w:val="-8"/>
        </w:rPr>
        <w:t>日，公司与罗湖农行签订《债</w:t>
      </w:r>
      <w:r>
        <w:rPr/>
        <w:t> </w:t>
      </w:r>
      <w:r>
        <w:rPr>
          <w:spacing w:val="-3"/>
        </w:rPr>
        <w:t>务和解协议》，就本公司所欠罗湖农行债务</w:t>
      </w:r>
      <w:r>
        <w:rPr>
          <w:rFonts w:ascii="宋体" w:hAnsi="宋体" w:cs="宋体" w:eastAsia="宋体" w:hint="default"/>
          <w:spacing w:val="-3"/>
        </w:rPr>
        <w:t>46,370,842.28</w:t>
      </w:r>
      <w:r>
        <w:rPr>
          <w:rFonts w:ascii="宋体" w:hAnsi="宋体" w:cs="宋体" w:eastAsia="宋体" w:hint="default"/>
          <w:spacing w:val="14"/>
        </w:rPr>
        <w:t> </w:t>
      </w:r>
      <w:r>
        <w:rPr/>
        <w:t>元本金及相应利息达成重组协议。 协议主要内容如下：本公司分三年偿还全部贷款本金；罗湖农行免除公司一次性减免公司所</w:t>
      </w:r>
      <w:r>
        <w:rPr>
          <w:spacing w:val="-88"/>
        </w:rPr>
        <w:t> </w:t>
      </w:r>
      <w:r>
        <w:rPr>
          <w:spacing w:val="-88"/>
        </w:rPr>
      </w:r>
      <w:r>
        <w:rPr/>
        <w:t>欠贷款形成的截至</w:t>
      </w:r>
      <w:r>
        <w:rPr>
          <w:rFonts w:ascii="宋体" w:hAnsi="宋体" w:cs="宋体" w:eastAsia="宋体" w:hint="default"/>
        </w:rPr>
        <w:t>2008 </w:t>
      </w:r>
      <w:r>
        <w:rPr/>
        <w:t>年</w:t>
      </w:r>
      <w:r>
        <w:rPr>
          <w:rFonts w:ascii="宋体" w:hAnsi="宋体" w:cs="宋体" w:eastAsia="宋体" w:hint="default"/>
        </w:rPr>
        <w:t>8 </w:t>
      </w:r>
      <w:r>
        <w:rPr/>
        <w:t>月</w:t>
      </w:r>
      <w:r>
        <w:rPr>
          <w:rFonts w:ascii="宋体" w:hAnsi="宋体" w:cs="宋体" w:eastAsia="宋体" w:hint="default"/>
        </w:rPr>
        <w:t>1 </w:t>
      </w:r>
      <w:r>
        <w:rPr/>
        <w:t>日之前利息合计人民币</w:t>
      </w:r>
      <w:r>
        <w:rPr>
          <w:rFonts w:ascii="宋体" w:hAnsi="宋体" w:cs="宋体" w:eastAsia="宋体" w:hint="default"/>
        </w:rPr>
        <w:t>10,566,266.22 </w:t>
      </w:r>
      <w:r>
        <w:rPr>
          <w:spacing w:val="-9"/>
        </w:rPr>
        <w:t>元。广东省深圳市中</w:t>
      </w:r>
      <w:r>
        <w:rPr/>
        <w:t> 级人民法院</w:t>
      </w:r>
      <w:r>
        <w:rPr>
          <w:rFonts w:ascii="宋体" w:hAnsi="宋体" w:cs="宋体" w:eastAsia="宋体" w:hint="default"/>
        </w:rPr>
        <w:t>2010</w:t>
      </w:r>
      <w:r>
        <w:rPr/>
        <w:t>年</w:t>
      </w:r>
      <w:r>
        <w:rPr>
          <w:rFonts w:ascii="宋体" w:hAnsi="宋体" w:cs="宋体" w:eastAsia="宋体" w:hint="default"/>
        </w:rPr>
        <w:t>11</w:t>
      </w:r>
      <w:r>
        <w:rPr/>
        <w:t>月</w:t>
      </w:r>
      <w:r>
        <w:rPr>
          <w:rFonts w:ascii="宋体" w:hAnsi="宋体" w:cs="宋体" w:eastAsia="宋体" w:hint="default"/>
        </w:rPr>
        <w:t>23</w:t>
      </w:r>
      <w:r>
        <w:rPr/>
        <w:t>日下发（</w:t>
      </w:r>
      <w:r>
        <w:rPr>
          <w:rFonts w:ascii="宋体" w:hAnsi="宋体" w:cs="宋体" w:eastAsia="宋体" w:hint="default"/>
        </w:rPr>
        <w:t>2010</w:t>
      </w:r>
      <w:r>
        <w:rPr/>
        <w:t>）深中法执字第</w:t>
      </w:r>
      <w:r>
        <w:rPr>
          <w:rFonts w:ascii="宋体" w:hAnsi="宋体" w:cs="宋体" w:eastAsia="宋体" w:hint="default"/>
        </w:rPr>
        <w:t>1057</w:t>
      </w:r>
      <w:r>
        <w:rPr/>
        <w:t>、</w:t>
      </w:r>
      <w:r>
        <w:rPr>
          <w:rFonts w:ascii="宋体" w:hAnsi="宋体" w:cs="宋体" w:eastAsia="宋体" w:hint="default"/>
        </w:rPr>
        <w:t>1058</w:t>
      </w:r>
      <w:r>
        <w:rPr/>
        <w:t>号民事裁定书终止本次执</w:t>
      </w:r>
      <w:r>
        <w:rPr>
          <w:spacing w:val="-90"/>
        </w:rPr>
        <w:t> </w:t>
      </w:r>
      <w:r>
        <w:rPr>
          <w:spacing w:val="-90"/>
        </w:rPr>
      </w:r>
      <w:r>
        <w:rPr/>
        <w:t>行程序。</w:t>
      </w:r>
    </w:p>
    <w:p>
      <w:pPr>
        <w:pStyle w:val="BodyText"/>
        <w:spacing w:line="355" w:lineRule="auto" w:before="36"/>
        <w:ind w:left="593" w:right="1119"/>
        <w:jc w:val="left"/>
      </w:pPr>
      <w:r>
        <w:rPr/>
        <w:t>（二）公司重大担保事项 </w:t>
      </w:r>
      <w:r>
        <w:rPr>
          <w:rFonts w:ascii="宋体" w:hAnsi="宋体" w:cs="宋体" w:eastAsia="宋体" w:hint="default"/>
          <w:spacing w:val="-2"/>
        </w:rPr>
        <w:t>1</w:t>
      </w:r>
      <w:r>
        <w:rPr>
          <w:spacing w:val="-2"/>
        </w:rPr>
        <w:t>、</w:t>
      </w:r>
      <w:r>
        <w:rPr>
          <w:rFonts w:ascii="宋体" w:hAnsi="宋体" w:cs="宋体" w:eastAsia="宋体" w:hint="default"/>
          <w:spacing w:val="-2"/>
        </w:rPr>
        <w:t>2007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26</w:t>
      </w:r>
      <w:r>
        <w:rPr>
          <w:spacing w:val="-2"/>
        </w:rPr>
        <w:t>日，深大通与中联实业、亚星实业、深圳益生堂生物企业有限公司（以</w:t>
      </w:r>
    </w:p>
    <w:p>
      <w:pPr>
        <w:pStyle w:val="BodyText"/>
        <w:spacing w:line="348" w:lineRule="auto" w:before="38"/>
        <w:ind w:right="1131"/>
        <w:jc w:val="both"/>
      </w:pPr>
      <w:r>
        <w:rPr>
          <w:spacing w:val="1"/>
          <w:w w:val="97"/>
        </w:rPr>
        <w:t>下简称</w:t>
      </w:r>
      <w:r>
        <w:rPr>
          <w:rFonts w:ascii="Times New Roman" w:hAnsi="Times New Roman" w:cs="Times New Roman" w:eastAsia="Times New Roman" w:hint="default"/>
          <w:spacing w:val="1"/>
          <w:w w:val="97"/>
        </w:rPr>
        <w:t>―</w:t>
      </w:r>
      <w:r>
        <w:rPr>
          <w:spacing w:val="1"/>
          <w:w w:val="97"/>
        </w:rPr>
        <w:t>益生堂</w:t>
      </w:r>
      <w:r>
        <w:rPr>
          <w:rFonts w:ascii="Times New Roman" w:hAnsi="Times New Roman" w:cs="Times New Roman" w:eastAsia="Times New Roman" w:hint="default"/>
          <w:spacing w:val="1"/>
          <w:w w:val="97"/>
        </w:rPr>
        <w:t>―</w:t>
      </w:r>
      <w:r>
        <w:rPr>
          <w:spacing w:val="1"/>
          <w:w w:val="97"/>
        </w:rPr>
        <w:t>）四方签订《和解协议书》，深大通潜在股东亚星实业承诺在其通过重组取</w:t>
      </w:r>
      <w:r>
        <w:rPr>
          <w:spacing w:val="-102"/>
          <w:w w:val="97"/>
        </w:rPr>
        <w:t> </w:t>
      </w:r>
      <w:r>
        <w:rPr>
          <w:spacing w:val="-102"/>
          <w:w w:val="97"/>
        </w:rPr>
      </w:r>
      <w:r>
        <w:rPr/>
        <w:t>得深大通股份后按照和解协议书约定条件向中联实业承担债务清偿责任，作为对价，中联实</w:t>
      </w:r>
      <w:r>
        <w:rPr>
          <w:spacing w:val="-91"/>
        </w:rPr>
        <w:t> </w:t>
      </w:r>
      <w:r>
        <w:rPr>
          <w:spacing w:val="-91"/>
        </w:rPr>
      </w:r>
      <w:r>
        <w:rPr>
          <w:spacing w:val="-2"/>
        </w:rPr>
        <w:t>业应解除深大通反担保责任及相应的连带清偿责任。</w:t>
      </w:r>
      <w:r>
        <w:rPr>
          <w:rFonts w:ascii="宋体" w:hAnsi="宋体" w:cs="宋体" w:eastAsia="宋体" w:hint="default"/>
          <w:spacing w:val="-2"/>
        </w:rPr>
        <w:t>2008</w:t>
      </w:r>
      <w:r>
        <w:rPr>
          <w:spacing w:val="-2"/>
        </w:rPr>
        <w:t>年</w:t>
      </w:r>
      <w:r>
        <w:rPr>
          <w:rFonts w:ascii="宋体" w:hAnsi="宋体" w:cs="宋体" w:eastAsia="宋体" w:hint="default"/>
          <w:spacing w:val="-2"/>
        </w:rPr>
        <w:t>3</w:t>
      </w:r>
      <w:r>
        <w:rPr>
          <w:spacing w:val="-2"/>
        </w:rPr>
        <w:t>月，深圳市福田区人民法院出具</w:t>
      </w:r>
    </w:p>
    <w:p>
      <w:pPr>
        <w:spacing w:after="0" w:line="348" w:lineRule="auto"/>
        <w:jc w:val="both"/>
        <w:sectPr>
          <w:pgSz w:w="11910" w:h="16840"/>
          <w:pgMar w:header="0" w:footer="956" w:top="1080" w:bottom="1140" w:left="1020" w:right="0"/>
        </w:sectPr>
      </w:pPr>
    </w:p>
    <w:p>
      <w:pPr>
        <w:pStyle w:val="BodyText"/>
        <w:spacing w:line="357" w:lineRule="auto" w:before="14"/>
        <w:ind w:left="593" w:right="2593" w:hanging="481"/>
        <w:jc w:val="left"/>
      </w:pPr>
      <w:r>
        <w:rPr/>
        <w:t>了通知书，准许中联实业撤诉。 </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29</w:t>
      </w:r>
      <w:r>
        <w:rPr/>
        <w:t>日亚星实业已按约定将</w:t>
      </w:r>
      <w:r>
        <w:rPr>
          <w:rFonts w:ascii="宋体" w:hAnsi="宋体" w:cs="宋体" w:eastAsia="宋体" w:hint="default"/>
        </w:rPr>
        <w:t>100</w:t>
      </w:r>
      <w:r>
        <w:rPr/>
        <w:t>万股深大通股份质押给中联实业。</w:t>
      </w:r>
    </w:p>
    <w:p>
      <w:pPr>
        <w:pStyle w:val="BodyText"/>
        <w:spacing w:line="357" w:lineRule="auto" w:before="36"/>
        <w:ind w:right="1132" w:firstLine="480"/>
        <w:jc w:val="both"/>
      </w:pPr>
      <w:r>
        <w:rPr>
          <w:rFonts w:ascii="宋体" w:hAnsi="宋体" w:cs="宋体" w:eastAsia="宋体" w:hint="default"/>
        </w:rPr>
        <w:t>2</w:t>
      </w:r>
      <w:r>
        <w:rPr/>
        <w:t>、</w:t>
      </w:r>
      <w:r>
        <w:rPr>
          <w:rFonts w:ascii="宋体" w:hAnsi="宋体" w:cs="宋体" w:eastAsia="宋体" w:hint="default"/>
        </w:rPr>
        <w:t>2007</w:t>
      </w:r>
      <w:r>
        <w:rPr>
          <w:rFonts w:ascii="宋体" w:hAnsi="宋体" w:cs="宋体" w:eastAsia="宋体" w:hint="default"/>
          <w:spacing w:val="26"/>
        </w:rPr>
        <w:t> </w:t>
      </w:r>
      <w:r>
        <w:rPr/>
        <w:t>年</w:t>
      </w:r>
      <w:r>
        <w:rPr>
          <w:rFonts w:ascii="宋体" w:hAnsi="宋体" w:cs="宋体" w:eastAsia="宋体" w:hint="default"/>
        </w:rPr>
        <w:t>11</w:t>
      </w:r>
      <w:r>
        <w:rPr/>
        <w:t>月</w:t>
      </w:r>
      <w:r>
        <w:rPr>
          <w:rFonts w:ascii="宋体" w:hAnsi="宋体" w:cs="宋体" w:eastAsia="宋体" w:hint="default"/>
        </w:rPr>
        <w:t>26</w:t>
      </w:r>
      <w:r>
        <w:rPr/>
        <w:t>日，亚星实业、深大通、益田集团三方签订《和解协议书》，亚星实 业承诺在其通过重组取得深大通股份后按照和解协议书约定条件向益田集团支付约定对价，</w:t>
      </w:r>
      <w:r>
        <w:rPr>
          <w:spacing w:val="-86"/>
        </w:rPr>
        <w:t> </w:t>
      </w:r>
      <w:r>
        <w:rPr>
          <w:spacing w:val="-86"/>
        </w:rPr>
      </w:r>
      <w:r>
        <w:rPr/>
        <w:t>益田集团解除深大通对其的反担保责任并放弃就代偿的</w:t>
      </w:r>
      <w:r>
        <w:rPr>
          <w:rFonts w:ascii="宋体" w:hAnsi="宋体" w:cs="宋体" w:eastAsia="宋体" w:hint="default"/>
        </w:rPr>
        <w:t>5000</w:t>
      </w:r>
      <w:r>
        <w:rPr/>
        <w:t>万元借款向深大通追偿的权利。</w:t>
      </w:r>
      <w:r>
        <w:rPr>
          <w:spacing w:val="-90"/>
        </w:rPr>
        <w:t> </w:t>
      </w:r>
      <w:r>
        <w:rPr>
          <w:spacing w:val="-90"/>
        </w:rPr>
      </w:r>
      <w:r>
        <w:rPr>
          <w:spacing w:val="3"/>
        </w:rPr>
        <w:t>按和解协议约定益田集团已向法院申请撤诉。</w:t>
      </w:r>
      <w:r>
        <w:rPr>
          <w:rFonts w:ascii="宋体" w:hAnsi="宋体" w:cs="宋体" w:eastAsia="宋体" w:hint="default"/>
          <w:spacing w:val="3"/>
        </w:rPr>
        <w:t>2008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16</w:t>
      </w:r>
      <w:r>
        <w:rPr>
          <w:spacing w:val="3"/>
        </w:rPr>
        <w:t>日，深圳市中级人民法院出具了</w:t>
      </w:r>
    </w:p>
    <w:p>
      <w:pPr>
        <w:pStyle w:val="BodyText"/>
        <w:spacing w:line="355" w:lineRule="auto" w:before="36"/>
        <w:ind w:left="593" w:right="2113" w:hanging="481"/>
        <w:jc w:val="left"/>
      </w:pPr>
      <w:r>
        <w:rPr/>
        <w:t>（</w:t>
      </w:r>
      <w:r>
        <w:rPr>
          <w:rFonts w:ascii="宋体" w:hAnsi="宋体" w:cs="宋体" w:eastAsia="宋体" w:hint="default"/>
        </w:rPr>
        <w:t>2007</w:t>
      </w:r>
      <w:r>
        <w:rPr/>
        <w:t>）深中法民四初字第</w:t>
      </w:r>
      <w:r>
        <w:rPr>
          <w:rFonts w:ascii="宋体" w:hAnsi="宋体" w:cs="宋体" w:eastAsia="宋体" w:hint="default"/>
        </w:rPr>
        <w:t>162 </w:t>
      </w:r>
      <w:r>
        <w:rPr/>
        <w:t>号，准许益田集团撤诉。 </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29</w:t>
      </w:r>
      <w:r>
        <w:rPr/>
        <w:t>日亚星实业已按约定将</w:t>
      </w:r>
      <w:r>
        <w:rPr>
          <w:rFonts w:ascii="宋体" w:hAnsi="宋体" w:cs="宋体" w:eastAsia="宋体" w:hint="default"/>
        </w:rPr>
        <w:t>200</w:t>
      </w:r>
      <w:r>
        <w:rPr/>
        <w:t>万股深大通股份质押给益田集团实业。</w:t>
      </w:r>
    </w:p>
    <w:p>
      <w:pPr>
        <w:pStyle w:val="BodyText"/>
        <w:spacing w:line="355" w:lineRule="auto" w:before="38"/>
        <w:ind w:left="593" w:right="6673"/>
        <w:jc w:val="left"/>
      </w:pPr>
      <w:r>
        <w:rPr/>
        <w:t>（三）破产重整相关事项 本年度公司无破产重整相关事项。</w:t>
      </w:r>
    </w:p>
    <w:p>
      <w:pPr>
        <w:pStyle w:val="BodyText"/>
        <w:spacing w:line="355" w:lineRule="auto" w:before="38"/>
        <w:ind w:right="0" w:firstLine="480"/>
        <w:jc w:val="left"/>
      </w:pPr>
      <w:r>
        <w:rPr/>
        <w:t>（四）报告期内，公司没有持有其他上市公司股权、参股商业银行、证券公司、保险公 司、信托公司和期货公司等金融企业股权，以及参股拟上市公司等投资情况。</w:t>
      </w:r>
    </w:p>
    <w:p>
      <w:pPr>
        <w:pStyle w:val="BodyText"/>
        <w:spacing w:line="240" w:lineRule="auto" w:before="38"/>
        <w:ind w:left="593" w:right="0"/>
        <w:jc w:val="left"/>
      </w:pPr>
      <w:r>
        <w:rPr/>
        <w:t>（五）报告期内，公司没有出售资产、发行股份收购资产情况。</w:t>
      </w:r>
    </w:p>
    <w:p>
      <w:pPr>
        <w:pStyle w:val="BodyText"/>
        <w:spacing w:line="240" w:lineRule="auto" w:before="151"/>
        <w:ind w:left="593" w:right="0"/>
        <w:jc w:val="left"/>
      </w:pPr>
      <w:r>
        <w:rPr/>
        <w:t>（六）报告期内，公司没有实施股权激励计划。</w:t>
      </w:r>
    </w:p>
    <w:p>
      <w:pPr>
        <w:pStyle w:val="BodyText"/>
        <w:spacing w:line="348" w:lineRule="auto" w:before="154"/>
        <w:ind w:left="593" w:right="5953"/>
        <w:jc w:val="left"/>
      </w:pPr>
      <w:r>
        <w:rPr/>
        <w:t>（七）报告期内发生的重大关联交易事项 </w:t>
      </w:r>
      <w:r>
        <w:rPr>
          <w:rFonts w:ascii="Times New Roman" w:hAnsi="Times New Roman" w:cs="Times New Roman" w:eastAsia="Times New Roman" w:hint="default"/>
        </w:rPr>
        <w:t>1</w:t>
      </w:r>
      <w:r>
        <w:rPr/>
        <w:t>、关联担保情况 见监事会报告相关内容。</w:t>
      </w:r>
    </w:p>
    <w:p>
      <w:pPr>
        <w:pStyle w:val="BodyText"/>
        <w:spacing w:line="355" w:lineRule="auto" w:before="46"/>
        <w:ind w:left="593" w:right="0"/>
        <w:jc w:val="left"/>
      </w:pPr>
      <w:r>
        <w:rPr/>
        <w:t>（八）重大合同及其履行情况 </w:t>
      </w:r>
      <w:r>
        <w:rPr>
          <w:rFonts w:ascii="宋体" w:hAnsi="宋体" w:cs="宋体" w:eastAsia="宋体" w:hint="default"/>
          <w:spacing w:val="-3"/>
        </w:rPr>
        <w:t>1</w:t>
      </w:r>
      <w:r>
        <w:rPr>
          <w:spacing w:val="-3"/>
        </w:rPr>
        <w:t>、报告期内，公司没有发生或以前期间发生但延续到报告期的重大托管、承包、租赁其</w:t>
      </w:r>
    </w:p>
    <w:p>
      <w:pPr>
        <w:pStyle w:val="BodyText"/>
        <w:spacing w:line="355" w:lineRule="auto" w:before="38"/>
        <w:ind w:left="593" w:right="4514" w:hanging="481"/>
        <w:jc w:val="left"/>
      </w:pPr>
      <w:r>
        <w:rPr/>
        <w:t>他公司资产或其他公司托管、承包、租赁公司资产的事项。 </w:t>
      </w:r>
      <w:r>
        <w:rPr>
          <w:rFonts w:ascii="宋体" w:hAnsi="宋体" w:cs="宋体" w:eastAsia="宋体" w:hint="default"/>
        </w:rPr>
        <w:t>2</w:t>
      </w:r>
      <w:r>
        <w:rPr/>
        <w:t>、公司报告期内，无新发生的重大担保事项。</w:t>
      </w:r>
    </w:p>
    <w:p>
      <w:pPr>
        <w:pStyle w:val="BodyText"/>
        <w:spacing w:line="240" w:lineRule="auto" w:before="38"/>
        <w:ind w:left="593" w:right="0"/>
        <w:jc w:val="left"/>
      </w:pPr>
      <w:r>
        <w:rPr>
          <w:rFonts w:ascii="宋体" w:hAnsi="宋体" w:cs="宋体" w:eastAsia="宋体" w:hint="default"/>
        </w:rPr>
        <w:t>3</w:t>
      </w:r>
      <w:r>
        <w:rPr/>
        <w:t>、报告期内，公司无其他委托现金资产管理事项。</w:t>
      </w:r>
    </w:p>
    <w:p>
      <w:pPr>
        <w:pStyle w:val="BodyText"/>
        <w:spacing w:line="240" w:lineRule="auto" w:before="151"/>
        <w:ind w:left="593" w:right="0"/>
        <w:jc w:val="left"/>
      </w:pPr>
      <w:r>
        <w:rPr>
          <w:rFonts w:ascii="宋体" w:hAnsi="宋体" w:cs="宋体" w:eastAsia="宋体" w:hint="default"/>
        </w:rPr>
        <w:t>4</w:t>
      </w:r>
      <w:r>
        <w:rPr/>
        <w:t>、其他重大合同</w:t>
      </w:r>
    </w:p>
    <w:p>
      <w:pPr>
        <w:pStyle w:val="BodyText"/>
        <w:spacing w:line="355" w:lineRule="auto" w:before="154"/>
        <w:ind w:right="0" w:firstLine="480"/>
        <w:jc w:val="left"/>
      </w:pPr>
      <w:r>
        <w:rPr>
          <w:rFonts w:ascii="宋体" w:hAnsi="宋体" w:cs="宋体" w:eastAsia="宋体" w:hint="default"/>
        </w:rPr>
        <w:t>1</w:t>
      </w:r>
      <w:r>
        <w:rPr/>
        <w:t>）公司控股子公司泗水海情置业有限公司与山东港基建设集团有限公司总金额为</w:t>
      </w:r>
      <w:r>
        <w:rPr>
          <w:rFonts w:ascii="宋体" w:hAnsi="宋体" w:cs="宋体" w:eastAsia="宋体" w:hint="default"/>
        </w:rPr>
        <w:t>10200 </w:t>
      </w:r>
      <w:r>
        <w:rPr/>
        <w:t>万元的工程施工合同，开发建设泗水海情圣地项目。</w:t>
      </w:r>
    </w:p>
    <w:p>
      <w:pPr>
        <w:pStyle w:val="BodyText"/>
        <w:spacing w:line="240" w:lineRule="auto" w:before="38"/>
        <w:ind w:left="593" w:right="0"/>
        <w:jc w:val="left"/>
      </w:pPr>
      <w:r>
        <w:rPr>
          <w:rFonts w:ascii="宋体" w:hAnsi="宋体" w:cs="宋体" w:eastAsia="宋体" w:hint="default"/>
        </w:rPr>
        <w:t>5</w:t>
      </w:r>
      <w:r>
        <w:rPr/>
        <w:t>、公司或持股</w:t>
      </w:r>
      <w:r>
        <w:rPr>
          <w:rFonts w:ascii="宋体" w:hAnsi="宋体" w:cs="宋体" w:eastAsia="宋体" w:hint="default"/>
        </w:rPr>
        <w:t>5%</w:t>
      </w:r>
      <w:r>
        <w:rPr/>
        <w:t>以上股东在报告期内或持续到报告期内的承诺事项</w:t>
      </w:r>
    </w:p>
    <w:p>
      <w:pPr>
        <w:pStyle w:val="BodyText"/>
        <w:spacing w:line="357" w:lineRule="auto" w:before="151"/>
        <w:ind w:right="0" w:firstLine="480"/>
        <w:jc w:val="left"/>
      </w:pPr>
      <w:r>
        <w:rPr>
          <w:rFonts w:ascii="宋体" w:hAnsi="宋体" w:cs="宋体" w:eastAsia="宋体" w:hint="default"/>
          <w:spacing w:val="-3"/>
        </w:rPr>
        <w:t>1</w:t>
      </w:r>
      <w:r>
        <w:rPr>
          <w:spacing w:val="-3"/>
        </w:rPr>
        <w:t>）禁售承诺：股权分置改革完成后所持深大通股份在获得上市流通权之日起三十六个月</w:t>
      </w:r>
      <w:r>
        <w:rPr/>
        <w:t> 内不上市交易或者转让。</w:t>
      </w:r>
    </w:p>
    <w:p>
      <w:pPr>
        <w:pStyle w:val="BodyText"/>
        <w:spacing w:line="357" w:lineRule="auto"/>
        <w:ind w:left="593" w:right="1123"/>
        <w:jc w:val="left"/>
      </w:pPr>
      <w:r>
        <w:rPr/>
        <w:t>亚星实业严格履行承诺，未进行转让或交易。 </w:t>
      </w:r>
      <w:r>
        <w:rPr>
          <w:rFonts w:ascii="宋体" w:hAnsi="宋体" w:cs="宋体" w:eastAsia="宋体" w:hint="default"/>
          <w:spacing w:val="-2"/>
        </w:rPr>
        <w:t>2)2008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22</w:t>
      </w:r>
      <w:r>
        <w:rPr>
          <w:spacing w:val="-2"/>
        </w:rPr>
        <w:t>日公司</w:t>
      </w:r>
      <w:r>
        <w:rPr>
          <w:rFonts w:ascii="宋体" w:hAnsi="宋体" w:cs="宋体" w:eastAsia="宋体" w:hint="default"/>
          <w:spacing w:val="-2"/>
        </w:rPr>
        <w:t>2008</w:t>
      </w:r>
      <w:r>
        <w:rPr>
          <w:spacing w:val="-2"/>
        </w:rPr>
        <w:t>年第一次临时股东大会通过的股权分置改革方案中，青岛亚星</w:t>
      </w:r>
    </w:p>
    <w:p>
      <w:pPr>
        <w:pStyle w:val="BodyText"/>
        <w:spacing w:line="240" w:lineRule="auto"/>
        <w:ind w:right="0"/>
        <w:jc w:val="left"/>
      </w:pPr>
      <w:r>
        <w:rPr/>
        <w:t>实业有限公司做出以下承诺：</w:t>
      </w:r>
    </w:p>
    <w:p>
      <w:pPr>
        <w:spacing w:after="0" w:line="240" w:lineRule="auto"/>
        <w:jc w:val="left"/>
        <w:sectPr>
          <w:pgSz w:w="11910" w:h="16840"/>
          <w:pgMar w:header="0" w:footer="956" w:top="1060" w:bottom="1140" w:left="1020" w:right="0"/>
        </w:sectPr>
      </w:pPr>
    </w:p>
    <w:p>
      <w:pPr>
        <w:pStyle w:val="BodyText"/>
        <w:spacing w:line="240" w:lineRule="auto" w:before="14"/>
        <w:ind w:left="593" w:right="0"/>
        <w:jc w:val="left"/>
      </w:pPr>
      <w:r>
        <w:rPr/>
        <w:t>①追加对价安排：如果发生下述情况之一（以首次发生的情况为准），将追加送股一次</w:t>
      </w:r>
    </w:p>
    <w:p>
      <w:pPr>
        <w:pStyle w:val="BodyText"/>
        <w:spacing w:line="357" w:lineRule="auto" w:before="154"/>
        <w:ind w:left="593" w:right="0" w:hanging="481"/>
        <w:jc w:val="left"/>
      </w:pPr>
      <w:r>
        <w:rPr/>
        <w:t>（股份追送完成后，此承诺自动失效）： 亚星实业在向深大通赠与资产完成后的当年及其后两个会计年度（即</w:t>
      </w:r>
      <w:r>
        <w:rPr>
          <w:rFonts w:ascii="宋体" w:hAnsi="宋体" w:cs="宋体" w:eastAsia="宋体" w:hint="default"/>
        </w:rPr>
        <w:t>2008</w:t>
      </w:r>
      <w:r>
        <w:rPr/>
        <w:t>年、</w:t>
      </w:r>
      <w:r>
        <w:rPr>
          <w:rFonts w:ascii="宋体" w:hAnsi="宋体" w:cs="宋体" w:eastAsia="宋体" w:hint="default"/>
        </w:rPr>
        <w:t>2009</w:t>
      </w:r>
      <w:r>
        <w:rPr/>
        <w:t>年和</w:t>
      </w:r>
    </w:p>
    <w:p>
      <w:pPr>
        <w:pStyle w:val="BodyText"/>
        <w:spacing w:line="357" w:lineRule="auto"/>
        <w:ind w:left="593" w:right="0" w:hanging="481"/>
        <w:jc w:val="left"/>
      </w:pPr>
      <w:r>
        <w:rPr>
          <w:rFonts w:ascii="宋体" w:hAnsi="宋体" w:cs="宋体" w:eastAsia="宋体" w:hint="default"/>
        </w:rPr>
        <w:t>2010</w:t>
      </w:r>
      <w:r>
        <w:rPr/>
        <w:t>年）的任一年度财务报告被出具除标准无保留意见之外的审计报告； 亚星实业在向深大通赠与资产完成后的当年及其后两个会计年度（即</w:t>
      </w:r>
      <w:r>
        <w:rPr>
          <w:rFonts w:ascii="宋体" w:hAnsi="宋体" w:cs="宋体" w:eastAsia="宋体" w:hint="default"/>
        </w:rPr>
        <w:t>2008</w:t>
      </w:r>
      <w:r>
        <w:rPr/>
        <w:t>年、</w:t>
      </w:r>
      <w:r>
        <w:rPr>
          <w:rFonts w:ascii="宋体" w:hAnsi="宋体" w:cs="宋体" w:eastAsia="宋体" w:hint="default"/>
        </w:rPr>
        <w:t>2009</w:t>
      </w:r>
      <w:r>
        <w:rPr/>
        <w:t>年和</w:t>
      </w:r>
    </w:p>
    <w:p>
      <w:pPr>
        <w:pStyle w:val="BodyText"/>
        <w:spacing w:line="357" w:lineRule="auto"/>
        <w:ind w:right="1133"/>
        <w:jc w:val="both"/>
      </w:pPr>
      <w:r>
        <w:rPr>
          <w:rFonts w:ascii="宋体" w:hAnsi="宋体" w:cs="宋体" w:eastAsia="宋体" w:hint="default"/>
          <w:spacing w:val="-5"/>
        </w:rPr>
        <w:t>2010</w:t>
      </w:r>
      <w:r>
        <w:rPr>
          <w:spacing w:val="-5"/>
        </w:rPr>
        <w:t>年）净利润（归属母公司股东净利润，下同）未达到如下承诺标准：</w:t>
      </w:r>
      <w:r>
        <w:rPr>
          <w:rFonts w:ascii="宋体" w:hAnsi="宋体" w:cs="宋体" w:eastAsia="宋体" w:hint="default"/>
          <w:spacing w:val="-5"/>
        </w:rPr>
        <w:t>2008</w:t>
      </w:r>
      <w:r>
        <w:rPr>
          <w:spacing w:val="-5"/>
        </w:rPr>
        <w:t>年度不低于</w:t>
      </w:r>
      <w:r>
        <w:rPr>
          <w:rFonts w:ascii="宋体" w:hAnsi="宋体" w:cs="宋体" w:eastAsia="宋体" w:hint="default"/>
          <w:spacing w:val="-5"/>
        </w:rPr>
        <w:t>1500</w:t>
      </w:r>
      <w:r>
        <w:rPr>
          <w:rFonts w:ascii="宋体" w:hAnsi="宋体" w:cs="宋体" w:eastAsia="宋体" w:hint="default"/>
          <w:spacing w:val="-89"/>
        </w:rPr>
        <w:t> </w:t>
      </w:r>
      <w:r>
        <w:rPr/>
        <w:t>万元、</w:t>
      </w:r>
      <w:r>
        <w:rPr>
          <w:rFonts w:ascii="宋体" w:hAnsi="宋体" w:cs="宋体" w:eastAsia="宋体" w:hint="default"/>
        </w:rPr>
        <w:t>2009</w:t>
      </w:r>
      <w:r>
        <w:rPr/>
        <w:t>年度不低于</w:t>
      </w:r>
      <w:r>
        <w:rPr>
          <w:rFonts w:ascii="宋体" w:hAnsi="宋体" w:cs="宋体" w:eastAsia="宋体" w:hint="default"/>
        </w:rPr>
        <w:t>2000</w:t>
      </w:r>
      <w:r>
        <w:rPr/>
        <w:t>万元、</w:t>
      </w:r>
      <w:r>
        <w:rPr>
          <w:rFonts w:ascii="宋体" w:hAnsi="宋体" w:cs="宋体" w:eastAsia="宋体" w:hint="default"/>
        </w:rPr>
        <w:t>2010</w:t>
      </w:r>
      <w:r>
        <w:rPr/>
        <w:t>年度不低于</w:t>
      </w:r>
      <w:r>
        <w:rPr>
          <w:rFonts w:ascii="宋体" w:hAnsi="宋体" w:cs="宋体" w:eastAsia="宋体" w:hint="default"/>
        </w:rPr>
        <w:t>2500</w:t>
      </w:r>
      <w:r>
        <w:rPr/>
        <w:t>万元。</w:t>
      </w:r>
    </w:p>
    <w:p>
      <w:pPr>
        <w:pStyle w:val="BodyText"/>
        <w:spacing w:line="357" w:lineRule="auto"/>
        <w:ind w:right="1137" w:firstLine="480"/>
        <w:jc w:val="both"/>
      </w:pPr>
      <w:r>
        <w:rPr/>
        <w:t>当上述追加对价条件触发时，亚星实业将以股权分置改革方案实施股权登记日深大通流 通股股份为基数，按照</w:t>
      </w:r>
      <w:r>
        <w:rPr>
          <w:rFonts w:ascii="宋体" w:hAnsi="宋体" w:cs="宋体" w:eastAsia="宋体" w:hint="default"/>
        </w:rPr>
        <w:t>10:1</w:t>
      </w:r>
      <w:r>
        <w:rPr/>
        <w:t>的比例向追送股份股权登记日登记在册的所有无限售条件的流通</w:t>
      </w:r>
      <w:r>
        <w:rPr>
          <w:spacing w:val="-90"/>
        </w:rPr>
        <w:t> </w:t>
      </w:r>
      <w:r>
        <w:rPr>
          <w:spacing w:val="-90"/>
        </w:rPr>
      </w:r>
      <w:r>
        <w:rPr/>
        <w:t>股（不含亚星实业解除禁售后的股份）追送股份，追送股份共计</w:t>
      </w:r>
      <w:r>
        <w:rPr>
          <w:rFonts w:ascii="宋体" w:hAnsi="宋体" w:cs="宋体" w:eastAsia="宋体" w:hint="default"/>
        </w:rPr>
        <w:t>2,201,100</w:t>
      </w:r>
      <w:r>
        <w:rPr/>
        <w:t>股。</w:t>
      </w:r>
    </w:p>
    <w:p>
      <w:pPr>
        <w:pStyle w:val="BodyText"/>
        <w:spacing w:line="357" w:lineRule="auto" w:before="36"/>
        <w:ind w:right="1131" w:firstLine="480"/>
        <w:jc w:val="both"/>
      </w:pPr>
      <w:r>
        <w:rPr/>
        <w:t>深圳市鹏城会计师事务所已经为公司出具了标准无保留意见的审计报告，且审计报告显 </w:t>
      </w:r>
      <w:r>
        <w:rPr>
          <w:spacing w:val="-2"/>
        </w:rPr>
        <w:t>示公司</w:t>
      </w:r>
      <w:r>
        <w:rPr>
          <w:rFonts w:ascii="宋体" w:hAnsi="宋体" w:cs="宋体" w:eastAsia="宋体" w:hint="default"/>
          <w:spacing w:val="-2"/>
        </w:rPr>
        <w:t>2010</w:t>
      </w:r>
      <w:r>
        <w:rPr>
          <w:spacing w:val="-2"/>
        </w:rPr>
        <w:t>年度净利润（归属母公司股东净利润）为</w:t>
      </w:r>
      <w:r>
        <w:rPr>
          <w:rFonts w:ascii="宋体" w:hAnsi="宋体" w:cs="宋体" w:eastAsia="宋体" w:hint="default"/>
          <w:spacing w:val="-2"/>
        </w:rPr>
        <w:t>2665.80</w:t>
      </w:r>
      <w:r>
        <w:rPr>
          <w:spacing w:val="-2"/>
        </w:rPr>
        <w:t>万，达到了承诺</w:t>
      </w:r>
      <w:r>
        <w:rPr>
          <w:rFonts w:ascii="宋体" w:hAnsi="宋体" w:cs="宋体" w:eastAsia="宋体" w:hint="default"/>
          <w:spacing w:val="-2"/>
        </w:rPr>
        <w:t>2010</w:t>
      </w:r>
      <w:r>
        <w:rPr>
          <w:spacing w:val="-2"/>
        </w:rPr>
        <w:t>年度不低于</w:t>
      </w:r>
      <w:r>
        <w:rPr>
          <w:spacing w:val="-108"/>
        </w:rPr>
        <w:t> </w:t>
      </w:r>
      <w:r>
        <w:rPr>
          <w:rFonts w:ascii="宋体" w:hAnsi="宋体" w:cs="宋体" w:eastAsia="宋体" w:hint="default"/>
        </w:rPr>
        <w:t>2500</w:t>
      </w:r>
      <w:r>
        <w:rPr/>
        <w:t>万元的承诺。</w:t>
      </w:r>
    </w:p>
    <w:p>
      <w:pPr>
        <w:pStyle w:val="BodyText"/>
        <w:spacing w:line="357" w:lineRule="auto"/>
        <w:ind w:left="593" w:right="0"/>
        <w:jc w:val="left"/>
        <w:rPr>
          <w:rFonts w:ascii="宋体" w:hAnsi="宋体" w:cs="宋体" w:eastAsia="宋体" w:hint="default"/>
        </w:rPr>
      </w:pPr>
      <w:r>
        <w:rPr/>
        <w:t>②以现金补足差额的业绩承诺 亚星实业承诺在向深大通赠与资产完成后的当年及其后两个会计年度（即</w:t>
      </w:r>
      <w:r>
        <w:rPr>
          <w:rFonts w:ascii="宋体" w:hAnsi="宋体" w:cs="宋体" w:eastAsia="宋体" w:hint="default"/>
        </w:rPr>
        <w:t>2008</w:t>
      </w:r>
      <w:r>
        <w:rPr/>
        <w:t>年、</w:t>
      </w:r>
      <w:r>
        <w:rPr>
          <w:rFonts w:ascii="宋体" w:hAnsi="宋体" w:cs="宋体" w:eastAsia="宋体" w:hint="default"/>
        </w:rPr>
        <w:t>2009</w:t>
      </w:r>
    </w:p>
    <w:p>
      <w:pPr>
        <w:pStyle w:val="BodyText"/>
        <w:spacing w:line="357" w:lineRule="auto"/>
        <w:ind w:right="1133"/>
        <w:jc w:val="both"/>
      </w:pPr>
      <w:r>
        <w:rPr/>
        <w:t>年和</w:t>
      </w:r>
      <w:r>
        <w:rPr>
          <w:rFonts w:ascii="宋体" w:hAnsi="宋体" w:cs="宋体" w:eastAsia="宋体" w:hint="default"/>
        </w:rPr>
        <w:t>2010</w:t>
      </w:r>
      <w:r>
        <w:rPr/>
        <w:t>年）内，深大通</w:t>
      </w:r>
      <w:r>
        <w:rPr>
          <w:rFonts w:ascii="宋体" w:hAnsi="宋体" w:cs="宋体" w:eastAsia="宋体" w:hint="default"/>
        </w:rPr>
        <w:t>2008</w:t>
      </w:r>
      <w:r>
        <w:rPr/>
        <w:t>年净利润（归属母公司股东净利润，下同）不低于</w:t>
      </w:r>
      <w:r>
        <w:rPr>
          <w:rFonts w:ascii="宋体" w:hAnsi="宋体" w:cs="宋体" w:eastAsia="宋体" w:hint="default"/>
        </w:rPr>
        <w:t>1500</w:t>
      </w:r>
      <w:r>
        <w:rPr/>
        <w:t>万元、</w:t>
      </w:r>
      <w:r>
        <w:rPr>
          <w:spacing w:val="-87"/>
        </w:rPr>
        <w:t> </w:t>
      </w:r>
      <w:r>
        <w:rPr>
          <w:spacing w:val="-87"/>
        </w:rPr>
      </w:r>
      <w:r>
        <w:rPr>
          <w:rFonts w:ascii="宋体" w:hAnsi="宋体" w:cs="宋体" w:eastAsia="宋体" w:hint="default"/>
        </w:rPr>
        <w:t>2009</w:t>
      </w:r>
      <w:r>
        <w:rPr/>
        <w:t>年净利润不低于</w:t>
      </w:r>
      <w:r>
        <w:rPr>
          <w:rFonts w:ascii="宋体" w:hAnsi="宋体" w:cs="宋体" w:eastAsia="宋体" w:hint="default"/>
        </w:rPr>
        <w:t>2000</w:t>
      </w:r>
      <w:r>
        <w:rPr/>
        <w:t>万元、</w:t>
      </w:r>
      <w:r>
        <w:rPr>
          <w:rFonts w:ascii="宋体" w:hAnsi="宋体" w:cs="宋体" w:eastAsia="宋体" w:hint="default"/>
        </w:rPr>
        <w:t>2010</w:t>
      </w:r>
      <w:r>
        <w:rPr/>
        <w:t>年净利润不低于</w:t>
      </w:r>
      <w:r>
        <w:rPr>
          <w:rFonts w:ascii="宋体" w:hAnsi="宋体" w:cs="宋体" w:eastAsia="宋体" w:hint="default"/>
        </w:rPr>
        <w:t>2500</w:t>
      </w:r>
      <w:r>
        <w:rPr/>
        <w:t>万元。当深大通在上述三个会计年</w:t>
      </w:r>
      <w:r>
        <w:rPr>
          <w:spacing w:val="-91"/>
        </w:rPr>
        <w:t> </w:t>
      </w:r>
      <w:r>
        <w:rPr>
          <w:spacing w:val="-91"/>
        </w:rPr>
      </w:r>
      <w:r>
        <w:rPr/>
        <w:t>度的任一年度内未实现上述任一承诺时，亚星实业将在该年度的年度报告公布后</w:t>
      </w:r>
      <w:r>
        <w:rPr>
          <w:rFonts w:ascii="宋体" w:hAnsi="宋体" w:cs="宋体" w:eastAsia="宋体" w:hint="default"/>
        </w:rPr>
        <w:t>20</w:t>
      </w:r>
      <w:r>
        <w:rPr/>
        <w:t>个交易日</w:t>
      </w:r>
      <w:r>
        <w:rPr>
          <w:spacing w:val="-86"/>
        </w:rPr>
        <w:t> </w:t>
      </w:r>
      <w:r>
        <w:rPr>
          <w:spacing w:val="-86"/>
        </w:rPr>
      </w:r>
      <w:r>
        <w:rPr/>
        <w:t>内以现金一次性补足盈利差额部分（若该年度盈利未达到上述承诺标准）。</w:t>
      </w:r>
    </w:p>
    <w:p>
      <w:pPr>
        <w:pStyle w:val="BodyText"/>
        <w:spacing w:line="357" w:lineRule="auto" w:before="36"/>
        <w:ind w:right="1131" w:firstLine="480"/>
        <w:jc w:val="both"/>
      </w:pPr>
      <w:r>
        <w:rPr/>
        <w:t>深圳市鹏城会计师事务所已经为公司出具了标准无保留意见的审计报告，且审计报告显 示公司</w:t>
      </w:r>
      <w:r>
        <w:rPr>
          <w:rFonts w:ascii="宋体" w:hAnsi="宋体" w:cs="宋体" w:eastAsia="宋体" w:hint="default"/>
        </w:rPr>
        <w:t>2010</w:t>
      </w:r>
      <w:r>
        <w:rPr/>
        <w:t>年度净利润（归属母公司股东净利润）为</w:t>
      </w:r>
      <w:r>
        <w:rPr>
          <w:rFonts w:ascii="宋体" w:hAnsi="宋体" w:cs="宋体" w:eastAsia="宋体" w:hint="default"/>
        </w:rPr>
        <w:t>2,671.62</w:t>
      </w:r>
      <w:r>
        <w:rPr/>
        <w:t>万元，达到了承诺</w:t>
      </w:r>
      <w:r>
        <w:rPr>
          <w:rFonts w:ascii="宋体" w:hAnsi="宋体" w:cs="宋体" w:eastAsia="宋体" w:hint="default"/>
        </w:rPr>
        <w:t>2010</w:t>
      </w:r>
      <w:r>
        <w:rPr>
          <w:rFonts w:ascii="宋体" w:hAnsi="宋体" w:cs="宋体" w:eastAsia="宋体" w:hint="default"/>
          <w:spacing w:val="-77"/>
        </w:rPr>
        <w:t> </w:t>
      </w:r>
      <w:r>
        <w:rPr/>
        <w:t>年度不 低于</w:t>
      </w:r>
      <w:r>
        <w:rPr>
          <w:rFonts w:ascii="宋体" w:hAnsi="宋体" w:cs="宋体" w:eastAsia="宋体" w:hint="default"/>
        </w:rPr>
        <w:t>2500</w:t>
      </w:r>
      <w:r>
        <w:rPr/>
        <w:t>万元的承诺。</w:t>
      </w:r>
    </w:p>
    <w:p>
      <w:pPr>
        <w:pStyle w:val="BodyText"/>
        <w:spacing w:line="357" w:lineRule="auto"/>
        <w:ind w:left="593" w:right="0"/>
        <w:jc w:val="left"/>
      </w:pPr>
      <w:r>
        <w:rPr/>
        <w:t>③提议向深大通注入亚星实业相关房地产开发业务资产的承诺 为解决亚星实业与深大通将来产生的同业竞争，亚星实业承诺在深大通相关股东会议通</w:t>
      </w:r>
    </w:p>
    <w:p>
      <w:pPr>
        <w:pStyle w:val="BodyText"/>
        <w:spacing w:line="357" w:lineRule="auto"/>
        <w:ind w:right="1135"/>
        <w:jc w:val="both"/>
      </w:pPr>
      <w:r>
        <w:rPr/>
        <w:t>过股权分置改革方案且方正延中传媒有限公司将其所持深大通</w:t>
      </w:r>
      <w:r>
        <w:rPr>
          <w:rFonts w:ascii="宋体" w:hAnsi="宋体" w:cs="宋体" w:eastAsia="宋体" w:hint="default"/>
        </w:rPr>
        <w:t>1000</w:t>
      </w:r>
      <w:r>
        <w:rPr/>
        <w:t>万股股份转让给亚星实业</w:t>
      </w:r>
      <w:r>
        <w:rPr>
          <w:spacing w:val="-88"/>
        </w:rPr>
        <w:t> </w:t>
      </w:r>
      <w:r>
        <w:rPr>
          <w:spacing w:val="-88"/>
        </w:rPr>
      </w:r>
      <w:r>
        <w:rPr/>
        <w:t>的过户手续办理完毕后三个月内，就与深大通可能产生同业竞争的全部相关资产以市场公允</w:t>
      </w:r>
      <w:r>
        <w:rPr>
          <w:spacing w:val="-91"/>
        </w:rPr>
        <w:t> </w:t>
      </w:r>
      <w:r>
        <w:rPr>
          <w:spacing w:val="-91"/>
        </w:rPr>
      </w:r>
      <w:r>
        <w:rPr/>
        <w:t>价格注入深大通事宜召开董事会议并提交深大通临时股东大会审议。</w:t>
      </w:r>
    </w:p>
    <w:p>
      <w:pPr>
        <w:pStyle w:val="BodyText"/>
        <w:spacing w:line="357" w:lineRule="auto" w:before="36"/>
        <w:ind w:right="1132" w:firstLine="480"/>
        <w:jc w:val="both"/>
      </w:pPr>
      <w:r>
        <w:rPr>
          <w:spacing w:val="-3"/>
        </w:rPr>
        <w:t>亚星实业于</w:t>
      </w:r>
      <w:r>
        <w:rPr>
          <w:rFonts w:ascii="宋体" w:hAnsi="宋体" w:cs="宋体" w:eastAsia="宋体" w:hint="default"/>
          <w:spacing w:val="-3"/>
        </w:rPr>
        <w:t>2009</w:t>
      </w:r>
      <w:r>
        <w:rPr>
          <w:spacing w:val="-3"/>
        </w:rPr>
        <w:t>年</w:t>
      </w:r>
      <w:r>
        <w:rPr>
          <w:rFonts w:ascii="宋体" w:hAnsi="宋体" w:cs="宋体" w:eastAsia="宋体" w:hint="default"/>
          <w:spacing w:val="-3"/>
        </w:rPr>
        <w:t>7</w:t>
      </w:r>
      <w:r>
        <w:rPr>
          <w:spacing w:val="-3"/>
        </w:rPr>
        <w:t>月，向深大通董事会提出《关于公司发行股份购买资产具体方案的议</w:t>
      </w:r>
      <w:r>
        <w:rPr/>
        <w:t> 案》等将可能产生同业竞争的全部资产注入深大通的议案，并提议召开股东大会。公司董事</w:t>
      </w:r>
      <w:r>
        <w:rPr>
          <w:spacing w:val="-91"/>
        </w:rPr>
        <w:t> </w:t>
      </w:r>
      <w:r>
        <w:rPr>
          <w:spacing w:val="-91"/>
        </w:rPr>
      </w:r>
      <w:r>
        <w:rPr/>
        <w:t>会于</w:t>
      </w:r>
      <w:r>
        <w:rPr>
          <w:rFonts w:ascii="宋体" w:hAnsi="宋体" w:cs="宋体" w:eastAsia="宋体" w:hint="default"/>
        </w:rPr>
        <w:t>2009</w:t>
      </w:r>
      <w:r>
        <w:rPr/>
        <w:t>年</w:t>
      </w:r>
      <w:r>
        <w:rPr>
          <w:rFonts w:ascii="宋体" w:hAnsi="宋体" w:cs="宋体" w:eastAsia="宋体" w:hint="default"/>
        </w:rPr>
        <w:t>7</w:t>
      </w:r>
      <w:r>
        <w:rPr/>
        <w:t>月</w:t>
      </w:r>
      <w:r>
        <w:rPr>
          <w:rFonts w:ascii="宋体" w:hAnsi="宋体" w:cs="宋体" w:eastAsia="宋体" w:hint="default"/>
        </w:rPr>
        <w:t>27</w:t>
      </w:r>
      <w:r>
        <w:rPr/>
        <w:t>日召开第六届第二十五次董事会审议该事项，未获通过。</w:t>
      </w:r>
    </w:p>
    <w:p>
      <w:pPr>
        <w:pStyle w:val="BodyText"/>
        <w:spacing w:line="240" w:lineRule="auto"/>
        <w:ind w:left="593" w:right="0"/>
        <w:jc w:val="left"/>
      </w:pPr>
      <w:r>
        <w:rPr/>
        <w:t>④向全体股东转增股本的承诺</w:t>
      </w:r>
    </w:p>
    <w:p>
      <w:pPr>
        <w:spacing w:after="0" w:line="240" w:lineRule="auto"/>
        <w:jc w:val="left"/>
        <w:sectPr>
          <w:pgSz w:w="11910" w:h="16840"/>
          <w:pgMar w:header="0" w:footer="956" w:top="1060" w:bottom="1140" w:left="1020" w:right="0"/>
        </w:sectPr>
      </w:pPr>
    </w:p>
    <w:p>
      <w:pPr>
        <w:pStyle w:val="BodyText"/>
        <w:spacing w:line="357" w:lineRule="auto" w:before="14"/>
        <w:ind w:right="1132" w:firstLine="480"/>
        <w:jc w:val="both"/>
      </w:pPr>
      <w:r>
        <w:rPr/>
        <w:t>在亚星实业将可能与深大通产生同业竞争的全部相关资产注入深大通且资产过户相关手 续办理完毕后（指经中国证券监督管理委员会批准资产注入方案并办理完注入资产的过户手</w:t>
      </w:r>
      <w:r>
        <w:rPr>
          <w:spacing w:val="-91"/>
        </w:rPr>
        <w:t> </w:t>
      </w:r>
      <w:r>
        <w:rPr>
          <w:spacing w:val="-91"/>
        </w:rPr>
      </w:r>
      <w:r>
        <w:rPr/>
        <w:t>续），亚星实业将在深大通公布最近一期年度或半年度审计报告时提出向全体股东每</w:t>
      </w:r>
      <w:r>
        <w:rPr>
          <w:rFonts w:ascii="宋体" w:hAnsi="宋体" w:cs="宋体" w:eastAsia="宋体" w:hint="default"/>
        </w:rPr>
        <w:t>10</w:t>
      </w:r>
      <w:r>
        <w:rPr/>
        <w:t>股转</w:t>
      </w:r>
      <w:r>
        <w:rPr>
          <w:spacing w:val="-86"/>
        </w:rPr>
        <w:t> </w:t>
      </w:r>
      <w:r>
        <w:rPr>
          <w:spacing w:val="-3"/>
        </w:rPr>
        <w:t>增</w:t>
      </w:r>
      <w:r>
        <w:rPr>
          <w:rFonts w:ascii="宋体" w:hAnsi="宋体" w:cs="宋体" w:eastAsia="宋体" w:hint="default"/>
          <w:spacing w:val="-3"/>
        </w:rPr>
        <w:t>5</w:t>
      </w:r>
      <w:r>
        <w:rPr>
          <w:spacing w:val="-3"/>
        </w:rPr>
        <w:t>股的议案；若相关手续（指经中国证券监督管理委员会批准资产注入方案并办理完注入资</w:t>
      </w:r>
      <w:r>
        <w:rPr>
          <w:spacing w:val="-80"/>
        </w:rPr>
        <w:t> </w:t>
      </w:r>
      <w:r>
        <w:rPr>
          <w:spacing w:val="-80"/>
        </w:rPr>
      </w:r>
      <w:r>
        <w:rPr>
          <w:spacing w:val="-2"/>
        </w:rPr>
        <w:t>产的过户手续）在该年度</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日前办理完毕，转增方案将在公布该年度的半年度审</w:t>
      </w:r>
      <w:r>
        <w:rPr>
          <w:spacing w:val="-116"/>
        </w:rPr>
        <w:t> </w:t>
      </w:r>
      <w:r>
        <w:rPr>
          <w:spacing w:val="-116"/>
        </w:rPr>
      </w:r>
      <w:r>
        <w:rPr/>
        <w:t>计报告时提出；若相关手续（指经中国证券监督管理委员会批准资产注入方案并办理完注入</w:t>
      </w:r>
      <w:r>
        <w:rPr>
          <w:spacing w:val="-91"/>
        </w:rPr>
        <w:t> </w:t>
      </w:r>
      <w:r>
        <w:rPr>
          <w:spacing w:val="-91"/>
        </w:rPr>
      </w:r>
      <w:r>
        <w:rPr/>
        <w:t>资产的过户手续）在该会计年度的</w:t>
      </w:r>
      <w:r>
        <w:rPr>
          <w:rFonts w:ascii="宋体" w:hAnsi="宋体" w:cs="宋体" w:eastAsia="宋体" w:hint="default"/>
        </w:rPr>
        <w:t>7</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日办理完毕，转增方案将在公布该年度的</w:t>
      </w:r>
      <w:r>
        <w:rPr>
          <w:spacing w:val="-89"/>
        </w:rPr>
        <w:t> </w:t>
      </w:r>
      <w:r>
        <w:rPr>
          <w:spacing w:val="-89"/>
        </w:rPr>
      </w:r>
      <w:r>
        <w:rPr/>
        <w:t>年度审计报告时提出。亚星实业保证在深大通股东大会表决时对该议案投赞成票，保证在股</w:t>
      </w:r>
      <w:r>
        <w:rPr>
          <w:spacing w:val="-91"/>
        </w:rPr>
        <w:t> </w:t>
      </w:r>
      <w:r>
        <w:rPr>
          <w:spacing w:val="-91"/>
        </w:rPr>
      </w:r>
      <w:r>
        <w:rPr/>
        <w:t>东大会通过后</w:t>
      </w:r>
      <w:r>
        <w:rPr>
          <w:rFonts w:ascii="宋体" w:hAnsi="宋体" w:cs="宋体" w:eastAsia="宋体" w:hint="default"/>
        </w:rPr>
        <w:t>10</w:t>
      </w:r>
      <w:r>
        <w:rPr/>
        <w:t>个工作日内实施。</w:t>
      </w:r>
    </w:p>
    <w:p>
      <w:pPr>
        <w:pStyle w:val="BodyText"/>
        <w:spacing w:line="357" w:lineRule="auto"/>
        <w:ind w:right="1136" w:firstLine="480"/>
        <w:jc w:val="both"/>
      </w:pPr>
      <w:r>
        <w:rPr/>
        <w:t>本承诺实施的条件为在亚星实业将可能与深大通产生同业竞争的全部相关资产注入深大 通且资产过户相关手续办理完毕后。目前，尚未达到向全体股东转增股本的条件。</w:t>
      </w:r>
    </w:p>
    <w:p>
      <w:pPr>
        <w:pStyle w:val="BodyText"/>
        <w:spacing w:line="357" w:lineRule="auto"/>
        <w:ind w:left="593" w:right="0"/>
        <w:jc w:val="left"/>
      </w:pPr>
      <w:r>
        <w:rPr/>
        <w:t>（九）公司恢复上市事宜 </w:t>
      </w:r>
      <w:r>
        <w:rPr>
          <w:rFonts w:ascii="宋体" w:hAnsi="宋体" w:cs="宋体" w:eastAsia="宋体" w:hint="default"/>
          <w:spacing w:val="-3"/>
        </w:rPr>
        <w:t>1</w:t>
      </w:r>
      <w:r>
        <w:rPr>
          <w:spacing w:val="-3"/>
        </w:rPr>
        <w:t>、</w:t>
      </w:r>
      <w:r>
        <w:rPr>
          <w:rFonts w:ascii="宋体" w:hAnsi="宋体" w:cs="宋体" w:eastAsia="宋体" w:hint="default"/>
          <w:spacing w:val="-3"/>
        </w:rPr>
        <w:t>2008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8</w:t>
      </w:r>
      <w:r>
        <w:rPr>
          <w:spacing w:val="-3"/>
        </w:rPr>
        <w:t>日，公司向深圳证券交易所正式递交了公司股票恢复上市的申请，证券交</w:t>
      </w:r>
    </w:p>
    <w:p>
      <w:pPr>
        <w:pStyle w:val="BodyText"/>
        <w:spacing w:line="357" w:lineRule="auto"/>
        <w:ind w:right="1131"/>
        <w:jc w:val="both"/>
      </w:pPr>
      <w:r>
        <w:rPr>
          <w:spacing w:val="-2"/>
        </w:rPr>
        <w:t>易所在</w:t>
      </w:r>
      <w:r>
        <w:rPr>
          <w:rFonts w:ascii="宋体" w:hAnsi="宋体" w:cs="宋体" w:eastAsia="宋体" w:hint="default"/>
          <w:spacing w:val="-2"/>
        </w:rPr>
        <w:t>2008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日正式受理了公司恢复上市的申请，同时收到深圳交易所发来公司的公司</w:t>
      </w:r>
      <w:r>
        <w:rPr>
          <w:spacing w:val="-115"/>
        </w:rPr>
        <w:t> </w:t>
      </w:r>
      <w:r>
        <w:rPr>
          <w:spacing w:val="-115"/>
        </w:rPr>
      </w:r>
      <w:r>
        <w:rPr>
          <w:spacing w:val="-3"/>
        </w:rPr>
        <w:t>部问询函【</w:t>
      </w:r>
      <w:r>
        <w:rPr>
          <w:rFonts w:ascii="宋体" w:hAnsi="宋体" w:cs="宋体" w:eastAsia="宋体" w:hint="default"/>
          <w:spacing w:val="-3"/>
        </w:rPr>
        <w:t>2008</w:t>
      </w:r>
      <w:r>
        <w:rPr>
          <w:spacing w:val="-3"/>
        </w:rPr>
        <w:t>】第</w:t>
      </w:r>
      <w:r>
        <w:rPr>
          <w:rFonts w:ascii="宋体" w:hAnsi="宋体" w:cs="宋体" w:eastAsia="宋体" w:hint="default"/>
          <w:spacing w:val="-3"/>
        </w:rPr>
        <w:t>44</w:t>
      </w:r>
      <w:r>
        <w:rPr>
          <w:rFonts w:ascii="宋体" w:hAnsi="宋体" w:cs="宋体" w:eastAsia="宋体" w:hint="default"/>
          <w:spacing w:val="-42"/>
        </w:rPr>
        <w:t> </w:t>
      </w:r>
      <w:r>
        <w:rPr/>
        <w:t>号《关于对深圳大通实业股份有限公司的问询函》，要求我司补充相 关资料。根据《深圳证券交易所股票上市规则》</w:t>
      </w:r>
      <w:r>
        <w:rPr>
          <w:rFonts w:ascii="宋体" w:hAnsi="宋体" w:cs="宋体" w:eastAsia="宋体" w:hint="default"/>
        </w:rPr>
        <w:t>(2006</w:t>
      </w:r>
      <w:r>
        <w:rPr>
          <w:rFonts w:ascii="宋体" w:hAnsi="宋体" w:cs="宋体" w:eastAsia="宋体" w:hint="default"/>
          <w:spacing w:val="31"/>
        </w:rPr>
        <w:t> </w:t>
      </w:r>
      <w:r>
        <w:rPr/>
        <w:t>年修订本</w:t>
      </w:r>
      <w:r>
        <w:rPr>
          <w:rFonts w:ascii="宋体" w:hAnsi="宋体" w:cs="宋体" w:eastAsia="宋体" w:hint="default"/>
        </w:rPr>
        <w:t>)14.2.13</w:t>
      </w:r>
      <w:r>
        <w:rPr/>
        <w:t>的有关规定，深圳</w:t>
      </w:r>
      <w:r>
        <w:rPr>
          <w:spacing w:val="-117"/>
        </w:rPr>
        <w:t> </w:t>
      </w:r>
      <w:r>
        <w:rPr>
          <w:spacing w:val="-117"/>
        </w:rPr>
      </w:r>
      <w:r>
        <w:rPr/>
        <w:t>证券交易所将在正式受理公司恢复上市申请后的三十个交易日内，作出是否核准公司股票恢</w:t>
      </w:r>
      <w:r>
        <w:rPr>
          <w:spacing w:val="-87"/>
        </w:rPr>
        <w:t> </w:t>
      </w:r>
      <w:r>
        <w:rPr>
          <w:spacing w:val="-87"/>
        </w:rPr>
      </w:r>
      <w:r>
        <w:rPr/>
        <w:t>复上市申请的决定，公司补充提供有关材料期间不计入上述核准期限内。</w:t>
      </w:r>
    </w:p>
    <w:p>
      <w:pPr>
        <w:pStyle w:val="BodyText"/>
        <w:spacing w:line="357" w:lineRule="auto"/>
        <w:ind w:right="1134" w:firstLine="480"/>
        <w:jc w:val="both"/>
      </w:pPr>
      <w:r>
        <w:rPr>
          <w:rFonts w:ascii="宋体" w:hAnsi="宋体" w:cs="宋体" w:eastAsia="宋体" w:hint="default"/>
        </w:rPr>
        <w:t>2</w:t>
      </w:r>
      <w:r>
        <w:rPr/>
        <w:t>、目前，公司正在根据深圳证券交易所</w:t>
      </w:r>
      <w:r>
        <w:rPr>
          <w:rFonts w:ascii="宋体" w:hAnsi="宋体" w:cs="宋体" w:eastAsia="宋体" w:hint="default"/>
        </w:rPr>
        <w:t>2008</w:t>
      </w:r>
      <w:r>
        <w:rPr/>
        <w:t>年</w:t>
      </w:r>
      <w:r>
        <w:rPr>
          <w:rFonts w:ascii="宋体" w:hAnsi="宋体" w:cs="宋体" w:eastAsia="宋体" w:hint="default"/>
        </w:rPr>
        <w:t>5</w:t>
      </w:r>
      <w:r>
        <w:rPr/>
        <w:t>月</w:t>
      </w:r>
      <w:r>
        <w:rPr>
          <w:rFonts w:ascii="宋体" w:hAnsi="宋体" w:cs="宋体" w:eastAsia="宋体" w:hint="default"/>
        </w:rPr>
        <w:t>15</w:t>
      </w:r>
      <w:r>
        <w:rPr/>
        <w:t>日下发的问询函的要求积极推进恢 复上市工作。根据问询函的要求，公司需要提供中国证监会豁免要约收购批复涉及的股份完</w:t>
      </w:r>
      <w:r>
        <w:rPr>
          <w:spacing w:val="-87"/>
        </w:rPr>
        <w:t> </w:t>
      </w:r>
      <w:r>
        <w:rPr>
          <w:spacing w:val="-87"/>
        </w:rPr>
      </w:r>
      <w:r>
        <w:rPr/>
        <w:t>成登记过户到亚星实业名下的证明文件，即方正延中传媒有限公司、上海文慧和上海港银分</w:t>
      </w:r>
      <w:r>
        <w:rPr>
          <w:spacing w:val="-87"/>
        </w:rPr>
        <w:t> </w:t>
      </w:r>
      <w:r>
        <w:rPr>
          <w:spacing w:val="-87"/>
        </w:rPr>
      </w:r>
      <w:r>
        <w:rPr/>
        <w:t>别按</w:t>
      </w:r>
      <w:r>
        <w:rPr>
          <w:rFonts w:ascii="宋体" w:hAnsi="宋体" w:cs="宋体" w:eastAsia="宋体" w:hint="default"/>
        </w:rPr>
        <w:t>10</w:t>
      </w:r>
      <w:r>
        <w:rPr/>
        <w:t>：</w:t>
      </w:r>
      <w:r>
        <w:rPr>
          <w:rFonts w:ascii="宋体" w:hAnsi="宋体" w:cs="宋体" w:eastAsia="宋体" w:hint="default"/>
        </w:rPr>
        <w:t>6.5</w:t>
      </w:r>
      <w:r>
        <w:rPr/>
        <w:t>的比例向亚星实业赠送股份，合计赠送股份</w:t>
      </w:r>
      <w:r>
        <w:rPr>
          <w:rFonts w:ascii="宋体" w:hAnsi="宋体" w:cs="宋体" w:eastAsia="宋体" w:hint="default"/>
        </w:rPr>
        <w:t>29,063,249</w:t>
      </w:r>
      <w:r>
        <w:rPr/>
        <w:t>股过户证明。</w:t>
      </w:r>
    </w:p>
    <w:p>
      <w:pPr>
        <w:pStyle w:val="BodyText"/>
        <w:spacing w:line="338" w:lineRule="auto" w:before="154"/>
        <w:ind w:right="1131" w:firstLine="540"/>
        <w:jc w:val="both"/>
        <w:rPr>
          <w:rFonts w:ascii="Times New Roman" w:hAnsi="Times New Roman" w:cs="Times New Roman" w:eastAsia="Times New Roman" w:hint="default"/>
        </w:rPr>
      </w:pPr>
      <w:r>
        <w:rPr/>
        <w:t>目前方正延中所持的 </w:t>
      </w:r>
      <w:r>
        <w:rPr>
          <w:rFonts w:ascii="Times New Roman" w:hAnsi="Times New Roman" w:cs="Times New Roman" w:eastAsia="Times New Roman" w:hint="default"/>
        </w:rPr>
        <w:t>680 </w:t>
      </w:r>
      <w:r>
        <w:rPr/>
        <w:t>万股股份及 </w:t>
      </w:r>
      <w:r>
        <w:rPr>
          <w:rFonts w:ascii="Times New Roman" w:hAnsi="Times New Roman" w:cs="Times New Roman" w:eastAsia="Times New Roman" w:hint="default"/>
        </w:rPr>
        <w:t>2,437,850</w:t>
      </w:r>
      <w:r>
        <w:rPr>
          <w:rFonts w:ascii="Times New Roman" w:hAnsi="Times New Roman" w:cs="Times New Roman" w:eastAsia="Times New Roman" w:hint="default"/>
          <w:spacing w:val="-25"/>
        </w:rPr>
        <w:t> </w:t>
      </w:r>
      <w:r>
        <w:rPr/>
        <w:t>股股份已先后以垫付对价偿还方式过户 至亚星实业名下；上海港银、上海文慧所持深大通</w:t>
      </w:r>
      <w:r>
        <w:rPr>
          <w:spacing w:val="-68"/>
        </w:rPr>
        <w:t> </w:t>
      </w:r>
      <w:r>
        <w:rPr>
          <w:rFonts w:ascii="Times New Roman" w:hAnsi="Times New Roman" w:cs="Times New Roman" w:eastAsia="Times New Roman" w:hint="default"/>
        </w:rPr>
        <w:t>6,500,000</w:t>
      </w:r>
      <w:r>
        <w:rPr>
          <w:rFonts w:ascii="Times New Roman" w:hAnsi="Times New Roman" w:cs="Times New Roman" w:eastAsia="Times New Roman" w:hint="default"/>
          <w:spacing w:val="-8"/>
        </w:rPr>
        <w:t> </w:t>
      </w:r>
      <w:r>
        <w:rPr/>
        <w:t>股、</w:t>
      </w:r>
      <w:r>
        <w:rPr>
          <w:rFonts w:ascii="Times New Roman" w:hAnsi="Times New Roman" w:cs="Times New Roman" w:eastAsia="Times New Roman" w:hint="default"/>
        </w:rPr>
        <w:t>11,513,248</w:t>
      </w:r>
      <w:r>
        <w:rPr>
          <w:rFonts w:ascii="Times New Roman" w:hAnsi="Times New Roman" w:cs="Times New Roman" w:eastAsia="Times New Roman" w:hint="default"/>
          <w:spacing w:val="-8"/>
        </w:rPr>
        <w:t> </w:t>
      </w:r>
      <w:r>
        <w:rPr/>
        <w:t>股份分别以股权 分置改革垫付对价偿还的方式过户给亚星实业。方正延中与亚星实业仍在办理其余</w:t>
      </w:r>
      <w:r>
        <w:rPr>
          <w:spacing w:val="-80"/>
        </w:rPr>
        <w:t> </w:t>
      </w:r>
      <w:r>
        <w:rPr>
          <w:rFonts w:ascii="Times New Roman" w:hAnsi="Times New Roman" w:cs="Times New Roman" w:eastAsia="Times New Roman" w:hint="default"/>
        </w:rPr>
        <w:t>1,812,150</w:t>
      </w:r>
    </w:p>
    <w:p>
      <w:pPr>
        <w:pStyle w:val="BodyText"/>
        <w:spacing w:line="336" w:lineRule="auto" w:before="27"/>
        <w:ind w:left="593" w:right="0" w:hanging="481"/>
        <w:jc w:val="left"/>
      </w:pPr>
      <w:r>
        <w:rPr/>
        <w:t>股按每股</w:t>
      </w:r>
      <w:r>
        <w:rPr>
          <w:spacing w:val="-60"/>
        </w:rPr>
        <w:t> </w:t>
      </w:r>
      <w:r>
        <w:rPr>
          <w:rFonts w:ascii="Times New Roman" w:hAnsi="Times New Roman" w:cs="Times New Roman" w:eastAsia="Times New Roman" w:hint="default"/>
        </w:rPr>
        <w:t>9.92 </w:t>
      </w:r>
      <w:r>
        <w:rPr/>
        <w:t>元（深大通停牌前</w:t>
      </w:r>
      <w:r>
        <w:rPr>
          <w:spacing w:val="-60"/>
        </w:rPr>
        <w:t> </w:t>
      </w:r>
      <w:r>
        <w:rPr>
          <w:rFonts w:ascii="Times New Roman" w:hAnsi="Times New Roman" w:cs="Times New Roman" w:eastAsia="Times New Roman" w:hint="default"/>
        </w:rPr>
        <w:t>20 </w:t>
      </w:r>
      <w:r>
        <w:rPr/>
        <w:t>日的均价）合计</w:t>
      </w:r>
      <w:r>
        <w:rPr>
          <w:spacing w:val="-60"/>
        </w:rPr>
        <w:t> </w:t>
      </w:r>
      <w:r>
        <w:rPr>
          <w:rFonts w:ascii="Times New Roman" w:hAnsi="Times New Roman" w:cs="Times New Roman" w:eastAsia="Times New Roman" w:hint="default"/>
        </w:rPr>
        <w:t>17,976,528 </w:t>
      </w:r>
      <w:r>
        <w:rPr/>
        <w:t>元人民币支付的相关事宜。 因此，公司无法向深圳证券交易所提交恢复上市的补充文件，恢复上市工作尚无法有效</w:t>
      </w:r>
    </w:p>
    <w:p>
      <w:pPr>
        <w:pStyle w:val="BodyText"/>
        <w:spacing w:line="240" w:lineRule="auto" w:before="58"/>
        <w:ind w:right="0"/>
        <w:jc w:val="both"/>
      </w:pPr>
      <w:r>
        <w:rPr/>
        <w:t>推进。</w:t>
      </w:r>
    </w:p>
    <w:p>
      <w:pPr>
        <w:pStyle w:val="BodyText"/>
        <w:spacing w:line="357" w:lineRule="auto" w:before="151"/>
        <w:ind w:right="0" w:firstLine="480"/>
        <w:jc w:val="left"/>
      </w:pPr>
      <w:r>
        <w:rPr>
          <w:rFonts w:ascii="宋体" w:hAnsi="宋体" w:cs="宋体" w:eastAsia="宋体" w:hint="default"/>
          <w:spacing w:val="-7"/>
        </w:rPr>
        <w:t>3</w:t>
      </w:r>
      <w:r>
        <w:rPr>
          <w:spacing w:val="-7"/>
        </w:rPr>
        <w:t>、公司每月月初已在《中国证券报》、《证券时报》和巨潮资讯网（</w:t>
      </w:r>
      <w:hyperlink r:id="rId8">
        <w:r>
          <w:rPr>
            <w:rFonts w:ascii="宋体" w:hAnsi="宋体" w:cs="宋体" w:eastAsia="宋体" w:hint="default"/>
            <w:spacing w:val="-7"/>
          </w:rPr>
          <w:t>www.cninfo.com.cn</w:t>
        </w:r>
      </w:hyperlink>
      <w:r>
        <w:rPr>
          <w:spacing w:val="-7"/>
        </w:rPr>
        <w:t>）</w:t>
      </w:r>
      <w:r>
        <w:rPr/>
        <w:t> 上刊登了本公司股票恢复上市进展情况的公告。</w:t>
      </w:r>
    </w:p>
    <w:p>
      <w:pPr>
        <w:pStyle w:val="BodyText"/>
        <w:spacing w:line="240" w:lineRule="auto"/>
        <w:ind w:left="593" w:right="0"/>
        <w:jc w:val="left"/>
      </w:pPr>
      <w:r>
        <w:rPr/>
        <w:t>（十）聘任会计师事务所及支付报酬情况</w:t>
      </w:r>
    </w:p>
    <w:p>
      <w:pPr>
        <w:spacing w:after="0" w:line="240" w:lineRule="auto"/>
        <w:jc w:val="left"/>
        <w:sectPr>
          <w:pgSz w:w="11910" w:h="16840"/>
          <w:pgMar w:header="0" w:footer="956" w:top="1060" w:bottom="1140" w:left="1020" w:right="0"/>
        </w:sectPr>
      </w:pPr>
    </w:p>
    <w:p>
      <w:pPr>
        <w:pStyle w:val="BodyText"/>
        <w:spacing w:line="357" w:lineRule="auto" w:before="14"/>
        <w:ind w:left="212" w:right="1133" w:firstLine="480"/>
        <w:jc w:val="both"/>
      </w:pPr>
      <w:r>
        <w:rPr/>
        <w:t>报告期内，由公司第七届董事会第二次会议提议，公司</w:t>
      </w:r>
      <w:r>
        <w:rPr>
          <w:rFonts w:ascii="宋体" w:hAnsi="宋体" w:cs="宋体" w:eastAsia="宋体" w:hint="default"/>
        </w:rPr>
        <w:t>2009</w:t>
      </w:r>
      <w:r>
        <w:rPr/>
        <w:t>年年度股东大会审议通过， 续聘深圳市鹏城会计师事务所有限公司为公司的审计机构。报告期内支付审计费用</w:t>
      </w:r>
      <w:r>
        <w:rPr>
          <w:rFonts w:ascii="宋体" w:hAnsi="宋体" w:cs="宋体" w:eastAsia="宋体" w:hint="default"/>
        </w:rPr>
        <w:t>37</w:t>
      </w:r>
      <w:r>
        <w:rPr/>
        <w:t>万元，</w:t>
      </w:r>
      <w:r>
        <w:rPr>
          <w:spacing w:val="-86"/>
        </w:rPr>
        <w:t> </w:t>
      </w:r>
      <w:r>
        <w:rPr>
          <w:spacing w:val="-86"/>
        </w:rPr>
      </w:r>
      <w:r>
        <w:rPr/>
        <w:t>该所已连续为公司服务</w:t>
      </w:r>
      <w:r>
        <w:rPr>
          <w:rFonts w:ascii="宋体" w:hAnsi="宋体" w:cs="宋体" w:eastAsia="宋体" w:hint="default"/>
        </w:rPr>
        <w:t>10</w:t>
      </w:r>
      <w:r>
        <w:rPr/>
        <w:t>年。</w:t>
      </w:r>
    </w:p>
    <w:p>
      <w:pPr>
        <w:pStyle w:val="BodyText"/>
        <w:spacing w:line="240" w:lineRule="auto"/>
        <w:ind w:left="693" w:right="1034"/>
        <w:jc w:val="left"/>
      </w:pPr>
      <w:r>
        <w:rPr/>
        <w:t>（十一）上市公司及其董事、监事、高级管理人员、公司股东、实际控制人处罚及整改</w:t>
      </w:r>
    </w:p>
    <w:p>
      <w:pPr>
        <w:spacing w:line="240" w:lineRule="auto" w:before="10"/>
        <w:rPr>
          <w:rFonts w:ascii="宋体" w:hAnsi="宋体" w:cs="宋体" w:eastAsia="宋体" w:hint="default"/>
          <w:sz w:val="9"/>
          <w:szCs w:val="9"/>
        </w:rPr>
      </w:pPr>
    </w:p>
    <w:p>
      <w:pPr>
        <w:pStyle w:val="BodyText"/>
        <w:spacing w:line="240" w:lineRule="auto" w:before="26"/>
        <w:ind w:left="212" w:right="1034"/>
        <w:jc w:val="left"/>
      </w:pPr>
      <w:r>
        <w:rPr/>
        <w:t>情况</w:t>
      </w:r>
    </w:p>
    <w:p>
      <w:pPr>
        <w:pStyle w:val="BodyText"/>
        <w:spacing w:line="240" w:lineRule="auto" w:before="151"/>
        <w:ind w:left="693" w:right="1034"/>
        <w:jc w:val="left"/>
      </w:pPr>
      <w:r>
        <w:rPr/>
        <w:t>报告期内，公司及其董事、监事、高级管理人员、公司股东、实际控制人未受中国证监</w:t>
      </w:r>
    </w:p>
    <w:p>
      <w:pPr>
        <w:spacing w:line="240" w:lineRule="auto" w:before="10"/>
        <w:rPr>
          <w:rFonts w:ascii="宋体" w:hAnsi="宋体" w:cs="宋体" w:eastAsia="宋体" w:hint="default"/>
          <w:sz w:val="9"/>
          <w:szCs w:val="9"/>
        </w:rPr>
      </w:pPr>
    </w:p>
    <w:p>
      <w:pPr>
        <w:pStyle w:val="BodyText"/>
        <w:spacing w:line="240" w:lineRule="auto" w:before="26"/>
        <w:ind w:left="212" w:right="1034"/>
        <w:jc w:val="left"/>
      </w:pPr>
      <w:r>
        <w:rPr/>
        <w:t>会的其他稽查、行政处罚、通报批评及证券交易所的公开谴责。</w:t>
      </w:r>
    </w:p>
    <w:p>
      <w:pPr>
        <w:pStyle w:val="BodyText"/>
        <w:spacing w:line="357" w:lineRule="auto" w:before="151"/>
        <w:ind w:left="693" w:right="5593"/>
        <w:jc w:val="left"/>
      </w:pPr>
      <w:r>
        <w:rPr/>
        <w:t>（十二）其他重大事项的说明 </w:t>
      </w:r>
      <w:r>
        <w:rPr>
          <w:rFonts w:ascii="宋体" w:hAnsi="宋体" w:cs="宋体" w:eastAsia="宋体" w:hint="default"/>
        </w:rPr>
        <w:t>1</w:t>
      </w:r>
      <w:r>
        <w:rPr/>
        <w:t>、报告期内，公司无证券投资及相关事项。</w:t>
      </w:r>
    </w:p>
    <w:p>
      <w:pPr>
        <w:pStyle w:val="BodyText"/>
        <w:spacing w:line="357" w:lineRule="auto"/>
        <w:ind w:left="212" w:right="1004" w:firstLine="480"/>
        <w:jc w:val="left"/>
      </w:pPr>
      <w:r>
        <w:rPr>
          <w:rFonts w:ascii="宋体" w:hAnsi="宋体" w:cs="宋体" w:eastAsia="宋体" w:hint="default"/>
          <w:spacing w:val="-5"/>
        </w:rPr>
        <w:t>2</w:t>
      </w:r>
      <w:r>
        <w:rPr>
          <w:spacing w:val="-5"/>
        </w:rPr>
        <w:t>、</w:t>
      </w:r>
      <w:r>
        <w:rPr>
          <w:rFonts w:ascii="宋体" w:hAnsi="宋体" w:cs="宋体" w:eastAsia="宋体" w:hint="default"/>
          <w:spacing w:val="-5"/>
        </w:rPr>
        <w:t>2009</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25</w:t>
      </w:r>
      <w:r>
        <w:rPr>
          <w:spacing w:val="-5"/>
        </w:rPr>
        <w:t>日，公司</w:t>
      </w:r>
      <w:r>
        <w:rPr>
          <w:rFonts w:ascii="宋体" w:hAnsi="宋体" w:cs="宋体" w:eastAsia="宋体" w:hint="default"/>
          <w:spacing w:val="-5"/>
        </w:rPr>
        <w:t>2009</w:t>
      </w:r>
      <w:r>
        <w:rPr>
          <w:spacing w:val="-5"/>
        </w:rPr>
        <w:t>年第一次临时股东大会进行了董事会和监事会的换届选举，</w:t>
      </w:r>
      <w:r>
        <w:rPr/>
        <w:t> </w:t>
      </w:r>
      <w:r>
        <w:rPr>
          <w:spacing w:val="-5"/>
        </w:rPr>
        <w:t>潜在控股股东青岛亚星实业有限公司（以下简称“亚星实业”）推荐的</w:t>
      </w:r>
      <w:r>
        <w:rPr>
          <w:rFonts w:ascii="宋体" w:hAnsi="宋体" w:cs="宋体" w:eastAsia="宋体" w:hint="default"/>
          <w:spacing w:val="-5"/>
        </w:rPr>
        <w:t>2</w:t>
      </w:r>
      <w:r>
        <w:rPr>
          <w:spacing w:val="-5"/>
        </w:rPr>
        <w:t>名非独立董事许亚楠、</w:t>
      </w:r>
      <w:r>
        <w:rPr>
          <w:spacing w:val="-113"/>
        </w:rPr>
        <w:t> </w:t>
      </w:r>
      <w:r>
        <w:rPr/>
        <w:t>张庆文和</w:t>
      </w:r>
      <w:r>
        <w:rPr>
          <w:rFonts w:ascii="宋体" w:hAnsi="宋体" w:cs="宋体" w:eastAsia="宋体" w:hint="default"/>
        </w:rPr>
        <w:t>2</w:t>
      </w:r>
      <w:r>
        <w:rPr/>
        <w:t>名监事王立军、张国华当选。</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30</w:t>
      </w:r>
      <w:r>
        <w:rPr/>
        <w:t>日，亚星实业推举的董事许亚楠当选了 </w:t>
      </w:r>
      <w:r>
        <w:rPr>
          <w:spacing w:val="3"/>
        </w:rPr>
        <w:t>公司第七届董事会董事长，亚星实业推举的监事王立军当选了公司的监事会主席。</w:t>
      </w:r>
      <w:r>
        <w:rPr>
          <w:rFonts w:ascii="宋体" w:hAnsi="宋体" w:cs="宋体" w:eastAsia="宋体" w:hint="default"/>
          <w:spacing w:val="3"/>
        </w:rPr>
        <w:t>2010</w:t>
      </w:r>
      <w:r>
        <w:rPr>
          <w:spacing w:val="3"/>
        </w:rPr>
        <w:t>年</w:t>
      </w:r>
      <w:r>
        <w:rPr>
          <w:rFonts w:ascii="宋体" w:hAnsi="宋体" w:cs="宋体" w:eastAsia="宋体" w:hint="default"/>
          <w:spacing w:val="3"/>
        </w:rPr>
        <w:t>1</w:t>
      </w:r>
      <w:r>
        <w:rPr>
          <w:rFonts w:ascii="宋体" w:hAnsi="宋体" w:cs="宋体" w:eastAsia="宋体" w:hint="default"/>
          <w:spacing w:val="-104"/>
        </w:rPr>
        <w:t> </w:t>
      </w:r>
      <w:r>
        <w:rPr/>
        <w:t>月</w:t>
      </w:r>
      <w:r>
        <w:rPr>
          <w:rFonts w:ascii="宋体" w:hAnsi="宋体" w:cs="宋体" w:eastAsia="宋体" w:hint="default"/>
        </w:rPr>
        <w:t>28</w:t>
      </w:r>
      <w:r>
        <w:rPr/>
        <w:t>日，公司召开了</w:t>
      </w:r>
      <w:r>
        <w:rPr>
          <w:rFonts w:ascii="宋体" w:hAnsi="宋体" w:cs="宋体" w:eastAsia="宋体" w:hint="default"/>
        </w:rPr>
        <w:t>2010</w:t>
      </w:r>
      <w:r>
        <w:rPr/>
        <w:t>年第二次临时股东大会，亚星实业推荐的非独立董事孙登义当选。</w:t>
      </w:r>
      <w:r>
        <w:rPr>
          <w:spacing w:val="-91"/>
        </w:rPr>
        <w:t> </w:t>
      </w:r>
      <w:r>
        <w:rPr>
          <w:spacing w:val="-91"/>
        </w:rPr>
      </w:r>
      <w:r>
        <w:rPr/>
        <w:t>公司董事会</w:t>
      </w:r>
      <w:r>
        <w:rPr>
          <w:rFonts w:ascii="宋体" w:hAnsi="宋体" w:cs="宋体" w:eastAsia="宋体" w:hint="default"/>
        </w:rPr>
        <w:t>7</w:t>
      </w:r>
      <w:r>
        <w:rPr/>
        <w:t>名董事（</w:t>
      </w:r>
      <w:r>
        <w:rPr>
          <w:rFonts w:ascii="宋体" w:hAnsi="宋体" w:cs="宋体" w:eastAsia="宋体" w:hint="default"/>
        </w:rPr>
        <w:t>3</w:t>
      </w:r>
      <w:r>
        <w:rPr/>
        <w:t>名独立董事、</w:t>
      </w:r>
      <w:r>
        <w:rPr>
          <w:rFonts w:ascii="宋体" w:hAnsi="宋体" w:cs="宋体" w:eastAsia="宋体" w:hint="default"/>
        </w:rPr>
        <w:t>4</w:t>
      </w:r>
      <w:r>
        <w:rPr/>
        <w:t>名非独立董事）中，亚星实业推荐了</w:t>
      </w:r>
      <w:r>
        <w:rPr>
          <w:rFonts w:ascii="宋体" w:hAnsi="宋体" w:cs="宋体" w:eastAsia="宋体" w:hint="default"/>
        </w:rPr>
        <w:t>3</w:t>
      </w:r>
      <w:r>
        <w:rPr/>
        <w:t>名非独立董事许</w:t>
      </w:r>
      <w:r>
        <w:rPr>
          <w:spacing w:val="-86"/>
        </w:rPr>
        <w:t> </w:t>
      </w:r>
      <w:r>
        <w:rPr>
          <w:spacing w:val="-86"/>
        </w:rPr>
      </w:r>
      <w:r>
        <w:rPr/>
        <w:t>亚楠、张庆文、孙登义。公司</w:t>
      </w:r>
      <w:r>
        <w:rPr>
          <w:rFonts w:ascii="宋体" w:hAnsi="宋体" w:cs="宋体" w:eastAsia="宋体" w:hint="default"/>
        </w:rPr>
        <w:t>3</w:t>
      </w:r>
      <w:r>
        <w:rPr/>
        <w:t>名监事（</w:t>
      </w:r>
      <w:r>
        <w:rPr>
          <w:rFonts w:ascii="宋体" w:hAnsi="宋体" w:cs="宋体" w:eastAsia="宋体" w:hint="default"/>
        </w:rPr>
        <w:t>2</w:t>
      </w:r>
      <w:r>
        <w:rPr/>
        <w:t>名股东代表监事、</w:t>
      </w:r>
      <w:r>
        <w:rPr>
          <w:rFonts w:ascii="宋体" w:hAnsi="宋体" w:cs="宋体" w:eastAsia="宋体" w:hint="default"/>
        </w:rPr>
        <w:t>1</w:t>
      </w:r>
      <w:r>
        <w:rPr/>
        <w:t>名职工监事）中，亚星实业推荐 了</w:t>
      </w:r>
      <w:r>
        <w:rPr>
          <w:rFonts w:ascii="宋体" w:hAnsi="宋体" w:cs="宋体" w:eastAsia="宋体" w:hint="default"/>
        </w:rPr>
        <w:t>2</w:t>
      </w:r>
      <w:r>
        <w:rPr/>
        <w:t>名股东代表监事王立军、张国华。至此，亚星实业实现了对公司的实际控制。</w:t>
      </w:r>
    </w:p>
    <w:p>
      <w:pPr>
        <w:pStyle w:val="BodyText"/>
        <w:spacing w:line="240" w:lineRule="auto" w:before="156"/>
        <w:ind w:left="753" w:right="1034"/>
        <w:jc w:val="left"/>
      </w:pPr>
      <w:r>
        <w:rPr/>
        <w:t>报告期内，亚星实业通过股改垫付对价偿还方式获得公司股份</w:t>
      </w:r>
      <w:r>
        <w:rPr>
          <w:spacing w:val="-72"/>
        </w:rPr>
        <w:t> </w:t>
      </w:r>
      <w:r>
        <w:rPr>
          <w:rFonts w:ascii="Times New Roman" w:hAnsi="Times New Roman" w:cs="Times New Roman" w:eastAsia="Times New Roman" w:hint="default"/>
        </w:rPr>
        <w:t>27,251,098</w:t>
      </w:r>
      <w:r>
        <w:rPr>
          <w:rFonts w:ascii="Times New Roman" w:hAnsi="Times New Roman" w:cs="Times New Roman" w:eastAsia="Times New Roman" w:hint="default"/>
          <w:spacing w:val="-12"/>
        </w:rPr>
        <w:t> </w:t>
      </w:r>
      <w:r>
        <w:rPr/>
        <w:t>股，加上其原</w:t>
      </w:r>
    </w:p>
    <w:p>
      <w:pPr>
        <w:pStyle w:val="BodyText"/>
        <w:spacing w:line="338" w:lineRule="auto" w:before="133"/>
        <w:ind w:left="212" w:right="1114"/>
        <w:jc w:val="left"/>
      </w:pPr>
      <w:r>
        <w:rPr/>
        <w:t>来持有的公司股份</w:t>
      </w:r>
      <w:r>
        <w:rPr>
          <w:spacing w:val="-50"/>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10"/>
        </w:rPr>
        <w:t> </w:t>
      </w:r>
      <w:r>
        <w:rPr/>
        <w:t>股，亚星实业共计持有公司股份</w:t>
      </w:r>
      <w:r>
        <w:rPr>
          <w:spacing w:val="-50"/>
        </w:rPr>
        <w:t> </w:t>
      </w:r>
      <w:r>
        <w:rPr>
          <w:rFonts w:ascii="Times New Roman" w:hAnsi="Times New Roman" w:cs="Times New Roman" w:eastAsia="Times New Roman" w:hint="default"/>
        </w:rPr>
        <w:t>37,251,098</w:t>
      </w:r>
      <w:r>
        <w:rPr>
          <w:rFonts w:ascii="Times New Roman" w:hAnsi="Times New Roman" w:cs="Times New Roman" w:eastAsia="Times New Roman" w:hint="default"/>
          <w:spacing w:val="10"/>
        </w:rPr>
        <w:t> </w:t>
      </w:r>
      <w:r>
        <w:rPr/>
        <w:t>股，成为公司第一 大股东和控股股东。</w:t>
      </w:r>
    </w:p>
    <w:p>
      <w:pPr>
        <w:pStyle w:val="BodyText"/>
        <w:spacing w:line="240" w:lineRule="auto" w:before="53"/>
        <w:ind w:left="693" w:right="1034"/>
        <w:jc w:val="left"/>
      </w:pPr>
      <w:r>
        <w:rPr/>
        <w:t>由于亚星实业的实际控制人为姜剑先生，公司的实际控制人由北京新奥特集团有限公司</w:t>
      </w:r>
    </w:p>
    <w:p>
      <w:pPr>
        <w:pStyle w:val="BodyText"/>
        <w:spacing w:line="355" w:lineRule="auto" w:before="154"/>
        <w:ind w:left="693" w:right="4514" w:hanging="481"/>
        <w:jc w:val="left"/>
      </w:pPr>
      <w:r>
        <w:rPr/>
        <w:t>（方正延中传媒有限公司的实际控制人）变更为姜剑先生。 </w:t>
      </w:r>
      <w:r>
        <w:rPr>
          <w:rFonts w:ascii="宋体" w:hAnsi="宋体" w:cs="宋体" w:eastAsia="宋体" w:hint="default"/>
        </w:rPr>
        <w:t>3</w:t>
      </w:r>
      <w:r>
        <w:rPr/>
        <w:t>、公司接待调研及采访情况</w:t>
      </w:r>
    </w:p>
    <w:p>
      <w:pPr>
        <w:pStyle w:val="BodyText"/>
        <w:spacing w:line="357" w:lineRule="auto" w:before="38"/>
        <w:ind w:left="212" w:right="1139" w:firstLine="480"/>
        <w:jc w:val="both"/>
      </w:pPr>
      <w:r>
        <w:rPr/>
        <w:t>报告期内，公司未接待行业研究员、基金经理、记者的采访或咨询。在中小投资者咨询 时，公司及相关信息披露义务人严格遵循《上市公司公平信息指引》的有关规定，未有实行</w:t>
      </w:r>
      <w:r>
        <w:rPr>
          <w:spacing w:val="-91"/>
        </w:rPr>
        <w:t> </w:t>
      </w:r>
      <w:r>
        <w:rPr>
          <w:spacing w:val="-91"/>
        </w:rPr>
      </w:r>
      <w:r>
        <w:rPr/>
        <w:t>差别对待政策，未有选择地、私下地提前向特定对象披露、透露或泄露非公开信息的情形。</w:t>
      </w:r>
    </w:p>
    <w:p>
      <w:pPr>
        <w:pStyle w:val="BodyText"/>
        <w:spacing w:line="240" w:lineRule="auto"/>
        <w:ind w:left="693" w:right="1034"/>
        <w:jc w:val="left"/>
      </w:pPr>
      <w:r>
        <w:rPr>
          <w:rFonts w:ascii="宋体" w:hAnsi="宋体" w:cs="宋体" w:eastAsia="宋体" w:hint="default"/>
        </w:rPr>
        <w:t>4</w:t>
      </w:r>
      <w:r>
        <w:rPr/>
        <w:t>、报告期内信息披露索引</w:t>
      </w:r>
    </w:p>
    <w:p>
      <w:pPr>
        <w:spacing w:line="240" w:lineRule="auto" w:before="11"/>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548"/>
        <w:gridCol w:w="3601"/>
        <w:gridCol w:w="1440"/>
        <w:gridCol w:w="2881"/>
      </w:tblGrid>
      <w:tr>
        <w:trPr>
          <w:trHeight w:val="28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公告日期</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披露报刊</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披露网站</w:t>
            </w:r>
          </w:p>
        </w:tc>
      </w:tr>
      <w:tr>
        <w:trPr>
          <w:trHeight w:val="557"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2010-12-24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控股股东股权质押公告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63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2010-12-18</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年第三次临时股东大会决议</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32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2010-12-18</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公司章程（</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hyperlink r:id="rId8">
              <w:r>
                <w:rPr>
                  <w:rFonts w:ascii="宋体"/>
                  <w:sz w:val="21"/>
                </w:rPr>
                <w:t>http://www.cninfo.com.cn</w:t>
              </w:r>
            </w:hyperlink>
          </w:p>
        </w:tc>
      </w:tr>
    </w:tbl>
    <w:p>
      <w:pPr>
        <w:spacing w:after="0" w:line="260" w:lineRule="exact"/>
        <w:jc w:val="center"/>
        <w:rPr>
          <w:rFonts w:ascii="宋体" w:hAnsi="宋体" w:cs="宋体" w:eastAsia="宋体" w:hint="default"/>
          <w:sz w:val="21"/>
          <w:szCs w:val="21"/>
        </w:rPr>
        <w:sectPr>
          <w:pgSz w:w="11910" w:h="16840"/>
          <w:pgMar w:header="0" w:footer="956" w:top="1060" w:bottom="1140" w:left="920" w:right="0"/>
        </w:sectPr>
      </w:pPr>
    </w:p>
    <w:p>
      <w:pPr>
        <w:spacing w:line="240" w:lineRule="auto" w:before="5"/>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548"/>
        <w:gridCol w:w="3601"/>
        <w:gridCol w:w="1440"/>
        <w:gridCol w:w="2881"/>
      </w:tblGrid>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
        </w:tc>
        <w:tc>
          <w:tcPr>
            <w:tcW w:w="360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5"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68"/>
              <w:jc w:val="right"/>
              <w:rPr>
                <w:rFonts w:ascii="宋体" w:hAnsi="宋体" w:cs="宋体" w:eastAsia="宋体" w:hint="default"/>
                <w:sz w:val="24"/>
                <w:szCs w:val="24"/>
              </w:rPr>
            </w:pPr>
            <w:r>
              <w:rPr>
                <w:rFonts w:ascii="宋体"/>
                <w:spacing w:val="-1"/>
                <w:sz w:val="24"/>
              </w:rPr>
              <w:t>2010-12-18</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年第三次临时股东大会的法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律意见书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63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68"/>
              <w:jc w:val="right"/>
              <w:rPr>
                <w:rFonts w:ascii="宋体" w:hAnsi="宋体" w:cs="宋体" w:eastAsia="宋体" w:hint="default"/>
                <w:sz w:val="24"/>
                <w:szCs w:val="24"/>
              </w:rPr>
            </w:pPr>
            <w:r>
              <w:rPr>
                <w:rFonts w:ascii="宋体"/>
                <w:spacing w:val="-1"/>
                <w:sz w:val="24"/>
              </w:rPr>
              <w:t>2010-12-18</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股东大会议事规则（</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12</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8"/>
              <w:jc w:val="right"/>
              <w:rPr>
                <w:rFonts w:ascii="宋体" w:hAnsi="宋体" w:cs="宋体" w:eastAsia="宋体" w:hint="default"/>
                <w:sz w:val="24"/>
                <w:szCs w:val="24"/>
              </w:rPr>
            </w:pPr>
            <w:r>
              <w:rPr>
                <w:rFonts w:ascii="宋体"/>
                <w:spacing w:val="-1"/>
                <w:sz w:val="24"/>
              </w:rPr>
              <w:t>2010-12-4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关于公司恢复上市进展情况的公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94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8"/>
              <w:jc w:val="right"/>
              <w:rPr>
                <w:rFonts w:ascii="宋体" w:hAnsi="宋体" w:cs="宋体" w:eastAsia="宋体" w:hint="default"/>
                <w:sz w:val="24"/>
                <w:szCs w:val="24"/>
              </w:rPr>
            </w:pPr>
            <w:r>
              <w:rPr>
                <w:rFonts w:ascii="宋体"/>
                <w:spacing w:val="-1"/>
                <w:sz w:val="24"/>
              </w:rPr>
              <w:t>2010-12-4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关于青岛亚星实业有限公司豁免</w:t>
            </w:r>
          </w:p>
          <w:p>
            <w:pPr>
              <w:pStyle w:val="TableParagraph"/>
              <w:spacing w:line="310" w:lineRule="exact" w:before="31"/>
              <w:ind w:left="103" w:right="365"/>
              <w:jc w:val="left"/>
              <w:rPr>
                <w:rFonts w:ascii="宋体" w:hAnsi="宋体" w:cs="宋体" w:eastAsia="宋体" w:hint="default"/>
                <w:sz w:val="24"/>
                <w:szCs w:val="24"/>
              </w:rPr>
            </w:pPr>
            <w:r>
              <w:rPr>
                <w:rFonts w:ascii="宋体" w:hAnsi="宋体" w:cs="宋体" w:eastAsia="宋体" w:hint="default"/>
                <w:sz w:val="24"/>
                <w:szCs w:val="24"/>
              </w:rPr>
              <w:t>要约收购本公司的实施进展公 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2" w:lineRule="exact"/>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8"/>
              <w:jc w:val="right"/>
              <w:rPr>
                <w:rFonts w:ascii="宋体" w:hAnsi="宋体" w:cs="宋体" w:eastAsia="宋体" w:hint="default"/>
                <w:sz w:val="24"/>
                <w:szCs w:val="24"/>
              </w:rPr>
            </w:pPr>
            <w:r>
              <w:rPr>
                <w:rFonts w:ascii="宋体"/>
                <w:spacing w:val="-1"/>
                <w:sz w:val="24"/>
              </w:rPr>
              <w:t>2010-12-1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宋体" w:hAnsi="宋体" w:cs="宋体" w:eastAsia="宋体" w:hint="default"/>
                <w:sz w:val="24"/>
                <w:szCs w:val="24"/>
              </w:rPr>
              <w:t>2010</w:t>
            </w:r>
            <w:r>
              <w:rPr>
                <w:rFonts w:ascii="宋体" w:hAnsi="宋体" w:cs="宋体" w:eastAsia="宋体" w:hint="default"/>
                <w:sz w:val="24"/>
                <w:szCs w:val="24"/>
              </w:rPr>
              <w:t>年第三次临时股东</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大会的通知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63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8"/>
              <w:jc w:val="right"/>
              <w:rPr>
                <w:rFonts w:ascii="宋体" w:hAnsi="宋体" w:cs="宋体" w:eastAsia="宋体" w:hint="default"/>
                <w:sz w:val="24"/>
                <w:szCs w:val="24"/>
              </w:rPr>
            </w:pPr>
            <w:r>
              <w:rPr>
                <w:rFonts w:ascii="宋体"/>
                <w:spacing w:val="-1"/>
                <w:sz w:val="24"/>
              </w:rPr>
              <w:t>2010-12-1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关联交易管理制度（</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11</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8"/>
              <w:jc w:val="right"/>
              <w:rPr>
                <w:rFonts w:ascii="宋体" w:hAnsi="宋体" w:cs="宋体" w:eastAsia="宋体" w:hint="default"/>
                <w:sz w:val="24"/>
                <w:szCs w:val="24"/>
              </w:rPr>
            </w:pPr>
            <w:r>
              <w:rPr>
                <w:rFonts w:ascii="宋体"/>
                <w:spacing w:val="-1"/>
                <w:sz w:val="24"/>
              </w:rPr>
              <w:t>2010-12-1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对外担保管理制度（</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11</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8"/>
              <w:jc w:val="right"/>
              <w:rPr>
                <w:rFonts w:ascii="宋体" w:hAnsi="宋体" w:cs="宋体" w:eastAsia="宋体" w:hint="default"/>
                <w:sz w:val="24"/>
                <w:szCs w:val="24"/>
              </w:rPr>
            </w:pPr>
            <w:r>
              <w:rPr>
                <w:rFonts w:ascii="宋体"/>
                <w:spacing w:val="-1"/>
                <w:sz w:val="24"/>
              </w:rPr>
              <w:t>2010-12-1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4"/>
                <w:szCs w:val="24"/>
              </w:rPr>
            </w:pPr>
            <w:r>
              <w:rPr>
                <w:rFonts w:ascii="宋体" w:hAnsi="宋体" w:cs="宋体" w:eastAsia="宋体" w:hint="default"/>
                <w:spacing w:val="-3"/>
                <w:sz w:val="24"/>
                <w:szCs w:val="24"/>
              </w:rPr>
              <w:t>总经理工作细则（</w:t>
            </w:r>
            <w:r>
              <w:rPr>
                <w:rFonts w:ascii="宋体" w:hAnsi="宋体" w:cs="宋体" w:eastAsia="宋体" w:hint="default"/>
                <w:spacing w:val="-3"/>
                <w:sz w:val="24"/>
                <w:szCs w:val="24"/>
              </w:rPr>
              <w:t>2010</w:t>
            </w:r>
            <w:r>
              <w:rPr>
                <w:rFonts w:ascii="宋体" w:hAnsi="宋体" w:cs="宋体" w:eastAsia="宋体" w:hint="default"/>
                <w:spacing w:val="-3"/>
                <w:sz w:val="24"/>
                <w:szCs w:val="24"/>
              </w:rPr>
              <w:t>年</w:t>
            </w:r>
            <w:r>
              <w:rPr>
                <w:rFonts w:ascii="宋体" w:hAnsi="宋体" w:cs="宋体" w:eastAsia="宋体" w:hint="default"/>
                <w:spacing w:val="-3"/>
                <w:sz w:val="24"/>
                <w:szCs w:val="24"/>
              </w:rPr>
              <w:t>11</w:t>
            </w:r>
            <w:r>
              <w:rPr>
                <w:rFonts w:ascii="宋体" w:hAnsi="宋体" w:cs="宋体" w:eastAsia="宋体" w:hint="default"/>
                <w:spacing w:val="-3"/>
                <w:sz w:val="24"/>
                <w:szCs w:val="24"/>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8"/>
              <w:jc w:val="right"/>
              <w:rPr>
                <w:rFonts w:ascii="宋体" w:hAnsi="宋体" w:cs="宋体" w:eastAsia="宋体" w:hint="default"/>
                <w:sz w:val="24"/>
                <w:szCs w:val="24"/>
              </w:rPr>
            </w:pPr>
            <w:r>
              <w:rPr>
                <w:rFonts w:ascii="宋体"/>
                <w:spacing w:val="-1"/>
                <w:sz w:val="24"/>
              </w:rPr>
              <w:t>2010-12-1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第七届第九次董事会决议公告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63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8"/>
              <w:jc w:val="right"/>
              <w:rPr>
                <w:rFonts w:ascii="宋体" w:hAnsi="宋体" w:cs="宋体" w:eastAsia="宋体" w:hint="default"/>
                <w:sz w:val="24"/>
                <w:szCs w:val="24"/>
              </w:rPr>
            </w:pPr>
            <w:r>
              <w:rPr>
                <w:rFonts w:ascii="宋体"/>
                <w:spacing w:val="-1"/>
                <w:sz w:val="24"/>
              </w:rPr>
              <w:t>2010-12-1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财务会计相关负责人管理制度</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11</w:t>
            </w:r>
            <w:r>
              <w:rPr>
                <w:rFonts w:ascii="宋体" w:hAnsi="宋体" w:cs="宋体" w:eastAsia="宋体" w:hint="default"/>
                <w:sz w:val="24"/>
                <w:szCs w:val="24"/>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8"/>
              <w:jc w:val="right"/>
              <w:rPr>
                <w:rFonts w:ascii="宋体" w:hAnsi="宋体" w:cs="宋体" w:eastAsia="宋体" w:hint="default"/>
                <w:sz w:val="24"/>
                <w:szCs w:val="24"/>
              </w:rPr>
            </w:pPr>
            <w:r>
              <w:rPr>
                <w:rFonts w:ascii="宋体"/>
                <w:spacing w:val="-1"/>
                <w:sz w:val="24"/>
              </w:rPr>
              <w:t>2010-12-1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财务管理组织体系与会计人员管</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理制度（</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11</w:t>
            </w:r>
            <w:r>
              <w:rPr>
                <w:rFonts w:ascii="宋体" w:hAnsi="宋体" w:cs="宋体" w:eastAsia="宋体" w:hint="default"/>
                <w:sz w:val="24"/>
                <w:szCs w:val="24"/>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hyperlink r:id="rId8">
              <w:r>
                <w:rPr>
                  <w:rFonts w:ascii="宋体"/>
                  <w:sz w:val="21"/>
                </w:rPr>
                <w:t>http://www.cninfo.com.cn</w:t>
              </w:r>
            </w:hyperlink>
          </w:p>
        </w:tc>
      </w:tr>
      <w:tr>
        <w:trPr>
          <w:trHeight w:val="63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28"/>
              <w:jc w:val="right"/>
              <w:rPr>
                <w:rFonts w:ascii="宋体" w:hAnsi="宋体" w:cs="宋体" w:eastAsia="宋体" w:hint="default"/>
                <w:sz w:val="24"/>
                <w:szCs w:val="24"/>
              </w:rPr>
            </w:pPr>
            <w:r>
              <w:rPr>
                <w:rFonts w:ascii="宋体"/>
                <w:spacing w:val="-1"/>
                <w:sz w:val="24"/>
              </w:rPr>
              <w:t>2010-12-1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重大投资管理制度（</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11</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8"/>
              <w:jc w:val="right"/>
              <w:rPr>
                <w:rFonts w:ascii="宋体" w:hAnsi="宋体" w:cs="宋体" w:eastAsia="宋体" w:hint="default"/>
                <w:sz w:val="24"/>
                <w:szCs w:val="24"/>
              </w:rPr>
            </w:pPr>
            <w:r>
              <w:rPr>
                <w:rFonts w:ascii="宋体"/>
                <w:spacing w:val="-1"/>
                <w:sz w:val="24"/>
              </w:rPr>
              <w:t>2010-11-5</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关于公司恢复上市进展情况的公</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8"/>
              <w:jc w:val="right"/>
              <w:rPr>
                <w:rFonts w:ascii="宋体" w:hAnsi="宋体" w:cs="宋体" w:eastAsia="宋体" w:hint="default"/>
                <w:sz w:val="24"/>
                <w:szCs w:val="24"/>
              </w:rPr>
            </w:pPr>
            <w:r>
              <w:rPr>
                <w:rFonts w:ascii="宋体"/>
                <w:spacing w:val="-1"/>
                <w:sz w:val="24"/>
              </w:rPr>
              <w:t>2010-11-5</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关于控股子公司名称变更的公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94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28"/>
              <w:jc w:val="right"/>
              <w:rPr>
                <w:rFonts w:ascii="宋体" w:hAnsi="宋体" w:cs="宋体" w:eastAsia="宋体" w:hint="default"/>
                <w:sz w:val="24"/>
                <w:szCs w:val="24"/>
              </w:rPr>
            </w:pPr>
            <w:r>
              <w:rPr>
                <w:rFonts w:ascii="宋体"/>
                <w:spacing w:val="-1"/>
                <w:sz w:val="24"/>
              </w:rPr>
              <w:t>2010-11-5</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关于青岛亚星实业有限公司豁免</w:t>
            </w:r>
          </w:p>
          <w:p>
            <w:pPr>
              <w:pStyle w:val="TableParagraph"/>
              <w:spacing w:line="312" w:lineRule="exact" w:before="28"/>
              <w:ind w:left="103" w:right="365"/>
              <w:jc w:val="left"/>
              <w:rPr>
                <w:rFonts w:ascii="宋体" w:hAnsi="宋体" w:cs="宋体" w:eastAsia="宋体" w:hint="default"/>
                <w:sz w:val="24"/>
                <w:szCs w:val="24"/>
              </w:rPr>
            </w:pPr>
            <w:r>
              <w:rPr>
                <w:rFonts w:ascii="宋体" w:hAnsi="宋体" w:cs="宋体" w:eastAsia="宋体" w:hint="default"/>
                <w:sz w:val="24"/>
                <w:szCs w:val="24"/>
              </w:rPr>
              <w:t>要约收购本公司的实施进展公 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2" w:lineRule="exact"/>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8"/>
              <w:jc w:val="right"/>
              <w:rPr>
                <w:rFonts w:ascii="宋体" w:hAnsi="宋体" w:cs="宋体" w:eastAsia="宋体" w:hint="default"/>
                <w:sz w:val="24"/>
                <w:szCs w:val="24"/>
              </w:rPr>
            </w:pPr>
            <w:r>
              <w:rPr>
                <w:rFonts w:ascii="宋体"/>
                <w:spacing w:val="-1"/>
                <w:sz w:val="24"/>
              </w:rPr>
              <w:t>2010-10-30</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年第三季度报告正文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8"/>
              <w:jc w:val="right"/>
              <w:rPr>
                <w:rFonts w:ascii="宋体" w:hAnsi="宋体" w:cs="宋体" w:eastAsia="宋体" w:hint="default"/>
                <w:sz w:val="24"/>
                <w:szCs w:val="24"/>
              </w:rPr>
            </w:pPr>
            <w:r>
              <w:rPr>
                <w:rFonts w:ascii="宋体"/>
                <w:spacing w:val="-1"/>
                <w:sz w:val="24"/>
              </w:rPr>
              <w:t>2010-10-30</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年第三季度报告全文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8"/>
              <w:jc w:val="right"/>
              <w:rPr>
                <w:rFonts w:ascii="宋体" w:hAnsi="宋体" w:cs="宋体" w:eastAsia="宋体" w:hint="default"/>
                <w:sz w:val="24"/>
                <w:szCs w:val="24"/>
              </w:rPr>
            </w:pPr>
            <w:r>
              <w:rPr>
                <w:rFonts w:ascii="宋体"/>
                <w:spacing w:val="-1"/>
                <w:sz w:val="24"/>
              </w:rPr>
              <w:t>2010-10-30</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第七届第八次董事会决议公告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8"/>
              <w:jc w:val="right"/>
              <w:rPr>
                <w:rFonts w:ascii="宋体" w:hAnsi="宋体" w:cs="宋体" w:eastAsia="宋体" w:hint="default"/>
                <w:sz w:val="24"/>
                <w:szCs w:val="24"/>
              </w:rPr>
            </w:pPr>
            <w:r>
              <w:rPr>
                <w:rFonts w:ascii="宋体"/>
                <w:spacing w:val="-1"/>
                <w:sz w:val="24"/>
              </w:rPr>
              <w:t>2010-10-30</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第七届第三次监事会决议公告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8"/>
              <w:jc w:val="right"/>
              <w:rPr>
                <w:rFonts w:ascii="宋体" w:hAnsi="宋体" w:cs="宋体" w:eastAsia="宋体" w:hint="default"/>
                <w:sz w:val="24"/>
                <w:szCs w:val="24"/>
              </w:rPr>
            </w:pPr>
            <w:r>
              <w:rPr>
                <w:rFonts w:ascii="宋体"/>
                <w:spacing w:val="-1"/>
                <w:sz w:val="24"/>
              </w:rPr>
              <w:t>2010-10-14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业绩预告公告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68"/>
              <w:jc w:val="right"/>
              <w:rPr>
                <w:rFonts w:ascii="宋体" w:hAnsi="宋体" w:cs="宋体" w:eastAsia="宋体" w:hint="default"/>
                <w:sz w:val="24"/>
                <w:szCs w:val="24"/>
              </w:rPr>
            </w:pPr>
            <w:r>
              <w:rPr>
                <w:rFonts w:ascii="宋体"/>
                <w:spacing w:val="-1"/>
                <w:sz w:val="24"/>
              </w:rPr>
              <w:t>2010-10-11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关于公司恢复上市进展情况的公</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68"/>
              <w:jc w:val="right"/>
              <w:rPr>
                <w:rFonts w:ascii="宋体" w:hAnsi="宋体" w:cs="宋体" w:eastAsia="宋体" w:hint="default"/>
                <w:sz w:val="24"/>
                <w:szCs w:val="24"/>
              </w:rPr>
            </w:pPr>
            <w:r>
              <w:rPr>
                <w:rFonts w:ascii="宋体"/>
                <w:spacing w:val="-1"/>
                <w:sz w:val="24"/>
              </w:rPr>
              <w:t>2010-10-11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关于青岛亚星实业有限公司豁免</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要约收购本公司的实施进展公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bl>
    <w:p>
      <w:pPr>
        <w:spacing w:after="0" w:line="240" w:lineRule="auto"/>
        <w:jc w:val="center"/>
        <w:rPr>
          <w:rFonts w:ascii="宋体" w:hAnsi="宋体" w:cs="宋体" w:eastAsia="宋体" w:hint="default"/>
          <w:sz w:val="21"/>
          <w:szCs w:val="21"/>
        </w:rPr>
        <w:sectPr>
          <w:footerReference w:type="default" r:id="rId18"/>
          <w:pgSz w:w="11910" w:h="16840"/>
          <w:pgMar w:footer="761" w:header="0" w:top="1040" w:bottom="960" w:left="920" w:right="0"/>
          <w:pgNumType w:start="44"/>
        </w:sectPr>
      </w:pPr>
    </w:p>
    <w:p>
      <w:pPr>
        <w:spacing w:line="240" w:lineRule="auto" w:before="5"/>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548"/>
        <w:gridCol w:w="3601"/>
        <w:gridCol w:w="1440"/>
        <w:gridCol w:w="2881"/>
      </w:tblGrid>
      <w:tr>
        <w:trPr>
          <w:trHeight w:val="322" w:hRule="exact"/>
        </w:trPr>
        <w:tc>
          <w:tcPr>
            <w:tcW w:w="1548" w:type="dxa"/>
            <w:tcBorders>
              <w:top w:val="single" w:sz="4" w:space="0" w:color="000000"/>
              <w:left w:val="single" w:sz="4" w:space="0" w:color="000000"/>
              <w:bottom w:val="single" w:sz="4" w:space="0" w:color="000000"/>
              <w:right w:val="single" w:sz="4" w:space="0" w:color="000000"/>
            </w:tcBorders>
          </w:tcPr>
          <w:p>
            <w:pP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p>
        </w:tc>
        <w:tc>
          <w:tcPr>
            <w:tcW w:w="1440" w:type="dxa"/>
            <w:tcBorders>
              <w:top w:val="single" w:sz="4" w:space="0" w:color="000000"/>
              <w:left w:val="single" w:sz="4" w:space="0" w:color="000000"/>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2010-9-29</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关于股权收购暨关联交易公告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2010-9-29</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独立董事关于本次关联交易的独</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立意见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2010-9-29</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第七届第七次董事会决议公告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2010-9-4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关于公司恢复上市进展情况的公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94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4"/>
                <w:szCs w:val="24"/>
              </w:rPr>
            </w:pPr>
            <w:r>
              <w:rPr>
                <w:rFonts w:ascii="宋体"/>
                <w:sz w:val="24"/>
              </w:rPr>
              <w:t>2010-9-4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关于青岛亚星实业有限公司豁免</w:t>
            </w:r>
          </w:p>
          <w:p>
            <w:pPr>
              <w:pStyle w:val="TableParagraph"/>
              <w:spacing w:line="310" w:lineRule="exact" w:before="31"/>
              <w:ind w:left="103" w:right="365"/>
              <w:jc w:val="left"/>
              <w:rPr>
                <w:rFonts w:ascii="宋体" w:hAnsi="宋体" w:cs="宋体" w:eastAsia="宋体" w:hint="default"/>
                <w:sz w:val="24"/>
                <w:szCs w:val="24"/>
              </w:rPr>
            </w:pPr>
            <w:r>
              <w:rPr>
                <w:rFonts w:ascii="宋体" w:hAnsi="宋体" w:cs="宋体" w:eastAsia="宋体" w:hint="default"/>
                <w:sz w:val="24"/>
                <w:szCs w:val="24"/>
              </w:rPr>
              <w:t>要约收购本公司的实施进展公 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2" w:lineRule="exact"/>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hyperlink r:id="rId8">
              <w:r>
                <w:rPr>
                  <w:rFonts w:ascii="宋体"/>
                  <w:sz w:val="21"/>
                </w:rPr>
                <w:t>http://www.cninfo.com.cn</w:t>
              </w:r>
            </w:hyperlink>
          </w:p>
        </w:tc>
      </w:tr>
      <w:tr>
        <w:trPr>
          <w:trHeight w:val="63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2010-9-4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关于非流通股股东偿还垫付对价</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557"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2010-8-17</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控股子公司对外投资公告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4"/>
                <w:szCs w:val="24"/>
              </w:rPr>
            </w:pPr>
            <w:r>
              <w:rPr>
                <w:rFonts w:ascii="宋体"/>
                <w:sz w:val="24"/>
              </w:rPr>
              <w:t>2010-8-17</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4"/>
                <w:szCs w:val="24"/>
              </w:rPr>
            </w:pPr>
            <w:r>
              <w:rPr>
                <w:rFonts w:ascii="宋体" w:hAnsi="宋体" w:cs="宋体" w:eastAsia="宋体" w:hint="default"/>
                <w:sz w:val="24"/>
                <w:szCs w:val="24"/>
              </w:rPr>
              <w:t>第七届第六次董事会决议公告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4"/>
                <w:szCs w:val="24"/>
              </w:rPr>
            </w:pPr>
            <w:r>
              <w:rPr>
                <w:rFonts w:ascii="宋体"/>
                <w:sz w:val="24"/>
              </w:rPr>
              <w:t>2010-8-12</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4"/>
                <w:szCs w:val="24"/>
              </w:rPr>
            </w:pPr>
            <w:r>
              <w:rPr>
                <w:rFonts w:ascii="宋体" w:hAnsi="宋体" w:cs="宋体" w:eastAsia="宋体" w:hint="default"/>
                <w:sz w:val="24"/>
                <w:szCs w:val="24"/>
              </w:rPr>
              <w:t>关于变更公司行业分类的公告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24"/>
                <w:szCs w:val="24"/>
              </w:rPr>
            </w:pPr>
            <w:r>
              <w:rPr>
                <w:rFonts w:ascii="宋体"/>
                <w:sz w:val="24"/>
              </w:rPr>
              <w:t>2010-8-6</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年半年度报告摘要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24"/>
                <w:szCs w:val="24"/>
              </w:rPr>
            </w:pPr>
            <w:r>
              <w:rPr>
                <w:rFonts w:ascii="宋体"/>
                <w:sz w:val="24"/>
              </w:rPr>
              <w:t>2010-8-6</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年半年度审计报告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24"/>
                <w:szCs w:val="24"/>
              </w:rPr>
            </w:pPr>
            <w:r>
              <w:rPr>
                <w:rFonts w:ascii="宋体"/>
                <w:sz w:val="24"/>
              </w:rPr>
              <w:t>2010-8-6</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第七届第五次董事会决议公告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宋体" w:hAnsi="宋体" w:cs="宋体" w:eastAsia="宋体" w:hint="default"/>
                <w:sz w:val="24"/>
                <w:szCs w:val="24"/>
              </w:rPr>
            </w:pPr>
            <w:r>
              <w:rPr>
                <w:rFonts w:ascii="宋体"/>
                <w:sz w:val="24"/>
              </w:rPr>
              <w:t>2010-8-6</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关于更换公司证券事务代表的公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5"/>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125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right="1"/>
              <w:jc w:val="center"/>
              <w:rPr>
                <w:rFonts w:ascii="宋体" w:hAnsi="宋体" w:cs="宋体" w:eastAsia="宋体" w:hint="default"/>
                <w:sz w:val="24"/>
                <w:szCs w:val="24"/>
              </w:rPr>
            </w:pPr>
            <w:r>
              <w:rPr>
                <w:rFonts w:ascii="宋体"/>
                <w:sz w:val="24"/>
              </w:rPr>
              <w:t>2010-8-6</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独立董事对报告期内发生或以前</w:t>
            </w:r>
          </w:p>
          <w:p>
            <w:pPr>
              <w:pStyle w:val="TableParagraph"/>
              <w:spacing w:line="237" w:lineRule="auto" w:before="1"/>
              <w:ind w:left="103" w:right="125"/>
              <w:jc w:val="both"/>
              <w:rPr>
                <w:rFonts w:ascii="宋体" w:hAnsi="宋体" w:cs="宋体" w:eastAsia="宋体" w:hint="default"/>
                <w:sz w:val="24"/>
                <w:szCs w:val="24"/>
              </w:rPr>
            </w:pPr>
            <w:r>
              <w:rPr>
                <w:rFonts w:ascii="宋体" w:hAnsi="宋体" w:cs="宋体" w:eastAsia="宋体" w:hint="default"/>
                <w:sz w:val="24"/>
                <w:szCs w:val="24"/>
              </w:rPr>
              <w:t>期间发生但延续到报告期的控股 股东及其他关联方占用公司资金 的独立意见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72" w:lineRule="exact"/>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hyperlink r:id="rId8">
              <w:r>
                <w:rPr>
                  <w:rFonts w:ascii="宋体"/>
                  <w:sz w:val="21"/>
                </w:rPr>
                <w:t>http://www.cninfo.com.cn</w:t>
              </w:r>
            </w:hyperlink>
          </w:p>
        </w:tc>
      </w:tr>
      <w:tr>
        <w:trPr>
          <w:trHeight w:val="63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2010-8-6</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独立董事对公司对外担保情况的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独立意见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24"/>
                <w:szCs w:val="24"/>
              </w:rPr>
            </w:pPr>
            <w:r>
              <w:rPr>
                <w:rFonts w:ascii="宋体"/>
                <w:sz w:val="24"/>
              </w:rPr>
              <w:t>2010-8-6</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年半年度报告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2010-8-5</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关于公司恢复上市进展情况的公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94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4"/>
                <w:szCs w:val="24"/>
              </w:rPr>
            </w:pPr>
            <w:r>
              <w:rPr>
                <w:rFonts w:ascii="宋体"/>
                <w:sz w:val="24"/>
              </w:rPr>
              <w:t>2010-8-5</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关于青岛亚星实业有限公司豁免</w:t>
            </w:r>
          </w:p>
          <w:p>
            <w:pPr>
              <w:pStyle w:val="TableParagraph"/>
              <w:spacing w:line="310" w:lineRule="exact" w:before="31"/>
              <w:ind w:left="103" w:right="365"/>
              <w:jc w:val="left"/>
              <w:rPr>
                <w:rFonts w:ascii="宋体" w:hAnsi="宋体" w:cs="宋体" w:eastAsia="宋体" w:hint="default"/>
                <w:sz w:val="24"/>
                <w:szCs w:val="24"/>
              </w:rPr>
            </w:pPr>
            <w:r>
              <w:rPr>
                <w:rFonts w:ascii="宋体" w:hAnsi="宋体" w:cs="宋体" w:eastAsia="宋体" w:hint="default"/>
                <w:sz w:val="24"/>
                <w:szCs w:val="24"/>
              </w:rPr>
              <w:t>要约收购本公司的实施进展公 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2010-7-14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业绩预告公告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2010-7-3</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关于公司恢复上市进展情况的公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94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4"/>
                <w:szCs w:val="24"/>
              </w:rPr>
            </w:pPr>
            <w:r>
              <w:rPr>
                <w:rFonts w:ascii="宋体"/>
                <w:sz w:val="24"/>
              </w:rPr>
              <w:t>2010-7-3</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关于青岛亚星实业有限公司豁免</w:t>
            </w:r>
          </w:p>
          <w:p>
            <w:pPr>
              <w:pStyle w:val="TableParagraph"/>
              <w:spacing w:line="310" w:lineRule="exact" w:before="31"/>
              <w:ind w:left="103" w:right="365"/>
              <w:jc w:val="left"/>
              <w:rPr>
                <w:rFonts w:ascii="宋体" w:hAnsi="宋体" w:cs="宋体" w:eastAsia="宋体" w:hint="default"/>
                <w:sz w:val="24"/>
                <w:szCs w:val="24"/>
              </w:rPr>
            </w:pPr>
            <w:r>
              <w:rPr>
                <w:rFonts w:ascii="宋体" w:hAnsi="宋体" w:cs="宋体" w:eastAsia="宋体" w:hint="default"/>
                <w:sz w:val="24"/>
                <w:szCs w:val="24"/>
              </w:rPr>
              <w:t>要约收购本公司的实施进展公 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2" w:lineRule="exact"/>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hyperlink r:id="rId8">
              <w:r>
                <w:rPr>
                  <w:rFonts w:ascii="宋体"/>
                  <w:sz w:val="21"/>
                </w:rPr>
                <w:t>http://www.cninfo.com.cn</w:t>
              </w:r>
            </w:hyperlink>
          </w:p>
        </w:tc>
      </w:tr>
    </w:tbl>
    <w:p>
      <w:pPr>
        <w:spacing w:after="0" w:line="240" w:lineRule="auto"/>
        <w:jc w:val="center"/>
        <w:rPr>
          <w:rFonts w:ascii="宋体" w:hAnsi="宋体" w:cs="宋体" w:eastAsia="宋体" w:hint="default"/>
          <w:sz w:val="21"/>
          <w:szCs w:val="21"/>
        </w:rPr>
        <w:sectPr>
          <w:pgSz w:w="11910" w:h="16840"/>
          <w:pgMar w:header="0" w:footer="761" w:top="1040" w:bottom="960" w:left="920" w:right="0"/>
        </w:sectPr>
      </w:pPr>
    </w:p>
    <w:p>
      <w:pPr>
        <w:spacing w:line="240" w:lineRule="auto" w:before="5"/>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548"/>
        <w:gridCol w:w="3601"/>
        <w:gridCol w:w="1440"/>
        <w:gridCol w:w="2881"/>
      </w:tblGrid>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4"/>
                <w:szCs w:val="24"/>
              </w:rPr>
            </w:pPr>
            <w:r>
              <w:rPr>
                <w:rFonts w:ascii="宋体"/>
                <w:sz w:val="24"/>
              </w:rPr>
              <w:t>2010-6-24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关于非流通股股东偿还股改垫付</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对价的公告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hyperlink r:id="rId8">
              <w:r>
                <w:rPr>
                  <w:rFonts w:ascii="宋体"/>
                  <w:sz w:val="21"/>
                </w:rPr>
                <w:t>http://www.cninfo.com.cn</w:t>
              </w:r>
            </w:hyperlink>
          </w:p>
        </w:tc>
      </w:tr>
      <w:tr>
        <w:trPr>
          <w:trHeight w:val="55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2010-6-24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股东股权质押公告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2010-6-12</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z w:val="24"/>
                <w:szCs w:val="24"/>
              </w:rPr>
              <w:t>年年度股东大会决议公告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2010-6-12</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z w:val="24"/>
                <w:szCs w:val="24"/>
              </w:rPr>
              <w:t>年度股东大会的法律意见</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63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2010-6-4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关于公司恢复上市进展情况的公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946"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4"/>
                <w:szCs w:val="24"/>
              </w:rPr>
            </w:pPr>
            <w:r>
              <w:rPr>
                <w:rFonts w:ascii="宋体"/>
                <w:sz w:val="24"/>
              </w:rPr>
              <w:t>2010-6-4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关于青岛亚星实业有限公司豁免</w:t>
            </w:r>
          </w:p>
          <w:p>
            <w:pPr>
              <w:pStyle w:val="TableParagraph"/>
              <w:spacing w:line="312" w:lineRule="exact" w:before="28"/>
              <w:ind w:left="103" w:right="365"/>
              <w:jc w:val="left"/>
              <w:rPr>
                <w:rFonts w:ascii="宋体" w:hAnsi="宋体" w:cs="宋体" w:eastAsia="宋体" w:hint="default"/>
                <w:sz w:val="24"/>
                <w:szCs w:val="24"/>
              </w:rPr>
            </w:pPr>
            <w:r>
              <w:rPr>
                <w:rFonts w:ascii="宋体" w:hAnsi="宋体" w:cs="宋体" w:eastAsia="宋体" w:hint="default"/>
                <w:sz w:val="24"/>
                <w:szCs w:val="24"/>
              </w:rPr>
              <w:t>要约收购本公司的实施进展公 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2" w:lineRule="exact"/>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hyperlink r:id="rId8">
              <w:r>
                <w:rPr>
                  <w:rFonts w:ascii="宋体"/>
                  <w:sz w:val="21"/>
                </w:rPr>
                <w:t>http://www.cninfo.com.cn</w:t>
              </w:r>
            </w:hyperlink>
          </w:p>
        </w:tc>
      </w:tr>
      <w:tr>
        <w:trPr>
          <w:trHeight w:val="63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sz w:val="24"/>
              </w:rPr>
              <w:t>2010-5-28</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青岛亚星实业有限公司关于收购</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报告书的进展情况公告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2010-5-28</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简式权益变动报告书（二）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2010-5-28</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简式权益变动报告书（一）</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2010-5-22</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宋体" w:hAnsi="宋体" w:cs="宋体" w:eastAsia="宋体" w:hint="default"/>
                <w:sz w:val="24"/>
                <w:szCs w:val="24"/>
              </w:rPr>
              <w:t>2009</w:t>
            </w:r>
            <w:r>
              <w:rPr>
                <w:rFonts w:ascii="宋体" w:hAnsi="宋体" w:cs="宋体" w:eastAsia="宋体" w:hint="default"/>
                <w:sz w:val="24"/>
                <w:szCs w:val="24"/>
              </w:rPr>
              <w:t>年度股东大会的通</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2010-5-22</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第七届第四次董事会决议公告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94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4"/>
                <w:szCs w:val="24"/>
              </w:rPr>
            </w:pPr>
            <w:r>
              <w:rPr>
                <w:rFonts w:ascii="宋体"/>
                <w:sz w:val="24"/>
              </w:rPr>
              <w:t>2010-5-5</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关于青岛亚星实业有限公司豁免</w:t>
            </w:r>
          </w:p>
          <w:p>
            <w:pPr>
              <w:pStyle w:val="TableParagraph"/>
              <w:spacing w:line="312" w:lineRule="exact" w:before="29"/>
              <w:ind w:left="103" w:right="365"/>
              <w:jc w:val="left"/>
              <w:rPr>
                <w:rFonts w:ascii="宋体" w:hAnsi="宋体" w:cs="宋体" w:eastAsia="宋体" w:hint="default"/>
                <w:sz w:val="24"/>
                <w:szCs w:val="24"/>
              </w:rPr>
            </w:pPr>
            <w:r>
              <w:rPr>
                <w:rFonts w:ascii="宋体" w:hAnsi="宋体" w:cs="宋体" w:eastAsia="宋体" w:hint="default"/>
                <w:sz w:val="24"/>
                <w:szCs w:val="24"/>
              </w:rPr>
              <w:t>要约收购本公司的实施进展公 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2010-5-5</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关于公司恢复上市进展情况的公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24"/>
                <w:szCs w:val="24"/>
              </w:rPr>
            </w:pPr>
            <w:r>
              <w:rPr>
                <w:rFonts w:ascii="宋体"/>
                <w:sz w:val="24"/>
              </w:rPr>
              <w:t>2010-5-4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控股股东股权质押公告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z w:val="24"/>
                <w:szCs w:val="24"/>
              </w:rPr>
              <w:t>年年度报告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z w:val="24"/>
                <w:szCs w:val="24"/>
              </w:rPr>
              <w:t>年年度报告摘要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z w:val="24"/>
                <w:szCs w:val="24"/>
              </w:rPr>
              <w:t>年年度审计报告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第七届第三次董事会决议公告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7"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4"/>
                <w:szCs w:val="24"/>
              </w:rPr>
            </w:pPr>
            <w:r>
              <w:rPr>
                <w:rFonts w:ascii="宋体" w:hAnsi="宋体" w:cs="宋体" w:eastAsia="宋体" w:hint="default"/>
                <w:sz w:val="24"/>
                <w:szCs w:val="24"/>
              </w:rPr>
              <w:t>第七届第二次监事会决议公告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hyperlink r:id="rId8">
              <w:r>
                <w:rPr>
                  <w:rFonts w:ascii="宋体"/>
                  <w:sz w:val="21"/>
                </w:rPr>
                <w:t>http://www.cninfo.com.cn</w:t>
              </w:r>
            </w:hyperlink>
          </w:p>
        </w:tc>
      </w:tr>
      <w:tr>
        <w:trPr>
          <w:trHeight w:val="63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关于公司关联方占用上市公司资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金情况的专项审核报告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内部控制自我评价报告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年第一季度报告正文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年第一季度报告全文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32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会计差错更正公告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9"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hyperlink r:id="rId8">
              <w:r>
                <w:rPr>
                  <w:rFonts w:ascii="宋体"/>
                  <w:sz w:val="21"/>
                </w:rPr>
                <w:t>http://www.cninfo.com.cn</w:t>
              </w:r>
            </w:hyperlink>
          </w:p>
        </w:tc>
      </w:tr>
    </w:tbl>
    <w:p>
      <w:pPr>
        <w:spacing w:after="0" w:line="262" w:lineRule="exact"/>
        <w:jc w:val="center"/>
        <w:rPr>
          <w:rFonts w:ascii="宋体" w:hAnsi="宋体" w:cs="宋体" w:eastAsia="宋体" w:hint="default"/>
          <w:sz w:val="21"/>
          <w:szCs w:val="21"/>
        </w:rPr>
        <w:sectPr>
          <w:pgSz w:w="11910" w:h="16840"/>
          <w:pgMar w:header="0" w:footer="761" w:top="1040" w:bottom="960" w:left="920" w:right="0"/>
        </w:sectPr>
      </w:pPr>
    </w:p>
    <w:p>
      <w:pPr>
        <w:spacing w:line="240" w:lineRule="auto" w:before="5"/>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548"/>
        <w:gridCol w:w="3601"/>
        <w:gridCol w:w="1440"/>
        <w:gridCol w:w="2881"/>
      </w:tblGrid>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
        </w:tc>
        <w:tc>
          <w:tcPr>
            <w:tcW w:w="360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5"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关于公司会计差错更正事项的审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核报告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63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信息披露事务管理制度（</w:t>
            </w:r>
            <w:r>
              <w:rPr>
                <w:rFonts w:ascii="宋体" w:hAnsi="宋体" w:cs="宋体" w:eastAsia="宋体" w:hint="default"/>
                <w:spacing w:val="-6"/>
                <w:sz w:val="24"/>
                <w:szCs w:val="24"/>
              </w:rPr>
              <w:t>2010</w:t>
            </w:r>
            <w:r>
              <w:rPr>
                <w:rFonts w:ascii="宋体" w:hAnsi="宋体" w:cs="宋体" w:eastAsia="宋体" w:hint="default"/>
                <w:spacing w:val="-6"/>
                <w:sz w:val="24"/>
                <w:szCs w:val="24"/>
              </w:rPr>
              <w:t>年</w:t>
            </w:r>
            <w:r>
              <w:rPr>
                <w:rFonts w:ascii="宋体" w:hAnsi="宋体" w:cs="宋体" w:eastAsia="宋体" w:hint="default"/>
                <w:spacing w:val="-6"/>
                <w:sz w:val="24"/>
                <w:szCs w:val="24"/>
              </w:rPr>
              <w:t>4</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公司章程（</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审计委员会议事规则（</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4</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63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年报信息披露重大差错责任追究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制度（</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独立董事对会计差错更正及追溯</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调整事项的独立意见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独立董事对公司对外担保情况的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独立意见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63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独立董事对公司内部控制自我评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价的意见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独立董事对董事会未提出现金利</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润分配预案的独立意见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4"/>
                <w:szCs w:val="24"/>
              </w:rPr>
            </w:pPr>
            <w:r>
              <w:rPr>
                <w:rFonts w:ascii="宋体" w:hAnsi="宋体" w:cs="宋体" w:eastAsia="宋体" w:hint="default"/>
                <w:sz w:val="24"/>
                <w:szCs w:val="24"/>
              </w:rPr>
              <w:t>独立董事述职报告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监事会议事规则（</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股东大会议事规</w:t>
            </w:r>
            <w:r>
              <w:rPr>
                <w:rFonts w:ascii="宋体" w:hAnsi="宋体" w:cs="宋体" w:eastAsia="宋体" w:hint="default"/>
                <w:spacing w:val="-108"/>
                <w:sz w:val="24"/>
                <w:szCs w:val="24"/>
              </w:rPr>
              <w:t>则</w:t>
            </w: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63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关于公司董事、监事薪酬制度</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557"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2010-4-24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董事会议事规则（</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4"/>
                <w:szCs w:val="24"/>
              </w:rPr>
            </w:pPr>
            <w:r>
              <w:rPr>
                <w:rFonts w:ascii="宋体"/>
                <w:sz w:val="24"/>
              </w:rPr>
              <w:t>2010-4-21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4"/>
                <w:szCs w:val="24"/>
              </w:rPr>
            </w:pPr>
            <w:r>
              <w:rPr>
                <w:rFonts w:ascii="宋体" w:hAnsi="宋体" w:cs="宋体" w:eastAsia="宋体" w:hint="default"/>
                <w:sz w:val="24"/>
                <w:szCs w:val="24"/>
              </w:rPr>
              <w:t>实际控制人变更的提示性公告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63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2010-4-21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关于非流通股股东偿还垫付股改</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对价的公告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2010-4-7</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关于收购报告书的进展情况公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24"/>
                <w:szCs w:val="24"/>
              </w:rPr>
            </w:pPr>
            <w:r>
              <w:rPr>
                <w:rFonts w:ascii="宋体"/>
                <w:sz w:val="24"/>
              </w:rPr>
              <w:t>2010-4-7</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简式权益变动报告书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8">
              <w:r>
                <w:rPr>
                  <w:rFonts w:ascii="宋体"/>
                  <w:sz w:val="21"/>
                </w:rPr>
                <w:t>http://www.cninfo.com.cn</w:t>
              </w:r>
            </w:hyperlink>
          </w:p>
        </w:tc>
      </w:tr>
      <w:tr>
        <w:trPr>
          <w:trHeight w:val="94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4"/>
                <w:szCs w:val="24"/>
              </w:rPr>
            </w:pPr>
            <w:r>
              <w:rPr>
                <w:rFonts w:ascii="宋体"/>
                <w:sz w:val="24"/>
              </w:rPr>
              <w:t>2010-4-3</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关于青岛亚星实业有限公司豁免</w:t>
            </w:r>
          </w:p>
          <w:p>
            <w:pPr>
              <w:pStyle w:val="TableParagraph"/>
              <w:spacing w:line="310" w:lineRule="exact" w:before="31"/>
              <w:ind w:left="103" w:right="365"/>
              <w:jc w:val="left"/>
              <w:rPr>
                <w:rFonts w:ascii="宋体" w:hAnsi="宋体" w:cs="宋体" w:eastAsia="宋体" w:hint="default"/>
                <w:sz w:val="24"/>
                <w:szCs w:val="24"/>
              </w:rPr>
            </w:pPr>
            <w:r>
              <w:rPr>
                <w:rFonts w:ascii="宋体" w:hAnsi="宋体" w:cs="宋体" w:eastAsia="宋体" w:hint="default"/>
                <w:sz w:val="24"/>
                <w:szCs w:val="24"/>
              </w:rPr>
              <w:t>要约收购本公司的实施进展公 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2010-4-3</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关于公司恢复上市进展情况的公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r>
        <w:trPr>
          <w:trHeight w:val="94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4"/>
                <w:szCs w:val="24"/>
              </w:rPr>
            </w:pPr>
            <w:r>
              <w:rPr>
                <w:rFonts w:ascii="宋体"/>
                <w:sz w:val="24"/>
              </w:rPr>
              <w:t>2010-3-4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关于青岛亚星实业有限公司豁免</w:t>
            </w:r>
          </w:p>
          <w:p>
            <w:pPr>
              <w:pStyle w:val="TableParagraph"/>
              <w:spacing w:line="310" w:lineRule="exact" w:before="31"/>
              <w:ind w:left="103" w:right="365"/>
              <w:jc w:val="left"/>
              <w:rPr>
                <w:rFonts w:ascii="宋体" w:hAnsi="宋体" w:cs="宋体" w:eastAsia="宋体" w:hint="default"/>
                <w:sz w:val="24"/>
                <w:szCs w:val="24"/>
              </w:rPr>
            </w:pPr>
            <w:r>
              <w:rPr>
                <w:rFonts w:ascii="宋体" w:hAnsi="宋体" w:cs="宋体" w:eastAsia="宋体" w:hint="default"/>
                <w:sz w:val="24"/>
                <w:szCs w:val="24"/>
              </w:rPr>
              <w:t>要约收购本公司的实施进展公 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2" w:lineRule="exact"/>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hyperlink r:id="rId8">
              <w:r>
                <w:rPr>
                  <w:rFonts w:ascii="宋体"/>
                  <w:sz w:val="21"/>
                </w:rPr>
                <w:t>http://www.cninfo.com.cn</w:t>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2010-3-4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关于公司恢复上市进展情况的公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hyperlink r:id="rId8">
              <w:r>
                <w:rPr>
                  <w:rFonts w:ascii="宋体"/>
                  <w:sz w:val="21"/>
                </w:rPr>
                <w:t>http://www.cninfo.com.cn</w:t>
              </w:r>
            </w:hyperlink>
          </w:p>
        </w:tc>
      </w:tr>
    </w:tbl>
    <w:p>
      <w:pPr>
        <w:spacing w:after="0" w:line="240" w:lineRule="auto"/>
        <w:jc w:val="center"/>
        <w:rPr>
          <w:rFonts w:ascii="宋体" w:hAnsi="宋体" w:cs="宋体" w:eastAsia="宋体" w:hint="default"/>
          <w:sz w:val="21"/>
          <w:szCs w:val="21"/>
        </w:rPr>
        <w:sectPr>
          <w:pgSz w:w="11910" w:h="16840"/>
          <w:pgMar w:header="0" w:footer="761" w:top="1040" w:bottom="960" w:left="920" w:right="0"/>
        </w:sectPr>
      </w:pPr>
    </w:p>
    <w:p>
      <w:pPr>
        <w:spacing w:line="240" w:lineRule="auto" w:before="5"/>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548"/>
        <w:gridCol w:w="3601"/>
        <w:gridCol w:w="1440"/>
        <w:gridCol w:w="2881"/>
      </w:tblGrid>
      <w:tr>
        <w:trPr>
          <w:trHeight w:val="946"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4"/>
                <w:szCs w:val="24"/>
              </w:rPr>
            </w:pPr>
            <w:r>
              <w:rPr>
                <w:rFonts w:ascii="宋体"/>
                <w:sz w:val="24"/>
              </w:rPr>
              <w:t>2010-2-3</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关于青岛亚星实业有限公司豁免</w:t>
            </w:r>
          </w:p>
          <w:p>
            <w:pPr>
              <w:pStyle w:val="TableParagraph"/>
              <w:spacing w:line="312" w:lineRule="exact" w:before="28"/>
              <w:ind w:left="103" w:right="365"/>
              <w:jc w:val="left"/>
              <w:rPr>
                <w:rFonts w:ascii="宋体" w:hAnsi="宋体" w:cs="宋体" w:eastAsia="宋体" w:hint="default"/>
                <w:sz w:val="24"/>
                <w:szCs w:val="24"/>
              </w:rPr>
            </w:pPr>
            <w:r>
              <w:rPr>
                <w:rFonts w:ascii="宋体" w:hAnsi="宋体" w:cs="宋体" w:eastAsia="宋体" w:hint="default"/>
                <w:sz w:val="24"/>
                <w:szCs w:val="24"/>
              </w:rPr>
              <w:t>要约收购本公司的实施进展公 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2" w:lineRule="exact"/>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hyperlink r:id="rId8">
              <w:r>
                <w:rPr>
                  <w:rFonts w:ascii="宋体"/>
                  <w:sz w:val="21"/>
                </w:rPr>
                <w:t>http://www.cninfo.com.cn</w:t>
              </w:r>
            </w:hyperlink>
          </w:p>
        </w:tc>
      </w:tr>
      <w:tr>
        <w:trPr>
          <w:trHeight w:val="63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2010-2-3</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关于公司恢复上市进展情况的公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hyperlink r:id="rId8">
              <w:r>
                <w:rPr>
                  <w:rFonts w:ascii="Times New Roman"/>
                  <w:color w:val="272727"/>
                  <w:sz w:val="21"/>
                </w:rPr>
                <w:t>http://www.cninfo.com.cn</w:t>
              </w:r>
              <w:r>
                <w:rPr>
                  <w:rFonts w:ascii="Times New Roman"/>
                  <w:sz w:val="21"/>
                </w:rPr>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24"/>
                <w:szCs w:val="24"/>
              </w:rPr>
            </w:pPr>
            <w:r>
              <w:rPr>
                <w:rFonts w:ascii="宋体"/>
                <w:sz w:val="24"/>
              </w:rPr>
              <w:t>2010-2-2</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控股子公司项目投资公告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hyperlink r:id="rId8">
              <w:r>
                <w:rPr>
                  <w:rFonts w:ascii="Times New Roman"/>
                  <w:color w:val="272727"/>
                  <w:sz w:val="21"/>
                </w:rPr>
                <w:t>http://www.cninfo.com.cn</w:t>
              </w:r>
              <w:r>
                <w:rPr>
                  <w:rFonts w:ascii="Times New Roman"/>
                  <w:sz w:val="21"/>
                </w:rPr>
              </w:r>
            </w:hyperlink>
          </w:p>
        </w:tc>
      </w:tr>
      <w:tr>
        <w:trPr>
          <w:trHeight w:val="557"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2010-1-29</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z w:val="24"/>
                <w:szCs w:val="24"/>
              </w:rPr>
              <w:t>年年度业绩预告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hyperlink r:id="rId8">
              <w:r>
                <w:rPr>
                  <w:rFonts w:ascii="Times New Roman"/>
                  <w:color w:val="272727"/>
                  <w:sz w:val="21"/>
                </w:rPr>
                <w:t>http://www.cninfo.com.cn</w:t>
              </w:r>
              <w:r>
                <w:rPr>
                  <w:rFonts w:ascii="Times New Roman"/>
                  <w:sz w:val="21"/>
                </w:rPr>
              </w:r>
            </w:hyperlink>
          </w:p>
        </w:tc>
      </w:tr>
      <w:tr>
        <w:trPr>
          <w:trHeight w:val="63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2010-1-29</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年第二次临时股东大会决议</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hyperlink r:id="rId8">
              <w:r>
                <w:rPr>
                  <w:rFonts w:ascii="Times New Roman"/>
                  <w:color w:val="272727"/>
                  <w:sz w:val="21"/>
                </w:rPr>
                <w:t>http://www.cninfo.com.cn</w:t>
              </w:r>
              <w:r>
                <w:rPr>
                  <w:rFonts w:ascii="Times New Roman"/>
                  <w:sz w:val="21"/>
                </w:rPr>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2010-1-29</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年第二次临时股东大会的法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律意见书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hyperlink r:id="rId8">
              <w:r>
                <w:rPr>
                  <w:rFonts w:ascii="Times New Roman"/>
                  <w:color w:val="272727"/>
                  <w:sz w:val="21"/>
                </w:rPr>
                <w:t>http://www.cninfo.com.cn</w:t>
              </w:r>
              <w:r>
                <w:rPr>
                  <w:rFonts w:ascii="Times New Roman"/>
                  <w:sz w:val="21"/>
                </w:rPr>
              </w:r>
            </w:hyperlink>
          </w:p>
        </w:tc>
      </w:tr>
      <w:tr>
        <w:trPr>
          <w:trHeight w:val="63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sz w:val="24"/>
              </w:rPr>
              <w:t>2010-1-21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年第一次临时股东大会决议</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hyperlink r:id="rId8">
              <w:r>
                <w:rPr>
                  <w:rFonts w:ascii="Times New Roman"/>
                  <w:color w:val="272727"/>
                  <w:sz w:val="21"/>
                </w:rPr>
                <w:t>http://www.cninfo.com.cn</w:t>
              </w:r>
              <w:r>
                <w:rPr>
                  <w:rFonts w:ascii="Times New Roman"/>
                  <w:sz w:val="21"/>
                </w:rPr>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2010-1-21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年第一次临时股东大会的法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律意见书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hyperlink r:id="rId8">
              <w:r>
                <w:rPr>
                  <w:rFonts w:ascii="Times New Roman"/>
                  <w:color w:val="272727"/>
                  <w:sz w:val="21"/>
                </w:rPr>
                <w:t>http://www.cninfo.com.cn</w:t>
              </w:r>
              <w:r>
                <w:rPr>
                  <w:rFonts w:ascii="Times New Roman"/>
                  <w:sz w:val="21"/>
                </w:rPr>
              </w:r>
            </w:hyperlink>
          </w:p>
        </w:tc>
      </w:tr>
      <w:tr>
        <w:trPr>
          <w:trHeight w:val="63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2010-1-13</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宋体" w:hAnsi="宋体" w:cs="宋体" w:eastAsia="宋体" w:hint="default"/>
                <w:sz w:val="24"/>
                <w:szCs w:val="24"/>
              </w:rPr>
              <w:t>2010</w:t>
            </w:r>
            <w:r>
              <w:rPr>
                <w:rFonts w:ascii="宋体" w:hAnsi="宋体" w:cs="宋体" w:eastAsia="宋体" w:hint="default"/>
                <w:sz w:val="24"/>
                <w:szCs w:val="24"/>
              </w:rPr>
              <w:t>年第二次临时股东</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大会的通知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hyperlink r:id="rId8">
              <w:r>
                <w:rPr>
                  <w:rFonts w:ascii="Times New Roman"/>
                  <w:color w:val="272727"/>
                  <w:sz w:val="21"/>
                </w:rPr>
                <w:t>http://www.cninfo.com.cn</w:t>
              </w:r>
              <w:r>
                <w:rPr>
                  <w:rFonts w:ascii="Times New Roman"/>
                  <w:sz w:val="21"/>
                </w:rPr>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2010-1-13</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第七届第二次董事会决议公告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hyperlink r:id="rId8">
              <w:r>
                <w:rPr>
                  <w:rFonts w:ascii="Times New Roman"/>
                  <w:color w:val="272727"/>
                  <w:sz w:val="21"/>
                </w:rPr>
                <w:t>http://www.cninfo.com.cn</w:t>
              </w:r>
              <w:r>
                <w:rPr>
                  <w:rFonts w:ascii="Times New Roman"/>
                  <w:sz w:val="21"/>
                </w:rPr>
              </w:r>
            </w:hyperlink>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24"/>
                <w:szCs w:val="24"/>
              </w:rPr>
            </w:pPr>
            <w:r>
              <w:rPr>
                <w:rFonts w:ascii="宋体"/>
                <w:sz w:val="24"/>
              </w:rPr>
              <w:t>2010-1-8</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关于董事辞职的公告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hyperlink r:id="rId8">
              <w:r>
                <w:rPr>
                  <w:rFonts w:ascii="Times New Roman"/>
                  <w:color w:val="272727"/>
                  <w:sz w:val="21"/>
                </w:rPr>
                <w:t>http://www.cninfo.com.cn</w:t>
              </w:r>
              <w:r>
                <w:rPr>
                  <w:rFonts w:ascii="Times New Roman"/>
                  <w:sz w:val="21"/>
                </w:rPr>
              </w:r>
            </w:hyperlink>
          </w:p>
        </w:tc>
      </w:tr>
      <w:tr>
        <w:trPr>
          <w:trHeight w:val="557"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24"/>
                <w:szCs w:val="24"/>
              </w:rPr>
            </w:pPr>
            <w:r>
              <w:rPr>
                <w:rFonts w:ascii="宋体"/>
                <w:sz w:val="24"/>
              </w:rPr>
              <w:t>2010-1-5</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4"/>
                <w:szCs w:val="24"/>
              </w:rPr>
            </w:pPr>
            <w:r>
              <w:rPr>
                <w:rFonts w:ascii="宋体" w:hAnsi="宋体" w:cs="宋体" w:eastAsia="宋体" w:hint="default"/>
                <w:sz w:val="24"/>
                <w:szCs w:val="24"/>
              </w:rPr>
              <w:t>债务重组公告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hyperlink r:id="rId8">
              <w:r>
                <w:rPr>
                  <w:rFonts w:ascii="Times New Roman"/>
                  <w:color w:val="272727"/>
                  <w:sz w:val="21"/>
                </w:rPr>
                <w:t>http://www.cninfo.com.cn</w:t>
              </w:r>
              <w:r>
                <w:rPr>
                  <w:rFonts w:ascii="Times New Roman"/>
                  <w:sz w:val="21"/>
                </w:rPr>
              </w:r>
            </w:hyperlink>
          </w:p>
        </w:tc>
      </w:tr>
      <w:tr>
        <w:trPr>
          <w:trHeight w:val="63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宋体" w:hAnsi="宋体" w:cs="宋体" w:eastAsia="宋体" w:hint="default"/>
                <w:sz w:val="24"/>
                <w:szCs w:val="24"/>
              </w:rPr>
            </w:pPr>
            <w:r>
              <w:rPr>
                <w:rFonts w:ascii="宋体"/>
                <w:sz w:val="24"/>
              </w:rPr>
              <w:t>2010-1-5</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宋体" w:hAnsi="宋体" w:cs="宋体" w:eastAsia="宋体" w:hint="default"/>
                <w:sz w:val="24"/>
                <w:szCs w:val="24"/>
              </w:rPr>
              <w:t>2010</w:t>
            </w:r>
            <w:r>
              <w:rPr>
                <w:rFonts w:ascii="宋体" w:hAnsi="宋体" w:cs="宋体" w:eastAsia="宋体" w:hint="default"/>
                <w:sz w:val="24"/>
                <w:szCs w:val="24"/>
              </w:rPr>
              <w:t>年第一次临时股东</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大会的通知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hyperlink r:id="rId8">
              <w:r>
                <w:rPr>
                  <w:rFonts w:ascii="Times New Roman"/>
                  <w:color w:val="272727"/>
                  <w:sz w:val="21"/>
                </w:rPr>
                <w:t>http://www.cninfo.com.cn</w:t>
              </w:r>
              <w:r>
                <w:rPr>
                  <w:rFonts w:ascii="Times New Roman"/>
                  <w:sz w:val="21"/>
                </w:rPr>
              </w:r>
            </w:hyperlink>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2010-1-5</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关于青岛亚星实业有限公司豁免</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要约收购本公司的实施进展公告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hyperlink r:id="rId8">
              <w:r>
                <w:rPr>
                  <w:rFonts w:ascii="Times New Roman"/>
                  <w:color w:val="272727"/>
                  <w:sz w:val="21"/>
                </w:rPr>
                <w:t>http://www.cninfo.com.cn</w:t>
              </w:r>
              <w:r>
                <w:rPr>
                  <w:rFonts w:ascii="Times New Roman"/>
                  <w:sz w:val="21"/>
                </w:rPr>
              </w:r>
            </w:hyperlink>
          </w:p>
        </w:tc>
      </w:tr>
      <w:tr>
        <w:trPr>
          <w:trHeight w:val="63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2010-1-5</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关于公司恢复上市进展情况的公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5" w:right="185" w:hanging="10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证券时报</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hyperlink r:id="rId8">
              <w:r>
                <w:rPr>
                  <w:rFonts w:ascii="Times New Roman"/>
                  <w:color w:val="272727"/>
                  <w:sz w:val="21"/>
                </w:rPr>
                <w:t>http://www.cninfo.com.cn</w:t>
              </w:r>
              <w:r>
                <w:rPr>
                  <w:rFonts w:ascii="Times New Roman"/>
                  <w:sz w:val="21"/>
                </w:rPr>
              </w:r>
            </w:hyperlink>
          </w:p>
        </w:tc>
      </w:tr>
    </w:tbl>
    <w:p>
      <w:pPr>
        <w:spacing w:after="0" w:line="240" w:lineRule="auto"/>
        <w:jc w:val="center"/>
        <w:rPr>
          <w:rFonts w:ascii="Times New Roman" w:hAnsi="Times New Roman" w:cs="Times New Roman" w:eastAsia="Times New Roman" w:hint="default"/>
          <w:sz w:val="21"/>
          <w:szCs w:val="21"/>
        </w:rPr>
        <w:sectPr>
          <w:pgSz w:w="11910" w:h="16840"/>
          <w:pgMar w:header="0" w:footer="761" w:top="1040" w:bottom="960" w:left="920" w:right="0"/>
        </w:sectPr>
      </w:pPr>
    </w:p>
    <w:p>
      <w:pPr>
        <w:pStyle w:val="Heading1"/>
        <w:tabs>
          <w:tab w:pos="1607" w:val="left" w:leader="none"/>
        </w:tabs>
        <w:spacing w:line="401" w:lineRule="exact"/>
        <w:ind w:right="1019"/>
        <w:jc w:val="center"/>
        <w:rPr>
          <w:b w:val="0"/>
          <w:bCs w:val="0"/>
        </w:rPr>
      </w:pPr>
      <w:bookmarkStart w:name="_TOC_250001" w:id="11"/>
      <w:r>
        <w:rPr>
          <w:w w:val="95"/>
        </w:rPr>
        <w:t>第十一章</w:t>
        <w:tab/>
      </w:r>
      <w:r>
        <w:rPr/>
        <w:t>财务会计报告</w:t>
      </w:r>
      <w:bookmarkEnd w:id="11"/>
      <w:r>
        <w:rPr>
          <w:b w:val="0"/>
          <w:bCs w:val="0"/>
        </w:rPr>
      </w:r>
    </w:p>
    <w:p>
      <w:pPr>
        <w:spacing w:line="240" w:lineRule="auto" w:before="13"/>
        <w:rPr>
          <w:rFonts w:ascii="宋体" w:hAnsi="宋体" w:cs="宋体" w:eastAsia="宋体" w:hint="default"/>
          <w:b/>
          <w:bCs/>
          <w:sz w:val="34"/>
          <w:szCs w:val="34"/>
        </w:rPr>
      </w:pPr>
    </w:p>
    <w:p>
      <w:pPr>
        <w:pStyle w:val="BodyText"/>
        <w:spacing w:line="355" w:lineRule="auto" w:before="0"/>
        <w:ind w:right="0" w:firstLine="480"/>
        <w:jc w:val="left"/>
      </w:pPr>
      <w:r>
        <w:rPr/>
        <w:t>公司年度财务报告已经深圳市鹏城会计师事务所有限公司注册会计师杨盛巧、管盛春审 计，并出具了标准无保留意见的审计报告。</w:t>
      </w:r>
    </w:p>
    <w:p>
      <w:pPr>
        <w:pStyle w:val="BodyText"/>
        <w:spacing w:line="240" w:lineRule="auto" w:before="38"/>
        <w:ind w:left="593" w:right="0"/>
        <w:jc w:val="left"/>
      </w:pPr>
      <w:r>
        <w:rPr/>
        <w:t>（一）审计报告</w:t>
      </w:r>
    </w:p>
    <w:p>
      <w:pPr>
        <w:spacing w:line="240" w:lineRule="auto" w:before="0"/>
        <w:rPr>
          <w:rFonts w:ascii="宋体" w:hAnsi="宋体" w:cs="宋体" w:eastAsia="宋体" w:hint="default"/>
          <w:sz w:val="20"/>
          <w:szCs w:val="20"/>
        </w:rPr>
      </w:pPr>
    </w:p>
    <w:p>
      <w:pPr>
        <w:pStyle w:val="Heading2"/>
        <w:spacing w:line="240" w:lineRule="auto"/>
        <w:ind w:right="1022"/>
        <w:jc w:val="center"/>
      </w:pPr>
      <w:r>
        <w:rPr/>
        <w:t>审 计 报</w:t>
      </w:r>
      <w:r>
        <w:rPr>
          <w:spacing w:val="-5"/>
        </w:rPr>
        <w:t> </w:t>
      </w:r>
      <w:r>
        <w:rPr/>
        <w:t>告</w:t>
      </w:r>
    </w:p>
    <w:p>
      <w:pPr>
        <w:spacing w:line="240" w:lineRule="auto" w:before="0"/>
        <w:rPr>
          <w:rFonts w:ascii="黑体" w:hAnsi="黑体" w:cs="黑体" w:eastAsia="黑体" w:hint="default"/>
          <w:sz w:val="32"/>
          <w:szCs w:val="32"/>
        </w:rPr>
      </w:pPr>
    </w:p>
    <w:p>
      <w:pPr>
        <w:spacing w:line="240" w:lineRule="auto" w:before="4"/>
        <w:rPr>
          <w:rFonts w:ascii="黑体" w:hAnsi="黑体" w:cs="黑体" w:eastAsia="黑体" w:hint="default"/>
          <w:sz w:val="34"/>
          <w:szCs w:val="34"/>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深鹏所股审字</w:t>
      </w:r>
      <w:r>
        <w:rPr>
          <w:rFonts w:ascii="Times New Roman" w:hAnsi="Times New Roman" w:cs="Times New Roman" w:eastAsia="Times New Roman" w:hint="default"/>
          <w:sz w:val="18"/>
          <w:szCs w:val="18"/>
        </w:rPr>
        <w:t>[2011]0121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p>
      <w:pPr>
        <w:spacing w:line="240" w:lineRule="auto" w:before="1"/>
        <w:rPr>
          <w:rFonts w:ascii="宋体" w:hAnsi="宋体" w:cs="宋体" w:eastAsia="宋体" w:hint="default"/>
          <w:sz w:val="19"/>
          <w:szCs w:val="19"/>
        </w:rPr>
      </w:pPr>
    </w:p>
    <w:p>
      <w:pPr>
        <w:spacing w:line="436" w:lineRule="auto" w:before="0"/>
        <w:ind w:left="533" w:right="1126" w:hanging="421"/>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深圳大通实业股份有限公司全体股东：</w:t>
      </w:r>
      <w:r>
        <w:rPr>
          <w:rFonts w:ascii="宋体" w:hAnsi="宋体" w:cs="宋体" w:eastAsia="宋体" w:hint="default"/>
          <w:w w:val="100"/>
          <w:sz w:val="21"/>
          <w:szCs w:val="21"/>
        </w:rPr>
        <w:t> </w:t>
      </w:r>
      <w:r>
        <w:rPr>
          <w:rFonts w:ascii="宋体" w:hAnsi="宋体" w:cs="宋体" w:eastAsia="宋体" w:hint="default"/>
          <w:sz w:val="21"/>
          <w:szCs w:val="21"/>
        </w:rPr>
        <w:t>我们审计了后附的深圳大通实业股份有限公司（以下简称深圳大通公司）财务报表，包括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spacing w:line="412" w:lineRule="auto" w:before="20"/>
        <w:ind w:left="112" w:right="1127" w:firstLine="0"/>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31 </w:t>
      </w:r>
      <w:r>
        <w:rPr>
          <w:rFonts w:ascii="宋体" w:hAnsi="宋体" w:cs="宋体" w:eastAsia="宋体" w:hint="default"/>
          <w:sz w:val="21"/>
          <w:szCs w:val="21"/>
        </w:rPr>
        <w:t>日的合并及母公司资产负债表，</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年度的合并及母公司利润表、合并及母公司现金流量表和合并</w:t>
      </w:r>
      <w:r>
        <w:rPr>
          <w:rFonts w:ascii="宋体" w:hAnsi="宋体" w:cs="宋体" w:eastAsia="宋体" w:hint="default"/>
          <w:w w:val="100"/>
          <w:sz w:val="21"/>
          <w:szCs w:val="21"/>
        </w:rPr>
        <w:t> </w:t>
      </w:r>
      <w:r>
        <w:rPr>
          <w:rFonts w:ascii="宋体" w:hAnsi="宋体" w:cs="宋体" w:eastAsia="宋体" w:hint="default"/>
          <w:sz w:val="21"/>
          <w:szCs w:val="21"/>
        </w:rPr>
        <w:t>及母公司所有者权益变动表以及财务报表附注。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535" w:right="0" w:firstLine="0"/>
        <w:jc w:val="left"/>
        <w:rPr>
          <w:rFonts w:ascii="黑体" w:hAnsi="黑体" w:cs="黑体" w:eastAsia="黑体" w:hint="default"/>
          <w:sz w:val="21"/>
          <w:szCs w:val="21"/>
        </w:rPr>
      </w:pPr>
      <w:r>
        <w:rPr>
          <w:rFonts w:ascii="黑体" w:hAnsi="黑体" w:cs="黑体" w:eastAsia="黑体" w:hint="default"/>
          <w:b/>
          <w:bCs/>
          <w:sz w:val="21"/>
          <w:szCs w:val="21"/>
        </w:rPr>
        <w:t>一、管理层对财务报表的责任</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spacing w:line="412" w:lineRule="auto" w:before="0"/>
        <w:ind w:left="112" w:right="0" w:firstLine="420"/>
        <w:jc w:val="left"/>
        <w:rPr>
          <w:rFonts w:ascii="宋体" w:hAnsi="宋体" w:cs="宋体" w:eastAsia="宋体" w:hint="default"/>
          <w:sz w:val="21"/>
          <w:szCs w:val="21"/>
        </w:rPr>
      </w:pPr>
      <w:r>
        <w:rPr>
          <w:rFonts w:ascii="宋体" w:hAnsi="宋体" w:cs="宋体" w:eastAsia="宋体" w:hint="default"/>
          <w:sz w:val="21"/>
          <w:szCs w:val="21"/>
        </w:rPr>
        <w:t>按照企业会计准则规定编制财务报表是深圳大通公司管理层的责任。这种责任包括：（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）设计、实</w:t>
      </w:r>
      <w:r>
        <w:rPr>
          <w:rFonts w:ascii="宋体" w:hAnsi="宋体" w:cs="宋体" w:eastAsia="宋体" w:hint="default"/>
          <w:w w:val="100"/>
          <w:sz w:val="21"/>
          <w:szCs w:val="21"/>
        </w:rPr>
        <w:t> </w:t>
      </w:r>
      <w:r>
        <w:rPr>
          <w:rFonts w:ascii="宋体" w:hAnsi="宋体" w:cs="宋体" w:eastAsia="宋体" w:hint="default"/>
          <w:spacing w:val="-2"/>
          <w:sz w:val="21"/>
          <w:szCs w:val="21"/>
        </w:rPr>
        <w:t>施和维护与财务报表编制相关的内部控制，以使财务报表不存在由于舞弊或错误而导致的重大错报；（</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w:t>
      </w:r>
      <w:r>
        <w:rPr>
          <w:rFonts w:ascii="宋体" w:hAnsi="宋体" w:cs="宋体" w:eastAsia="宋体" w:hint="default"/>
          <w:spacing w:val="-40"/>
          <w:sz w:val="21"/>
          <w:szCs w:val="21"/>
        </w:rPr>
        <w:t> </w:t>
      </w:r>
      <w:r>
        <w:rPr>
          <w:rFonts w:ascii="宋体" w:hAnsi="宋体" w:cs="宋体" w:eastAsia="宋体" w:hint="default"/>
          <w:sz w:val="21"/>
          <w:szCs w:val="21"/>
        </w:rPr>
        <w:t>选择和运用恰当的会计政策；（</w:t>
      </w:r>
      <w:r>
        <w:rPr>
          <w:rFonts w:ascii="Times New Roman" w:hAnsi="Times New Roman" w:cs="Times New Roman" w:eastAsia="Times New Roman" w:hint="default"/>
          <w:sz w:val="21"/>
          <w:szCs w:val="21"/>
        </w:rPr>
        <w:t>3</w:t>
      </w:r>
      <w:r>
        <w:rPr>
          <w:rFonts w:ascii="宋体" w:hAnsi="宋体" w:cs="宋体" w:eastAsia="宋体" w:hint="default"/>
          <w:sz w:val="21"/>
          <w:szCs w:val="21"/>
        </w:rPr>
        <w:t>）作出合理的会计估计。</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9"/>
          <w:szCs w:val="19"/>
        </w:rPr>
      </w:pPr>
    </w:p>
    <w:p>
      <w:pPr>
        <w:spacing w:before="0"/>
        <w:ind w:left="535" w:right="0" w:firstLine="0"/>
        <w:jc w:val="left"/>
        <w:rPr>
          <w:rFonts w:ascii="黑体" w:hAnsi="黑体" w:cs="黑体" w:eastAsia="黑体" w:hint="default"/>
          <w:sz w:val="21"/>
          <w:szCs w:val="21"/>
        </w:rPr>
      </w:pPr>
      <w:r>
        <w:rPr>
          <w:rFonts w:ascii="黑体" w:hAnsi="黑体" w:cs="黑体" w:eastAsia="黑体" w:hint="default"/>
          <w:b/>
          <w:bCs/>
          <w:sz w:val="21"/>
          <w:szCs w:val="21"/>
        </w:rPr>
        <w:t>二、注册会计师的责任</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spacing w:line="436" w:lineRule="auto" w:before="0"/>
        <w:ind w:left="11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我们的责任是在实施审计工作的基础上对财务报表发表审计意见。我们按照中国注册会计师审计准则</w:t>
      </w:r>
      <w:r>
        <w:rPr>
          <w:rFonts w:ascii="宋体" w:hAnsi="宋体" w:cs="宋体" w:eastAsia="宋体" w:hint="default"/>
          <w:w w:val="100"/>
          <w:sz w:val="21"/>
          <w:szCs w:val="21"/>
        </w:rPr>
        <w:t> </w:t>
      </w:r>
      <w:r>
        <w:rPr>
          <w:rFonts w:ascii="宋体" w:hAnsi="宋体" w:cs="宋体" w:eastAsia="宋体" w:hint="default"/>
          <w:spacing w:val="-2"/>
          <w:sz w:val="21"/>
          <w:szCs w:val="21"/>
        </w:rPr>
        <w:t>的规定执行了审计工作。中国注册会计师审计准则要求我们遵守职业道德规范，计划和实施审计工作以对</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财务报表是否不存在重大错报获取合理保证。</w:t>
      </w:r>
    </w:p>
    <w:p>
      <w:pPr>
        <w:spacing w:line="436" w:lineRule="auto" w:before="52"/>
        <w:ind w:left="112" w:right="996" w:firstLine="420"/>
        <w:jc w:val="left"/>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审计工作涉及实施审计程序，以获取有关财务报表金额和披露的审计证据。选择的审计程序取决于注</w:t>
      </w:r>
      <w:r>
        <w:rPr>
          <w:rFonts w:ascii="宋体" w:hAnsi="宋体" w:cs="宋体" w:eastAsia="宋体" w:hint="default"/>
          <w:w w:val="100"/>
          <w:sz w:val="21"/>
          <w:szCs w:val="21"/>
        </w:rPr>
        <w:t> </w:t>
      </w:r>
      <w:r>
        <w:rPr>
          <w:rFonts w:ascii="宋体" w:hAnsi="宋体" w:cs="宋体" w:eastAsia="宋体" w:hint="default"/>
          <w:spacing w:val="-2"/>
          <w:sz w:val="21"/>
          <w:szCs w:val="21"/>
        </w:rPr>
        <w:t>册会计师的判断，包括对由于舞弊或错误导致的财务报表重大错报风险的评估。在进行风险评估时，我们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考虑与财务报表编制相关的内部控制，以设计恰当的审计程序，但目的并非对内部控制的有效性发表意见。</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2"/>
          <w:sz w:val="21"/>
          <w:szCs w:val="21"/>
        </w:rPr>
        <w:t>审计工作还包括评价管理层选用会计政策的恰当性和作出会计估计的合理性，以及评价财务报表的总体列</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报。</w:t>
      </w:r>
    </w:p>
    <w:p>
      <w:pPr>
        <w:spacing w:after="0" w:line="436" w:lineRule="auto"/>
        <w:jc w:val="left"/>
        <w:rPr>
          <w:rFonts w:ascii="宋体" w:hAnsi="宋体" w:cs="宋体" w:eastAsia="宋体" w:hint="default"/>
          <w:sz w:val="21"/>
          <w:szCs w:val="21"/>
        </w:rPr>
        <w:sectPr>
          <w:pgSz w:w="11910" w:h="16840"/>
          <w:pgMar w:header="0" w:footer="761" w:top="1080" w:bottom="960" w:left="1020" w:right="0"/>
        </w:sectPr>
      </w:pPr>
    </w:p>
    <w:p>
      <w:pPr>
        <w:spacing w:before="8"/>
        <w:ind w:left="533" w:right="0"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0"/>
        <w:ind w:left="535" w:right="0" w:firstLine="0"/>
        <w:jc w:val="left"/>
        <w:rPr>
          <w:rFonts w:ascii="黑体" w:hAnsi="黑体" w:cs="黑体" w:eastAsia="黑体" w:hint="default"/>
          <w:sz w:val="21"/>
          <w:szCs w:val="21"/>
        </w:rPr>
      </w:pPr>
      <w:r>
        <w:rPr>
          <w:rFonts w:ascii="黑体" w:hAnsi="黑体" w:cs="黑体" w:eastAsia="黑体" w:hint="default"/>
          <w:b/>
          <w:bCs/>
          <w:sz w:val="21"/>
          <w:szCs w:val="21"/>
        </w:rPr>
        <w:t>三、审计意见</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8"/>
          <w:szCs w:val="18"/>
        </w:rPr>
      </w:pPr>
    </w:p>
    <w:p>
      <w:pPr>
        <w:spacing w:line="441" w:lineRule="auto" w:before="0"/>
        <w:ind w:left="11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我们认为，深圳大通公司财务报表已经按照企业会计准则规定编制，在所有重大方面公允反映了深圳</w:t>
      </w:r>
      <w:r>
        <w:rPr>
          <w:rFonts w:ascii="宋体" w:hAnsi="宋体" w:cs="宋体" w:eastAsia="宋体" w:hint="default"/>
          <w:w w:val="100"/>
          <w:sz w:val="21"/>
          <w:szCs w:val="21"/>
        </w:rPr>
        <w:t> </w:t>
      </w:r>
      <w:r>
        <w:rPr>
          <w:rFonts w:ascii="宋体" w:hAnsi="宋体" w:cs="宋体" w:eastAsia="宋体" w:hint="default"/>
          <w:sz w:val="21"/>
          <w:szCs w:val="21"/>
        </w:rPr>
        <w:t>大通公司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日的合并及母公司财务状况以及</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年度的合并及母公司经营成果和合并及母</w:t>
      </w:r>
      <w:r>
        <w:rPr>
          <w:rFonts w:ascii="宋体" w:hAnsi="宋体" w:cs="宋体" w:eastAsia="宋体" w:hint="default"/>
          <w:w w:val="100"/>
          <w:sz w:val="21"/>
          <w:szCs w:val="21"/>
        </w:rPr>
        <w:t> </w:t>
      </w:r>
      <w:r>
        <w:rPr>
          <w:rFonts w:ascii="宋体" w:hAnsi="宋体" w:cs="宋体" w:eastAsia="宋体" w:hint="default"/>
          <w:sz w:val="21"/>
          <w:szCs w:val="21"/>
        </w:rPr>
        <w:t>公司现金流量。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tbl>
      <w:tblPr>
        <w:tblW w:w="0" w:type="auto"/>
        <w:jc w:val="left"/>
        <w:tblInd w:w="167" w:type="dxa"/>
        <w:tblLayout w:type="fixed"/>
        <w:tblCellMar>
          <w:top w:w="0" w:type="dxa"/>
          <w:left w:w="0" w:type="dxa"/>
          <w:bottom w:w="0" w:type="dxa"/>
          <w:right w:w="0" w:type="dxa"/>
        </w:tblCellMar>
        <w:tblLook w:val="01E0"/>
      </w:tblPr>
      <w:tblGrid>
        <w:gridCol w:w="7317"/>
        <w:gridCol w:w="2160"/>
      </w:tblGrid>
      <w:tr>
        <w:trPr>
          <w:trHeight w:val="470" w:hRule="exact"/>
        </w:trPr>
        <w:tc>
          <w:tcPr>
            <w:tcW w:w="7317"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深圳市鹏城会计师事务所有限公司</w:t>
            </w:r>
          </w:p>
        </w:tc>
        <w:tc>
          <w:tcPr>
            <w:tcW w:w="2160" w:type="dxa"/>
            <w:tcBorders>
              <w:top w:val="nil" w:sz="6" w:space="0" w:color="auto"/>
              <w:left w:val="nil" w:sz="6" w:space="0" w:color="auto"/>
              <w:bottom w:val="nil" w:sz="6" w:space="0" w:color="auto"/>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765" w:hRule="exact"/>
        </w:trPr>
        <w:tc>
          <w:tcPr>
            <w:tcW w:w="731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59" w:right="0"/>
              <w:jc w:val="left"/>
              <w:rPr>
                <w:rFonts w:ascii="宋体" w:hAnsi="宋体" w:cs="宋体" w:eastAsia="宋体" w:hint="default"/>
                <w:sz w:val="18"/>
                <w:szCs w:val="18"/>
              </w:rPr>
            </w:pPr>
            <w:r>
              <w:rPr>
                <w:rFonts w:ascii="宋体" w:hAnsi="宋体" w:cs="宋体" w:eastAsia="宋体" w:hint="default"/>
                <w:sz w:val="18"/>
                <w:szCs w:val="18"/>
              </w:rPr>
              <w:t>中国 </w:t>
            </w:r>
            <w:r>
              <w:rPr>
                <w:rFonts w:ascii="Wingdings" w:hAnsi="Wingdings" w:cs="Wingdings" w:eastAsia="Wingdings" w:hint="default"/>
                <w:sz w:val="18"/>
                <w:szCs w:val="18"/>
              </w:rPr>
              <w:t></w:t>
            </w:r>
            <w:r>
              <w:rPr>
                <w:rFonts w:ascii="Wingdings" w:hAnsi="Wingdings" w:cs="Wingdings" w:eastAsia="Wingdings" w:hint="default"/>
                <w:spacing w:val="-89"/>
                <w:sz w:val="18"/>
                <w:szCs w:val="18"/>
              </w:rPr>
              <w:t></w:t>
            </w:r>
            <w:r>
              <w:rPr>
                <w:rFonts w:ascii="Times New Roman" w:hAnsi="Times New Roman" w:cs="Times New Roman" w:eastAsia="Times New Roman" w:hint="default"/>
                <w:spacing w:val="-89"/>
                <w:sz w:val="18"/>
                <w:szCs w:val="18"/>
              </w:rPr>
            </w:r>
            <w:r>
              <w:rPr>
                <w:rFonts w:ascii="宋体" w:hAnsi="宋体" w:cs="宋体" w:eastAsia="宋体" w:hint="default"/>
                <w:sz w:val="18"/>
                <w:szCs w:val="18"/>
              </w:rPr>
              <w:t>深圳</w:t>
            </w:r>
          </w:p>
        </w:tc>
        <w:tc>
          <w:tcPr>
            <w:tcW w:w="2160" w:type="dxa"/>
            <w:tcBorders>
              <w:top w:val="nil" w:sz="6" w:space="0" w:color="auto"/>
              <w:left w:val="nil" w:sz="6" w:space="0" w:color="auto"/>
              <w:bottom w:val="nil" w:sz="6" w:space="0" w:color="auto"/>
              <w:right w:val="nil" w:sz="6" w:space="0" w:color="auto"/>
            </w:tcBorders>
          </w:tcPr>
          <w:p>
            <w:pPr/>
          </w:p>
        </w:tc>
      </w:tr>
      <w:tr>
        <w:trPr>
          <w:trHeight w:val="539" w:hRule="exact"/>
        </w:trPr>
        <w:tc>
          <w:tcPr>
            <w:tcW w:w="73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9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60" w:type="dxa"/>
            <w:tcBorders>
              <w:top w:val="nil" w:sz="6" w:space="0" w:color="auto"/>
              <w:left w:val="nil" w:sz="6" w:space="0" w:color="auto"/>
              <w:bottom w:val="single" w:sz="4" w:space="0" w:color="000000"/>
              <w:right w:val="nil" w:sz="6" w:space="0" w:color="auto"/>
            </w:tcBorders>
          </w:tcPr>
          <w:p>
            <w:pPr/>
          </w:p>
        </w:tc>
      </w:tr>
      <w:tr>
        <w:trPr>
          <w:trHeight w:val="606" w:hRule="exact"/>
        </w:trPr>
        <w:tc>
          <w:tcPr>
            <w:tcW w:w="7317"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3" w:right="0"/>
              <w:jc w:val="center"/>
              <w:rPr>
                <w:rFonts w:ascii="宋体" w:hAnsi="宋体" w:cs="宋体" w:eastAsia="宋体" w:hint="default"/>
                <w:sz w:val="18"/>
                <w:szCs w:val="18"/>
              </w:rPr>
            </w:pPr>
            <w:r>
              <w:rPr>
                <w:rFonts w:ascii="宋体" w:hAnsi="宋体" w:cs="宋体" w:eastAsia="宋体" w:hint="default"/>
                <w:sz w:val="18"/>
                <w:szCs w:val="18"/>
              </w:rPr>
              <w:t>管盛春</w:t>
            </w:r>
          </w:p>
        </w:tc>
      </w:tr>
      <w:tr>
        <w:trPr>
          <w:trHeight w:val="2065" w:hRule="exact"/>
        </w:trPr>
        <w:tc>
          <w:tcPr>
            <w:tcW w:w="7317"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316" w:hRule="exact"/>
        </w:trPr>
        <w:tc>
          <w:tcPr>
            <w:tcW w:w="7317"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3" w:right="0"/>
              <w:jc w:val="center"/>
              <w:rPr>
                <w:rFonts w:ascii="宋体" w:hAnsi="宋体" w:cs="宋体" w:eastAsia="宋体" w:hint="default"/>
                <w:sz w:val="18"/>
                <w:szCs w:val="18"/>
              </w:rPr>
            </w:pPr>
            <w:r>
              <w:rPr>
                <w:rFonts w:ascii="宋体" w:hAnsi="宋体" w:cs="宋体" w:eastAsia="宋体" w:hint="default"/>
                <w:sz w:val="18"/>
                <w:szCs w:val="18"/>
              </w:rPr>
              <w:t>杨盛巧</w:t>
            </w:r>
          </w:p>
        </w:tc>
      </w:tr>
    </w:tbl>
    <w:p>
      <w:pPr>
        <w:spacing w:after="0" w:line="240" w:lineRule="auto"/>
        <w:jc w:val="center"/>
        <w:rPr>
          <w:rFonts w:ascii="宋体" w:hAnsi="宋体" w:cs="宋体" w:eastAsia="宋体" w:hint="default"/>
          <w:sz w:val="18"/>
          <w:szCs w:val="18"/>
        </w:rPr>
        <w:sectPr>
          <w:footerReference w:type="default" r:id="rId19"/>
          <w:pgSz w:w="11910" w:h="16840"/>
          <w:pgMar w:footer="956" w:header="0" w:top="1300" w:bottom="1140" w:left="1020" w:right="0"/>
          <w:pgNumType w:start="50"/>
        </w:sectPr>
      </w:pPr>
    </w:p>
    <w:p>
      <w:pPr>
        <w:pStyle w:val="Heading3"/>
        <w:spacing w:line="244" w:lineRule="auto"/>
        <w:ind w:right="4151"/>
        <w:jc w:val="center"/>
      </w:pPr>
      <w:r>
        <w:rPr/>
        <w:t>深圳大通实业股份有限公司 财 务 报</w:t>
      </w:r>
      <w:r>
        <w:rPr>
          <w:spacing w:val="-3"/>
        </w:rPr>
        <w:t> </w:t>
      </w:r>
      <w:r>
        <w:rPr/>
        <w:t>表</w:t>
      </w:r>
      <w:r>
        <w:rPr/>
        <w:t> 合并资产负债表</w:t>
      </w:r>
    </w:p>
    <w:p>
      <w:pPr>
        <w:spacing w:line="240" w:lineRule="auto" w:before="11"/>
        <w:rPr>
          <w:rFonts w:ascii="黑体" w:hAnsi="黑体" w:cs="黑体" w:eastAsia="黑体" w:hint="default"/>
          <w:sz w:val="24"/>
          <w:szCs w:val="24"/>
        </w:rPr>
      </w:pPr>
    </w:p>
    <w:p>
      <w:pPr>
        <w:spacing w:before="0"/>
        <w:ind w:left="3152" w:right="4147" w:firstLine="0"/>
        <w:jc w:val="center"/>
        <w:rPr>
          <w:rFonts w:ascii="宋体" w:hAnsi="宋体" w:cs="宋体" w:eastAsia="宋体" w:hint="default"/>
          <w:sz w:val="18"/>
          <w:szCs w:val="18"/>
        </w:rPr>
      </w:pPr>
      <w:r>
        <w:rPr>
          <w:rFonts w:ascii="宋体" w:hAnsi="宋体" w:cs="宋体" w:eastAsia="宋体" w:hint="default"/>
          <w:sz w:val="18"/>
          <w:szCs w:val="18"/>
        </w:rPr>
        <w:t>编制日期：</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9"/>
        <w:rPr>
          <w:rFonts w:ascii="宋体" w:hAnsi="宋体" w:cs="宋体" w:eastAsia="宋体" w:hint="default"/>
          <w:sz w:val="23"/>
          <w:szCs w:val="23"/>
        </w:rPr>
      </w:pPr>
    </w:p>
    <w:p>
      <w:pPr>
        <w:tabs>
          <w:tab w:pos="6078" w:val="left" w:leader="none"/>
        </w:tabs>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5"/>
          <w:sz w:val="18"/>
          <w:szCs w:val="18"/>
        </w:rPr>
        <w:t> </w:t>
      </w:r>
      <w:r>
        <w:rPr>
          <w:rFonts w:ascii="宋体" w:hAnsi="宋体" w:cs="宋体" w:eastAsia="宋体" w:hint="default"/>
          <w:sz w:val="18"/>
          <w:szCs w:val="18"/>
        </w:rPr>
        <w:t>币种：人民币</w:t>
      </w:r>
    </w:p>
    <w:p>
      <w:pPr>
        <w:spacing w:line="240" w:lineRule="auto" w:before="0"/>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743"/>
        <w:gridCol w:w="1517"/>
        <w:gridCol w:w="2196"/>
        <w:gridCol w:w="2199"/>
      </w:tblGrid>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23,125,978.79</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144,800,392.95</w:t>
            </w:r>
          </w:p>
        </w:tc>
      </w:tr>
      <w:tr>
        <w:trPr>
          <w:trHeight w:val="34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0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20,094,288.00</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5,824,259.69</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2"/>
              <w:jc w:val="right"/>
              <w:rPr>
                <w:rFonts w:ascii="Times New Roman" w:hAnsi="Times New Roman" w:cs="Times New Roman" w:eastAsia="Times New Roman" w:hint="default"/>
                <w:sz w:val="18"/>
                <w:szCs w:val="18"/>
              </w:rPr>
            </w:pPr>
            <w:r>
              <w:rPr>
                <w:rFonts w:ascii="Times New Roman"/>
                <w:spacing w:val="-1"/>
                <w:sz w:val="18"/>
              </w:rPr>
              <w:t>59,300.00</w:t>
            </w:r>
          </w:p>
        </w:tc>
      </w:tr>
      <w:tr>
        <w:trPr>
          <w:trHeight w:val="34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5,458,917.38</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3,373,668.80</w:t>
            </w:r>
          </w:p>
        </w:tc>
      </w:tr>
      <w:tr>
        <w:trPr>
          <w:trHeight w:val="34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0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461,877,673.37</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327,140,703.69</w:t>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516,381,117.23</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475,374,065.44</w:t>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452,458.50</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412,422.38</w:t>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867,210.00</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060" w:bottom="1140" w:left="100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743"/>
        <w:gridCol w:w="1517"/>
        <w:gridCol w:w="2196"/>
        <w:gridCol w:w="2199"/>
      </w:tblGrid>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right="2172"/>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98,835.35</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507,127.85</w:t>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right="2172"/>
              <w:jc w:val="right"/>
              <w:rPr>
                <w:rFonts w:ascii="宋体" w:hAnsi="宋体" w:cs="宋体" w:eastAsia="宋体" w:hint="default"/>
                <w:sz w:val="18"/>
                <w:szCs w:val="18"/>
              </w:rPr>
            </w:pPr>
            <w:r>
              <w:rPr>
                <w:rFonts w:ascii="宋体" w:hAnsi="宋体" w:cs="宋体" w:eastAsia="宋体" w:hint="default"/>
                <w:sz w:val="18"/>
                <w:szCs w:val="18"/>
              </w:rPr>
              <w:t>其他非流动资产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right="2172"/>
              <w:jc w:val="right"/>
              <w:rPr>
                <w:rFonts w:ascii="宋体" w:hAnsi="宋体" w:cs="宋体" w:eastAsia="宋体" w:hint="default"/>
                <w:sz w:val="18"/>
                <w:szCs w:val="18"/>
              </w:rPr>
            </w:pPr>
            <w:r>
              <w:rPr>
                <w:rFonts w:ascii="宋体" w:hAnsi="宋体" w:cs="宋体" w:eastAsia="宋体" w:hint="default"/>
                <w:sz w:val="18"/>
                <w:szCs w:val="18"/>
              </w:rPr>
              <w:t>非流动资产合计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1,418,503.85</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919,550.23</w:t>
            </w:r>
          </w:p>
        </w:tc>
      </w:tr>
      <w:tr>
        <w:trPr>
          <w:trHeight w:val="350"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517,799,621.08</w:t>
            </w:r>
          </w:p>
        </w:tc>
        <w:tc>
          <w:tcPr>
            <w:tcW w:w="2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476,293,615.67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tabs>
          <w:tab w:pos="2424" w:val="left" w:leader="none"/>
          <w:tab w:pos="5484" w:val="left" w:leader="none"/>
          <w:tab w:pos="8187" w:val="left" w:leader="none"/>
        </w:tabs>
        <w:spacing w:before="44"/>
        <w:ind w:left="1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pgSz w:w="11910" w:h="16840"/>
          <w:pgMar w:header="0" w:footer="956" w:top="1040" w:bottom="1140" w:left="1000" w:right="0"/>
        </w:sectPr>
      </w:pPr>
    </w:p>
    <w:p>
      <w:pPr>
        <w:pStyle w:val="Heading3"/>
        <w:spacing w:line="382" w:lineRule="exact"/>
        <w:ind w:right="4150"/>
        <w:jc w:val="center"/>
      </w:pPr>
      <w:r>
        <w:rPr/>
        <w:t>合并资产负债表（续）</w:t>
      </w:r>
    </w:p>
    <w:p>
      <w:pPr>
        <w:spacing w:line="240" w:lineRule="auto" w:before="6"/>
        <w:rPr>
          <w:rFonts w:ascii="黑体" w:hAnsi="黑体" w:cs="黑体" w:eastAsia="黑体" w:hint="default"/>
          <w:sz w:val="25"/>
          <w:szCs w:val="25"/>
        </w:rPr>
      </w:pPr>
    </w:p>
    <w:p>
      <w:pPr>
        <w:spacing w:before="0"/>
        <w:ind w:left="3152" w:right="4147" w:firstLine="0"/>
        <w:jc w:val="center"/>
        <w:rPr>
          <w:rFonts w:ascii="宋体" w:hAnsi="宋体" w:cs="宋体" w:eastAsia="宋体" w:hint="default"/>
          <w:sz w:val="18"/>
          <w:szCs w:val="18"/>
        </w:rPr>
      </w:pPr>
      <w:r>
        <w:rPr>
          <w:rFonts w:ascii="宋体" w:hAnsi="宋体" w:cs="宋体" w:eastAsia="宋体" w:hint="default"/>
          <w:sz w:val="18"/>
          <w:szCs w:val="18"/>
        </w:rPr>
        <w:t>编制日期：</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1"/>
        <w:rPr>
          <w:rFonts w:ascii="宋体" w:hAnsi="宋体" w:cs="宋体" w:eastAsia="宋体" w:hint="default"/>
          <w:sz w:val="24"/>
          <w:szCs w:val="24"/>
        </w:rPr>
      </w:pPr>
    </w:p>
    <w:p>
      <w:pPr>
        <w:tabs>
          <w:tab w:pos="6347" w:val="left" w:leader="none"/>
        </w:tabs>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743"/>
        <w:gridCol w:w="1517"/>
        <w:gridCol w:w="2198"/>
        <w:gridCol w:w="2196"/>
      </w:tblGrid>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sz w:val="18"/>
              </w:rPr>
              <w:t>10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25,956,482.60</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0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159,144,089.52</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77,876,431.31</w:t>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12</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3,869,403.15</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29,743,802.05</w:t>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sz w:val="18"/>
              </w:rPr>
              <w:t>13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202,410.93</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w w:val="95"/>
                <w:sz w:val="18"/>
              </w:rPr>
              <w:t>1,812.43</w:t>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14</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27,552,904.68</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24,068,917.25</w:t>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15</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206,029.02</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206,029.02</w:t>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sz w:val="18"/>
              </w:rPr>
              <w:t>16</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66,663,501.08</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61,736,355.84</w:t>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283,594,820.98</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203,633,347.90</w:t>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49,000,000.00</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118,370,842.28</w:t>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49,000,000.00</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118,370,842.28</w:t>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332,594,820.98</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322,004,190.18</w:t>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18</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96,227,998.00</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sz w:val="18"/>
              </w:rPr>
              <w:t>19</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21,760,565.81</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20,857,045.81</w:t>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060" w:bottom="1140" w:left="100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743"/>
        <w:gridCol w:w="1517"/>
        <w:gridCol w:w="2198"/>
        <w:gridCol w:w="2196"/>
      </w:tblGrid>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64" w:right="0"/>
              <w:jc w:val="left"/>
              <w:rPr>
                <w:rFonts w:ascii="Times New Roman" w:hAnsi="Times New Roman" w:cs="Times New Roman" w:eastAsia="Times New Roman" w:hint="default"/>
                <w:sz w:val="18"/>
                <w:szCs w:val="18"/>
              </w:rPr>
            </w:pPr>
            <w:r>
              <w:rPr>
                <w:rFonts w:ascii="Times New Roman"/>
                <w:sz w:val="18"/>
              </w:rPr>
              <w:t>20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5,887,067.95</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5,887,067.95</w:t>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64" w:right="0"/>
              <w:jc w:val="left"/>
              <w:rPr>
                <w:rFonts w:ascii="Times New Roman" w:hAnsi="Times New Roman" w:cs="Times New Roman" w:eastAsia="Times New Roman" w:hint="default"/>
                <w:sz w:val="18"/>
                <w:szCs w:val="18"/>
              </w:rPr>
            </w:pPr>
            <w:r>
              <w:rPr>
                <w:rFonts w:ascii="Times New Roman"/>
                <w:sz w:val="18"/>
              </w:rPr>
              <w:t>21</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28,545,568.82</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1,829,373.65</w:t>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152,421,200.58</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124,801,485.41</w:t>
            </w:r>
          </w:p>
        </w:tc>
      </w:tr>
      <w:tr>
        <w:trPr>
          <w:trHeight w:val="329"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64" w:right="0"/>
              <w:jc w:val="left"/>
              <w:rPr>
                <w:rFonts w:ascii="Times New Roman" w:hAnsi="Times New Roman" w:cs="Times New Roman" w:eastAsia="Times New Roman" w:hint="default"/>
                <w:sz w:val="18"/>
                <w:szCs w:val="18"/>
              </w:rPr>
            </w:pPr>
            <w:r>
              <w:rPr>
                <w:rFonts w:ascii="Times New Roman"/>
                <w:sz w:val="18"/>
              </w:rPr>
              <w:t>22</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32,783,599.52</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29,487,940.08</w:t>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185,204,800.10</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154,289,425.49</w:t>
            </w:r>
          </w:p>
        </w:tc>
      </w:tr>
      <w:tr>
        <w:trPr>
          <w:trHeight w:val="331" w:hRule="exact"/>
        </w:trPr>
        <w:tc>
          <w:tcPr>
            <w:tcW w:w="3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068"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517,799,621.08</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476,293,615.67</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2424" w:val="left" w:leader="none"/>
          <w:tab w:pos="5484" w:val="left" w:leader="none"/>
          <w:tab w:pos="8187" w:val="left" w:leader="none"/>
        </w:tabs>
        <w:spacing w:before="0"/>
        <w:ind w:left="1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26"/>
          <w:szCs w:val="26"/>
        </w:rPr>
      </w:pPr>
    </w:p>
    <w:p>
      <w:pPr>
        <w:pStyle w:val="Heading3"/>
        <w:spacing w:line="240" w:lineRule="auto" w:before="7"/>
        <w:ind w:right="4150"/>
        <w:jc w:val="center"/>
      </w:pPr>
      <w:r>
        <w:rPr/>
        <w:t>母公司资产负债表</w:t>
      </w:r>
    </w:p>
    <w:p>
      <w:pPr>
        <w:spacing w:line="240" w:lineRule="auto" w:before="7"/>
        <w:rPr>
          <w:rFonts w:ascii="黑体" w:hAnsi="黑体" w:cs="黑体" w:eastAsia="黑体" w:hint="default"/>
          <w:sz w:val="22"/>
          <w:szCs w:val="22"/>
        </w:rPr>
      </w:pPr>
    </w:p>
    <w:p>
      <w:pPr>
        <w:spacing w:before="0"/>
        <w:ind w:left="3152" w:right="4147" w:firstLine="0"/>
        <w:jc w:val="center"/>
        <w:rPr>
          <w:rFonts w:ascii="宋体" w:hAnsi="宋体" w:cs="宋体" w:eastAsia="宋体" w:hint="default"/>
          <w:sz w:val="18"/>
          <w:szCs w:val="18"/>
        </w:rPr>
      </w:pPr>
      <w:r>
        <w:rPr>
          <w:rFonts w:ascii="宋体" w:hAnsi="宋体" w:cs="宋体" w:eastAsia="宋体" w:hint="default"/>
          <w:sz w:val="18"/>
          <w:szCs w:val="18"/>
        </w:rPr>
        <w:t>编制日期：</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tabs>
          <w:tab w:pos="6347" w:val="left" w:leader="none"/>
        </w:tabs>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894"/>
        <w:gridCol w:w="970"/>
        <w:gridCol w:w="2396"/>
        <w:gridCol w:w="2396"/>
      </w:tblGrid>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附注十二</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37,677.79</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19,719.59</w:t>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2"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0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36,198.72</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38,520.06</w:t>
            </w:r>
          </w:p>
        </w:tc>
      </w:tr>
      <w:tr>
        <w:trPr>
          <w:trHeight w:val="432"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0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73,876.51</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58,239.65</w:t>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2"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0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208,562,237.00</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208,562,237.00</w:t>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182,229.09</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236,527.71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040" w:bottom="1220" w:left="100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894"/>
        <w:gridCol w:w="970"/>
        <w:gridCol w:w="2396"/>
        <w:gridCol w:w="2396"/>
      </w:tblGrid>
      <w:tr>
        <w:trPr>
          <w:trHeight w:val="432"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0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2"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0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208,744,466.09</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208,798,764.71</w:t>
            </w:r>
          </w:p>
        </w:tc>
      </w:tr>
      <w:tr>
        <w:trPr>
          <w:trHeight w:val="432"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9" w:right="0"/>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208,818,342.60</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208,857,004.36</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2425" w:val="left" w:leader="none"/>
          <w:tab w:pos="5484" w:val="left" w:leader="none"/>
          <w:tab w:pos="8187" w:val="left" w:leader="none"/>
        </w:tabs>
        <w:spacing w:before="0"/>
        <w:ind w:left="1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Heading3"/>
        <w:spacing w:line="240" w:lineRule="auto" w:before="37"/>
        <w:ind w:left="3151" w:right="4151"/>
        <w:jc w:val="center"/>
      </w:pPr>
      <w:r>
        <w:rPr/>
        <w:t>母公司资产负债表（续）</w:t>
      </w:r>
    </w:p>
    <w:p>
      <w:pPr>
        <w:spacing w:line="240" w:lineRule="auto" w:before="4"/>
        <w:rPr>
          <w:rFonts w:ascii="黑体" w:hAnsi="黑体" w:cs="黑体" w:eastAsia="黑体" w:hint="default"/>
          <w:sz w:val="22"/>
          <w:szCs w:val="22"/>
        </w:rPr>
      </w:pPr>
    </w:p>
    <w:p>
      <w:pPr>
        <w:spacing w:before="0"/>
        <w:ind w:left="3152" w:right="4147" w:firstLine="0"/>
        <w:jc w:val="center"/>
        <w:rPr>
          <w:rFonts w:ascii="宋体" w:hAnsi="宋体" w:cs="宋体" w:eastAsia="宋体" w:hint="default"/>
          <w:sz w:val="18"/>
          <w:szCs w:val="18"/>
        </w:rPr>
      </w:pPr>
      <w:r>
        <w:rPr>
          <w:rFonts w:ascii="宋体" w:hAnsi="宋体" w:cs="宋体" w:eastAsia="宋体" w:hint="default"/>
          <w:sz w:val="18"/>
          <w:szCs w:val="18"/>
        </w:rPr>
        <w:t>编制日期：</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tabs>
          <w:tab w:pos="6347" w:val="left" w:leader="none"/>
        </w:tabs>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894"/>
        <w:gridCol w:w="970"/>
        <w:gridCol w:w="2396"/>
        <w:gridCol w:w="2396"/>
      </w:tblGrid>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nil" w:sz="6" w:space="0" w:color="auto"/>
            </w:tcBorders>
          </w:tcPr>
          <w:p>
            <w:pP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25,956,482.60</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8"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0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8,215,291.21</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spacing w:val="-1"/>
                <w:sz w:val="18"/>
              </w:rPr>
              <w:t>8,215,291.21</w:t>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875,431.15</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spacing w:val="-1"/>
                <w:sz w:val="18"/>
              </w:rPr>
              <w:t>875,431.15</w:t>
            </w:r>
          </w:p>
        </w:tc>
      </w:tr>
      <w:tr>
        <w:trPr>
          <w:trHeight w:val="411"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11,075,553.02</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spacing w:val="-1"/>
                <w:sz w:val="18"/>
              </w:rPr>
              <w:t>11,075,553.02</w:t>
            </w:r>
          </w:p>
        </w:tc>
      </w:tr>
      <w:tr>
        <w:trPr>
          <w:trHeight w:val="408"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206,029.02</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206,029.02</w:t>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55,361,796.79</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spacing w:val="-1"/>
                <w:sz w:val="18"/>
              </w:rPr>
              <w:t>42,913,383.84</w:t>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101,690,583.79</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spacing w:val="-1"/>
                <w:sz w:val="18"/>
              </w:rPr>
              <w:t>73,285,688.24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040" w:bottom="1140" w:left="100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894"/>
        <w:gridCol w:w="970"/>
        <w:gridCol w:w="2396"/>
        <w:gridCol w:w="2396"/>
      </w:tblGrid>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nil" w:sz="6" w:space="0" w:color="auto"/>
            </w:tcBorders>
          </w:tcPr>
          <w:p>
            <w:pPr/>
          </w:p>
        </w:tc>
      </w:tr>
      <w:tr>
        <w:trPr>
          <w:trHeight w:val="411"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30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spacing w:val="-1"/>
                <w:sz w:val="18"/>
              </w:rPr>
              <w:t>26,370,842.28</w:t>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8"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0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spacing w:val="-1"/>
                <w:sz w:val="18"/>
              </w:rPr>
              <w:t>26,370,842.28</w:t>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101,690,583.79</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spacing w:val="-1"/>
                <w:sz w:val="18"/>
              </w:rPr>
              <w:t>99,656,530.52</w:t>
            </w:r>
          </w:p>
        </w:tc>
      </w:tr>
      <w:tr>
        <w:trPr>
          <w:trHeight w:val="411"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96,227,998.00</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21,760,565.81</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20,857,045.81</w:t>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5,887,067.95</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spacing w:val="-1"/>
                <w:sz w:val="18"/>
              </w:rPr>
              <w:t>5,887,067.95</w:t>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8"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-16,747,872.95</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spacing w:val="-1"/>
                <w:sz w:val="18"/>
              </w:rPr>
              <w:t>-13,771,637.92</w:t>
            </w:r>
          </w:p>
        </w:tc>
      </w:tr>
      <w:tr>
        <w:trPr>
          <w:trHeight w:val="411"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0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107,127,758.81</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109,200,473.84</w:t>
            </w:r>
          </w:p>
        </w:tc>
      </w:tr>
      <w:tr>
        <w:trPr>
          <w:trHeight w:val="410"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42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97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208,818,342.60</w:t>
            </w:r>
          </w:p>
        </w:tc>
        <w:tc>
          <w:tcPr>
            <w:tcW w:w="2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spacing w:val="-1"/>
                <w:sz w:val="18"/>
              </w:rPr>
              <w:t>208,857,004.36</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2424" w:val="left" w:leader="none"/>
          <w:tab w:pos="5484" w:val="left" w:leader="none"/>
          <w:tab w:pos="8187" w:val="left" w:leader="none"/>
        </w:tabs>
        <w:spacing w:before="0"/>
        <w:ind w:left="1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pgSz w:w="11910" w:h="16840"/>
          <w:pgMar w:header="0" w:footer="956" w:top="1040" w:bottom="1140" w:left="1000" w:right="0"/>
        </w:sectPr>
      </w:pPr>
    </w:p>
    <w:p>
      <w:pPr>
        <w:pStyle w:val="Heading3"/>
        <w:spacing w:line="376" w:lineRule="exact"/>
        <w:ind w:left="3151" w:right="4151"/>
        <w:jc w:val="center"/>
      </w:pPr>
      <w:r>
        <w:rPr/>
        <w:t>合并利润表</w:t>
      </w:r>
    </w:p>
    <w:p>
      <w:pPr>
        <w:spacing w:before="47"/>
        <w:ind w:left="3152" w:right="4147"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spacing w:line="240" w:lineRule="auto" w:before="12"/>
        <w:rPr>
          <w:rFonts w:ascii="宋体" w:hAnsi="宋体" w:cs="宋体" w:eastAsia="宋体" w:hint="default"/>
          <w:sz w:val="25"/>
          <w:szCs w:val="25"/>
        </w:rPr>
      </w:pPr>
    </w:p>
    <w:p>
      <w:pPr>
        <w:tabs>
          <w:tab w:pos="7886" w:val="left" w:leader="none"/>
        </w:tabs>
        <w:spacing w:before="0"/>
        <w:ind w:left="1760"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5"/>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194"/>
        <w:gridCol w:w="1258"/>
        <w:gridCol w:w="2102"/>
        <w:gridCol w:w="2100"/>
      </w:tblGrid>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8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68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8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23</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20"/>
                <w:szCs w:val="20"/>
              </w:rPr>
            </w:pPr>
            <w:r>
              <w:rPr>
                <w:rFonts w:ascii="Times New Roman"/>
                <w:w w:val="95"/>
                <w:sz w:val="20"/>
              </w:rPr>
              <w:t>301,294,136.49</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20"/>
                <w:szCs w:val="20"/>
              </w:rPr>
            </w:pPr>
            <w:r>
              <w:rPr>
                <w:rFonts w:ascii="Times New Roman"/>
                <w:spacing w:val="-1"/>
                <w:sz w:val="20"/>
              </w:rPr>
              <w:t>110,043,571.90</w:t>
            </w:r>
          </w:p>
        </w:tc>
      </w:tr>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23</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0"/>
                <w:szCs w:val="20"/>
              </w:rPr>
            </w:pPr>
            <w:r>
              <w:rPr>
                <w:rFonts w:ascii="Times New Roman"/>
                <w:w w:val="95"/>
                <w:sz w:val="20"/>
              </w:rPr>
              <w:t>301,294,136.49</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0"/>
                <w:szCs w:val="20"/>
              </w:rPr>
            </w:pPr>
            <w:r>
              <w:rPr>
                <w:rFonts w:ascii="Times New Roman"/>
                <w:spacing w:val="-1"/>
                <w:sz w:val="20"/>
              </w:rPr>
              <w:t>110,043,571.90</w:t>
            </w:r>
          </w:p>
        </w:tc>
      </w:tr>
      <w:tr>
        <w:trPr>
          <w:trHeight w:val="38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6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6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0"/>
                <w:szCs w:val="20"/>
              </w:rPr>
            </w:pPr>
            <w:r>
              <w:rPr>
                <w:rFonts w:ascii="Times New Roman"/>
                <w:w w:val="95"/>
                <w:sz w:val="20"/>
              </w:rPr>
              <w:t>251,534,795.46</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0"/>
                <w:szCs w:val="20"/>
              </w:rPr>
            </w:pPr>
            <w:r>
              <w:rPr>
                <w:rFonts w:ascii="Times New Roman"/>
                <w:w w:val="95"/>
                <w:sz w:val="20"/>
              </w:rPr>
              <w:t>85,270,543.98</w:t>
            </w:r>
            <w:r>
              <w:rPr>
                <w:rFonts w:ascii="Times New Roman"/>
                <w:sz w:val="20"/>
              </w:rPr>
            </w:r>
          </w:p>
        </w:tc>
      </w:tr>
      <w:tr>
        <w:trPr>
          <w:trHeight w:val="38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23</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20"/>
                <w:szCs w:val="20"/>
              </w:rPr>
            </w:pPr>
            <w:r>
              <w:rPr>
                <w:rFonts w:ascii="Times New Roman"/>
                <w:w w:val="95"/>
                <w:sz w:val="20"/>
              </w:rPr>
              <w:t>208,536,020.78</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20"/>
                <w:szCs w:val="20"/>
              </w:rPr>
            </w:pPr>
            <w:r>
              <w:rPr>
                <w:rFonts w:ascii="Times New Roman"/>
                <w:w w:val="95"/>
                <w:sz w:val="20"/>
              </w:rPr>
              <w:t>70,124,034.22</w:t>
            </w:r>
            <w:r>
              <w:rPr>
                <w:rFonts w:ascii="Times New Roman"/>
                <w:sz w:val="20"/>
              </w:rPr>
            </w:r>
          </w:p>
        </w:tc>
      </w:tr>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6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6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66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6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66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6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66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24</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w w:val="95"/>
                <w:sz w:val="20"/>
              </w:rPr>
              <w:t>22,737,826.69</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20"/>
                <w:szCs w:val="20"/>
              </w:rPr>
            </w:pPr>
            <w:r>
              <w:rPr>
                <w:rFonts w:ascii="Times New Roman"/>
                <w:w w:val="95"/>
                <w:sz w:val="20"/>
              </w:rPr>
              <w:t>7,169,500.82</w:t>
            </w:r>
            <w:r>
              <w:rPr>
                <w:rFonts w:ascii="Times New Roman"/>
                <w:sz w:val="20"/>
              </w:rPr>
            </w:r>
          </w:p>
        </w:tc>
      </w:tr>
      <w:tr>
        <w:trPr>
          <w:trHeight w:val="392"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66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25</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0"/>
                <w:szCs w:val="20"/>
              </w:rPr>
            </w:pPr>
            <w:r>
              <w:rPr>
                <w:rFonts w:ascii="Times New Roman"/>
                <w:w w:val="95"/>
                <w:sz w:val="20"/>
              </w:rPr>
              <w:t>6,604,791.37</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0"/>
                <w:szCs w:val="20"/>
              </w:rPr>
            </w:pPr>
            <w:r>
              <w:rPr>
                <w:rFonts w:ascii="Times New Roman"/>
                <w:w w:val="95"/>
                <w:sz w:val="20"/>
              </w:rPr>
              <w:t>1,160,171.73</w:t>
            </w:r>
            <w:r>
              <w:rPr>
                <w:rFonts w:ascii="Times New Roman"/>
                <w:sz w:val="20"/>
              </w:rPr>
            </w:r>
          </w:p>
        </w:tc>
      </w:tr>
      <w:tr>
        <w:trPr>
          <w:trHeight w:val="38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66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26</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spacing w:val="-1"/>
                <w:w w:val="95"/>
                <w:sz w:val="20"/>
              </w:rPr>
              <w:t>8,161,116.09</w:t>
            </w:r>
            <w:r>
              <w:rPr>
                <w:rFonts w:ascii="Times New Roman"/>
                <w:spacing w:val="-1"/>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20"/>
                <w:szCs w:val="20"/>
              </w:rPr>
            </w:pPr>
            <w:r>
              <w:rPr>
                <w:rFonts w:ascii="Times New Roman"/>
                <w:w w:val="95"/>
                <w:sz w:val="20"/>
              </w:rPr>
              <w:t>4,194,037.45</w:t>
            </w:r>
            <w:r>
              <w:rPr>
                <w:rFonts w:ascii="Times New Roman"/>
                <w:sz w:val="20"/>
              </w:rPr>
            </w:r>
          </w:p>
        </w:tc>
      </w:tr>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6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27</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0"/>
                <w:szCs w:val="20"/>
              </w:rPr>
            </w:pPr>
            <w:r>
              <w:rPr>
                <w:rFonts w:ascii="Times New Roman"/>
                <w:w w:val="95"/>
                <w:sz w:val="20"/>
              </w:rPr>
              <w:t>5,583,042.57</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0"/>
                <w:szCs w:val="20"/>
              </w:rPr>
            </w:pPr>
            <w:r>
              <w:rPr>
                <w:rFonts w:ascii="Times New Roman"/>
                <w:w w:val="95"/>
                <w:sz w:val="20"/>
              </w:rPr>
              <w:t>2,524,447.72</w:t>
            </w:r>
            <w:r>
              <w:rPr>
                <w:rFonts w:ascii="Times New Roman"/>
                <w:sz w:val="20"/>
              </w:rPr>
            </w:r>
          </w:p>
        </w:tc>
      </w:tr>
      <w:tr>
        <w:trPr>
          <w:trHeight w:val="38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66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28</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w w:val="95"/>
                <w:sz w:val="20"/>
              </w:rPr>
              <w:t>-88,002.04</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98,352.04</w:t>
            </w:r>
          </w:p>
        </w:tc>
      </w:tr>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482"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482" w:right="0"/>
              <w:jc w:val="left"/>
              <w:rPr>
                <w:rFonts w:ascii="宋体" w:hAnsi="宋体" w:cs="宋体" w:eastAsia="宋体" w:hint="default"/>
                <w:sz w:val="18"/>
                <w:szCs w:val="18"/>
              </w:rPr>
            </w:pPr>
            <w:r>
              <w:rPr>
                <w:rFonts w:ascii="宋体" w:hAnsi="宋体" w:cs="宋体" w:eastAsia="宋体" w:hint="default"/>
                <w:sz w:val="18"/>
                <w:szCs w:val="18"/>
              </w:rPr>
              <w:t>汇兑收益（损失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0"/>
                <w:szCs w:val="20"/>
              </w:rPr>
            </w:pPr>
            <w:r>
              <w:rPr>
                <w:rFonts w:ascii="Times New Roman"/>
                <w:w w:val="95"/>
                <w:sz w:val="20"/>
              </w:rPr>
              <w:t>49,759,341.03</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0"/>
                <w:szCs w:val="20"/>
              </w:rPr>
            </w:pPr>
            <w:r>
              <w:rPr>
                <w:rFonts w:ascii="Times New Roman"/>
                <w:w w:val="95"/>
                <w:sz w:val="20"/>
              </w:rPr>
              <w:t>24,773,027.92</w:t>
            </w:r>
            <w:r>
              <w:rPr>
                <w:rFonts w:ascii="Times New Roman"/>
                <w:sz w:val="20"/>
              </w:rPr>
            </w:r>
          </w:p>
        </w:tc>
      </w:tr>
      <w:tr>
        <w:trPr>
          <w:trHeight w:val="38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29</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0"/>
                <w:szCs w:val="20"/>
              </w:rPr>
            </w:pPr>
            <w:r>
              <w:rPr>
                <w:rFonts w:ascii="Times New Roman"/>
                <w:w w:val="95"/>
                <w:sz w:val="20"/>
              </w:rPr>
              <w:t>493,452.44</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20"/>
                <w:szCs w:val="20"/>
              </w:rPr>
            </w:pPr>
            <w:r>
              <w:rPr>
                <w:rFonts w:ascii="Times New Roman"/>
                <w:w w:val="95"/>
                <w:sz w:val="20"/>
              </w:rPr>
              <w:t>10,566,546.44</w:t>
            </w:r>
            <w:r>
              <w:rPr>
                <w:rFonts w:ascii="Times New Roman"/>
                <w:sz w:val="20"/>
              </w:rPr>
            </w:r>
          </w:p>
        </w:tc>
      </w:tr>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4.53</w:t>
            </w:r>
          </w:p>
        </w:tc>
      </w:tr>
      <w:tr>
        <w:trPr>
          <w:trHeight w:val="38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66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0"/>
                <w:szCs w:val="20"/>
              </w:rPr>
            </w:pPr>
            <w:r>
              <w:rPr>
                <w:rFonts w:ascii="Times New Roman"/>
                <w:w w:val="95"/>
                <w:sz w:val="20"/>
              </w:rPr>
              <w:t>50,252,793.47</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0"/>
                <w:szCs w:val="20"/>
              </w:rPr>
            </w:pPr>
            <w:r>
              <w:rPr>
                <w:rFonts w:ascii="Times New Roman"/>
                <w:w w:val="95"/>
                <w:sz w:val="20"/>
              </w:rPr>
              <w:t>35,339,569.83</w:t>
            </w:r>
            <w:r>
              <w:rPr>
                <w:rFonts w:ascii="Times New Roman"/>
                <w:sz w:val="20"/>
              </w:rPr>
            </w:r>
          </w:p>
        </w:tc>
      </w:tr>
      <w:tr>
        <w:trPr>
          <w:trHeight w:val="38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30</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w w:val="95"/>
                <w:sz w:val="20"/>
              </w:rPr>
              <w:t>20,240,938.86</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20"/>
                <w:szCs w:val="20"/>
              </w:rPr>
            </w:pPr>
            <w:r>
              <w:rPr>
                <w:rFonts w:ascii="Times New Roman"/>
                <w:spacing w:val="-1"/>
                <w:sz w:val="20"/>
              </w:rPr>
              <w:t>11,525,520.05</w:t>
            </w:r>
          </w:p>
        </w:tc>
      </w:tr>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0"/>
                <w:szCs w:val="20"/>
              </w:rPr>
            </w:pPr>
            <w:r>
              <w:rPr>
                <w:rFonts w:ascii="Times New Roman"/>
                <w:spacing w:val="-1"/>
                <w:sz w:val="20"/>
              </w:rPr>
              <w:t>30,011,854.61</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0"/>
                <w:szCs w:val="20"/>
              </w:rPr>
            </w:pPr>
            <w:r>
              <w:rPr>
                <w:rFonts w:ascii="Times New Roman"/>
                <w:w w:val="95"/>
                <w:sz w:val="20"/>
              </w:rPr>
              <w:t>23,814,049.78</w:t>
            </w:r>
            <w:r>
              <w:rPr>
                <w:rFonts w:ascii="Times New Roman"/>
                <w:sz w:val="20"/>
              </w:rPr>
            </w:r>
          </w:p>
        </w:tc>
      </w:tr>
      <w:tr>
        <w:trPr>
          <w:trHeight w:val="38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w w:val="95"/>
                <w:sz w:val="20"/>
              </w:rPr>
              <w:t>26,716,195.17</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20"/>
                <w:szCs w:val="20"/>
              </w:rPr>
            </w:pPr>
            <w:r>
              <w:rPr>
                <w:rFonts w:ascii="Times New Roman"/>
                <w:w w:val="95"/>
                <w:sz w:val="20"/>
              </w:rPr>
              <w:t>21,564,136.77</w:t>
            </w:r>
            <w:r>
              <w:rPr>
                <w:rFonts w:ascii="Times New Roman"/>
                <w:sz w:val="20"/>
              </w:rPr>
            </w:r>
          </w:p>
        </w:tc>
      </w:tr>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0"/>
                <w:szCs w:val="20"/>
              </w:rPr>
            </w:pPr>
            <w:r>
              <w:rPr>
                <w:rFonts w:ascii="Times New Roman"/>
                <w:w w:val="95"/>
                <w:sz w:val="20"/>
              </w:rPr>
              <w:t>3,295,659.44</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0"/>
                <w:szCs w:val="20"/>
              </w:rPr>
            </w:pPr>
            <w:r>
              <w:rPr>
                <w:rFonts w:ascii="Times New Roman"/>
                <w:w w:val="95"/>
                <w:sz w:val="20"/>
              </w:rPr>
              <w:t>2,249,913.01</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0" w:footer="956" w:top="1100" w:bottom="1140" w:left="100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194"/>
        <w:gridCol w:w="1258"/>
        <w:gridCol w:w="2102"/>
        <w:gridCol w:w="2100"/>
      </w:tblGrid>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31</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0.28</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0.22</w:t>
            </w:r>
          </w:p>
        </w:tc>
      </w:tr>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31</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0.28</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0.22</w:t>
            </w:r>
          </w:p>
        </w:tc>
      </w:tr>
      <w:tr>
        <w:trPr>
          <w:trHeight w:val="38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32</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0"/>
                <w:szCs w:val="20"/>
              </w:rPr>
            </w:pPr>
            <w:r>
              <w:rPr>
                <w:rFonts w:ascii="Times New Roman"/>
                <w:spacing w:val="-1"/>
                <w:sz w:val="20"/>
              </w:rPr>
              <w:t>30,011,854.61</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0"/>
                <w:szCs w:val="20"/>
              </w:rPr>
            </w:pPr>
            <w:r>
              <w:rPr>
                <w:rFonts w:ascii="Times New Roman"/>
                <w:w w:val="95"/>
                <w:sz w:val="20"/>
              </w:rPr>
              <w:t>23,814,049.78</w:t>
            </w:r>
            <w:r>
              <w:rPr>
                <w:rFonts w:ascii="Times New Roman"/>
                <w:sz w:val="20"/>
              </w:rPr>
            </w:r>
          </w:p>
        </w:tc>
      </w:tr>
      <w:tr>
        <w:trPr>
          <w:trHeight w:val="38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w w:val="95"/>
                <w:sz w:val="20"/>
              </w:rPr>
              <w:t>26,716,195.17</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20"/>
                <w:szCs w:val="20"/>
              </w:rPr>
            </w:pPr>
            <w:r>
              <w:rPr>
                <w:rFonts w:ascii="Times New Roman"/>
                <w:w w:val="95"/>
                <w:sz w:val="20"/>
              </w:rPr>
              <w:t>21,564,136.77</w:t>
            </w:r>
            <w:r>
              <w:rPr>
                <w:rFonts w:ascii="Times New Roman"/>
                <w:sz w:val="20"/>
              </w:rPr>
            </w:r>
          </w:p>
        </w:tc>
      </w:tr>
      <w:tr>
        <w:trPr>
          <w:trHeight w:val="391"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258"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0"/>
                <w:szCs w:val="20"/>
              </w:rPr>
            </w:pPr>
            <w:r>
              <w:rPr>
                <w:rFonts w:ascii="Times New Roman"/>
                <w:w w:val="95"/>
                <w:sz w:val="20"/>
              </w:rPr>
              <w:t>3,295,659.44</w:t>
            </w:r>
            <w:r>
              <w:rPr>
                <w:rFonts w:ascii="Times New Roman"/>
                <w:sz w:val="20"/>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0"/>
                <w:szCs w:val="20"/>
              </w:rPr>
            </w:pPr>
            <w:r>
              <w:rPr>
                <w:rFonts w:ascii="Times New Roman"/>
                <w:w w:val="95"/>
                <w:sz w:val="20"/>
              </w:rPr>
              <w:t>2,249,913.01</w:t>
            </w:r>
            <w:r>
              <w:rPr>
                <w:rFonts w:ascii="Times New Roman"/>
                <w:sz w:val="20"/>
              </w:rPr>
            </w:r>
          </w:p>
        </w:tc>
      </w:tr>
    </w:tbl>
    <w:p>
      <w:pPr>
        <w:spacing w:line="240" w:lineRule="auto" w:before="4"/>
        <w:rPr>
          <w:rFonts w:ascii="宋体" w:hAnsi="宋体" w:cs="宋体" w:eastAsia="宋体" w:hint="default"/>
          <w:sz w:val="29"/>
          <w:szCs w:val="29"/>
        </w:rPr>
      </w:pPr>
    </w:p>
    <w:p>
      <w:pPr>
        <w:tabs>
          <w:tab w:pos="2424" w:val="left" w:leader="none"/>
          <w:tab w:pos="5484" w:val="left" w:leader="none"/>
          <w:tab w:pos="8187" w:val="left" w:leader="none"/>
        </w:tabs>
        <w:spacing w:before="44"/>
        <w:ind w:left="1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Heading3"/>
        <w:spacing w:line="240" w:lineRule="auto" w:before="37"/>
        <w:ind w:right="4150"/>
        <w:jc w:val="center"/>
      </w:pPr>
      <w:r>
        <w:rPr/>
        <w:t>母公司利润表</w:t>
      </w:r>
    </w:p>
    <w:p>
      <w:pPr>
        <w:spacing w:line="240" w:lineRule="auto" w:before="9"/>
        <w:rPr>
          <w:rFonts w:ascii="黑体" w:hAnsi="黑体" w:cs="黑体" w:eastAsia="黑体" w:hint="default"/>
          <w:sz w:val="27"/>
          <w:szCs w:val="27"/>
        </w:rPr>
      </w:pPr>
    </w:p>
    <w:p>
      <w:pPr>
        <w:spacing w:before="0"/>
        <w:ind w:left="3152" w:right="4147"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spacing w:line="240" w:lineRule="auto" w:before="1"/>
        <w:rPr>
          <w:rFonts w:ascii="宋体" w:hAnsi="宋体" w:cs="宋体" w:eastAsia="宋体" w:hint="default"/>
          <w:sz w:val="26"/>
          <w:szCs w:val="26"/>
        </w:rPr>
      </w:pPr>
    </w:p>
    <w:p>
      <w:pPr>
        <w:tabs>
          <w:tab w:pos="7614" w:val="left" w:leader="none"/>
        </w:tabs>
        <w:spacing w:before="0"/>
        <w:ind w:left="1669"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4"/>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815"/>
        <w:gridCol w:w="1155"/>
        <w:gridCol w:w="1885"/>
        <w:gridCol w:w="1882"/>
      </w:tblGrid>
      <w:tr>
        <w:trPr>
          <w:trHeight w:val="59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88"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1"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1,539,006.04</w:t>
            </w:r>
            <w:r>
              <w:rPr>
                <w:rFonts w:ascii="Times New Roman"/>
                <w:sz w:val="20"/>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1,989,097.61</w:t>
            </w:r>
          </w:p>
        </w:tc>
      </w:tr>
      <w:tr>
        <w:trPr>
          <w:trHeight w:val="59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1,853,131.53</w:t>
            </w:r>
            <w:r>
              <w:rPr>
                <w:rFonts w:ascii="Times New Roman"/>
                <w:sz w:val="20"/>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2,710,307.80</w:t>
            </w:r>
          </w:p>
        </w:tc>
      </w:tr>
      <w:tr>
        <w:trPr>
          <w:trHeight w:val="588"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1"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-3,392,137.57</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-4,699,405.41</w:t>
            </w:r>
          </w:p>
        </w:tc>
      </w:tr>
      <w:tr>
        <w:trPr>
          <w:trHeight w:val="59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415,902.54</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10,566,266.22</w:t>
            </w:r>
          </w:p>
        </w:tc>
      </w:tr>
      <w:tr>
        <w:trPr>
          <w:trHeight w:val="588"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-2,976,235.03</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5,866,860.81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040" w:bottom="1160" w:left="100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815"/>
        <w:gridCol w:w="1155"/>
        <w:gridCol w:w="1885"/>
        <w:gridCol w:w="1882"/>
      </w:tblGrid>
      <w:tr>
        <w:trPr>
          <w:trHeight w:val="59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1,173,372.16</w:t>
            </w:r>
          </w:p>
        </w:tc>
      </w:tr>
      <w:tr>
        <w:trPr>
          <w:trHeight w:val="591"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-2,976,235.03</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4,693,488.65</w:t>
            </w:r>
          </w:p>
        </w:tc>
      </w:tr>
      <w:tr>
        <w:trPr>
          <w:trHeight w:val="59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-0.03</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0.05</w:t>
            </w:r>
          </w:p>
        </w:tc>
      </w:tr>
      <w:tr>
        <w:trPr>
          <w:trHeight w:val="59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-0.03</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0.05</w:t>
            </w:r>
          </w:p>
        </w:tc>
      </w:tr>
      <w:tr>
        <w:trPr>
          <w:trHeight w:val="588"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15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-2,976,235.03</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4,693,488.65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tabs>
          <w:tab w:pos="2424" w:val="left" w:leader="none"/>
          <w:tab w:pos="5484" w:val="left" w:leader="none"/>
          <w:tab w:pos="8187" w:val="left" w:leader="none"/>
        </w:tabs>
        <w:spacing w:before="44"/>
        <w:ind w:left="1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pgSz w:w="11910" w:h="16840"/>
          <w:pgMar w:header="0" w:footer="956" w:top="1040" w:bottom="1140" w:left="1000" w:right="0"/>
        </w:sectPr>
      </w:pPr>
    </w:p>
    <w:p>
      <w:pPr>
        <w:pStyle w:val="Heading3"/>
        <w:spacing w:line="385" w:lineRule="exact"/>
        <w:ind w:left="3151" w:right="4151"/>
        <w:jc w:val="center"/>
      </w:pPr>
      <w:r>
        <w:rPr/>
        <w:t>合并现金流量表</w:t>
      </w:r>
    </w:p>
    <w:p>
      <w:pPr>
        <w:spacing w:before="72"/>
        <w:ind w:left="3151" w:right="4151"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11"/>
        <w:rPr>
          <w:rFonts w:ascii="宋体" w:hAnsi="宋体" w:cs="宋体" w:eastAsia="宋体" w:hint="default"/>
          <w:sz w:val="18"/>
          <w:szCs w:val="18"/>
        </w:rPr>
      </w:pPr>
    </w:p>
    <w:p>
      <w:pPr>
        <w:tabs>
          <w:tab w:pos="6258" w:val="left" w:leader="none"/>
        </w:tabs>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5"/>
          <w:sz w:val="18"/>
          <w:szCs w:val="18"/>
        </w:rPr>
        <w:t> </w:t>
      </w:r>
      <w:r>
        <w:rPr>
          <w:rFonts w:ascii="宋体" w:hAnsi="宋体" w:cs="宋体" w:eastAsia="宋体" w:hint="default"/>
          <w:sz w:val="18"/>
          <w:szCs w:val="18"/>
        </w:rPr>
        <w:t>币种：人民币</w:t>
      </w:r>
    </w:p>
    <w:p>
      <w:pPr>
        <w:spacing w:line="240" w:lineRule="auto" w:before="0"/>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120"/>
        <w:gridCol w:w="1275"/>
        <w:gridCol w:w="1561"/>
        <w:gridCol w:w="1558"/>
      </w:tblGrid>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1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left="41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255,325,449.59</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138,911,942.80</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1"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Times New Roman" w:hAnsi="Times New Roman" w:cs="Times New Roman" w:eastAsia="Times New Roman" w:hint="default"/>
                <w:sz w:val="18"/>
                <w:szCs w:val="18"/>
              </w:rPr>
            </w:pPr>
            <w:r>
              <w:rPr>
                <w:rFonts w:ascii="Times New Roman"/>
                <w:sz w:val="18"/>
              </w:rPr>
              <w:t>33(1)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2"/>
                <w:sz w:val="18"/>
              </w:rPr>
              <w:t>4,185,111.85</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665,326.87</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84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259,510,561.44</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139,577,269.67</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267,199,561.46</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64,153,743.90</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2,828,568.50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849,178.80</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43,312,975.70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6,968,366.22</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Times New Roman" w:hAnsi="Times New Roman" w:cs="Times New Roman" w:eastAsia="Times New Roman" w:hint="default"/>
                <w:sz w:val="18"/>
                <w:szCs w:val="18"/>
              </w:rPr>
            </w:pPr>
            <w:r>
              <w:rPr>
                <w:rFonts w:ascii="Times New Roman"/>
                <w:sz w:val="18"/>
              </w:rPr>
              <w:t>33(2)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16,657,839.07</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47,273,785.54</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84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329,998,944.73</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119,245,074.46</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-70,488,383.29</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20,332,195.21</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center"/>
              <w:rPr>
                <w:rFonts w:ascii="Times New Roman" w:hAnsi="Times New Roman" w:cs="Times New Roman" w:eastAsia="Times New Roman" w:hint="default"/>
                <w:sz w:val="18"/>
                <w:szCs w:val="18"/>
              </w:rPr>
            </w:pPr>
            <w:r>
              <w:rPr>
                <w:rFonts w:ascii="Times New Roman"/>
                <w:sz w:val="18"/>
              </w:rPr>
              <w:t>33(3)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903,520.00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1"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903,520.00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1,037,057.00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62,417.00</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1,037,057.00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62,417.00</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-133,537.00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-62,417.00</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060" w:bottom="1240" w:left="100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120"/>
        <w:gridCol w:w="1275"/>
        <w:gridCol w:w="1561"/>
        <w:gridCol w:w="1558"/>
      </w:tblGrid>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92,000,000.00</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 w:right="0"/>
              <w:jc w:val="center"/>
              <w:rPr>
                <w:rFonts w:ascii="Times New Roman" w:hAnsi="Times New Roman" w:cs="Times New Roman" w:eastAsia="Times New Roman" w:hint="default"/>
                <w:sz w:val="18"/>
                <w:szCs w:val="18"/>
              </w:rPr>
            </w:pPr>
            <w:r>
              <w:rPr>
                <w:rFonts w:ascii="Times New Roman"/>
                <w:sz w:val="18"/>
              </w:rPr>
              <w:t>33(4)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4,208,340.61</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4,208,340.61</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92,000,000.00</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53,414,359.68</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1,846,474.80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55,260,834.48</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-51,052,493.87</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92,000,000.00</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pacing w:val="-1"/>
                <w:sz w:val="18"/>
              </w:rPr>
              <w:t>-121,674,414.16</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112,269,778.21</w:t>
            </w:r>
          </w:p>
        </w:tc>
      </w:tr>
      <w:tr>
        <w:trPr>
          <w:trHeight w:val="300"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144,800,392.95</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32,530,614.74</w:t>
            </w:r>
          </w:p>
        </w:tc>
      </w:tr>
      <w:tr>
        <w:trPr>
          <w:trHeight w:val="302" w:hRule="exact"/>
        </w:trPr>
        <w:tc>
          <w:tcPr>
            <w:tcW w:w="512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23,125,978.79</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18"/>
                <w:szCs w:val="18"/>
              </w:rPr>
            </w:pPr>
            <w:r>
              <w:rPr>
                <w:rFonts w:ascii="Times New Roman"/>
                <w:spacing w:val="-1"/>
                <w:sz w:val="18"/>
              </w:rPr>
              <w:t>144,800,392.95</w:t>
            </w:r>
          </w:p>
        </w:tc>
      </w:tr>
    </w:tbl>
    <w:p>
      <w:pPr>
        <w:spacing w:line="240" w:lineRule="auto" w:before="3"/>
        <w:rPr>
          <w:rFonts w:ascii="宋体" w:hAnsi="宋体" w:cs="宋体" w:eastAsia="宋体" w:hint="default"/>
          <w:sz w:val="22"/>
          <w:szCs w:val="22"/>
        </w:rPr>
      </w:pPr>
    </w:p>
    <w:p>
      <w:pPr>
        <w:tabs>
          <w:tab w:pos="2424" w:val="left" w:leader="none"/>
          <w:tab w:pos="5484" w:val="left" w:leader="none"/>
          <w:tab w:pos="8187" w:val="left" w:leader="none"/>
        </w:tabs>
        <w:spacing w:before="44"/>
        <w:ind w:left="1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Heading3"/>
        <w:spacing w:line="240" w:lineRule="auto" w:before="30"/>
        <w:ind w:right="4150"/>
        <w:jc w:val="center"/>
      </w:pPr>
      <w:r>
        <w:rPr/>
        <w:t>母公司现金流量表</w:t>
      </w:r>
    </w:p>
    <w:p>
      <w:pPr>
        <w:spacing w:before="222"/>
        <w:ind w:left="2882" w:right="4151"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tabs>
          <w:tab w:pos="6347" w:val="left" w:leader="none"/>
        </w:tabs>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262"/>
        <w:gridCol w:w="1306"/>
        <w:gridCol w:w="1544"/>
        <w:gridCol w:w="1543"/>
      </w:tblGrid>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0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40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4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768,477.18</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18"/>
                <w:szCs w:val="18"/>
              </w:rPr>
            </w:pPr>
            <w:r>
              <w:rPr>
                <w:rFonts w:ascii="Times New Roman"/>
                <w:spacing w:val="-1"/>
                <w:sz w:val="18"/>
              </w:rPr>
              <w:t>446,984.29</w:t>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84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768,477.18</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18"/>
                <w:szCs w:val="18"/>
              </w:rPr>
            </w:pPr>
            <w:r>
              <w:rPr>
                <w:rFonts w:ascii="Times New Roman"/>
                <w:spacing w:val="-1"/>
                <w:sz w:val="18"/>
              </w:rPr>
              <w:t>446,984.29</w:t>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515,951.30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18"/>
                <w:szCs w:val="18"/>
              </w:rPr>
            </w:pPr>
            <w:r>
              <w:rPr>
                <w:rFonts w:ascii="Times New Roman"/>
                <w:spacing w:val="-1"/>
                <w:sz w:val="18"/>
              </w:rPr>
              <w:t>276,193.11</w:t>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78,988.18</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18"/>
                <w:szCs w:val="18"/>
              </w:rPr>
            </w:pPr>
            <w:r>
              <w:rPr>
                <w:rFonts w:ascii="Times New Roman"/>
                <w:spacing w:val="-1"/>
                <w:sz w:val="18"/>
              </w:rPr>
              <w:t>12,592.54</w:t>
            </w:r>
          </w:p>
        </w:tc>
      </w:tr>
      <w:tr>
        <w:trPr>
          <w:trHeight w:val="37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4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644,739.82</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8"/>
                <w:szCs w:val="18"/>
              </w:rPr>
            </w:pPr>
            <w:r>
              <w:rPr>
                <w:rFonts w:ascii="Times New Roman"/>
                <w:spacing w:val="-1"/>
                <w:sz w:val="18"/>
              </w:rPr>
              <w:t>194,692.61</w:t>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84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1,239,679.30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18"/>
                <w:szCs w:val="18"/>
              </w:rPr>
            </w:pPr>
            <w:r>
              <w:rPr>
                <w:rFonts w:ascii="Times New Roman"/>
                <w:spacing w:val="-1"/>
                <w:sz w:val="18"/>
              </w:rPr>
              <w:t>483,478.26</w:t>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-471,202.12</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18"/>
                <w:szCs w:val="18"/>
              </w:rPr>
            </w:pPr>
            <w:r>
              <w:rPr>
                <w:rFonts w:ascii="Times New Roman"/>
                <w:spacing w:val="-1"/>
                <w:sz w:val="18"/>
              </w:rPr>
              <w:t>-36,493.97</w:t>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903,520.00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903,520.00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040" w:bottom="1140" w:left="100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262"/>
        <w:gridCol w:w="1306"/>
        <w:gridCol w:w="1544"/>
        <w:gridCol w:w="1543"/>
      </w:tblGrid>
      <w:tr>
        <w:trPr>
          <w:trHeight w:val="37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4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903,520.00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4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11,846,474.80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11,846,474.80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10,414,359.68</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1,846,474.80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4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12,260,834.48</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-414,359.68</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17,958.20</w:t>
            </w:r>
            <w:r>
              <w:rPr>
                <w:rFonts w:ascii="Times New Roman"/>
                <w:sz w:val="18"/>
              </w:rPr>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18"/>
                <w:szCs w:val="18"/>
              </w:rPr>
            </w:pPr>
            <w:r>
              <w:rPr>
                <w:rFonts w:ascii="Times New Roman"/>
                <w:spacing w:val="-1"/>
                <w:sz w:val="18"/>
              </w:rPr>
              <w:t>-36,493.97</w:t>
            </w:r>
          </w:p>
        </w:tc>
      </w:tr>
      <w:tr>
        <w:trPr>
          <w:trHeight w:val="370"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19,719.59</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18"/>
                <w:szCs w:val="18"/>
              </w:rPr>
            </w:pPr>
            <w:r>
              <w:rPr>
                <w:rFonts w:ascii="Times New Roman"/>
                <w:spacing w:val="-1"/>
                <w:sz w:val="18"/>
              </w:rPr>
              <w:t>56,213.56</w:t>
            </w:r>
          </w:p>
        </w:tc>
      </w:tr>
      <w:tr>
        <w:trPr>
          <w:trHeight w:val="372" w:hRule="exact"/>
        </w:trPr>
        <w:tc>
          <w:tcPr>
            <w:tcW w:w="5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37,677.79</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8"/>
                <w:szCs w:val="18"/>
              </w:rPr>
            </w:pPr>
            <w:r>
              <w:rPr>
                <w:rFonts w:ascii="Times New Roman"/>
                <w:spacing w:val="-1"/>
                <w:sz w:val="18"/>
              </w:rPr>
              <w:t>19,719.59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2424" w:val="left" w:leader="none"/>
          <w:tab w:pos="5484" w:val="left" w:leader="none"/>
          <w:tab w:pos="8187" w:val="left" w:leader="none"/>
        </w:tabs>
        <w:spacing w:before="0"/>
        <w:ind w:left="1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pgSz w:w="11910" w:h="16840"/>
          <w:pgMar w:header="0" w:footer="956" w:top="1040" w:bottom="1140" w:left="1000" w:right="0"/>
        </w:sectPr>
      </w:pPr>
    </w:p>
    <w:p>
      <w:pPr>
        <w:pStyle w:val="Heading3"/>
        <w:spacing w:line="240" w:lineRule="auto" w:before="43"/>
        <w:ind w:left="5315" w:right="6282"/>
        <w:jc w:val="center"/>
      </w:pPr>
      <w:r>
        <w:rPr/>
        <w:t>合并所有者权益变动表</w:t>
      </w:r>
    </w:p>
    <w:p>
      <w:pPr>
        <w:spacing w:before="59"/>
        <w:ind w:left="5315" w:right="6279"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tabs>
          <w:tab w:pos="10598" w:val="left" w:leader="none"/>
        </w:tabs>
        <w:spacing w:before="151"/>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135"/>
        <w:gridCol w:w="1275"/>
        <w:gridCol w:w="1277"/>
        <w:gridCol w:w="991"/>
        <w:gridCol w:w="994"/>
        <w:gridCol w:w="1133"/>
        <w:gridCol w:w="1135"/>
        <w:gridCol w:w="1133"/>
        <w:gridCol w:w="1136"/>
        <w:gridCol w:w="1133"/>
        <w:gridCol w:w="1277"/>
      </w:tblGrid>
      <w:tr>
        <w:trPr>
          <w:trHeight w:val="331" w:hRule="exact"/>
        </w:trPr>
        <w:tc>
          <w:tcPr>
            <w:tcW w:w="31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483"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1"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329" w:hRule="exact"/>
        </w:trPr>
        <w:tc>
          <w:tcPr>
            <w:tcW w:w="3135" w:type="dxa"/>
            <w:vMerge/>
            <w:tcBorders>
              <w:left w:val="nil" w:sz="6" w:space="0" w:color="auto"/>
              <w:right w:val="single" w:sz="4" w:space="0" w:color="000000"/>
            </w:tcBorders>
          </w:tcPr>
          <w:p>
            <w:pPr/>
          </w:p>
        </w:tc>
        <w:tc>
          <w:tcPr>
            <w:tcW w:w="90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31" w:hRule="exact"/>
        </w:trPr>
        <w:tc>
          <w:tcPr>
            <w:tcW w:w="3135" w:type="dxa"/>
            <w:vMerge/>
            <w:tcBorders>
              <w:left w:val="nil" w:sz="6" w:space="0" w:color="auto"/>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10"/>
              <w:jc w:val="right"/>
              <w:rPr>
                <w:rFonts w:ascii="宋体" w:hAnsi="宋体" w:cs="宋体" w:eastAsia="宋体" w:hint="default"/>
                <w:sz w:val="15"/>
                <w:szCs w:val="15"/>
              </w:rPr>
            </w:pPr>
            <w:r>
              <w:rPr>
                <w:rFonts w:ascii="宋体" w:hAnsi="宋体" w:cs="宋体" w:eastAsia="宋体" w:hint="default"/>
                <w:spacing w:val="-1"/>
                <w:sz w:val="15"/>
                <w:szCs w:val="15"/>
              </w:rPr>
              <w:t>减：库存股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8"/>
              <w:jc w:val="right"/>
              <w:rPr>
                <w:rFonts w:ascii="宋体" w:hAnsi="宋体" w:cs="宋体" w:eastAsia="宋体" w:hint="default"/>
                <w:sz w:val="15"/>
                <w:szCs w:val="15"/>
              </w:rPr>
            </w:pPr>
            <w:r>
              <w:rPr>
                <w:rFonts w:ascii="宋体" w:hAnsi="宋体" w:cs="宋体" w:eastAsia="宋体" w:hint="default"/>
                <w:spacing w:val="-1"/>
                <w:sz w:val="15"/>
                <w:szCs w:val="15"/>
              </w:rPr>
              <w:t>一般风险准备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8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nil" w:sz="6" w:space="0" w:color="auto"/>
            </w:tcBorders>
          </w:tcPr>
          <w:p>
            <w:pP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96,227,998.00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20,857,045.81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5,887,067.95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1,829,373.65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29,487,940.08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154,289,425.49</w:t>
            </w:r>
          </w:p>
        </w:tc>
      </w:tr>
      <w:tr>
        <w:trPr>
          <w:trHeight w:val="33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43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34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96,227,998.00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20,857,045.81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5,887,067.95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1,829,373.65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29,487,940.08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154,289,425.49</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宋体" w:hAnsi="宋体" w:cs="宋体" w:eastAsia="宋体" w:hint="default"/>
                <w:w w:val="100"/>
                <w:sz w:val="15"/>
                <w:szCs w:val="15"/>
              </w:rPr>
              <w:t>三</w:t>
            </w:r>
            <w:r>
              <w:rPr>
                <w:rFonts w:ascii="宋体" w:hAnsi="宋体" w:cs="宋体" w:eastAsia="宋体" w:hint="default"/>
                <w:spacing w:val="-5"/>
                <w:w w:val="100"/>
                <w:sz w:val="15"/>
                <w:szCs w:val="15"/>
              </w:rPr>
              <w:t>、</w:t>
            </w:r>
            <w:r>
              <w:rPr>
                <w:rFonts w:ascii="宋体" w:hAnsi="宋体" w:cs="宋体" w:eastAsia="宋体" w:hint="default"/>
                <w:w w:val="100"/>
                <w:sz w:val="15"/>
                <w:szCs w:val="15"/>
              </w:rPr>
              <w:t>本</w:t>
            </w:r>
            <w:r>
              <w:rPr>
                <w:rFonts w:ascii="宋体" w:hAnsi="宋体" w:cs="宋体" w:eastAsia="宋体" w:hint="default"/>
                <w:spacing w:val="-3"/>
                <w:w w:val="100"/>
                <w:sz w:val="15"/>
                <w:szCs w:val="15"/>
              </w:rPr>
              <w:t>期</w:t>
            </w:r>
            <w:r>
              <w:rPr>
                <w:rFonts w:ascii="宋体" w:hAnsi="宋体" w:cs="宋体" w:eastAsia="宋体" w:hint="default"/>
                <w:w w:val="100"/>
                <w:sz w:val="15"/>
                <w:szCs w:val="15"/>
              </w:rPr>
              <w:t>增</w:t>
            </w:r>
            <w:r>
              <w:rPr>
                <w:rFonts w:ascii="宋体" w:hAnsi="宋体" w:cs="宋体" w:eastAsia="宋体" w:hint="default"/>
                <w:spacing w:val="-3"/>
                <w:w w:val="100"/>
                <w:sz w:val="15"/>
                <w:szCs w:val="15"/>
              </w:rPr>
              <w:t>减</w:t>
            </w:r>
            <w:r>
              <w:rPr>
                <w:rFonts w:ascii="宋体" w:hAnsi="宋体" w:cs="宋体" w:eastAsia="宋体" w:hint="default"/>
                <w:w w:val="100"/>
                <w:sz w:val="15"/>
                <w:szCs w:val="15"/>
              </w:rPr>
              <w:t>变</w:t>
            </w:r>
            <w:r>
              <w:rPr>
                <w:rFonts w:ascii="宋体" w:hAnsi="宋体" w:cs="宋体" w:eastAsia="宋体" w:hint="default"/>
                <w:spacing w:val="-3"/>
                <w:w w:val="100"/>
                <w:sz w:val="15"/>
                <w:szCs w:val="15"/>
              </w:rPr>
              <w:t>动</w:t>
            </w:r>
            <w:r>
              <w:rPr>
                <w:rFonts w:ascii="宋体" w:hAnsi="宋体" w:cs="宋体" w:eastAsia="宋体" w:hint="default"/>
                <w:w w:val="100"/>
                <w:sz w:val="15"/>
                <w:szCs w:val="15"/>
              </w:rPr>
              <w:t>金</w:t>
            </w:r>
            <w:r>
              <w:rPr>
                <w:rFonts w:ascii="宋体" w:hAnsi="宋体" w:cs="宋体" w:eastAsia="宋体" w:hint="default"/>
                <w:spacing w:val="-5"/>
                <w:w w:val="100"/>
                <w:sz w:val="15"/>
                <w:szCs w:val="15"/>
              </w:rPr>
              <w:t>额</w:t>
            </w:r>
            <w:r>
              <w:rPr>
                <w:rFonts w:ascii="宋体" w:hAnsi="宋体" w:cs="宋体" w:eastAsia="宋体" w:hint="default"/>
                <w:w w:val="100"/>
                <w:sz w:val="15"/>
                <w:szCs w:val="15"/>
              </w:rPr>
              <w:t>（</w:t>
            </w:r>
            <w:r>
              <w:rPr>
                <w:rFonts w:ascii="宋体" w:hAnsi="宋体" w:cs="宋体" w:eastAsia="宋体" w:hint="default"/>
                <w:spacing w:val="-3"/>
                <w:w w:val="100"/>
                <w:sz w:val="15"/>
                <w:szCs w:val="15"/>
              </w:rPr>
              <w:t>减</w:t>
            </w:r>
            <w:r>
              <w:rPr>
                <w:rFonts w:ascii="宋体" w:hAnsi="宋体" w:cs="宋体" w:eastAsia="宋体" w:hint="default"/>
                <w:w w:val="100"/>
                <w:sz w:val="15"/>
                <w:szCs w:val="15"/>
              </w:rPr>
              <w:t>少以</w:t>
            </w:r>
            <w:r>
              <w:rPr>
                <w:rFonts w:ascii="Times New Roman" w:hAnsi="Times New Roman" w:cs="Times New Roman" w:eastAsia="Times New Roman" w:hint="default"/>
                <w:spacing w:val="-3"/>
                <w:w w:val="44"/>
                <w:sz w:val="15"/>
                <w:szCs w:val="15"/>
              </w:rPr>
              <w:t>―</w:t>
            </w:r>
            <w:r>
              <w:rPr>
                <w:rFonts w:ascii="宋体" w:hAnsi="宋体" w:cs="宋体" w:eastAsia="宋体" w:hint="default"/>
                <w:w w:val="100"/>
                <w:sz w:val="15"/>
                <w:szCs w:val="15"/>
              </w:rPr>
              <w:t>－</w:t>
            </w:r>
            <w:r>
              <w:rPr>
                <w:rFonts w:ascii="Times New Roman" w:hAnsi="Times New Roman" w:cs="Times New Roman" w:eastAsia="Times New Roman" w:hint="default"/>
                <w:spacing w:val="-3"/>
                <w:w w:val="159"/>
                <w:sz w:val="15"/>
                <w:szCs w:val="15"/>
              </w:rPr>
              <w:t>‖</w:t>
            </w:r>
            <w:r>
              <w:rPr>
                <w:rFonts w:ascii="宋体" w:hAnsi="宋体" w:cs="宋体" w:eastAsia="宋体" w:hint="default"/>
                <w:w w:val="100"/>
                <w:sz w:val="15"/>
                <w:szCs w:val="15"/>
              </w:rPr>
              <w:t>号填</w:t>
            </w:r>
            <w:r>
              <w:rPr>
                <w:rFonts w:ascii="宋体" w:hAnsi="宋体" w:cs="宋体" w:eastAsia="宋体" w:hint="default"/>
                <w:spacing w:val="-3"/>
                <w:w w:val="100"/>
                <w:sz w:val="15"/>
                <w:szCs w:val="15"/>
              </w:rPr>
              <w:t>列</w:t>
            </w:r>
            <w:r>
              <w:rPr>
                <w:rFonts w:ascii="宋体" w:hAnsi="宋体" w:cs="宋体" w:eastAsia="宋体" w:hint="default"/>
                <w:w w:val="100"/>
                <w:sz w:val="15"/>
                <w:szCs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903,520.00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26,716,195.17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3,295,659.44</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spacing w:val="-1"/>
                <w:sz w:val="15"/>
              </w:rPr>
              <w:t>30,915,374.61</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26,716,195.17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3,295,659.44</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2"/>
                <w:sz w:val="15"/>
              </w:rPr>
              <w:t>30,011,854.61</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26,716,195.17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3,295,659.44</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2"/>
                <w:sz w:val="15"/>
              </w:rPr>
              <w:t>30,011,854.61</w:t>
            </w:r>
          </w:p>
        </w:tc>
      </w:tr>
      <w:tr>
        <w:trPr>
          <w:trHeight w:val="33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5"/>
                <w:szCs w:val="15"/>
              </w:rPr>
            </w:pPr>
            <w:r>
              <w:rPr>
                <w:rFonts w:ascii="Times New Roman"/>
                <w:spacing w:val="-1"/>
                <w:sz w:val="15"/>
              </w:rPr>
              <w:t>903,520.00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2"/>
              <w:jc w:val="right"/>
              <w:rPr>
                <w:rFonts w:ascii="Times New Roman" w:hAnsi="Times New Roman" w:cs="Times New Roman" w:eastAsia="Times New Roman" w:hint="default"/>
                <w:sz w:val="15"/>
                <w:szCs w:val="15"/>
              </w:rPr>
            </w:pPr>
            <w:r>
              <w:rPr>
                <w:rFonts w:ascii="Times New Roman"/>
                <w:spacing w:val="-1"/>
                <w:sz w:val="15"/>
              </w:rPr>
              <w:t>903,520.00</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903,520.00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1"/>
                <w:sz w:val="15"/>
              </w:rPr>
              <w:t>903,520.00</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bl>
    <w:p>
      <w:pPr>
        <w:spacing w:after="0" w:line="240" w:lineRule="auto"/>
        <w:jc w:val="right"/>
        <w:rPr>
          <w:rFonts w:ascii="Times New Roman" w:hAnsi="Times New Roman" w:cs="Times New Roman" w:eastAsia="Times New Roman" w:hint="default"/>
          <w:sz w:val="15"/>
          <w:szCs w:val="15"/>
        </w:rPr>
        <w:sectPr>
          <w:footerReference w:type="default" r:id="rId20"/>
          <w:pgSz w:w="16840" w:h="11910" w:orient="landscape"/>
          <w:pgMar w:footer="947" w:header="0" w:top="1100" w:bottom="1140" w:left="1000" w:right="0"/>
          <w:pgNumType w:start="63"/>
        </w:sectPr>
      </w:pPr>
    </w:p>
    <w:p>
      <w:pPr>
        <w:pStyle w:val="Heading3"/>
        <w:spacing w:line="240" w:lineRule="auto" w:before="43"/>
        <w:ind w:left="5315" w:right="6282"/>
        <w:jc w:val="center"/>
      </w:pPr>
      <w:r>
        <w:rPr/>
        <w:t>合并所有者权益变动表</w:t>
      </w:r>
    </w:p>
    <w:p>
      <w:pPr>
        <w:spacing w:before="59"/>
        <w:ind w:left="5315" w:right="6279"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tabs>
          <w:tab w:pos="10598" w:val="left" w:leader="none"/>
        </w:tabs>
        <w:spacing w:before="151"/>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135"/>
        <w:gridCol w:w="1275"/>
        <w:gridCol w:w="1277"/>
        <w:gridCol w:w="991"/>
        <w:gridCol w:w="994"/>
        <w:gridCol w:w="1133"/>
        <w:gridCol w:w="1135"/>
        <w:gridCol w:w="1133"/>
        <w:gridCol w:w="1136"/>
        <w:gridCol w:w="1133"/>
        <w:gridCol w:w="1277"/>
      </w:tblGrid>
      <w:tr>
        <w:trPr>
          <w:trHeight w:val="331" w:hRule="exact"/>
        </w:trPr>
        <w:tc>
          <w:tcPr>
            <w:tcW w:w="31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483"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1"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329" w:hRule="exact"/>
        </w:trPr>
        <w:tc>
          <w:tcPr>
            <w:tcW w:w="3135" w:type="dxa"/>
            <w:vMerge/>
            <w:tcBorders>
              <w:left w:val="nil" w:sz="6" w:space="0" w:color="auto"/>
              <w:right w:val="single" w:sz="4" w:space="0" w:color="000000"/>
            </w:tcBorders>
          </w:tcPr>
          <w:p>
            <w:pPr/>
          </w:p>
        </w:tc>
        <w:tc>
          <w:tcPr>
            <w:tcW w:w="90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31" w:hRule="exact"/>
        </w:trPr>
        <w:tc>
          <w:tcPr>
            <w:tcW w:w="3135" w:type="dxa"/>
            <w:vMerge/>
            <w:tcBorders>
              <w:left w:val="nil" w:sz="6" w:space="0" w:color="auto"/>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10"/>
              <w:jc w:val="right"/>
              <w:rPr>
                <w:rFonts w:ascii="宋体" w:hAnsi="宋体" w:cs="宋体" w:eastAsia="宋体" w:hint="default"/>
                <w:sz w:val="15"/>
                <w:szCs w:val="15"/>
              </w:rPr>
            </w:pPr>
            <w:r>
              <w:rPr>
                <w:rFonts w:ascii="宋体" w:hAnsi="宋体" w:cs="宋体" w:eastAsia="宋体" w:hint="default"/>
                <w:spacing w:val="-1"/>
                <w:sz w:val="15"/>
                <w:szCs w:val="15"/>
              </w:rPr>
              <w:t>减：库存股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8"/>
              <w:jc w:val="right"/>
              <w:rPr>
                <w:rFonts w:ascii="宋体" w:hAnsi="宋体" w:cs="宋体" w:eastAsia="宋体" w:hint="default"/>
                <w:sz w:val="15"/>
                <w:szCs w:val="15"/>
              </w:rPr>
            </w:pPr>
            <w:r>
              <w:rPr>
                <w:rFonts w:ascii="宋体" w:hAnsi="宋体" w:cs="宋体" w:eastAsia="宋体" w:hint="default"/>
                <w:spacing w:val="-1"/>
                <w:sz w:val="15"/>
                <w:szCs w:val="15"/>
              </w:rPr>
              <w:t>一般风险准备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8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nil" w:sz="6" w:space="0" w:color="auto"/>
            </w:tcBorders>
          </w:tcPr>
          <w:p>
            <w:pP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96,227,998.00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21,760,565.81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5,887,067.95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28,545,568.82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32,783,599.52</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spacing w:val="-1"/>
                <w:sz w:val="15"/>
              </w:rPr>
              <w:t>185,204,800.10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6840" w:h="11910" w:orient="landscape"/>
          <w:pgMar w:header="0" w:footer="947" w:top="1100" w:bottom="1140" w:left="1000" w:right="0"/>
        </w:sectPr>
      </w:pPr>
    </w:p>
    <w:p>
      <w:pPr>
        <w:tabs>
          <w:tab w:pos="2692" w:val="left" w:leader="none"/>
        </w:tabs>
        <w:spacing w:before="44"/>
        <w:ind w:left="1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3410" w:val="left" w:leader="none"/>
        </w:tabs>
        <w:spacing w:before="44"/>
        <w:ind w:left="13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3052" w:val="left" w:leader="none"/>
        </w:tabs>
        <w:spacing w:before="44"/>
        <w:ind w:left="13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580" w:bottom="1140" w:left="1000" w:right="0"/>
          <w:cols w:num="3" w:equalWidth="0">
            <w:col w:w="2694" w:space="732"/>
            <w:col w:w="3411" w:space="820"/>
            <w:col w:w="8183"/>
          </w:cols>
        </w:sectPr>
      </w:pPr>
    </w:p>
    <w:p>
      <w:pPr>
        <w:pStyle w:val="Heading3"/>
        <w:spacing w:line="240" w:lineRule="auto" w:before="88"/>
        <w:ind w:left="5313" w:right="6282"/>
        <w:jc w:val="center"/>
      </w:pPr>
      <w:r>
        <w:rPr/>
        <w:t>合并所有者权益变动表（续）</w:t>
      </w:r>
    </w:p>
    <w:p>
      <w:pPr>
        <w:spacing w:before="57"/>
        <w:ind w:left="5315" w:right="6279"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tabs>
          <w:tab w:pos="10509" w:val="left" w:leader="none"/>
        </w:tabs>
        <w:spacing w:before="151"/>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5"/>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135"/>
        <w:gridCol w:w="1275"/>
        <w:gridCol w:w="1277"/>
        <w:gridCol w:w="991"/>
        <w:gridCol w:w="994"/>
        <w:gridCol w:w="1133"/>
        <w:gridCol w:w="1135"/>
        <w:gridCol w:w="1133"/>
        <w:gridCol w:w="1136"/>
        <w:gridCol w:w="1133"/>
        <w:gridCol w:w="1277"/>
      </w:tblGrid>
      <w:tr>
        <w:trPr>
          <w:trHeight w:val="331" w:hRule="exact"/>
        </w:trPr>
        <w:tc>
          <w:tcPr>
            <w:tcW w:w="31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483"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1" w:right="2"/>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329" w:hRule="exact"/>
        </w:trPr>
        <w:tc>
          <w:tcPr>
            <w:tcW w:w="3135" w:type="dxa"/>
            <w:vMerge/>
            <w:tcBorders>
              <w:left w:val="nil" w:sz="6" w:space="0" w:color="auto"/>
              <w:right w:val="single" w:sz="4" w:space="0" w:color="000000"/>
            </w:tcBorders>
          </w:tcPr>
          <w:p>
            <w:pPr/>
          </w:p>
        </w:tc>
        <w:tc>
          <w:tcPr>
            <w:tcW w:w="90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31" w:hRule="exact"/>
        </w:trPr>
        <w:tc>
          <w:tcPr>
            <w:tcW w:w="3135" w:type="dxa"/>
            <w:vMerge/>
            <w:tcBorders>
              <w:left w:val="nil" w:sz="6" w:space="0" w:color="auto"/>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10"/>
              <w:jc w:val="right"/>
              <w:rPr>
                <w:rFonts w:ascii="宋体" w:hAnsi="宋体" w:cs="宋体" w:eastAsia="宋体" w:hint="default"/>
                <w:sz w:val="15"/>
                <w:szCs w:val="15"/>
              </w:rPr>
            </w:pPr>
            <w:r>
              <w:rPr>
                <w:rFonts w:ascii="宋体" w:hAnsi="宋体" w:cs="宋体" w:eastAsia="宋体" w:hint="default"/>
                <w:spacing w:val="-1"/>
                <w:sz w:val="15"/>
                <w:szCs w:val="15"/>
              </w:rPr>
              <w:t>减：库存股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9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8"/>
              <w:jc w:val="right"/>
              <w:rPr>
                <w:rFonts w:ascii="宋体" w:hAnsi="宋体" w:cs="宋体" w:eastAsia="宋体" w:hint="default"/>
                <w:sz w:val="15"/>
                <w:szCs w:val="15"/>
              </w:rPr>
            </w:pPr>
            <w:r>
              <w:rPr>
                <w:rFonts w:ascii="宋体" w:hAnsi="宋体" w:cs="宋体" w:eastAsia="宋体" w:hint="default"/>
                <w:spacing w:val="-1"/>
                <w:sz w:val="15"/>
                <w:szCs w:val="15"/>
              </w:rPr>
              <w:t>一般风险准备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nil" w:sz="6" w:space="0" w:color="auto"/>
            </w:tcBorders>
          </w:tcPr>
          <w:p>
            <w:pP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spacing w:val="-1"/>
                <w:sz w:val="15"/>
              </w:rPr>
              <w:t>90,486,000.00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5"/>
                <w:szCs w:val="15"/>
              </w:rPr>
            </w:pPr>
            <w:r>
              <w:rPr>
                <w:rFonts w:ascii="Times New Roman"/>
                <w:spacing w:val="-1"/>
                <w:sz w:val="15"/>
              </w:rPr>
              <w:t>26,599,043.81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5"/>
                <w:szCs w:val="15"/>
              </w:rPr>
            </w:pPr>
            <w:r>
              <w:rPr>
                <w:rFonts w:ascii="Times New Roman"/>
                <w:spacing w:val="-1"/>
                <w:sz w:val="15"/>
              </w:rPr>
              <w:t>5,887,067.95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5"/>
                <w:szCs w:val="15"/>
              </w:rPr>
            </w:pPr>
            <w:r>
              <w:rPr>
                <w:rFonts w:ascii="Times New Roman"/>
                <w:spacing w:val="-1"/>
                <w:sz w:val="15"/>
              </w:rPr>
              <w:t>-19,734,763.12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5"/>
                <w:szCs w:val="15"/>
              </w:rPr>
            </w:pPr>
            <w:r>
              <w:rPr>
                <w:rFonts w:ascii="Times New Roman"/>
                <w:spacing w:val="-1"/>
                <w:sz w:val="15"/>
              </w:rPr>
              <w:t>27,238,027.07</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Times New Roman" w:hAnsi="Times New Roman" w:cs="Times New Roman" w:eastAsia="Times New Roman" w:hint="default"/>
                <w:sz w:val="15"/>
                <w:szCs w:val="15"/>
              </w:rPr>
            </w:pPr>
            <w:r>
              <w:rPr>
                <w:rFonts w:ascii="Times New Roman"/>
                <w:spacing w:val="-1"/>
                <w:sz w:val="15"/>
              </w:rPr>
              <w:t>130,475,375.71</w:t>
            </w:r>
          </w:p>
        </w:tc>
      </w:tr>
      <w:tr>
        <w:trPr>
          <w:trHeight w:val="33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43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4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spacing w:val="-1"/>
                <w:sz w:val="15"/>
              </w:rPr>
              <w:t>90,486,000.00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5"/>
                <w:szCs w:val="15"/>
              </w:rPr>
            </w:pPr>
            <w:r>
              <w:rPr>
                <w:rFonts w:ascii="Times New Roman"/>
                <w:spacing w:val="-1"/>
                <w:sz w:val="15"/>
              </w:rPr>
              <w:t>26,599,043.81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5"/>
                <w:szCs w:val="15"/>
              </w:rPr>
            </w:pPr>
            <w:r>
              <w:rPr>
                <w:rFonts w:ascii="Times New Roman"/>
                <w:spacing w:val="-1"/>
                <w:sz w:val="15"/>
              </w:rPr>
              <w:t>5,887,067.95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5"/>
                <w:szCs w:val="15"/>
              </w:rPr>
            </w:pPr>
            <w:r>
              <w:rPr>
                <w:rFonts w:ascii="Times New Roman"/>
                <w:spacing w:val="-1"/>
                <w:sz w:val="15"/>
              </w:rPr>
              <w:t>-19,734,763.12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5"/>
                <w:szCs w:val="15"/>
              </w:rPr>
            </w:pPr>
            <w:r>
              <w:rPr>
                <w:rFonts w:ascii="Times New Roman"/>
                <w:spacing w:val="-1"/>
                <w:sz w:val="15"/>
              </w:rPr>
              <w:t>27,238,027.07</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Times New Roman" w:hAnsi="Times New Roman" w:cs="Times New Roman" w:eastAsia="Times New Roman" w:hint="default"/>
                <w:sz w:val="15"/>
                <w:szCs w:val="15"/>
              </w:rPr>
            </w:pPr>
            <w:r>
              <w:rPr>
                <w:rFonts w:ascii="Times New Roman"/>
                <w:spacing w:val="-1"/>
                <w:sz w:val="15"/>
              </w:rPr>
              <w:t>130,475,375.71</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宋体" w:hAnsi="宋体" w:cs="宋体" w:eastAsia="宋体" w:hint="default"/>
                <w:w w:val="100"/>
                <w:sz w:val="15"/>
                <w:szCs w:val="15"/>
              </w:rPr>
              <w:t>三</w:t>
            </w:r>
            <w:r>
              <w:rPr>
                <w:rFonts w:ascii="宋体" w:hAnsi="宋体" w:cs="宋体" w:eastAsia="宋体" w:hint="default"/>
                <w:spacing w:val="-5"/>
                <w:w w:val="100"/>
                <w:sz w:val="15"/>
                <w:szCs w:val="15"/>
              </w:rPr>
              <w:t>、</w:t>
            </w:r>
            <w:r>
              <w:rPr>
                <w:rFonts w:ascii="宋体" w:hAnsi="宋体" w:cs="宋体" w:eastAsia="宋体" w:hint="default"/>
                <w:w w:val="100"/>
                <w:sz w:val="15"/>
                <w:szCs w:val="15"/>
              </w:rPr>
              <w:t>本</w:t>
            </w:r>
            <w:r>
              <w:rPr>
                <w:rFonts w:ascii="宋体" w:hAnsi="宋体" w:cs="宋体" w:eastAsia="宋体" w:hint="default"/>
                <w:spacing w:val="-3"/>
                <w:w w:val="100"/>
                <w:sz w:val="15"/>
                <w:szCs w:val="15"/>
              </w:rPr>
              <w:t>期</w:t>
            </w:r>
            <w:r>
              <w:rPr>
                <w:rFonts w:ascii="宋体" w:hAnsi="宋体" w:cs="宋体" w:eastAsia="宋体" w:hint="default"/>
                <w:w w:val="100"/>
                <w:sz w:val="15"/>
                <w:szCs w:val="15"/>
              </w:rPr>
              <w:t>增</w:t>
            </w:r>
            <w:r>
              <w:rPr>
                <w:rFonts w:ascii="宋体" w:hAnsi="宋体" w:cs="宋体" w:eastAsia="宋体" w:hint="default"/>
                <w:spacing w:val="-3"/>
                <w:w w:val="100"/>
                <w:sz w:val="15"/>
                <w:szCs w:val="15"/>
              </w:rPr>
              <w:t>减</w:t>
            </w:r>
            <w:r>
              <w:rPr>
                <w:rFonts w:ascii="宋体" w:hAnsi="宋体" w:cs="宋体" w:eastAsia="宋体" w:hint="default"/>
                <w:w w:val="100"/>
                <w:sz w:val="15"/>
                <w:szCs w:val="15"/>
              </w:rPr>
              <w:t>变</w:t>
            </w:r>
            <w:r>
              <w:rPr>
                <w:rFonts w:ascii="宋体" w:hAnsi="宋体" w:cs="宋体" w:eastAsia="宋体" w:hint="default"/>
                <w:spacing w:val="-3"/>
                <w:w w:val="100"/>
                <w:sz w:val="15"/>
                <w:szCs w:val="15"/>
              </w:rPr>
              <w:t>动</w:t>
            </w:r>
            <w:r>
              <w:rPr>
                <w:rFonts w:ascii="宋体" w:hAnsi="宋体" w:cs="宋体" w:eastAsia="宋体" w:hint="default"/>
                <w:w w:val="100"/>
                <w:sz w:val="15"/>
                <w:szCs w:val="15"/>
              </w:rPr>
              <w:t>金</w:t>
            </w:r>
            <w:r>
              <w:rPr>
                <w:rFonts w:ascii="宋体" w:hAnsi="宋体" w:cs="宋体" w:eastAsia="宋体" w:hint="default"/>
                <w:spacing w:val="-5"/>
                <w:w w:val="100"/>
                <w:sz w:val="15"/>
                <w:szCs w:val="15"/>
              </w:rPr>
              <w:t>额</w:t>
            </w:r>
            <w:r>
              <w:rPr>
                <w:rFonts w:ascii="宋体" w:hAnsi="宋体" w:cs="宋体" w:eastAsia="宋体" w:hint="default"/>
                <w:w w:val="100"/>
                <w:sz w:val="15"/>
                <w:szCs w:val="15"/>
              </w:rPr>
              <w:t>（</w:t>
            </w:r>
            <w:r>
              <w:rPr>
                <w:rFonts w:ascii="宋体" w:hAnsi="宋体" w:cs="宋体" w:eastAsia="宋体" w:hint="default"/>
                <w:spacing w:val="-3"/>
                <w:w w:val="100"/>
                <w:sz w:val="15"/>
                <w:szCs w:val="15"/>
              </w:rPr>
              <w:t>减</w:t>
            </w:r>
            <w:r>
              <w:rPr>
                <w:rFonts w:ascii="宋体" w:hAnsi="宋体" w:cs="宋体" w:eastAsia="宋体" w:hint="default"/>
                <w:w w:val="100"/>
                <w:sz w:val="15"/>
                <w:szCs w:val="15"/>
              </w:rPr>
              <w:t>少以</w:t>
            </w:r>
            <w:r>
              <w:rPr>
                <w:rFonts w:ascii="Times New Roman" w:hAnsi="Times New Roman" w:cs="Times New Roman" w:eastAsia="Times New Roman" w:hint="default"/>
                <w:spacing w:val="-3"/>
                <w:w w:val="44"/>
                <w:sz w:val="15"/>
                <w:szCs w:val="15"/>
              </w:rPr>
              <w:t>―</w:t>
            </w:r>
            <w:r>
              <w:rPr>
                <w:rFonts w:ascii="宋体" w:hAnsi="宋体" w:cs="宋体" w:eastAsia="宋体" w:hint="default"/>
                <w:w w:val="100"/>
                <w:sz w:val="15"/>
                <w:szCs w:val="15"/>
              </w:rPr>
              <w:t>－</w:t>
            </w:r>
            <w:r>
              <w:rPr>
                <w:rFonts w:ascii="Times New Roman" w:hAnsi="Times New Roman" w:cs="Times New Roman" w:eastAsia="Times New Roman" w:hint="default"/>
                <w:spacing w:val="-3"/>
                <w:w w:val="159"/>
                <w:sz w:val="15"/>
                <w:szCs w:val="15"/>
              </w:rPr>
              <w:t>‖</w:t>
            </w:r>
            <w:r>
              <w:rPr>
                <w:rFonts w:ascii="宋体" w:hAnsi="宋体" w:cs="宋体" w:eastAsia="宋体" w:hint="default"/>
                <w:w w:val="100"/>
                <w:sz w:val="15"/>
                <w:szCs w:val="15"/>
              </w:rPr>
              <w:t>号填</w:t>
            </w:r>
            <w:r>
              <w:rPr>
                <w:rFonts w:ascii="宋体" w:hAnsi="宋体" w:cs="宋体" w:eastAsia="宋体" w:hint="default"/>
                <w:spacing w:val="-3"/>
                <w:w w:val="100"/>
                <w:sz w:val="15"/>
                <w:szCs w:val="15"/>
              </w:rPr>
              <w:t>列</w:t>
            </w:r>
            <w:r>
              <w:rPr>
                <w:rFonts w:ascii="宋体" w:hAnsi="宋体" w:cs="宋体" w:eastAsia="宋体" w:hint="default"/>
                <w:w w:val="100"/>
                <w:sz w:val="15"/>
                <w:szCs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spacing w:val="-1"/>
                <w:sz w:val="15"/>
              </w:rPr>
              <w:t>5,741,998.00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5"/>
                <w:szCs w:val="15"/>
              </w:rPr>
            </w:pPr>
            <w:r>
              <w:rPr>
                <w:rFonts w:ascii="Times New Roman"/>
                <w:spacing w:val="-1"/>
                <w:sz w:val="15"/>
              </w:rPr>
              <w:t>-5,741,998.00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21,564,136.77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2,249,913.01</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spacing w:val="-1"/>
                <w:sz w:val="15"/>
              </w:rPr>
              <w:t>23,814,049.78</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21,564,136.77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2,249,913.01</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23,814,049.78</w:t>
            </w:r>
          </w:p>
        </w:tc>
      </w:tr>
    </w:tbl>
    <w:p>
      <w:pPr>
        <w:spacing w:after="0" w:line="240" w:lineRule="auto"/>
        <w:jc w:val="right"/>
        <w:rPr>
          <w:rFonts w:ascii="Times New Roman" w:hAnsi="Times New Roman" w:cs="Times New Roman" w:eastAsia="Times New Roman" w:hint="default"/>
          <w:sz w:val="15"/>
          <w:szCs w:val="15"/>
        </w:rPr>
        <w:sectPr>
          <w:type w:val="continuous"/>
          <w:pgSz w:w="16840" w:h="11910" w:orient="landscape"/>
          <w:pgMar w:top="1580" w:bottom="1140" w:left="1000" w:right="0"/>
        </w:sectPr>
      </w:pPr>
    </w:p>
    <w:p>
      <w:pPr>
        <w:pStyle w:val="Heading3"/>
        <w:spacing w:line="240" w:lineRule="auto" w:before="43"/>
        <w:ind w:left="5313" w:right="6282"/>
        <w:jc w:val="center"/>
      </w:pPr>
      <w:r>
        <w:rPr/>
        <w:t>合并所有者权益变动表（续）</w:t>
      </w:r>
    </w:p>
    <w:p>
      <w:pPr>
        <w:spacing w:before="59"/>
        <w:ind w:left="5315" w:right="6279"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tabs>
          <w:tab w:pos="10509" w:val="left" w:leader="none"/>
        </w:tabs>
        <w:spacing w:before="151"/>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5"/>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135"/>
        <w:gridCol w:w="1275"/>
        <w:gridCol w:w="1277"/>
        <w:gridCol w:w="991"/>
        <w:gridCol w:w="994"/>
        <w:gridCol w:w="1133"/>
        <w:gridCol w:w="1135"/>
        <w:gridCol w:w="1133"/>
        <w:gridCol w:w="1136"/>
        <w:gridCol w:w="1133"/>
        <w:gridCol w:w="1277"/>
      </w:tblGrid>
      <w:tr>
        <w:trPr>
          <w:trHeight w:val="331" w:hRule="exact"/>
        </w:trPr>
        <w:tc>
          <w:tcPr>
            <w:tcW w:w="31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483"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1" w:right="2"/>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329" w:hRule="exact"/>
        </w:trPr>
        <w:tc>
          <w:tcPr>
            <w:tcW w:w="3135" w:type="dxa"/>
            <w:vMerge/>
            <w:tcBorders>
              <w:left w:val="nil" w:sz="6" w:space="0" w:color="auto"/>
              <w:right w:val="single" w:sz="4" w:space="0" w:color="000000"/>
            </w:tcBorders>
          </w:tcPr>
          <w:p>
            <w:pPr/>
          </w:p>
        </w:tc>
        <w:tc>
          <w:tcPr>
            <w:tcW w:w="90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31" w:hRule="exact"/>
        </w:trPr>
        <w:tc>
          <w:tcPr>
            <w:tcW w:w="3135" w:type="dxa"/>
            <w:vMerge/>
            <w:tcBorders>
              <w:left w:val="nil" w:sz="6" w:space="0" w:color="auto"/>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10"/>
              <w:jc w:val="right"/>
              <w:rPr>
                <w:rFonts w:ascii="宋体" w:hAnsi="宋体" w:cs="宋体" w:eastAsia="宋体" w:hint="default"/>
                <w:sz w:val="15"/>
                <w:szCs w:val="15"/>
              </w:rPr>
            </w:pPr>
            <w:r>
              <w:rPr>
                <w:rFonts w:ascii="宋体" w:hAnsi="宋体" w:cs="宋体" w:eastAsia="宋体" w:hint="default"/>
                <w:spacing w:val="-1"/>
                <w:sz w:val="15"/>
                <w:szCs w:val="15"/>
              </w:rPr>
              <w:t>减：库存股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9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8"/>
              <w:jc w:val="right"/>
              <w:rPr>
                <w:rFonts w:ascii="宋体" w:hAnsi="宋体" w:cs="宋体" w:eastAsia="宋体" w:hint="default"/>
                <w:sz w:val="15"/>
                <w:szCs w:val="15"/>
              </w:rPr>
            </w:pPr>
            <w:r>
              <w:rPr>
                <w:rFonts w:ascii="宋体" w:hAnsi="宋体" w:cs="宋体" w:eastAsia="宋体" w:hint="default"/>
                <w:spacing w:val="-1"/>
                <w:sz w:val="15"/>
                <w:szCs w:val="15"/>
              </w:rPr>
              <w:t>一般风险准备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nil" w:sz="6" w:space="0" w:color="auto"/>
            </w:tcBorders>
          </w:tcPr>
          <w:p>
            <w:pP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5"/>
                <w:szCs w:val="15"/>
              </w:rPr>
            </w:pPr>
            <w:r>
              <w:rPr>
                <w:rFonts w:ascii="Times New Roman"/>
                <w:spacing w:val="-1"/>
                <w:sz w:val="15"/>
              </w:rPr>
              <w:t>21,564,136.77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5"/>
                <w:szCs w:val="15"/>
              </w:rPr>
            </w:pPr>
            <w:r>
              <w:rPr>
                <w:rFonts w:ascii="Times New Roman"/>
                <w:spacing w:val="-1"/>
                <w:sz w:val="15"/>
              </w:rPr>
              <w:t>2,249,913.01</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Times New Roman" w:hAnsi="Times New Roman" w:cs="Times New Roman" w:eastAsia="Times New Roman" w:hint="default"/>
                <w:sz w:val="15"/>
                <w:szCs w:val="15"/>
              </w:rPr>
            </w:pPr>
            <w:r>
              <w:rPr>
                <w:rFonts w:ascii="Times New Roman"/>
                <w:spacing w:val="-1"/>
                <w:sz w:val="15"/>
              </w:rPr>
              <w:t>23,814,049.78</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spacing w:val="-1"/>
                <w:sz w:val="15"/>
              </w:rPr>
              <w:t>5,741,998.00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5"/>
                <w:szCs w:val="15"/>
              </w:rPr>
            </w:pPr>
            <w:r>
              <w:rPr>
                <w:rFonts w:ascii="Times New Roman"/>
                <w:spacing w:val="-1"/>
                <w:sz w:val="15"/>
              </w:rPr>
              <w:t>-5,741,998.00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spacing w:val="-1"/>
                <w:sz w:val="15"/>
              </w:rPr>
              <w:t>5,741,998.00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5"/>
                <w:szCs w:val="15"/>
              </w:rPr>
            </w:pPr>
            <w:r>
              <w:rPr>
                <w:rFonts w:ascii="Times New Roman"/>
                <w:spacing w:val="-1"/>
                <w:sz w:val="15"/>
              </w:rPr>
              <w:t>-5,741,998.00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2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spacing w:val="-1"/>
                <w:sz w:val="15"/>
              </w:rPr>
              <w:t>96,227,998.00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5"/>
                <w:szCs w:val="15"/>
              </w:rPr>
            </w:pPr>
            <w:r>
              <w:rPr>
                <w:rFonts w:ascii="Times New Roman"/>
                <w:spacing w:val="-1"/>
                <w:sz w:val="15"/>
              </w:rPr>
              <w:t>20,857,045.81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5"/>
                <w:szCs w:val="15"/>
              </w:rPr>
            </w:pPr>
            <w:r>
              <w:rPr>
                <w:rFonts w:ascii="Times New Roman"/>
                <w:spacing w:val="-1"/>
                <w:sz w:val="15"/>
              </w:rPr>
              <w:t>5,887,067.95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5"/>
                <w:szCs w:val="15"/>
              </w:rPr>
            </w:pPr>
            <w:r>
              <w:rPr>
                <w:rFonts w:ascii="Times New Roman"/>
                <w:spacing w:val="-1"/>
                <w:sz w:val="15"/>
              </w:rPr>
              <w:t>1,829,373.65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5"/>
                <w:szCs w:val="15"/>
              </w:rPr>
            </w:pPr>
            <w:r>
              <w:rPr>
                <w:rFonts w:ascii="Times New Roman"/>
                <w:spacing w:val="-1"/>
                <w:sz w:val="15"/>
              </w:rPr>
              <w:t>29,487,940.08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154,289,425.49</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0" w:footer="947" w:top="1100" w:bottom="1140" w:left="1000" w:right="0"/>
        </w:sectPr>
      </w:pPr>
    </w:p>
    <w:p>
      <w:pPr>
        <w:tabs>
          <w:tab w:pos="2692" w:val="left" w:leader="none"/>
        </w:tabs>
        <w:spacing w:before="34"/>
        <w:ind w:left="1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3410" w:val="left" w:leader="none"/>
        </w:tabs>
        <w:spacing w:before="34"/>
        <w:ind w:left="13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3052" w:val="left" w:leader="none"/>
        </w:tabs>
        <w:spacing w:before="34"/>
        <w:ind w:left="13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pgSz w:w="16840" w:h="11910" w:orient="landscape"/>
          <w:pgMar w:header="0" w:footer="947" w:top="1060" w:bottom="1140" w:left="1000" w:right="0"/>
          <w:cols w:num="3" w:equalWidth="0">
            <w:col w:w="2694" w:space="732"/>
            <w:col w:w="3411" w:space="820"/>
            <w:col w:w="8183"/>
          </w:cols>
        </w:sectPr>
      </w:pPr>
    </w:p>
    <w:p>
      <w:pPr>
        <w:pStyle w:val="Heading3"/>
        <w:spacing w:line="240" w:lineRule="auto" w:before="87"/>
        <w:ind w:left="5313" w:right="6282"/>
        <w:jc w:val="center"/>
      </w:pPr>
      <w:r>
        <w:rPr/>
        <w:t>母公司所有者权益变动表</w:t>
      </w:r>
    </w:p>
    <w:p>
      <w:pPr>
        <w:spacing w:before="59"/>
        <w:ind w:left="5315" w:right="6279"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tabs>
          <w:tab w:pos="10598" w:val="left" w:leader="none"/>
        </w:tabs>
        <w:spacing w:before="151"/>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257"/>
        <w:gridCol w:w="1419"/>
        <w:gridCol w:w="1294"/>
        <w:gridCol w:w="1546"/>
        <w:gridCol w:w="1421"/>
        <w:gridCol w:w="1421"/>
        <w:gridCol w:w="1419"/>
        <w:gridCol w:w="1421"/>
        <w:gridCol w:w="1421"/>
      </w:tblGrid>
      <w:tr>
        <w:trPr>
          <w:trHeight w:val="341" w:hRule="exact"/>
        </w:trPr>
        <w:tc>
          <w:tcPr>
            <w:tcW w:w="3257" w:type="dxa"/>
            <w:vMerge w:val="restart"/>
            <w:tcBorders>
              <w:top w:val="single" w:sz="4"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361"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341" w:hRule="exact"/>
        </w:trPr>
        <w:tc>
          <w:tcPr>
            <w:tcW w:w="3257"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4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93"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08"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0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5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31"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18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38"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96,227,998.00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20,857,045.81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5,887,067.95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-13,771,637.92</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5"/>
                <w:szCs w:val="15"/>
              </w:rPr>
            </w:pPr>
            <w:r>
              <w:rPr>
                <w:rFonts w:ascii="Times New Roman"/>
                <w:spacing w:val="-1"/>
                <w:sz w:val="15"/>
              </w:rPr>
              <w:t>109,200,473.84</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8"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5"/>
                <w:szCs w:val="15"/>
              </w:rPr>
            </w:pPr>
            <w:r>
              <w:rPr>
                <w:rFonts w:ascii="Times New Roman"/>
                <w:spacing w:val="-1"/>
                <w:sz w:val="15"/>
              </w:rPr>
              <w:t>96,227,998.00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spacing w:val="-1"/>
                <w:sz w:val="15"/>
              </w:rPr>
              <w:t>20,857,045.81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spacing w:val="-1"/>
                <w:sz w:val="15"/>
              </w:rPr>
              <w:t>5,887,067.95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spacing w:val="-1"/>
                <w:sz w:val="15"/>
              </w:rPr>
              <w:t>-13,771,637.92</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15"/>
                <w:szCs w:val="15"/>
              </w:rPr>
            </w:pPr>
            <w:r>
              <w:rPr>
                <w:rFonts w:ascii="Times New Roman"/>
                <w:spacing w:val="-1"/>
                <w:sz w:val="15"/>
              </w:rPr>
              <w:t>109,200,473.84</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宋体" w:hAnsi="宋体" w:cs="宋体" w:eastAsia="宋体" w:hint="default"/>
                <w:w w:val="100"/>
                <w:sz w:val="15"/>
                <w:szCs w:val="15"/>
              </w:rPr>
              <w:t>三、</w:t>
            </w:r>
            <w:r>
              <w:rPr>
                <w:rFonts w:ascii="宋体" w:hAnsi="宋体" w:cs="宋体" w:eastAsia="宋体" w:hint="default"/>
                <w:spacing w:val="-3"/>
                <w:w w:val="100"/>
                <w:sz w:val="15"/>
                <w:szCs w:val="15"/>
              </w:rPr>
              <w:t>本</w:t>
            </w:r>
            <w:r>
              <w:rPr>
                <w:rFonts w:ascii="宋体" w:hAnsi="宋体" w:cs="宋体" w:eastAsia="宋体" w:hint="default"/>
                <w:w w:val="100"/>
                <w:sz w:val="15"/>
                <w:szCs w:val="15"/>
              </w:rPr>
              <w:t>期</w:t>
            </w:r>
            <w:r>
              <w:rPr>
                <w:rFonts w:ascii="宋体" w:hAnsi="宋体" w:cs="宋体" w:eastAsia="宋体" w:hint="default"/>
                <w:spacing w:val="-3"/>
                <w:w w:val="100"/>
                <w:sz w:val="15"/>
                <w:szCs w:val="15"/>
              </w:rPr>
              <w:t>增</w:t>
            </w:r>
            <w:r>
              <w:rPr>
                <w:rFonts w:ascii="宋体" w:hAnsi="宋体" w:cs="宋体" w:eastAsia="宋体" w:hint="default"/>
                <w:w w:val="100"/>
                <w:sz w:val="15"/>
                <w:szCs w:val="15"/>
              </w:rPr>
              <w:t>减</w:t>
            </w:r>
            <w:r>
              <w:rPr>
                <w:rFonts w:ascii="宋体" w:hAnsi="宋体" w:cs="宋体" w:eastAsia="宋体" w:hint="default"/>
                <w:spacing w:val="-3"/>
                <w:w w:val="100"/>
                <w:sz w:val="15"/>
                <w:szCs w:val="15"/>
              </w:rPr>
              <w:t>变</w:t>
            </w:r>
            <w:r>
              <w:rPr>
                <w:rFonts w:ascii="宋体" w:hAnsi="宋体" w:cs="宋体" w:eastAsia="宋体" w:hint="default"/>
                <w:w w:val="100"/>
                <w:sz w:val="15"/>
                <w:szCs w:val="15"/>
              </w:rPr>
              <w:t>动</w:t>
            </w:r>
            <w:r>
              <w:rPr>
                <w:rFonts w:ascii="宋体" w:hAnsi="宋体" w:cs="宋体" w:eastAsia="宋体" w:hint="default"/>
                <w:spacing w:val="-3"/>
                <w:w w:val="100"/>
                <w:sz w:val="15"/>
                <w:szCs w:val="15"/>
              </w:rPr>
              <w:t>金</w:t>
            </w:r>
            <w:r>
              <w:rPr>
                <w:rFonts w:ascii="宋体" w:hAnsi="宋体" w:cs="宋体" w:eastAsia="宋体" w:hint="default"/>
                <w:w w:val="100"/>
                <w:sz w:val="15"/>
                <w:szCs w:val="15"/>
              </w:rPr>
              <w:t>额</w:t>
            </w:r>
            <w:r>
              <w:rPr>
                <w:rFonts w:ascii="宋体" w:hAnsi="宋体" w:cs="宋体" w:eastAsia="宋体" w:hint="default"/>
                <w:spacing w:val="-3"/>
                <w:w w:val="100"/>
                <w:sz w:val="15"/>
                <w:szCs w:val="15"/>
              </w:rPr>
              <w:t>（</w:t>
            </w:r>
            <w:r>
              <w:rPr>
                <w:rFonts w:ascii="宋体" w:hAnsi="宋体" w:cs="宋体" w:eastAsia="宋体" w:hint="default"/>
                <w:w w:val="100"/>
                <w:sz w:val="15"/>
                <w:szCs w:val="15"/>
              </w:rPr>
              <w:t>减</w:t>
            </w:r>
            <w:r>
              <w:rPr>
                <w:rFonts w:ascii="宋体" w:hAnsi="宋体" w:cs="宋体" w:eastAsia="宋体" w:hint="default"/>
                <w:spacing w:val="-3"/>
                <w:w w:val="100"/>
                <w:sz w:val="15"/>
                <w:szCs w:val="15"/>
              </w:rPr>
              <w:t>少</w:t>
            </w:r>
            <w:r>
              <w:rPr>
                <w:rFonts w:ascii="宋体" w:hAnsi="宋体" w:cs="宋体" w:eastAsia="宋体" w:hint="default"/>
                <w:w w:val="100"/>
                <w:sz w:val="15"/>
                <w:szCs w:val="15"/>
              </w:rPr>
              <w:t>以</w:t>
            </w:r>
            <w:r>
              <w:rPr>
                <w:rFonts w:ascii="Times New Roman" w:hAnsi="Times New Roman" w:cs="Times New Roman" w:eastAsia="Times New Roman" w:hint="default"/>
                <w:spacing w:val="-3"/>
                <w:w w:val="44"/>
                <w:sz w:val="15"/>
                <w:szCs w:val="15"/>
              </w:rPr>
              <w:t>―</w:t>
            </w:r>
            <w:r>
              <w:rPr>
                <w:rFonts w:ascii="宋体" w:hAnsi="宋体" w:cs="宋体" w:eastAsia="宋体" w:hint="default"/>
                <w:w w:val="100"/>
                <w:sz w:val="15"/>
                <w:szCs w:val="15"/>
              </w:rPr>
              <w:t>－</w:t>
            </w:r>
            <w:r>
              <w:rPr>
                <w:rFonts w:ascii="Times New Roman" w:hAnsi="Times New Roman" w:cs="Times New Roman" w:eastAsia="Times New Roman" w:hint="default"/>
                <w:spacing w:val="-3"/>
                <w:w w:val="159"/>
                <w:sz w:val="15"/>
                <w:szCs w:val="15"/>
              </w:rPr>
              <w:t>‖</w:t>
            </w:r>
            <w:r>
              <w:rPr>
                <w:rFonts w:ascii="宋体" w:hAnsi="宋体" w:cs="宋体" w:eastAsia="宋体" w:hint="default"/>
                <w:w w:val="100"/>
                <w:sz w:val="15"/>
                <w:szCs w:val="15"/>
              </w:rPr>
              <w:t>号填</w:t>
            </w:r>
            <w:r>
              <w:rPr>
                <w:rFonts w:ascii="宋体" w:hAnsi="宋体" w:cs="宋体" w:eastAsia="宋体" w:hint="default"/>
                <w:spacing w:val="-3"/>
                <w:w w:val="100"/>
                <w:sz w:val="15"/>
                <w:szCs w:val="15"/>
              </w:rPr>
              <w:t>列</w:t>
            </w:r>
            <w:r>
              <w:rPr>
                <w:rFonts w:ascii="宋体" w:hAnsi="宋体" w:cs="宋体" w:eastAsia="宋体" w:hint="default"/>
                <w:w w:val="100"/>
                <w:sz w:val="15"/>
                <w:szCs w:val="15"/>
              </w:rPr>
              <w:t>）</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903,520.00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-2,976,235.03</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5"/>
                <w:szCs w:val="15"/>
              </w:rPr>
            </w:pPr>
            <w:r>
              <w:rPr>
                <w:rFonts w:ascii="Times New Roman"/>
                <w:spacing w:val="-1"/>
                <w:sz w:val="15"/>
              </w:rPr>
              <w:t>-2,072,715.03</w:t>
            </w:r>
          </w:p>
        </w:tc>
      </w:tr>
      <w:tr>
        <w:trPr>
          <w:trHeight w:val="338"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-2,976,235.03</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5"/>
                <w:szCs w:val="15"/>
              </w:rPr>
            </w:pPr>
            <w:r>
              <w:rPr>
                <w:rFonts w:ascii="Times New Roman"/>
                <w:spacing w:val="-1"/>
                <w:sz w:val="15"/>
              </w:rPr>
              <w:t>-2,976,235.03</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903,520.00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2"/>
              <w:jc w:val="right"/>
              <w:rPr>
                <w:rFonts w:ascii="Times New Roman" w:hAnsi="Times New Roman" w:cs="Times New Roman" w:eastAsia="Times New Roman" w:hint="default"/>
                <w:sz w:val="15"/>
                <w:szCs w:val="15"/>
              </w:rPr>
            </w:pPr>
            <w:r>
              <w:rPr>
                <w:rFonts w:ascii="Times New Roman"/>
                <w:spacing w:val="-1"/>
                <w:sz w:val="15"/>
              </w:rPr>
              <w:t>903,520.00</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8"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903,520.00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2"/>
              <w:jc w:val="right"/>
              <w:rPr>
                <w:rFonts w:ascii="Times New Roman" w:hAnsi="Times New Roman" w:cs="Times New Roman" w:eastAsia="Times New Roman" w:hint="default"/>
                <w:sz w:val="15"/>
                <w:szCs w:val="15"/>
              </w:rPr>
            </w:pPr>
            <w:r>
              <w:rPr>
                <w:rFonts w:ascii="Times New Roman"/>
                <w:spacing w:val="-1"/>
                <w:sz w:val="15"/>
              </w:rPr>
              <w:t>903,520.00</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8"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8"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5"/>
                <w:szCs w:val="15"/>
              </w:rPr>
            </w:pPr>
            <w:r>
              <w:rPr>
                <w:rFonts w:ascii="Times New Roman"/>
                <w:w w:val="100"/>
                <w:sz w:val="15"/>
              </w:rPr>
              <w:t>-</w:t>
            </w:r>
          </w:p>
        </w:tc>
      </w:tr>
    </w:tbl>
    <w:p>
      <w:pPr>
        <w:spacing w:after="0" w:line="240" w:lineRule="auto"/>
        <w:jc w:val="right"/>
        <w:rPr>
          <w:rFonts w:ascii="Times New Roman" w:hAnsi="Times New Roman" w:cs="Times New Roman" w:eastAsia="Times New Roman" w:hint="default"/>
          <w:sz w:val="15"/>
          <w:szCs w:val="15"/>
        </w:rPr>
        <w:sectPr>
          <w:type w:val="continuous"/>
          <w:pgSz w:w="16840" w:h="11910" w:orient="landscape"/>
          <w:pgMar w:top="1580" w:bottom="1140" w:left="1000" w:right="0"/>
        </w:sectPr>
      </w:pPr>
    </w:p>
    <w:p>
      <w:pPr>
        <w:pStyle w:val="Heading3"/>
        <w:spacing w:line="240" w:lineRule="auto" w:before="43"/>
        <w:ind w:left="5313" w:right="6282"/>
        <w:jc w:val="center"/>
      </w:pPr>
      <w:r>
        <w:rPr/>
        <w:t>母公司所有者权益变动表</w:t>
      </w:r>
    </w:p>
    <w:p>
      <w:pPr>
        <w:spacing w:before="59"/>
        <w:ind w:left="5315" w:right="6279"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tabs>
          <w:tab w:pos="10598" w:val="left" w:leader="none"/>
        </w:tabs>
        <w:spacing w:before="151"/>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57"/>
        <w:gridCol w:w="1419"/>
        <w:gridCol w:w="1294"/>
        <w:gridCol w:w="1546"/>
        <w:gridCol w:w="1421"/>
        <w:gridCol w:w="1421"/>
        <w:gridCol w:w="1419"/>
        <w:gridCol w:w="1421"/>
        <w:gridCol w:w="1421"/>
      </w:tblGrid>
      <w:tr>
        <w:trPr>
          <w:trHeight w:val="341" w:hRule="exact"/>
        </w:trPr>
        <w:tc>
          <w:tcPr>
            <w:tcW w:w="3257" w:type="dxa"/>
            <w:vMerge w:val="restart"/>
            <w:tcBorders>
              <w:top w:val="single" w:sz="4"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361"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341" w:hRule="exact"/>
        </w:trPr>
        <w:tc>
          <w:tcPr>
            <w:tcW w:w="3257"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4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93"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08"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0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5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31"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18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38"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8"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5"/>
                <w:szCs w:val="15"/>
              </w:rPr>
            </w:pPr>
            <w:r>
              <w:rPr>
                <w:rFonts w:ascii="Times New Roman"/>
                <w:w w:val="100"/>
                <w:sz w:val="15"/>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5"/>
                <w:szCs w:val="15"/>
              </w:rPr>
            </w:pPr>
            <w:r>
              <w:rPr>
                <w:rFonts w:ascii="Times New Roman"/>
                <w:spacing w:val="-1"/>
                <w:sz w:val="15"/>
              </w:rPr>
              <w:t>96,227,998.00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spacing w:val="-1"/>
                <w:sz w:val="15"/>
              </w:rPr>
              <w:t>21,760,565.81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spacing w:val="-1"/>
                <w:sz w:val="15"/>
              </w:rPr>
              <w:t>5,887,067.95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spacing w:val="-1"/>
                <w:sz w:val="15"/>
              </w:rPr>
              <w:t>-16,747,872.95</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15"/>
                <w:szCs w:val="15"/>
              </w:rPr>
            </w:pPr>
            <w:r>
              <w:rPr>
                <w:rFonts w:ascii="Times New Roman"/>
                <w:spacing w:val="-1"/>
                <w:sz w:val="15"/>
              </w:rPr>
              <w:t>107,127,758.81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0" w:footer="947" w:top="1100" w:bottom="1140" w:left="1000" w:right="0"/>
        </w:sectPr>
      </w:pPr>
    </w:p>
    <w:p>
      <w:pPr>
        <w:tabs>
          <w:tab w:pos="2692" w:val="left" w:leader="none"/>
        </w:tabs>
        <w:spacing w:before="44"/>
        <w:ind w:left="1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3410" w:val="left" w:leader="none"/>
        </w:tabs>
        <w:spacing w:before="44"/>
        <w:ind w:left="13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3052" w:val="left" w:leader="none"/>
        </w:tabs>
        <w:spacing w:before="44"/>
        <w:ind w:left="13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580" w:bottom="1140" w:left="1000" w:right="0"/>
          <w:cols w:num="3" w:equalWidth="0">
            <w:col w:w="2694" w:space="732"/>
            <w:col w:w="3411" w:space="820"/>
            <w:col w:w="8183"/>
          </w:cols>
        </w:sectPr>
      </w:pPr>
    </w:p>
    <w:p>
      <w:pPr>
        <w:pStyle w:val="Heading3"/>
        <w:spacing w:line="240" w:lineRule="auto" w:before="87"/>
        <w:ind w:left="5315" w:right="6282"/>
        <w:jc w:val="center"/>
      </w:pPr>
      <w:r>
        <w:rPr/>
        <w:t>母公司所有者权益变动表（续）</w:t>
      </w:r>
    </w:p>
    <w:p>
      <w:pPr>
        <w:spacing w:before="60"/>
        <w:ind w:left="5315" w:right="6279"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tabs>
          <w:tab w:pos="10598" w:val="left" w:leader="none"/>
        </w:tabs>
        <w:spacing w:before="82"/>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257"/>
        <w:gridCol w:w="1419"/>
        <w:gridCol w:w="1421"/>
        <w:gridCol w:w="1418"/>
        <w:gridCol w:w="1421"/>
        <w:gridCol w:w="1421"/>
        <w:gridCol w:w="1419"/>
        <w:gridCol w:w="1421"/>
        <w:gridCol w:w="1421"/>
      </w:tblGrid>
      <w:tr>
        <w:trPr>
          <w:trHeight w:val="341" w:hRule="exact"/>
        </w:trPr>
        <w:tc>
          <w:tcPr>
            <w:tcW w:w="3257"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361"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338" w:hRule="exact"/>
        </w:trPr>
        <w:tc>
          <w:tcPr>
            <w:tcW w:w="3257"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07"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2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08"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0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5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31"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8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90,486,000.00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26,599,043.81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5,887,067.95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-18,465,126.57</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104,506,985.19</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8"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4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4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spacing w:val="-1"/>
                <w:sz w:val="15"/>
              </w:rPr>
              <w:t>90,486,000.00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spacing w:val="-1"/>
                <w:sz w:val="15"/>
              </w:rPr>
              <w:t>26,599,043.81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spacing w:val="-1"/>
                <w:sz w:val="15"/>
              </w:rPr>
              <w:t>5,887,067.95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spacing w:val="-1"/>
                <w:sz w:val="15"/>
              </w:rPr>
              <w:t>-18,465,126.57</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spacing w:val="-1"/>
                <w:sz w:val="15"/>
              </w:rPr>
              <w:t>104,506,985.19</w:t>
            </w:r>
          </w:p>
        </w:tc>
      </w:tr>
      <w:tr>
        <w:trPr>
          <w:trHeight w:val="338"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宋体" w:hAnsi="宋体" w:cs="宋体" w:eastAsia="宋体" w:hint="default"/>
                <w:w w:val="100"/>
                <w:sz w:val="15"/>
                <w:szCs w:val="15"/>
              </w:rPr>
              <w:t>三、</w:t>
            </w:r>
            <w:r>
              <w:rPr>
                <w:rFonts w:ascii="宋体" w:hAnsi="宋体" w:cs="宋体" w:eastAsia="宋体" w:hint="default"/>
                <w:spacing w:val="-3"/>
                <w:w w:val="100"/>
                <w:sz w:val="15"/>
                <w:szCs w:val="15"/>
              </w:rPr>
              <w:t>本</w:t>
            </w:r>
            <w:r>
              <w:rPr>
                <w:rFonts w:ascii="宋体" w:hAnsi="宋体" w:cs="宋体" w:eastAsia="宋体" w:hint="default"/>
                <w:w w:val="100"/>
                <w:sz w:val="15"/>
                <w:szCs w:val="15"/>
              </w:rPr>
              <w:t>期</w:t>
            </w:r>
            <w:r>
              <w:rPr>
                <w:rFonts w:ascii="宋体" w:hAnsi="宋体" w:cs="宋体" w:eastAsia="宋体" w:hint="default"/>
                <w:spacing w:val="-3"/>
                <w:w w:val="100"/>
                <w:sz w:val="15"/>
                <w:szCs w:val="15"/>
              </w:rPr>
              <w:t>增</w:t>
            </w:r>
            <w:r>
              <w:rPr>
                <w:rFonts w:ascii="宋体" w:hAnsi="宋体" w:cs="宋体" w:eastAsia="宋体" w:hint="default"/>
                <w:w w:val="100"/>
                <w:sz w:val="15"/>
                <w:szCs w:val="15"/>
              </w:rPr>
              <w:t>减</w:t>
            </w:r>
            <w:r>
              <w:rPr>
                <w:rFonts w:ascii="宋体" w:hAnsi="宋体" w:cs="宋体" w:eastAsia="宋体" w:hint="default"/>
                <w:spacing w:val="-3"/>
                <w:w w:val="100"/>
                <w:sz w:val="15"/>
                <w:szCs w:val="15"/>
              </w:rPr>
              <w:t>变</w:t>
            </w:r>
            <w:r>
              <w:rPr>
                <w:rFonts w:ascii="宋体" w:hAnsi="宋体" w:cs="宋体" w:eastAsia="宋体" w:hint="default"/>
                <w:w w:val="100"/>
                <w:sz w:val="15"/>
                <w:szCs w:val="15"/>
              </w:rPr>
              <w:t>动</w:t>
            </w:r>
            <w:r>
              <w:rPr>
                <w:rFonts w:ascii="宋体" w:hAnsi="宋体" w:cs="宋体" w:eastAsia="宋体" w:hint="default"/>
                <w:spacing w:val="-3"/>
                <w:w w:val="100"/>
                <w:sz w:val="15"/>
                <w:szCs w:val="15"/>
              </w:rPr>
              <w:t>金</w:t>
            </w:r>
            <w:r>
              <w:rPr>
                <w:rFonts w:ascii="宋体" w:hAnsi="宋体" w:cs="宋体" w:eastAsia="宋体" w:hint="default"/>
                <w:w w:val="100"/>
                <w:sz w:val="15"/>
                <w:szCs w:val="15"/>
              </w:rPr>
              <w:t>额</w:t>
            </w:r>
            <w:r>
              <w:rPr>
                <w:rFonts w:ascii="宋体" w:hAnsi="宋体" w:cs="宋体" w:eastAsia="宋体" w:hint="default"/>
                <w:spacing w:val="-3"/>
                <w:w w:val="100"/>
                <w:sz w:val="15"/>
                <w:szCs w:val="15"/>
              </w:rPr>
              <w:t>（</w:t>
            </w:r>
            <w:r>
              <w:rPr>
                <w:rFonts w:ascii="宋体" w:hAnsi="宋体" w:cs="宋体" w:eastAsia="宋体" w:hint="default"/>
                <w:w w:val="100"/>
                <w:sz w:val="15"/>
                <w:szCs w:val="15"/>
              </w:rPr>
              <w:t>减</w:t>
            </w:r>
            <w:r>
              <w:rPr>
                <w:rFonts w:ascii="宋体" w:hAnsi="宋体" w:cs="宋体" w:eastAsia="宋体" w:hint="default"/>
                <w:spacing w:val="-3"/>
                <w:w w:val="100"/>
                <w:sz w:val="15"/>
                <w:szCs w:val="15"/>
              </w:rPr>
              <w:t>少</w:t>
            </w:r>
            <w:r>
              <w:rPr>
                <w:rFonts w:ascii="宋体" w:hAnsi="宋体" w:cs="宋体" w:eastAsia="宋体" w:hint="default"/>
                <w:w w:val="100"/>
                <w:sz w:val="15"/>
                <w:szCs w:val="15"/>
              </w:rPr>
              <w:t>以</w:t>
            </w:r>
            <w:r>
              <w:rPr>
                <w:rFonts w:ascii="Times New Roman" w:hAnsi="Times New Roman" w:cs="Times New Roman" w:eastAsia="Times New Roman" w:hint="default"/>
                <w:spacing w:val="-3"/>
                <w:w w:val="44"/>
                <w:sz w:val="15"/>
                <w:szCs w:val="15"/>
              </w:rPr>
              <w:t>―</w:t>
            </w:r>
            <w:r>
              <w:rPr>
                <w:rFonts w:ascii="宋体" w:hAnsi="宋体" w:cs="宋体" w:eastAsia="宋体" w:hint="default"/>
                <w:w w:val="100"/>
                <w:sz w:val="15"/>
                <w:szCs w:val="15"/>
              </w:rPr>
              <w:t>－</w:t>
            </w:r>
            <w:r>
              <w:rPr>
                <w:rFonts w:ascii="Times New Roman" w:hAnsi="Times New Roman" w:cs="Times New Roman" w:eastAsia="Times New Roman" w:hint="default"/>
                <w:spacing w:val="-3"/>
                <w:w w:val="159"/>
                <w:sz w:val="15"/>
                <w:szCs w:val="15"/>
              </w:rPr>
              <w:t>‖</w:t>
            </w:r>
            <w:r>
              <w:rPr>
                <w:rFonts w:ascii="宋体" w:hAnsi="宋体" w:cs="宋体" w:eastAsia="宋体" w:hint="default"/>
                <w:w w:val="100"/>
                <w:sz w:val="15"/>
                <w:szCs w:val="15"/>
              </w:rPr>
              <w:t>号填</w:t>
            </w:r>
            <w:r>
              <w:rPr>
                <w:rFonts w:ascii="宋体" w:hAnsi="宋体" w:cs="宋体" w:eastAsia="宋体" w:hint="default"/>
                <w:spacing w:val="-3"/>
                <w:w w:val="100"/>
                <w:sz w:val="15"/>
                <w:szCs w:val="15"/>
              </w:rPr>
              <w:t>列</w:t>
            </w:r>
            <w:r>
              <w:rPr>
                <w:rFonts w:ascii="宋体" w:hAnsi="宋体" w:cs="宋体" w:eastAsia="宋体" w:hint="default"/>
                <w:w w:val="100"/>
                <w:sz w:val="15"/>
                <w:szCs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spacing w:val="-1"/>
                <w:sz w:val="15"/>
              </w:rPr>
              <w:t>5,741,998.00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spacing w:val="-1"/>
                <w:sz w:val="15"/>
              </w:rPr>
              <w:t>-5,741,998.00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4,693,488.65</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5"/>
                <w:szCs w:val="15"/>
              </w:rPr>
            </w:pPr>
            <w:r>
              <w:rPr>
                <w:rFonts w:ascii="Times New Roman"/>
                <w:spacing w:val="-1"/>
                <w:sz w:val="15"/>
              </w:rPr>
              <w:t>4,693,488.65</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spacing w:val="-2"/>
                <w:sz w:val="15"/>
              </w:rPr>
              <w:t>4,693,488.65</w:t>
            </w:r>
            <w:r>
              <w:rPr>
                <w:rFonts w:ascii="Times New Roman"/>
                <w:sz w:val="15"/>
              </w:rPr>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15"/>
                <w:szCs w:val="15"/>
              </w:rPr>
            </w:pPr>
            <w:r>
              <w:rPr>
                <w:rFonts w:ascii="Times New Roman"/>
                <w:spacing w:val="-1"/>
                <w:sz w:val="15"/>
              </w:rPr>
              <w:t>4,693,488.65</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4,693,488.65</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3"/>
              <w:jc w:val="right"/>
              <w:rPr>
                <w:rFonts w:ascii="Times New Roman" w:hAnsi="Times New Roman" w:cs="Times New Roman" w:eastAsia="Times New Roman" w:hint="default"/>
                <w:sz w:val="15"/>
                <w:szCs w:val="15"/>
              </w:rPr>
            </w:pPr>
            <w:r>
              <w:rPr>
                <w:rFonts w:ascii="Times New Roman"/>
                <w:spacing w:val="-1"/>
                <w:sz w:val="15"/>
              </w:rPr>
              <w:t>4,693,488.65</w:t>
            </w:r>
          </w:p>
        </w:tc>
      </w:tr>
    </w:tbl>
    <w:p>
      <w:pPr>
        <w:spacing w:after="0" w:line="240" w:lineRule="auto"/>
        <w:jc w:val="right"/>
        <w:rPr>
          <w:rFonts w:ascii="Times New Roman" w:hAnsi="Times New Roman" w:cs="Times New Roman" w:eastAsia="Times New Roman" w:hint="default"/>
          <w:sz w:val="15"/>
          <w:szCs w:val="15"/>
        </w:rPr>
        <w:sectPr>
          <w:type w:val="continuous"/>
          <w:pgSz w:w="16840" w:h="11910" w:orient="landscape"/>
          <w:pgMar w:top="1580" w:bottom="1140" w:left="1000" w:right="0"/>
        </w:sectPr>
      </w:pPr>
    </w:p>
    <w:p>
      <w:pPr>
        <w:spacing w:line="240" w:lineRule="auto" w:before="5"/>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2646"/>
      </w:tblGrid>
      <w:tr>
        <w:trPr>
          <w:trHeight w:val="676" w:hRule="exact"/>
        </w:trPr>
        <w:tc>
          <w:tcPr>
            <w:tcW w:w="12646" w:type="dxa"/>
            <w:tcBorders>
              <w:top w:val="nil" w:sz="6" w:space="0" w:color="auto"/>
              <w:left w:val="nil" w:sz="6" w:space="0" w:color="auto"/>
              <w:bottom w:val="nil" w:sz="6" w:space="0" w:color="auto"/>
              <w:right w:val="nil" w:sz="6" w:space="0" w:color="auto"/>
            </w:tcBorders>
          </w:tcPr>
          <w:p>
            <w:pPr>
              <w:pStyle w:val="TableParagraph"/>
              <w:spacing w:line="300" w:lineRule="exact"/>
              <w:ind w:left="2141" w:right="0"/>
              <w:jc w:val="center"/>
              <w:rPr>
                <w:rFonts w:ascii="黑体" w:hAnsi="黑体" w:cs="黑体" w:eastAsia="黑体" w:hint="default"/>
                <w:sz w:val="30"/>
                <w:szCs w:val="30"/>
              </w:rPr>
            </w:pPr>
            <w:r>
              <w:rPr>
                <w:rFonts w:ascii="黑体" w:hAnsi="黑体" w:cs="黑体" w:eastAsia="黑体" w:hint="default"/>
                <w:sz w:val="30"/>
                <w:szCs w:val="30"/>
              </w:rPr>
              <w:t>母公司所有者权益变动表（续）</w:t>
            </w:r>
          </w:p>
          <w:p>
            <w:pPr>
              <w:pStyle w:val="TableParagraph"/>
              <w:spacing w:line="240" w:lineRule="auto" w:before="59"/>
              <w:ind w:left="2143" w:right="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51" w:hRule="exact"/>
        </w:trPr>
        <w:tc>
          <w:tcPr>
            <w:tcW w:w="12646" w:type="dxa"/>
            <w:tcBorders>
              <w:top w:val="nil" w:sz="6" w:space="0" w:color="auto"/>
              <w:left w:val="nil" w:sz="6" w:space="0" w:color="auto"/>
              <w:bottom w:val="nil" w:sz="6" w:space="0" w:color="auto"/>
              <w:right w:val="nil" w:sz="6" w:space="0" w:color="auto"/>
            </w:tcBorders>
          </w:tcPr>
          <w:p>
            <w:pPr>
              <w:pStyle w:val="TableParagraph"/>
              <w:tabs>
                <w:tab w:pos="10557" w:val="left" w:leader="none"/>
              </w:tabs>
              <w:spacing w:line="240" w:lineRule="auto" w:before="15"/>
              <w:ind w:left="200" w:right="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tc>
      </w:tr>
    </w:tbl>
    <w:p>
      <w:pPr>
        <w:spacing w:line="240" w:lineRule="auto" w:before="3"/>
        <w:rPr>
          <w:rFonts w:ascii="宋体" w:hAnsi="宋体" w:cs="宋体" w:eastAsia="宋体" w:hint="default"/>
          <w:sz w:val="5"/>
          <w:szCs w:val="5"/>
        </w:rPr>
      </w:pPr>
    </w:p>
    <w:tbl>
      <w:tblPr>
        <w:tblW w:w="0" w:type="auto"/>
        <w:jc w:val="left"/>
        <w:tblInd w:w="173" w:type="dxa"/>
        <w:tblLayout w:type="fixed"/>
        <w:tblCellMar>
          <w:top w:w="0" w:type="dxa"/>
          <w:left w:w="0" w:type="dxa"/>
          <w:bottom w:w="0" w:type="dxa"/>
          <w:right w:w="0" w:type="dxa"/>
        </w:tblCellMar>
        <w:tblLook w:val="01E0"/>
      </w:tblPr>
      <w:tblGrid>
        <w:gridCol w:w="3257"/>
        <w:gridCol w:w="1419"/>
        <w:gridCol w:w="1421"/>
        <w:gridCol w:w="1418"/>
        <w:gridCol w:w="1421"/>
        <w:gridCol w:w="1421"/>
        <w:gridCol w:w="1419"/>
        <w:gridCol w:w="1421"/>
        <w:gridCol w:w="1421"/>
      </w:tblGrid>
      <w:tr>
        <w:trPr>
          <w:trHeight w:val="341" w:hRule="exact"/>
        </w:trPr>
        <w:tc>
          <w:tcPr>
            <w:tcW w:w="3257"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361"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0"/>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341" w:hRule="exact"/>
        </w:trPr>
        <w:tc>
          <w:tcPr>
            <w:tcW w:w="3257"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07"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2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08"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0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5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31"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8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38"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8"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8"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9"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spacing w:val="-1"/>
                <w:sz w:val="15"/>
              </w:rPr>
              <w:t>5,741,998.00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spacing w:val="-1"/>
                <w:sz w:val="15"/>
              </w:rPr>
              <w:t>-5,741,998.00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5,741,998.00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-5,741,998.00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8"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8"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4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338"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spacing w:val="-1"/>
                <w:sz w:val="15"/>
              </w:rPr>
              <w:t>96,227,998.00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spacing w:val="-1"/>
                <w:sz w:val="15"/>
              </w:rPr>
              <w:t>20,857,045.81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spacing w:val="-1"/>
                <w:sz w:val="15"/>
              </w:rPr>
              <w:t>5,887,067.95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5"/>
                <w:szCs w:val="15"/>
              </w:rPr>
            </w:pPr>
            <w:r>
              <w:rPr>
                <w:rFonts w:ascii="Times New Roman"/>
                <w:spacing w:val="-1"/>
                <w:sz w:val="15"/>
              </w:rPr>
              <w:t>-13,771,637.92</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5"/>
                <w:szCs w:val="15"/>
              </w:rPr>
            </w:pPr>
            <w:r>
              <w:rPr>
                <w:rFonts w:ascii="Times New Roman"/>
                <w:spacing w:val="-1"/>
                <w:sz w:val="15"/>
              </w:rPr>
              <w:t>109,200,473.84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6840" w:h="11910" w:orient="landscape"/>
          <w:pgMar w:header="0" w:footer="947" w:top="1100" w:bottom="1140" w:left="940" w:right="0"/>
        </w:sectPr>
      </w:pPr>
    </w:p>
    <w:p>
      <w:pPr>
        <w:tabs>
          <w:tab w:pos="2752" w:val="left" w:leader="none"/>
        </w:tabs>
        <w:spacing w:before="44"/>
        <w:ind w:left="19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3470" w:val="left" w:leader="none"/>
        </w:tabs>
        <w:spacing w:before="44"/>
        <w:ind w:left="19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3112" w:val="left" w:leader="none"/>
        </w:tabs>
        <w:spacing w:before="44"/>
        <w:ind w:left="192"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580" w:bottom="1140" w:left="940" w:right="0"/>
          <w:cols w:num="3" w:equalWidth="0">
            <w:col w:w="2754" w:space="672"/>
            <w:col w:w="3471" w:space="760"/>
            <w:col w:w="8243"/>
          </w:cols>
        </w:sectPr>
      </w:pPr>
    </w:p>
    <w:p>
      <w:pPr>
        <w:pStyle w:val="Heading2"/>
        <w:spacing w:line="404" w:lineRule="exact"/>
        <w:ind w:right="1021"/>
        <w:jc w:val="center"/>
      </w:pPr>
      <w:r>
        <w:rPr/>
        <w:t>深圳大通实业股份有限公司</w:t>
      </w:r>
    </w:p>
    <w:p>
      <w:pPr>
        <w:pStyle w:val="Heading2"/>
        <w:spacing w:line="240" w:lineRule="auto" w:before="143"/>
        <w:ind w:right="1020"/>
        <w:jc w:val="center"/>
      </w:pPr>
      <w:r>
        <w:rPr/>
        <w:t>财务报表附注</w:t>
      </w:r>
    </w:p>
    <w:p>
      <w:pPr>
        <w:spacing w:line="240" w:lineRule="auto" w:before="12"/>
        <w:rPr>
          <w:rFonts w:ascii="黑体" w:hAnsi="黑体" w:cs="黑体" w:eastAsia="黑体" w:hint="default"/>
          <w:sz w:val="24"/>
          <w:szCs w:val="24"/>
        </w:rPr>
      </w:pPr>
    </w:p>
    <w:p>
      <w:pPr>
        <w:spacing w:before="0"/>
        <w:ind w:left="0" w:right="1018"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spacing w:line="240" w:lineRule="auto" w:before="3"/>
        <w:rPr>
          <w:rFonts w:ascii="宋体" w:hAnsi="宋体" w:cs="宋体" w:eastAsia="宋体" w:hint="default"/>
          <w:sz w:val="16"/>
          <w:szCs w:val="16"/>
        </w:rPr>
      </w:pPr>
    </w:p>
    <w:p>
      <w:pPr>
        <w:spacing w:before="36"/>
        <w:ind w:left="112" w:right="0" w:firstLine="0"/>
        <w:jc w:val="left"/>
        <w:rPr>
          <w:rFonts w:ascii="黑体" w:hAnsi="黑体" w:cs="黑体" w:eastAsia="黑体" w:hint="default"/>
          <w:sz w:val="21"/>
          <w:szCs w:val="21"/>
        </w:rPr>
      </w:pPr>
      <w:r>
        <w:rPr>
          <w:rFonts w:ascii="黑体" w:hAnsi="黑体" w:cs="黑体" w:eastAsia="黑体" w:hint="default"/>
          <w:b/>
          <w:bCs/>
          <w:sz w:val="21"/>
          <w:szCs w:val="21"/>
        </w:rPr>
        <w:t>一、公司基本情况</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8"/>
          <w:szCs w:val="18"/>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（一）公司概况</w:t>
      </w:r>
    </w:p>
    <w:p>
      <w:pPr>
        <w:spacing w:line="240" w:lineRule="auto" w:before="1"/>
        <w:rPr>
          <w:rFonts w:ascii="宋体" w:hAnsi="宋体" w:cs="宋体" w:eastAsia="宋体" w:hint="default"/>
          <w:sz w:val="17"/>
          <w:szCs w:val="17"/>
        </w:rPr>
      </w:pPr>
    </w:p>
    <w:p>
      <w:pPr>
        <w:spacing w:line="391" w:lineRule="auto" w:before="0"/>
        <w:ind w:left="593" w:right="5474" w:firstLine="0"/>
        <w:jc w:val="left"/>
        <w:rPr>
          <w:rFonts w:ascii="宋体" w:hAnsi="宋体" w:cs="宋体" w:eastAsia="宋体" w:hint="default"/>
          <w:sz w:val="21"/>
          <w:szCs w:val="21"/>
        </w:rPr>
      </w:pPr>
      <w:r>
        <w:rPr>
          <w:rFonts w:ascii="宋体" w:hAnsi="宋体" w:cs="宋体" w:eastAsia="宋体" w:hint="default"/>
          <w:sz w:val="21"/>
          <w:szCs w:val="21"/>
        </w:rPr>
        <w:t>公司名称：深圳大通实业股份有限公司</w:t>
      </w:r>
      <w:r>
        <w:rPr>
          <w:rFonts w:ascii="宋体" w:hAnsi="宋体" w:cs="宋体" w:eastAsia="宋体" w:hint="default"/>
          <w:w w:val="100"/>
          <w:sz w:val="21"/>
          <w:szCs w:val="21"/>
        </w:rPr>
        <w:t> </w:t>
      </w:r>
      <w:r>
        <w:rPr>
          <w:rFonts w:ascii="宋体" w:hAnsi="宋体" w:cs="宋体" w:eastAsia="宋体" w:hint="default"/>
          <w:sz w:val="21"/>
          <w:szCs w:val="21"/>
        </w:rPr>
        <w:t>注册地址：深圳市华侨城东部工业区</w:t>
      </w:r>
      <w:r>
        <w:rPr>
          <w:rFonts w:ascii="宋体" w:hAnsi="宋体" w:cs="宋体" w:eastAsia="宋体" w:hint="default"/>
          <w:w w:val="100"/>
          <w:sz w:val="21"/>
          <w:szCs w:val="21"/>
        </w:rPr>
        <w:t> </w:t>
      </w:r>
      <w:r>
        <w:rPr>
          <w:rFonts w:ascii="宋体" w:hAnsi="宋体" w:cs="宋体" w:eastAsia="宋体" w:hint="default"/>
          <w:sz w:val="21"/>
          <w:szCs w:val="21"/>
        </w:rPr>
        <w:t>注册资本：</w:t>
      </w:r>
      <w:r>
        <w:rPr>
          <w:rFonts w:ascii="Times New Roman" w:hAnsi="Times New Roman" w:cs="Times New Roman" w:eastAsia="Times New Roman" w:hint="default"/>
          <w:sz w:val="21"/>
          <w:szCs w:val="21"/>
        </w:rPr>
        <w:t>96,227,998.00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r>
        <w:rPr>
          <w:rFonts w:ascii="宋体" w:hAnsi="宋体" w:cs="宋体" w:eastAsia="宋体" w:hint="default"/>
          <w:spacing w:val="-103"/>
          <w:sz w:val="21"/>
          <w:szCs w:val="21"/>
        </w:rPr>
        <w:t> </w:t>
      </w:r>
      <w:r>
        <w:rPr>
          <w:rFonts w:ascii="宋体" w:hAnsi="宋体" w:cs="宋体" w:eastAsia="宋体" w:hint="default"/>
          <w:spacing w:val="-1"/>
          <w:sz w:val="21"/>
          <w:szCs w:val="21"/>
        </w:rPr>
        <w:t>企业法人营业执照注册号：</w:t>
      </w:r>
      <w:r>
        <w:rPr>
          <w:rFonts w:ascii="Times New Roman" w:hAnsi="Times New Roman" w:cs="Times New Roman" w:eastAsia="Times New Roman" w:hint="default"/>
          <w:spacing w:val="-1"/>
          <w:sz w:val="21"/>
          <w:szCs w:val="21"/>
        </w:rPr>
        <w:t>440301104515702</w:t>
      </w:r>
      <w:r>
        <w:rPr>
          <w:rFonts w:ascii="Times New Roman" w:hAnsi="Times New Roman" w:cs="Times New Roman" w:eastAsia="Times New Roman" w:hint="default"/>
          <w:spacing w:val="-27"/>
          <w:sz w:val="21"/>
          <w:szCs w:val="21"/>
        </w:rPr>
        <w:t> </w:t>
      </w:r>
      <w:r>
        <w:rPr>
          <w:rFonts w:ascii="Times New Roman" w:hAnsi="Times New Roman" w:cs="Times New Roman" w:eastAsia="Times New Roman" w:hint="default"/>
          <w:spacing w:val="-27"/>
          <w:sz w:val="21"/>
          <w:szCs w:val="21"/>
        </w:rPr>
      </w:r>
      <w:r>
        <w:rPr>
          <w:rFonts w:ascii="宋体" w:hAnsi="宋体" w:cs="宋体" w:eastAsia="宋体" w:hint="default"/>
          <w:sz w:val="21"/>
          <w:szCs w:val="21"/>
        </w:rPr>
        <w:t>企业法定代表人：许亚楠</w:t>
      </w:r>
    </w:p>
    <w:p>
      <w:pPr>
        <w:spacing w:line="468" w:lineRule="auto" w:before="136"/>
        <w:ind w:left="112" w:right="1133" w:firstLine="360"/>
        <w:jc w:val="left"/>
        <w:rPr>
          <w:rFonts w:ascii="宋体" w:hAnsi="宋体" w:cs="宋体" w:eastAsia="宋体" w:hint="default"/>
          <w:sz w:val="18"/>
          <w:szCs w:val="18"/>
        </w:rPr>
      </w:pPr>
      <w:r>
        <w:rPr>
          <w:rFonts w:ascii="宋体" w:hAnsi="宋体" w:cs="宋体" w:eastAsia="宋体" w:hint="default"/>
          <w:spacing w:val="-6"/>
          <w:sz w:val="18"/>
          <w:szCs w:val="18"/>
        </w:rPr>
        <w:t>经营范围：房地产开发，经营；国内贸易（不含专营、专控、专卖商品）；兴办实业（具体项目另行申报），计算机软硬</w:t>
      </w:r>
      <w:r>
        <w:rPr>
          <w:rFonts w:ascii="宋体" w:hAnsi="宋体" w:cs="宋体" w:eastAsia="宋体" w:hint="default"/>
          <w:sz w:val="18"/>
          <w:szCs w:val="18"/>
        </w:rPr>
        <w:t> 件开发及销售，经营进出口业务（具体按照深贸管准证字第</w:t>
      </w:r>
      <w:r>
        <w:rPr>
          <w:rFonts w:ascii="Times New Roman" w:hAnsi="Times New Roman" w:cs="Times New Roman" w:eastAsia="Times New Roman" w:hint="default"/>
          <w:sz w:val="18"/>
          <w:szCs w:val="18"/>
        </w:rPr>
        <w:t>2003-3670</w:t>
      </w:r>
      <w:r>
        <w:rPr>
          <w:rFonts w:ascii="宋体" w:hAnsi="宋体" w:cs="宋体" w:eastAsia="宋体" w:hint="default"/>
          <w:sz w:val="18"/>
          <w:szCs w:val="18"/>
        </w:rPr>
        <w:t>号资格证书办理）。</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4"/>
          <w:szCs w:val="24"/>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（二）公司历史沿革</w:t>
      </w:r>
    </w:p>
    <w:p>
      <w:pPr>
        <w:spacing w:line="240" w:lineRule="auto" w:before="2"/>
        <w:rPr>
          <w:rFonts w:ascii="宋体" w:hAnsi="宋体" w:cs="宋体" w:eastAsia="宋体" w:hint="default"/>
          <w:sz w:val="20"/>
          <w:szCs w:val="20"/>
        </w:rPr>
      </w:pPr>
    </w:p>
    <w:p>
      <w:pPr>
        <w:spacing w:line="444" w:lineRule="auto" w:before="0"/>
        <w:ind w:left="112" w:right="1118" w:firstLine="360"/>
        <w:jc w:val="left"/>
        <w:rPr>
          <w:rFonts w:ascii="宋体" w:hAnsi="宋体" w:cs="宋体" w:eastAsia="宋体" w:hint="default"/>
          <w:sz w:val="18"/>
          <w:szCs w:val="18"/>
        </w:rPr>
      </w:pPr>
      <w:r>
        <w:rPr>
          <w:rFonts w:ascii="宋体" w:hAnsi="宋体" w:cs="宋体" w:eastAsia="宋体" w:hint="default"/>
          <w:spacing w:val="9"/>
          <w:sz w:val="18"/>
          <w:szCs w:val="18"/>
        </w:rPr>
        <w:t>深圳大通实</w:t>
      </w:r>
      <w:r>
        <w:rPr>
          <w:rFonts w:ascii="宋体" w:hAnsi="宋体" w:cs="宋体" w:eastAsia="宋体" w:hint="default"/>
          <w:spacing w:val="7"/>
          <w:sz w:val="18"/>
          <w:szCs w:val="18"/>
        </w:rPr>
        <w:t>业</w:t>
      </w:r>
      <w:r>
        <w:rPr>
          <w:rFonts w:ascii="宋体" w:hAnsi="宋体" w:cs="宋体" w:eastAsia="宋体" w:hint="default"/>
          <w:spacing w:val="9"/>
          <w:sz w:val="18"/>
          <w:szCs w:val="18"/>
        </w:rPr>
        <w:t>股份有</w:t>
      </w:r>
      <w:r>
        <w:rPr>
          <w:rFonts w:ascii="宋体" w:hAnsi="宋体" w:cs="宋体" w:eastAsia="宋体" w:hint="default"/>
          <w:spacing w:val="7"/>
          <w:sz w:val="18"/>
          <w:szCs w:val="18"/>
        </w:rPr>
        <w:t>限</w:t>
      </w:r>
      <w:r>
        <w:rPr>
          <w:rFonts w:ascii="宋体" w:hAnsi="宋体" w:cs="宋体" w:eastAsia="宋体" w:hint="default"/>
          <w:spacing w:val="9"/>
          <w:sz w:val="18"/>
          <w:szCs w:val="18"/>
        </w:rPr>
        <w:t>公</w:t>
      </w:r>
      <w:r>
        <w:rPr>
          <w:rFonts w:ascii="宋体" w:hAnsi="宋体" w:cs="宋体" w:eastAsia="宋体" w:hint="default"/>
          <w:spacing w:val="7"/>
          <w:sz w:val="18"/>
          <w:szCs w:val="18"/>
        </w:rPr>
        <w:t>司</w:t>
      </w:r>
      <w:r>
        <w:rPr>
          <w:rFonts w:ascii="宋体" w:hAnsi="宋体" w:cs="宋体" w:eastAsia="宋体" w:hint="default"/>
          <w:spacing w:val="9"/>
          <w:sz w:val="18"/>
          <w:szCs w:val="18"/>
        </w:rPr>
        <w:t>（以下简</w:t>
      </w:r>
      <w:r>
        <w:rPr>
          <w:rFonts w:ascii="宋体" w:hAnsi="宋体" w:cs="宋体" w:eastAsia="宋体" w:hint="default"/>
          <w:spacing w:val="13"/>
          <w:sz w:val="18"/>
          <w:szCs w:val="18"/>
        </w:rPr>
        <w:t>称</w:t>
      </w:r>
      <w:r>
        <w:rPr>
          <w:rFonts w:ascii="Times New Roman" w:hAnsi="Times New Roman" w:cs="Times New Roman" w:eastAsia="Times New Roman" w:hint="default"/>
          <w:spacing w:val="8"/>
          <w:w w:val="44"/>
          <w:sz w:val="18"/>
          <w:szCs w:val="18"/>
        </w:rPr>
        <w:t>―</w:t>
      </w:r>
      <w:r>
        <w:rPr>
          <w:rFonts w:ascii="宋体" w:hAnsi="宋体" w:cs="宋体" w:eastAsia="宋体" w:hint="default"/>
          <w:spacing w:val="7"/>
          <w:sz w:val="18"/>
          <w:szCs w:val="18"/>
        </w:rPr>
        <w:t>本</w:t>
      </w:r>
      <w:r>
        <w:rPr>
          <w:rFonts w:ascii="宋体" w:hAnsi="宋体" w:cs="宋体" w:eastAsia="宋体" w:hint="default"/>
          <w:spacing w:val="9"/>
          <w:sz w:val="18"/>
          <w:szCs w:val="18"/>
        </w:rPr>
        <w:t>公</w:t>
      </w:r>
      <w:r>
        <w:rPr>
          <w:rFonts w:ascii="宋体" w:hAnsi="宋体" w:cs="宋体" w:eastAsia="宋体" w:hint="default"/>
          <w:spacing w:val="10"/>
          <w:sz w:val="18"/>
          <w:szCs w:val="18"/>
        </w:rPr>
        <w:t>司</w:t>
      </w:r>
      <w:r>
        <w:rPr>
          <w:rFonts w:ascii="Times New Roman" w:hAnsi="Times New Roman" w:cs="Times New Roman" w:eastAsia="Times New Roman" w:hint="default"/>
          <w:spacing w:val="8"/>
          <w:w w:val="158"/>
          <w:sz w:val="18"/>
          <w:szCs w:val="18"/>
        </w:rPr>
        <w:t>‖</w:t>
      </w:r>
      <w:r>
        <w:rPr>
          <w:rFonts w:ascii="宋体" w:hAnsi="宋体" w:cs="宋体" w:eastAsia="宋体" w:hint="default"/>
          <w:spacing w:val="9"/>
          <w:sz w:val="18"/>
          <w:szCs w:val="18"/>
        </w:rPr>
        <w:t>）</w:t>
      </w:r>
      <w:r>
        <w:rPr>
          <w:rFonts w:ascii="宋体" w:hAnsi="宋体" w:cs="宋体" w:eastAsia="宋体" w:hint="default"/>
          <w:spacing w:val="7"/>
          <w:sz w:val="18"/>
          <w:szCs w:val="18"/>
        </w:rPr>
        <w:t>前</w:t>
      </w:r>
      <w:r>
        <w:rPr>
          <w:rFonts w:ascii="宋体" w:hAnsi="宋体" w:cs="宋体" w:eastAsia="宋体" w:hint="default"/>
          <w:spacing w:val="9"/>
          <w:sz w:val="18"/>
          <w:szCs w:val="18"/>
        </w:rPr>
        <w:t>身</w:t>
      </w:r>
      <w:r>
        <w:rPr>
          <w:rFonts w:ascii="宋体" w:hAnsi="宋体" w:cs="宋体" w:eastAsia="宋体" w:hint="default"/>
          <w:spacing w:val="7"/>
          <w:sz w:val="18"/>
          <w:szCs w:val="18"/>
        </w:rPr>
        <w:t>为</w:t>
      </w:r>
      <w:r>
        <w:rPr>
          <w:rFonts w:ascii="宋体" w:hAnsi="宋体" w:cs="宋体" w:eastAsia="宋体" w:hint="default"/>
          <w:spacing w:val="9"/>
          <w:sz w:val="18"/>
          <w:szCs w:val="18"/>
        </w:rPr>
        <w:t>大通实</w:t>
      </w:r>
      <w:r>
        <w:rPr>
          <w:rFonts w:ascii="宋体" w:hAnsi="宋体" w:cs="宋体" w:eastAsia="宋体" w:hint="default"/>
          <w:spacing w:val="10"/>
          <w:sz w:val="18"/>
          <w:szCs w:val="18"/>
        </w:rPr>
        <w:t>业</w:t>
      </w:r>
      <w:r>
        <w:rPr>
          <w:rFonts w:ascii="Times New Roman" w:hAnsi="Times New Roman" w:cs="Times New Roman" w:eastAsia="Times New Roman" w:hint="default"/>
          <w:spacing w:val="7"/>
          <w:sz w:val="18"/>
          <w:szCs w:val="18"/>
        </w:rPr>
        <w:t>(</w:t>
      </w:r>
      <w:r>
        <w:rPr>
          <w:rFonts w:ascii="宋体" w:hAnsi="宋体" w:cs="宋体" w:eastAsia="宋体" w:hint="default"/>
          <w:spacing w:val="9"/>
          <w:sz w:val="18"/>
          <w:szCs w:val="18"/>
        </w:rPr>
        <w:t>深圳</w:t>
      </w:r>
      <w:r>
        <w:rPr>
          <w:rFonts w:ascii="Times New Roman" w:hAnsi="Times New Roman" w:cs="Times New Roman" w:eastAsia="Times New Roman" w:hint="default"/>
          <w:spacing w:val="9"/>
          <w:sz w:val="18"/>
          <w:szCs w:val="18"/>
        </w:rPr>
        <w:t>)</w:t>
      </w:r>
      <w:r>
        <w:rPr>
          <w:rFonts w:ascii="宋体" w:hAnsi="宋体" w:cs="宋体" w:eastAsia="宋体" w:hint="default"/>
          <w:spacing w:val="7"/>
          <w:sz w:val="18"/>
          <w:szCs w:val="18"/>
        </w:rPr>
        <w:t>有</w:t>
      </w:r>
      <w:r>
        <w:rPr>
          <w:rFonts w:ascii="宋体" w:hAnsi="宋体" w:cs="宋体" w:eastAsia="宋体" w:hint="default"/>
          <w:spacing w:val="9"/>
          <w:sz w:val="18"/>
          <w:szCs w:val="18"/>
        </w:rPr>
        <w:t>限公</w:t>
      </w:r>
      <w:r>
        <w:rPr>
          <w:rFonts w:ascii="宋体" w:hAnsi="宋体" w:cs="宋体" w:eastAsia="宋体" w:hint="default"/>
          <w:spacing w:val="10"/>
          <w:sz w:val="18"/>
          <w:szCs w:val="18"/>
        </w:rPr>
        <w:t>司</w:t>
      </w:r>
      <w:r>
        <w:rPr>
          <w:rFonts w:ascii="宋体" w:hAnsi="宋体" w:cs="宋体" w:eastAsia="宋体" w:hint="default"/>
          <w:spacing w:val="7"/>
          <w:sz w:val="18"/>
          <w:szCs w:val="18"/>
        </w:rPr>
        <w:t>，经</w:t>
      </w:r>
      <w:r>
        <w:rPr>
          <w:rFonts w:ascii="宋体" w:hAnsi="宋体" w:cs="宋体" w:eastAsia="宋体" w:hint="default"/>
          <w:spacing w:val="9"/>
          <w:sz w:val="18"/>
          <w:szCs w:val="18"/>
        </w:rPr>
        <w:t>深圳市人民</w:t>
      </w:r>
      <w:r>
        <w:rPr>
          <w:rFonts w:ascii="宋体" w:hAnsi="宋体" w:cs="宋体" w:eastAsia="宋体" w:hint="default"/>
          <w:spacing w:val="7"/>
          <w:sz w:val="18"/>
          <w:szCs w:val="18"/>
        </w:rPr>
        <w:t>政</w:t>
      </w:r>
      <w:r>
        <w:rPr>
          <w:rFonts w:ascii="宋体" w:hAnsi="宋体" w:cs="宋体" w:eastAsia="宋体" w:hint="default"/>
          <w:spacing w:val="11"/>
          <w:sz w:val="18"/>
          <w:szCs w:val="18"/>
        </w:rPr>
        <w:t>府</w:t>
      </w:r>
      <w:r>
        <w:rPr>
          <w:rFonts w:ascii="Times New Roman" w:hAnsi="Times New Roman" w:cs="Times New Roman" w:eastAsia="Times New Roman" w:hint="default"/>
          <w:spacing w:val="8"/>
          <w:w w:val="44"/>
          <w:sz w:val="18"/>
          <w:szCs w:val="18"/>
        </w:rPr>
        <w:t>―</w:t>
      </w:r>
      <w:r>
        <w:rPr>
          <w:rFonts w:ascii="宋体" w:hAnsi="宋体" w:cs="宋体" w:eastAsia="宋体" w:hint="default"/>
          <w:spacing w:val="9"/>
          <w:sz w:val="18"/>
          <w:szCs w:val="18"/>
        </w:rPr>
        <w:t>深府外复 </w:t>
      </w:r>
      <w:r>
        <w:rPr>
          <w:rFonts w:ascii="Times New Roman" w:hAnsi="Times New Roman" w:cs="Times New Roman" w:eastAsia="Times New Roman" w:hint="default"/>
          <w:sz w:val="18"/>
          <w:szCs w:val="18"/>
        </w:rPr>
        <w:t>(1990)686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文批准，于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日由广东华侨投资公司、香港益通电子有限公司、深圳新通阳电子元件工业有限公</w:t>
      </w:r>
    </w:p>
    <w:p>
      <w:pPr>
        <w:spacing w:before="42"/>
        <w:ind w:left="112" w:right="0" w:firstLine="0"/>
        <w:jc w:val="left"/>
        <w:rPr>
          <w:rFonts w:ascii="宋体" w:hAnsi="宋体" w:cs="宋体" w:eastAsia="宋体" w:hint="default"/>
          <w:sz w:val="18"/>
          <w:szCs w:val="18"/>
        </w:rPr>
      </w:pPr>
      <w:r>
        <w:rPr>
          <w:rFonts w:ascii="宋体" w:hAnsi="宋体" w:cs="宋体" w:eastAsia="宋体" w:hint="default"/>
          <w:sz w:val="18"/>
          <w:szCs w:val="18"/>
        </w:rPr>
        <w:t>司、运通电子</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实业有限公司、香港威利马电器有限公司共同发起设立。</w:t>
      </w: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日经深圳证券管理办公室以深</w:t>
      </w:r>
    </w:p>
    <w:p>
      <w:pPr>
        <w:spacing w:line="240" w:lineRule="auto" w:before="13"/>
        <w:rPr>
          <w:rFonts w:ascii="宋体" w:hAnsi="宋体" w:cs="宋体" w:eastAsia="宋体" w:hint="default"/>
          <w:sz w:val="15"/>
          <w:szCs w:val="15"/>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证办复（</w:t>
      </w:r>
      <w:r>
        <w:rPr>
          <w:rFonts w:ascii="Times New Roman" w:hAnsi="Times New Roman" w:cs="Times New Roman" w:eastAsia="Times New Roman" w:hint="default"/>
          <w:sz w:val="18"/>
          <w:szCs w:val="18"/>
        </w:rPr>
        <w:t>1993</w:t>
      </w:r>
      <w:r>
        <w:rPr>
          <w:rFonts w:ascii="宋体" w:hAnsi="宋体" w:cs="宋体" w:eastAsia="宋体" w:hint="default"/>
          <w:sz w:val="18"/>
          <w:szCs w:val="18"/>
        </w:rPr>
        <w:t>）第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号文批准，公司发行面值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4,302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万股，外资法人股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日在深</w:t>
      </w:r>
    </w:p>
    <w:p>
      <w:pPr>
        <w:spacing w:line="240" w:lineRule="auto" w:before="2"/>
        <w:rPr>
          <w:rFonts w:ascii="宋体" w:hAnsi="宋体" w:cs="宋体" w:eastAsia="宋体" w:hint="default"/>
          <w:sz w:val="16"/>
          <w:szCs w:val="1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圳证券交易所上市。经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年送红股配送新股，</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年资本公积转增股本后，截至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日本公司股本已增至</w:t>
      </w:r>
    </w:p>
    <w:p>
      <w:pPr>
        <w:spacing w:line="240" w:lineRule="auto" w:before="2"/>
        <w:rPr>
          <w:rFonts w:ascii="宋体" w:hAnsi="宋体" w:cs="宋体" w:eastAsia="宋体" w:hint="default"/>
          <w:sz w:val="16"/>
          <w:szCs w:val="1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9,048.6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万元。据本公司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年第一次临时股东大会通过的《资产赠与、资本公积金定向转增股本暨股权分置改革方案的议</w:t>
      </w:r>
    </w:p>
    <w:p>
      <w:pPr>
        <w:spacing w:line="240" w:lineRule="auto" w:before="13"/>
        <w:rPr>
          <w:rFonts w:ascii="宋体" w:hAnsi="宋体" w:cs="宋体" w:eastAsia="宋体" w:hint="default"/>
          <w:sz w:val="15"/>
          <w:szCs w:val="15"/>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案》和修改后的章程规定，本公司以现有总股本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90,486,000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19,140,000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股的流通股为基数，以截止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spacing w:line="240" w:lineRule="auto" w:before="2"/>
        <w:rPr>
          <w:rFonts w:ascii="宋体" w:hAnsi="宋体" w:cs="宋体" w:eastAsia="宋体" w:hint="default"/>
          <w:sz w:val="16"/>
          <w:szCs w:val="1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经审计的资本公积金向股改实施股份变更登记日登记在册的公司全体流通股股东每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股定向转增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股；本公司增加注册资</w:t>
      </w:r>
    </w:p>
    <w:p>
      <w:pPr>
        <w:spacing w:line="240" w:lineRule="auto" w:before="3"/>
        <w:rPr>
          <w:rFonts w:ascii="宋体" w:hAnsi="宋体" w:cs="宋体" w:eastAsia="宋体" w:hint="default"/>
          <w:sz w:val="16"/>
          <w:szCs w:val="16"/>
        </w:rPr>
      </w:pPr>
    </w:p>
    <w:p>
      <w:pPr>
        <w:spacing w:line="480" w:lineRule="auto" w:before="0"/>
        <w:ind w:left="473" w:right="0" w:hanging="361"/>
        <w:jc w:val="left"/>
        <w:rPr>
          <w:rFonts w:ascii="宋体" w:hAnsi="宋体" w:cs="宋体" w:eastAsia="宋体" w:hint="default"/>
          <w:sz w:val="18"/>
          <w:szCs w:val="18"/>
        </w:rPr>
      </w:pPr>
      <w:r>
        <w:rPr>
          <w:rFonts w:ascii="宋体" w:hAnsi="宋体" w:cs="宋体" w:eastAsia="宋体" w:hint="default"/>
          <w:sz w:val="18"/>
          <w:szCs w:val="18"/>
        </w:rPr>
        <w:t>本人民币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5,741,998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元，均由资本公积转增股本，截至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日本公司注册资本为人民币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96,227,998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r>
        <w:rPr>
          <w:rFonts w:ascii="宋体" w:hAnsi="宋体" w:cs="宋体" w:eastAsia="宋体" w:hint="default"/>
          <w:spacing w:val="-2"/>
          <w:sz w:val="18"/>
          <w:szCs w:val="18"/>
        </w:rPr>
        <w:t>由于公司</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年度、</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年度净利润均为负值，根据深交所相关规定，股票自</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日起实行退市风险警示的特别</w:t>
      </w:r>
    </w:p>
    <w:p>
      <w:pPr>
        <w:spacing w:line="444" w:lineRule="auto" w:before="12"/>
        <w:ind w:left="112" w:right="0" w:firstLine="0"/>
        <w:jc w:val="left"/>
        <w:rPr>
          <w:rFonts w:ascii="宋体" w:hAnsi="宋体" w:cs="宋体" w:eastAsia="宋体" w:hint="default"/>
          <w:sz w:val="18"/>
          <w:szCs w:val="18"/>
        </w:rPr>
      </w:pPr>
      <w:r>
        <w:rPr>
          <w:rFonts w:ascii="宋体" w:hAnsi="宋体" w:cs="宋体" w:eastAsia="宋体" w:hint="default"/>
          <w:sz w:val="18"/>
          <w:szCs w:val="18"/>
        </w:rPr>
        <w:t>处理</w:t>
      </w:r>
      <w:r>
        <w:rPr>
          <w:rFonts w:ascii="宋体" w:hAnsi="宋体" w:cs="宋体" w:eastAsia="宋体" w:hint="default"/>
          <w:spacing w:val="-15"/>
          <w:sz w:val="18"/>
          <w:szCs w:val="18"/>
        </w:rPr>
        <w:t>，</w:t>
      </w:r>
      <w:r>
        <w:rPr>
          <w:rFonts w:ascii="宋体" w:hAnsi="宋体" w:cs="宋体" w:eastAsia="宋体" w:hint="default"/>
          <w:sz w:val="18"/>
          <w:szCs w:val="18"/>
        </w:rPr>
        <w:t>股票简称由</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深大通</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变</w:t>
      </w:r>
      <w:r>
        <w:rPr>
          <w:rFonts w:ascii="宋体" w:hAnsi="宋体" w:cs="宋体" w:eastAsia="宋体" w:hint="default"/>
          <w:sz w:val="18"/>
          <w:szCs w:val="18"/>
        </w:rPr>
        <w:t>更为</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2"/>
          <w:w w:val="100"/>
          <w:sz w:val="18"/>
          <w:szCs w:val="18"/>
        </w:rPr>
        <w:t>T</w:t>
      </w:r>
      <w:r>
        <w:rPr>
          <w:rFonts w:ascii="宋体" w:hAnsi="宋体" w:cs="宋体" w:eastAsia="宋体" w:hint="default"/>
          <w:sz w:val="18"/>
          <w:szCs w:val="18"/>
        </w:rPr>
        <w:t>大</w:t>
      </w:r>
      <w:r>
        <w:rPr>
          <w:rFonts w:ascii="宋体" w:hAnsi="宋体" w:cs="宋体" w:eastAsia="宋体" w:hint="default"/>
          <w:spacing w:val="2"/>
          <w:sz w:val="18"/>
          <w:szCs w:val="18"/>
        </w:rPr>
        <w:t>通</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股票交易日</w:t>
      </w:r>
      <w:r>
        <w:rPr>
          <w:rFonts w:ascii="宋体" w:hAnsi="宋体" w:cs="宋体" w:eastAsia="宋体" w:hint="default"/>
          <w:spacing w:val="2"/>
          <w:sz w:val="18"/>
          <w:szCs w:val="18"/>
        </w:rPr>
        <w:t>涨</w:t>
      </w:r>
      <w:r>
        <w:rPr>
          <w:rFonts w:ascii="宋体" w:hAnsi="宋体" w:cs="宋体" w:eastAsia="宋体" w:hint="default"/>
          <w:sz w:val="18"/>
          <w:szCs w:val="18"/>
        </w:rPr>
        <w:t>跌幅限制变为</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因公司</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年</w:t>
      </w:r>
      <w:r>
        <w:rPr>
          <w:rFonts w:ascii="宋体" w:hAnsi="宋体" w:cs="宋体" w:eastAsia="宋体" w:hint="default"/>
          <w:spacing w:val="-15"/>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2"/>
          <w:sz w:val="18"/>
          <w:szCs w:val="18"/>
        </w:rPr>
        <w:t>5</w:t>
      </w:r>
      <w:r>
        <w:rPr>
          <w:rFonts w:ascii="宋体" w:hAnsi="宋体" w:cs="宋体" w:eastAsia="宋体" w:hint="default"/>
          <w:sz w:val="18"/>
          <w:szCs w:val="18"/>
        </w:rPr>
        <w:t>年</w:t>
      </w:r>
      <w:r>
        <w:rPr>
          <w:rFonts w:ascii="宋体" w:hAnsi="宋体" w:cs="宋体" w:eastAsia="宋体" w:hint="default"/>
          <w:spacing w:val="-15"/>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年连续三</w:t>
      </w:r>
      <w:r>
        <w:rPr>
          <w:rFonts w:ascii="宋体" w:hAnsi="宋体" w:cs="宋体" w:eastAsia="宋体" w:hint="default"/>
          <w:spacing w:val="-3"/>
          <w:sz w:val="18"/>
          <w:szCs w:val="18"/>
        </w:rPr>
        <w:t>年</w:t>
      </w:r>
      <w:r>
        <w:rPr>
          <w:rFonts w:ascii="宋体" w:hAnsi="宋体" w:cs="宋体" w:eastAsia="宋体" w:hint="default"/>
          <w:sz w:val="18"/>
          <w:szCs w:val="18"/>
        </w:rPr>
        <w:t>亏</w:t>
      </w:r>
      <w:r>
        <w:rPr>
          <w:rFonts w:ascii="宋体" w:hAnsi="宋体" w:cs="宋体" w:eastAsia="宋体" w:hint="default"/>
          <w:sz w:val="18"/>
          <w:szCs w:val="18"/>
        </w:rPr>
        <w:t> </w:t>
      </w:r>
      <w:r>
        <w:rPr>
          <w:rFonts w:ascii="宋体" w:hAnsi="宋体" w:cs="宋体" w:eastAsia="宋体" w:hint="default"/>
          <w:spacing w:val="-8"/>
          <w:sz w:val="18"/>
          <w:szCs w:val="18"/>
        </w:rPr>
        <w:t>损，根据中国证监会颁布的《亏损上市公司暂停上市和终止上市实施办法（修订）》及《深圳证券交易所股票上市规则》</w:t>
      </w:r>
      <w:r>
        <w:rPr>
          <w:rFonts w:ascii="Times New Roman" w:hAnsi="Times New Roman" w:cs="Times New Roman" w:eastAsia="Times New Roman" w:hint="default"/>
          <w:spacing w:val="-8"/>
          <w:sz w:val="18"/>
          <w:szCs w:val="18"/>
        </w:rPr>
        <w:t>14.1.1</w:t>
      </w:r>
      <w:r>
        <w:rPr>
          <w:rFonts w:ascii="宋体" w:hAnsi="宋体" w:cs="宋体" w:eastAsia="宋体" w:hint="default"/>
          <w:spacing w:val="-8"/>
          <w:sz w:val="18"/>
          <w:szCs w:val="18"/>
        </w:rPr>
        <w:t>、</w:t>
      </w:r>
      <w:r>
        <w:rPr>
          <w:rFonts w:ascii="宋体" w:hAnsi="宋体" w:cs="宋体" w:eastAsia="宋体" w:hint="default"/>
          <w:spacing w:val="-56"/>
          <w:sz w:val="18"/>
          <w:szCs w:val="18"/>
        </w:rPr>
        <w:t> </w:t>
      </w:r>
      <w:r>
        <w:rPr>
          <w:rFonts w:ascii="Times New Roman" w:hAnsi="Times New Roman" w:cs="Times New Roman" w:eastAsia="Times New Roman" w:hint="default"/>
          <w:spacing w:val="-2"/>
          <w:sz w:val="18"/>
          <w:szCs w:val="18"/>
        </w:rPr>
        <w:t>14.1.2</w:t>
      </w:r>
      <w:r>
        <w:rPr>
          <w:rFonts w:ascii="宋体" w:hAnsi="宋体" w:cs="宋体" w:eastAsia="宋体" w:hint="default"/>
          <w:spacing w:val="-2"/>
          <w:sz w:val="18"/>
          <w:szCs w:val="18"/>
        </w:rPr>
        <w:t>的规定，深圳证券交易所深圳上</w:t>
      </w:r>
      <w:r>
        <w:rPr>
          <w:rFonts w:ascii="Times New Roman" w:hAnsi="Times New Roman" w:cs="Times New Roman" w:eastAsia="Times New Roman" w:hint="default"/>
          <w:spacing w:val="-2"/>
          <w:sz w:val="18"/>
          <w:szCs w:val="18"/>
        </w:rPr>
        <w:t>[2007]71</w:t>
      </w:r>
      <w:r>
        <w:rPr>
          <w:rFonts w:ascii="宋体" w:hAnsi="宋体" w:cs="宋体" w:eastAsia="宋体" w:hint="default"/>
          <w:spacing w:val="-2"/>
          <w:sz w:val="18"/>
          <w:szCs w:val="18"/>
        </w:rPr>
        <w:t>号《关于深圳大通实业股份有限公司暂停上市的决定》，决定公司股票自</w:t>
      </w:r>
      <w:r>
        <w:rPr>
          <w:rFonts w:ascii="Times New Roman" w:hAnsi="Times New Roman" w:cs="Times New Roman" w:eastAsia="Times New Roman" w:hint="default"/>
          <w:spacing w:val="-2"/>
          <w:sz w:val="18"/>
          <w:szCs w:val="18"/>
        </w:rPr>
        <w:t>2007</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日起暂停上市。</w:t>
      </w:r>
    </w:p>
    <w:p>
      <w:pPr>
        <w:spacing w:before="60"/>
        <w:ind w:left="533" w:right="0" w:firstLine="0"/>
        <w:jc w:val="left"/>
        <w:rPr>
          <w:rFonts w:ascii="宋体" w:hAnsi="宋体" w:cs="宋体" w:eastAsia="宋体" w:hint="default"/>
          <w:sz w:val="21"/>
          <w:szCs w:val="21"/>
        </w:rPr>
      </w:pPr>
      <w:r>
        <w:rPr>
          <w:rFonts w:ascii="宋体" w:hAnsi="宋体" w:cs="宋体" w:eastAsia="宋体" w:hint="default"/>
          <w:sz w:val="21"/>
          <w:szCs w:val="21"/>
        </w:rPr>
        <w:t>（三）财务报告的批准报出者和财务报告批准报出日</w:t>
      </w:r>
    </w:p>
    <w:p>
      <w:pPr>
        <w:spacing w:after="0"/>
        <w:jc w:val="left"/>
        <w:rPr>
          <w:rFonts w:ascii="宋体" w:hAnsi="宋体" w:cs="宋体" w:eastAsia="宋体" w:hint="default"/>
          <w:sz w:val="21"/>
          <w:szCs w:val="21"/>
        </w:rPr>
        <w:sectPr>
          <w:footerReference w:type="default" r:id="rId21"/>
          <w:pgSz w:w="11910" w:h="16840"/>
          <w:pgMar w:footer="956" w:header="0" w:top="1180" w:bottom="1140" w:left="1020" w:right="0"/>
          <w:pgNumType w:start="69"/>
        </w:sectPr>
      </w:pPr>
    </w:p>
    <w:p>
      <w:pPr>
        <w:spacing w:before="9"/>
        <w:ind w:left="533" w:right="0" w:firstLine="0"/>
        <w:jc w:val="left"/>
        <w:rPr>
          <w:rFonts w:ascii="宋体" w:hAnsi="宋体" w:cs="宋体" w:eastAsia="宋体" w:hint="default"/>
          <w:sz w:val="21"/>
          <w:szCs w:val="21"/>
        </w:rPr>
      </w:pPr>
      <w:r>
        <w:rPr>
          <w:rFonts w:ascii="宋体" w:hAnsi="宋体" w:cs="宋体" w:eastAsia="宋体" w:hint="default"/>
          <w:sz w:val="21"/>
          <w:szCs w:val="21"/>
        </w:rPr>
        <w:t>本公司财务报告已经本公司于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日召开的第七届第十一次董事会会议批准对外报出。</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112" w:right="0" w:firstLine="0"/>
        <w:jc w:val="left"/>
        <w:rPr>
          <w:rFonts w:ascii="黑体" w:hAnsi="黑体" w:cs="黑体" w:eastAsia="黑体" w:hint="default"/>
          <w:sz w:val="21"/>
          <w:szCs w:val="21"/>
        </w:rPr>
      </w:pPr>
      <w:r>
        <w:rPr>
          <w:rFonts w:ascii="黑体" w:hAnsi="黑体" w:cs="黑体" w:eastAsia="黑体" w:hint="default"/>
          <w:b/>
          <w:bCs/>
          <w:sz w:val="21"/>
          <w:szCs w:val="21"/>
        </w:rPr>
        <w:t>二、公司主要会计政策、会计估计和前期差错</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8"/>
          <w:szCs w:val="18"/>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line="460" w:lineRule="auto" w:before="0"/>
        <w:ind w:left="112" w:right="0" w:firstLine="360"/>
        <w:jc w:val="left"/>
        <w:rPr>
          <w:rFonts w:ascii="宋体" w:hAnsi="宋体" w:cs="宋体" w:eastAsia="宋体" w:hint="default"/>
          <w:sz w:val="18"/>
          <w:szCs w:val="18"/>
        </w:rPr>
      </w:pPr>
      <w:r>
        <w:rPr>
          <w:rFonts w:ascii="宋体" w:hAnsi="宋体" w:cs="宋体" w:eastAsia="宋体" w:hint="default"/>
          <w:spacing w:val="-2"/>
          <w:sz w:val="18"/>
          <w:szCs w:val="18"/>
        </w:rPr>
        <w:t>本公司以持续经营为基础，根据实际发生的交易和事项，按照《企业会计准则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基本准则》和其他各项会计准则的规</w:t>
      </w:r>
      <w:r>
        <w:rPr>
          <w:rFonts w:ascii="宋体" w:hAnsi="宋体" w:cs="宋体" w:eastAsia="宋体" w:hint="default"/>
          <w:sz w:val="18"/>
          <w:szCs w:val="18"/>
        </w:rPr>
        <w:t> 定进行确认和计量，在此基础上编制财务报表。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本公司基于上述编制基础编制的财务报表符合企业会计准则的要求，真实、完整地反映了本公司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p>
    <w:p>
      <w:pPr>
        <w:spacing w:line="240" w:lineRule="auto" w:before="8"/>
        <w:rPr>
          <w:rFonts w:ascii="宋体" w:hAnsi="宋体" w:cs="宋体" w:eastAsia="宋体" w:hint="default"/>
          <w:sz w:val="17"/>
          <w:szCs w:val="1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合并及母公司财务状况，以及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年度的合并及母公司经营成果和合并及母公司现金流量等有关信息。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采用公历年度，即从每年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以人民币为记账本位币。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line="484" w:lineRule="auto" w:before="0"/>
        <w:ind w:left="112" w:right="1183" w:firstLine="360"/>
        <w:jc w:val="both"/>
        <w:rPr>
          <w:rFonts w:ascii="宋体" w:hAnsi="宋体" w:cs="宋体" w:eastAsia="宋体" w:hint="default"/>
          <w:sz w:val="18"/>
          <w:szCs w:val="18"/>
        </w:rPr>
      </w:pPr>
      <w:r>
        <w:rPr>
          <w:rFonts w:ascii="宋体" w:hAnsi="宋体" w:cs="宋体" w:eastAsia="宋体" w:hint="default"/>
          <w:b/>
          <w:bCs/>
          <w:spacing w:val="-1"/>
          <w:sz w:val="18"/>
          <w:szCs w:val="18"/>
        </w:rPr>
        <w:t>（</w:t>
      </w:r>
      <w:r>
        <w:rPr>
          <w:rFonts w:ascii="Times New Roman" w:hAnsi="Times New Roman" w:cs="Times New Roman" w:eastAsia="Times New Roman" w:hint="default"/>
          <w:b/>
          <w:bCs/>
          <w:spacing w:val="-1"/>
          <w:sz w:val="18"/>
          <w:szCs w:val="18"/>
        </w:rPr>
        <w:t>1</w:t>
      </w:r>
      <w:r>
        <w:rPr>
          <w:rFonts w:ascii="宋体" w:hAnsi="宋体" w:cs="宋体" w:eastAsia="宋体" w:hint="default"/>
          <w:b/>
          <w:bCs/>
          <w:spacing w:val="-1"/>
          <w:sz w:val="18"/>
          <w:szCs w:val="18"/>
        </w:rPr>
        <w:t>）同一控制下的企业合并</w:t>
      </w:r>
      <w:r>
        <w:rPr>
          <w:rFonts w:ascii="宋体" w:hAnsi="宋体" w:cs="宋体" w:eastAsia="宋体" w:hint="default"/>
          <w:spacing w:val="-1"/>
          <w:sz w:val="18"/>
          <w:szCs w:val="18"/>
        </w:rPr>
        <w:t>：在企业合并中取得的资产和负债，按照合并日在被合并方的账面价值计量。取得的净资</w:t>
      </w:r>
      <w:r>
        <w:rPr>
          <w:rFonts w:ascii="宋体" w:hAnsi="宋体" w:cs="宋体" w:eastAsia="宋体" w:hint="default"/>
          <w:sz w:val="18"/>
          <w:szCs w:val="18"/>
        </w:rPr>
        <w:t> 产账面价值与支付的合并对价账面价值（或发行股份面值总额）的差额，调整资本公积；资本公积不足冲减的，调整留存</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收益。为进行企业合并发生的各项直接相关费用，包括为进行企业合并而支付的审计费用、评估费用、法律服务费用等，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于发生时计入当期损益。企业合并形成母子公司关系的，母公司编制合并日的合并资产负债表、合并利润表和合并现金流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量表。合并资产负债表中被合并方的各项资产、负债，按其账面价值计量。因被合并方采用的会计政策与合并方不一致，</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按照本准则规定进行调整的，以调整后的账面价值计量。合并利润表包括参与合并各方自合并当期期初至合并日所发生的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收入、费用和利润。被合并方在合并前实现的净利润，在合并利润表中单列项目反映。合并现金流量表包括参与合并各方</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自合并当期期初至合并日的现金流量。</w:t>
      </w:r>
    </w:p>
    <w:p>
      <w:pPr>
        <w:spacing w:before="101"/>
        <w:ind w:left="47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）非同一控制下的企业合并</w:t>
      </w:r>
      <w:r>
        <w:rPr>
          <w:rFonts w:ascii="宋体" w:hAnsi="宋体" w:cs="宋体" w:eastAsia="宋体" w:hint="default"/>
          <w:sz w:val="18"/>
          <w:szCs w:val="18"/>
        </w:rPr>
        <w:t>：在购买日为取得对被购买方的控制权而付出的资产、发生或承担的负债以及发行的权</w:t>
      </w:r>
    </w:p>
    <w:p>
      <w:pPr>
        <w:spacing w:after="0"/>
        <w:jc w:val="left"/>
        <w:rPr>
          <w:rFonts w:ascii="宋体" w:hAnsi="宋体" w:cs="宋体" w:eastAsia="宋体" w:hint="default"/>
          <w:sz w:val="18"/>
          <w:szCs w:val="18"/>
        </w:rPr>
        <w:sectPr>
          <w:pgSz w:w="11910" w:h="16840"/>
          <w:pgMar w:header="0" w:footer="956" w:top="1280" w:bottom="1140" w:left="1020" w:right="0"/>
        </w:sectPr>
      </w:pPr>
    </w:p>
    <w:p>
      <w:pPr>
        <w:spacing w:line="489" w:lineRule="auto" w:before="31"/>
        <w:ind w:left="112" w:right="1130" w:firstLine="0"/>
        <w:jc w:val="both"/>
        <w:rPr>
          <w:rFonts w:ascii="宋体" w:hAnsi="宋体" w:cs="宋体" w:eastAsia="宋体" w:hint="default"/>
          <w:sz w:val="18"/>
          <w:szCs w:val="18"/>
        </w:rPr>
      </w:pPr>
      <w:r>
        <w:rPr>
          <w:rFonts w:ascii="宋体" w:hAnsi="宋体" w:cs="宋体" w:eastAsia="宋体" w:hint="default"/>
          <w:spacing w:val="-2"/>
          <w:sz w:val="18"/>
          <w:szCs w:val="18"/>
        </w:rPr>
        <w:t>益性证券的公允价值加上各项直接相关费用为合并成本。在购买日对作为企业合并对价付出的资产、发生或承担的负债按照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公允价值计量，公允价值与其账面价值的差额，计入当期损益。对合并成本大于合并中取得的被购买方可辨认净资产公允价</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值份额的差额，确认为商誉。对合并成本小于合并中取得的被购买方可辨认净资产公允价值份额的差额时，对取得的被购买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方各项可辨认资产、负债及或有负债的公允价值以及合并成本的计量进行复核；经复核后合并成本仍小于合并中取得的被购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买方可辨认净资产公允价值份额的，其差额计入当期损益。企业合并形成母子公司关系的，母公司编制购买日的合并资产负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债表，因企业合并取得的被购买方各项可辨认资产、负债及或有负债以公允价值列示。</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456" w:lineRule="auto" w:before="0"/>
        <w:ind w:left="112" w:right="1132"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）合并财务报表的合并范围以控制为基础予以确定。合并财务报表以本公司和纳入合并财务报表范围的各子公司的 </w:t>
      </w:r>
      <w:r>
        <w:rPr>
          <w:rFonts w:ascii="宋体" w:hAnsi="宋体" w:cs="宋体" w:eastAsia="宋体" w:hint="default"/>
          <w:spacing w:val="-2"/>
          <w:sz w:val="18"/>
          <w:szCs w:val="18"/>
        </w:rPr>
        <w:t>财务报表及其他有关资料为合并依据，按照权益法调整对子公司的长期股权投资，将本公司和纳入合并财务报表范围的各子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公司之间的投资、交易及往来等全部抵销，并计算少数股东损益及少数股东权益后合并编制而成。</w:t>
      </w:r>
    </w:p>
    <w:p>
      <w:pPr>
        <w:spacing w:before="101"/>
        <w:ind w:left="4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）合并时，如纳入合并范围的子公司与本公司会计政策不一致，按本公司执行的会计政策对其进行调整后合并。</w:t>
      </w:r>
    </w:p>
    <w:p>
      <w:pPr>
        <w:spacing w:line="240" w:lineRule="auto" w:before="1"/>
        <w:rPr>
          <w:rFonts w:ascii="宋体" w:hAnsi="宋体" w:cs="宋体" w:eastAsia="宋体" w:hint="default"/>
          <w:sz w:val="19"/>
          <w:szCs w:val="19"/>
        </w:rPr>
      </w:pPr>
    </w:p>
    <w:p>
      <w:pPr>
        <w:spacing w:line="444" w:lineRule="auto" w:before="0"/>
        <w:ind w:left="112" w:right="1151" w:firstLine="34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）对于同一控制下企业合并取得的子公司，视同该企业合并于合并当期的期初已经发生，从合并当期的期初起将其 资产、负债、经营成果和现金流量纳入合并财务报表。</w:t>
      </w:r>
    </w:p>
    <w:p>
      <w:pPr>
        <w:spacing w:before="110"/>
        <w:ind w:left="461"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）同一控制下的企业合并事项的，被重组方合并前的净损益应计入非经常性损益，并在申报财务报表中单独列示。</w:t>
      </w:r>
    </w:p>
    <w:p>
      <w:pPr>
        <w:spacing w:line="240" w:lineRule="auto" w:before="4"/>
        <w:rPr>
          <w:rFonts w:ascii="宋体" w:hAnsi="宋体" w:cs="宋体" w:eastAsia="宋体" w:hint="default"/>
          <w:sz w:val="19"/>
          <w:szCs w:val="19"/>
        </w:rPr>
      </w:pPr>
    </w:p>
    <w:p>
      <w:pPr>
        <w:spacing w:line="441" w:lineRule="auto" w:before="0"/>
        <w:ind w:left="11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）重组属于同一公司控制权人下的非企业合并事项，但被重组方重组前一个会计年度末的资产总额或前一个会计年 度的营业收入或利润总额达到或超过重组前重组方相应项目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的，从合并当期的期初起编制备考利润表。</w:t>
      </w:r>
    </w:p>
    <w:p>
      <w:pPr>
        <w:spacing w:line="441" w:lineRule="auto" w:before="85"/>
        <w:ind w:left="11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）对于因非同一控制下企业合并取得的子公司，在编制合并报表时，以购买日可辨认净资产公允价值为基础对个别 财务报表进行调整。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1"/>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2"/>
        <w:rPr>
          <w:rFonts w:ascii="宋体" w:hAnsi="宋体" w:cs="宋体" w:eastAsia="宋体" w:hint="default"/>
          <w:b/>
          <w:bCs/>
          <w:sz w:val="19"/>
          <w:szCs w:val="19"/>
        </w:rPr>
      </w:pPr>
    </w:p>
    <w:p>
      <w:pPr>
        <w:spacing w:line="508" w:lineRule="auto"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现金是指本公司的库存现金以及随时用于支付的存款。 </w:t>
      </w:r>
      <w:r>
        <w:rPr>
          <w:rFonts w:ascii="宋体" w:hAnsi="宋体" w:cs="宋体" w:eastAsia="宋体" w:hint="default"/>
          <w:spacing w:val="-2"/>
          <w:sz w:val="18"/>
          <w:szCs w:val="18"/>
        </w:rPr>
        <w:t>现金等价物为本公司持有的期限短（一般是指从购买日起三个月内到期）、流动性强、易于转换为已知金额现金且价值</w:t>
      </w:r>
    </w:p>
    <w:p>
      <w:pPr>
        <w:spacing w:before="24"/>
        <w:ind w:left="112" w:right="0" w:firstLine="0"/>
        <w:jc w:val="both"/>
        <w:rPr>
          <w:rFonts w:ascii="宋体" w:hAnsi="宋体" w:cs="宋体" w:eastAsia="宋体" w:hint="default"/>
          <w:sz w:val="18"/>
          <w:szCs w:val="18"/>
        </w:rPr>
      </w:pPr>
      <w:r>
        <w:rPr>
          <w:rFonts w:ascii="宋体" w:hAnsi="宋体" w:cs="宋体" w:eastAsia="宋体" w:hint="default"/>
          <w:sz w:val="18"/>
          <w:szCs w:val="18"/>
        </w:rPr>
        <w:t>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6"/>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9"/>
        <w:rPr>
          <w:rFonts w:ascii="宋体" w:hAnsi="宋体" w:cs="宋体" w:eastAsia="宋体" w:hint="default"/>
          <w:b/>
          <w:bCs/>
          <w:sz w:val="16"/>
          <w:szCs w:val="16"/>
        </w:rPr>
      </w:pPr>
    </w:p>
    <w:p>
      <w:pPr>
        <w:spacing w:line="405" w:lineRule="auto"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）外币业务核算方法</w:t>
      </w:r>
      <w:r>
        <w:rPr>
          <w:rFonts w:ascii="宋体" w:hAnsi="宋体" w:cs="宋体" w:eastAsia="宋体" w:hint="default"/>
          <w:w w:val="100"/>
          <w:sz w:val="21"/>
          <w:szCs w:val="21"/>
        </w:rPr>
        <w:t> </w:t>
      </w:r>
      <w:r>
        <w:rPr>
          <w:rFonts w:ascii="宋体" w:hAnsi="宋体" w:cs="宋体" w:eastAsia="宋体" w:hint="default"/>
          <w:spacing w:val="-2"/>
          <w:sz w:val="21"/>
          <w:szCs w:val="21"/>
        </w:rPr>
        <w:t>本公司外币交易均按交易发生日的即期近似汇率折算为记账本位币。该即期近似汇率指交易发生日当</w:t>
      </w:r>
    </w:p>
    <w:p>
      <w:pPr>
        <w:spacing w:before="79"/>
        <w:ind w:left="112" w:right="0" w:firstLine="0"/>
        <w:jc w:val="both"/>
        <w:rPr>
          <w:rFonts w:ascii="宋体" w:hAnsi="宋体" w:cs="宋体" w:eastAsia="宋体" w:hint="default"/>
          <w:sz w:val="21"/>
          <w:szCs w:val="21"/>
        </w:rPr>
      </w:pPr>
      <w:r>
        <w:rPr>
          <w:rFonts w:ascii="宋体" w:hAnsi="宋体" w:cs="宋体" w:eastAsia="宋体" w:hint="default"/>
          <w:sz w:val="21"/>
          <w:szCs w:val="21"/>
        </w:rPr>
        <w:t>月月初的汇率。</w:t>
      </w:r>
    </w:p>
    <w:p>
      <w:pPr>
        <w:spacing w:after="0"/>
        <w:jc w:val="both"/>
        <w:rPr>
          <w:rFonts w:ascii="宋体" w:hAnsi="宋体" w:cs="宋体" w:eastAsia="宋体" w:hint="default"/>
          <w:sz w:val="21"/>
          <w:szCs w:val="21"/>
        </w:rPr>
        <w:sectPr>
          <w:pgSz w:w="11910" w:h="16840"/>
          <w:pgMar w:header="0" w:footer="956" w:top="1300" w:bottom="1140" w:left="1020" w:right="0"/>
        </w:sectPr>
      </w:pPr>
    </w:p>
    <w:p>
      <w:pPr>
        <w:spacing w:before="8"/>
        <w:ind w:left="533" w:right="0" w:firstLine="0"/>
        <w:jc w:val="left"/>
        <w:rPr>
          <w:rFonts w:ascii="宋体" w:hAnsi="宋体" w:cs="宋体" w:eastAsia="宋体" w:hint="default"/>
          <w:sz w:val="21"/>
          <w:szCs w:val="21"/>
        </w:rPr>
      </w:pPr>
      <w:r>
        <w:rPr>
          <w:rFonts w:ascii="宋体" w:hAnsi="宋体" w:cs="宋体" w:eastAsia="宋体" w:hint="default"/>
          <w:sz w:val="21"/>
          <w:szCs w:val="21"/>
        </w:rPr>
        <w:t>在资产负债表日，应当按照下列规定对外币货币性项目和外币非货币性项目进行处理：</w:t>
      </w:r>
    </w:p>
    <w:p>
      <w:pPr>
        <w:spacing w:line="240" w:lineRule="auto" w:before="5"/>
        <w:rPr>
          <w:rFonts w:ascii="宋体" w:hAnsi="宋体" w:cs="宋体" w:eastAsia="宋体" w:hint="default"/>
          <w:sz w:val="17"/>
          <w:szCs w:val="17"/>
        </w:rPr>
      </w:pPr>
    </w:p>
    <w:p>
      <w:pPr>
        <w:spacing w:line="412" w:lineRule="auto" w:before="0"/>
        <w:ind w:left="112" w:right="0"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、外币货币性项目，采用资产负债表日即期汇率折算。因资产负债表日即期汇率与初始确认时或前</w:t>
      </w:r>
      <w:r>
        <w:rPr>
          <w:rFonts w:ascii="宋体" w:hAnsi="宋体" w:cs="宋体" w:eastAsia="宋体" w:hint="default"/>
          <w:w w:val="100"/>
          <w:sz w:val="21"/>
          <w:szCs w:val="21"/>
        </w:rPr>
        <w:t> </w:t>
      </w:r>
      <w:r>
        <w:rPr>
          <w:rFonts w:ascii="宋体" w:hAnsi="宋体" w:cs="宋体" w:eastAsia="宋体" w:hint="default"/>
          <w:sz w:val="21"/>
          <w:szCs w:val="21"/>
        </w:rPr>
        <w:t>一资产负债表日即期汇率不同而产生的汇兑差额，计入当期损益。</w:t>
      </w:r>
    </w:p>
    <w:p>
      <w:pPr>
        <w:spacing w:line="415" w:lineRule="auto" w:before="73"/>
        <w:ind w:left="112" w:right="1118"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、以历史成本计量的外币非货币性项目，仍采用交易发生日的即期汇率折算，不改变其记账本位币</w:t>
      </w:r>
      <w:r>
        <w:rPr>
          <w:rFonts w:ascii="宋体" w:hAnsi="宋体" w:cs="宋体" w:eastAsia="宋体" w:hint="default"/>
          <w:w w:val="100"/>
          <w:sz w:val="21"/>
          <w:szCs w:val="21"/>
        </w:rPr>
        <w:t> </w:t>
      </w:r>
      <w:r>
        <w:rPr>
          <w:rFonts w:ascii="宋体" w:hAnsi="宋体" w:cs="宋体" w:eastAsia="宋体" w:hint="default"/>
          <w:sz w:val="21"/>
          <w:szCs w:val="21"/>
        </w:rPr>
        <w:t>金额。</w:t>
      </w:r>
    </w:p>
    <w:p>
      <w:pPr>
        <w:spacing w:line="412" w:lineRule="auto" w:before="71"/>
        <w:ind w:left="11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、以公允价值计量的外币非货币性项目，采用公允价值确定日的即期汇率折算，折算后的记账本位</w:t>
      </w:r>
      <w:r>
        <w:rPr>
          <w:rFonts w:ascii="宋体" w:hAnsi="宋体" w:cs="宋体" w:eastAsia="宋体" w:hint="default"/>
          <w:w w:val="100"/>
          <w:sz w:val="21"/>
          <w:szCs w:val="21"/>
        </w:rPr>
        <w:t> </w:t>
      </w:r>
      <w:r>
        <w:rPr>
          <w:rFonts w:ascii="宋体" w:hAnsi="宋体" w:cs="宋体" w:eastAsia="宋体" w:hint="default"/>
          <w:sz w:val="21"/>
          <w:szCs w:val="21"/>
        </w:rPr>
        <w:t>币金额与原记账本位币金额的差额，作为公允价值变动处理，计入当期损益。</w:t>
      </w:r>
    </w:p>
    <w:p>
      <w:pPr>
        <w:spacing w:before="75"/>
        <w:ind w:left="5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）外币财务报表的折算方法</w:t>
      </w:r>
    </w:p>
    <w:p>
      <w:pPr>
        <w:spacing w:line="240" w:lineRule="auto" w:before="2"/>
        <w:rPr>
          <w:rFonts w:ascii="宋体" w:hAnsi="宋体" w:cs="宋体" w:eastAsia="宋体" w:hint="default"/>
          <w:sz w:val="22"/>
          <w:szCs w:val="22"/>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公司对境外经营的财务报表进行折算时，遵循下列规定：</w:t>
      </w:r>
    </w:p>
    <w:p>
      <w:pPr>
        <w:spacing w:line="240" w:lineRule="auto" w:before="3"/>
        <w:rPr>
          <w:rFonts w:ascii="宋体" w:hAnsi="宋体" w:cs="宋体" w:eastAsia="宋体" w:hint="default"/>
          <w:sz w:val="20"/>
          <w:szCs w:val="20"/>
        </w:rPr>
      </w:pPr>
    </w:p>
    <w:p>
      <w:pPr>
        <w:spacing w:line="412" w:lineRule="auto" w:before="0"/>
        <w:ind w:left="112" w:right="0" w:firstLine="420"/>
        <w:jc w:val="left"/>
        <w:rPr>
          <w:rFonts w:ascii="宋体" w:hAnsi="宋体" w:cs="宋体" w:eastAsia="宋体" w:hint="default"/>
          <w:sz w:val="21"/>
          <w:szCs w:val="21"/>
        </w:rPr>
      </w:pPr>
      <w:r>
        <w:rPr>
          <w:rFonts w:ascii="Times New Roman" w:hAnsi="Times New Roman" w:cs="Times New Roman" w:eastAsia="Times New Roman" w:hint="default"/>
          <w:spacing w:val="-3"/>
          <w:w w:val="99"/>
          <w:sz w:val="21"/>
          <w:szCs w:val="21"/>
        </w:rPr>
        <w:t>A</w:t>
      </w:r>
      <w:r>
        <w:rPr>
          <w:rFonts w:ascii="宋体" w:hAnsi="宋体" w:cs="宋体" w:eastAsia="宋体" w:hint="default"/>
          <w:spacing w:val="-3"/>
          <w:w w:val="99"/>
          <w:sz w:val="21"/>
          <w:szCs w:val="21"/>
        </w:rPr>
        <w:t>、资产负债表中的资产和负债项目，采用资产负债表日的即期汇率折算，所有者权益项目除</w:t>
      </w:r>
      <w:r>
        <w:rPr>
          <w:rFonts w:ascii="Times New Roman" w:hAnsi="Times New Roman" w:cs="Times New Roman" w:eastAsia="Times New Roman" w:hint="default"/>
          <w:spacing w:val="-3"/>
          <w:w w:val="99"/>
          <w:sz w:val="21"/>
          <w:szCs w:val="21"/>
        </w:rPr>
        <w:t>―</w:t>
      </w:r>
      <w:r>
        <w:rPr>
          <w:rFonts w:ascii="宋体" w:hAnsi="宋体" w:cs="宋体" w:eastAsia="宋体" w:hint="default"/>
          <w:spacing w:val="-3"/>
          <w:w w:val="99"/>
          <w:sz w:val="21"/>
          <w:szCs w:val="21"/>
        </w:rPr>
        <w:t>未分配</w:t>
      </w:r>
      <w:r>
        <w:rPr>
          <w:rFonts w:ascii="宋体" w:hAnsi="宋体" w:cs="宋体" w:eastAsia="宋体" w:hint="default"/>
          <w:w w:val="100"/>
          <w:sz w:val="21"/>
          <w:szCs w:val="21"/>
        </w:rPr>
        <w:t> </w:t>
      </w:r>
      <w:r>
        <w:rPr>
          <w:rFonts w:ascii="宋体" w:hAnsi="宋体" w:cs="宋体" w:eastAsia="宋体" w:hint="default"/>
          <w:sz w:val="21"/>
          <w:szCs w:val="21"/>
        </w:rPr>
        <w:t>利润</w:t>
      </w:r>
      <w:r>
        <w:rPr>
          <w:rFonts w:ascii="Times New Roman" w:hAnsi="Times New Roman" w:cs="Times New Roman" w:eastAsia="Times New Roman" w:hint="default"/>
          <w:sz w:val="21"/>
          <w:szCs w:val="21"/>
        </w:rPr>
        <w:t>‖</w:t>
      </w:r>
      <w:r>
        <w:rPr>
          <w:rFonts w:ascii="宋体" w:hAnsi="宋体" w:cs="宋体" w:eastAsia="宋体" w:hint="default"/>
          <w:sz w:val="21"/>
          <w:szCs w:val="21"/>
        </w:rPr>
        <w:t>项目外，其他项目采用发生时的即期近似汇率折算。</w:t>
      </w:r>
    </w:p>
    <w:p>
      <w:pPr>
        <w:spacing w:before="41"/>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、利润表中的收入和费用项目，采用交易发生日的即期近似汇率折算。</w:t>
      </w:r>
    </w:p>
    <w:p>
      <w:pPr>
        <w:spacing w:line="240" w:lineRule="auto" w:before="4"/>
        <w:rPr>
          <w:rFonts w:ascii="宋体" w:hAnsi="宋体" w:cs="宋体" w:eastAsia="宋体" w:hint="default"/>
          <w:sz w:val="22"/>
          <w:szCs w:val="22"/>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按照上述方法折算产生的外币财务报表折算差额，在资产负债表中所有者权益项目下单独列示。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6"/>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line="523" w:lineRule="auto"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）金融资产的分类： </w:t>
      </w:r>
      <w:r>
        <w:rPr>
          <w:rFonts w:ascii="宋体" w:hAnsi="宋体" w:cs="宋体" w:eastAsia="宋体" w:hint="default"/>
          <w:spacing w:val="-2"/>
          <w:sz w:val="18"/>
          <w:szCs w:val="18"/>
        </w:rPr>
        <w:t>金融资产分为以公允价值计量且其变动计入当期损益的金融资产（包括交易性金融资产和指定为以公允价值计量且其变</w:t>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动计入当期损益的金融资产</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持有至到期投资、贷款和应收款项、可供出售金融资产等四类。</w:t>
      </w:r>
    </w:p>
    <w:p>
      <w:pPr>
        <w:spacing w:line="240" w:lineRule="auto" w:before="3"/>
        <w:rPr>
          <w:rFonts w:ascii="宋体" w:hAnsi="宋体" w:cs="宋体" w:eastAsia="宋体" w:hint="default"/>
          <w:sz w:val="23"/>
          <w:szCs w:val="23"/>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）金融资产的计量：</w:t>
      </w:r>
    </w:p>
    <w:p>
      <w:pPr>
        <w:spacing w:line="240" w:lineRule="auto" w:before="3"/>
        <w:rPr>
          <w:rFonts w:ascii="宋体" w:hAnsi="宋体" w:cs="宋体" w:eastAsia="宋体" w:hint="default"/>
          <w:sz w:val="22"/>
          <w:szCs w:val="22"/>
        </w:rPr>
      </w:pPr>
    </w:p>
    <w:p>
      <w:pPr>
        <w:spacing w:line="482" w:lineRule="auto" w:before="0"/>
        <w:ind w:left="112" w:right="0"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、初始确认金融资产按照公允价值计量。对于以公允价值计量且其变动计入当期损益的金融资产，相关交易费用直接</w:t>
      </w:r>
      <w:r>
        <w:rPr>
          <w:rFonts w:ascii="宋体" w:hAnsi="宋体" w:cs="宋体" w:eastAsia="宋体" w:hint="default"/>
          <w:sz w:val="18"/>
          <w:szCs w:val="18"/>
        </w:rPr>
        <w:t> 计入当期损益；对于其他类别的金融资产，相关交易费用计入初始确认金额。</w:t>
      </w:r>
    </w:p>
    <w:p>
      <w:pPr>
        <w:spacing w:line="480" w:lineRule="auto" w:before="123"/>
        <w:ind w:left="112" w:right="1118"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、本公司按照公允价值对金融资产进行后续计量，且不扣除将来处置该金融资产时可能发生的交易费用。但是，下列</w:t>
      </w:r>
      <w:r>
        <w:rPr>
          <w:rFonts w:ascii="宋体" w:hAnsi="宋体" w:cs="宋体" w:eastAsia="宋体" w:hint="default"/>
          <w:sz w:val="18"/>
          <w:szCs w:val="18"/>
        </w:rPr>
        <w:t> 情况除外：</w:t>
      </w:r>
    </w:p>
    <w:p>
      <w:pPr>
        <w:spacing w:line="520" w:lineRule="auto" w:before="124"/>
        <w:ind w:left="47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、持有至到期投资以及贷款和应收款项，采用实际利率法，按摊余成本计量。 </w:t>
      </w:r>
      <w:r>
        <w:rPr>
          <w:rFonts w:ascii="Times New Roman" w:hAnsi="Times New Roman" w:cs="Times New Roman" w:eastAsia="Times New Roman" w:hint="default"/>
          <w:sz w:val="18"/>
          <w:szCs w:val="18"/>
        </w:rPr>
        <w:t>b</w:t>
      </w:r>
      <w:r>
        <w:rPr>
          <w:rFonts w:ascii="宋体" w:hAnsi="宋体" w:cs="宋体" w:eastAsia="宋体" w:hint="default"/>
          <w:sz w:val="18"/>
          <w:szCs w:val="18"/>
        </w:rPr>
        <w:t>、在活跃市场中没有报价且其公允价值不能可靠计量的权益工具投资，以及与该权益工具挂钩并须通过交付该权益工</w:t>
      </w:r>
    </w:p>
    <w:p>
      <w:pPr>
        <w:spacing w:before="17"/>
        <w:ind w:left="112" w:right="0" w:firstLine="0"/>
        <w:jc w:val="left"/>
        <w:rPr>
          <w:rFonts w:ascii="宋体" w:hAnsi="宋体" w:cs="宋体" w:eastAsia="宋体" w:hint="default"/>
          <w:sz w:val="18"/>
          <w:szCs w:val="18"/>
        </w:rPr>
      </w:pPr>
      <w:r>
        <w:rPr>
          <w:rFonts w:ascii="宋体" w:hAnsi="宋体" w:cs="宋体" w:eastAsia="宋体" w:hint="default"/>
          <w:sz w:val="18"/>
          <w:szCs w:val="18"/>
        </w:rPr>
        <w:t>具结算的衍生金融资产，按照成本计量。</w:t>
      </w:r>
    </w:p>
    <w:p>
      <w:pPr>
        <w:spacing w:line="240" w:lineRule="auto" w:before="3"/>
        <w:rPr>
          <w:rFonts w:ascii="宋体" w:hAnsi="宋体" w:cs="宋体" w:eastAsia="宋体" w:hint="default"/>
          <w:sz w:val="23"/>
          <w:szCs w:val="23"/>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）金融资产公允价值的确定：</w:t>
      </w:r>
    </w:p>
    <w:p>
      <w:pPr>
        <w:spacing w:after="0"/>
        <w:jc w:val="left"/>
        <w:rPr>
          <w:rFonts w:ascii="宋体" w:hAnsi="宋体" w:cs="宋体" w:eastAsia="宋体" w:hint="default"/>
          <w:sz w:val="18"/>
          <w:szCs w:val="18"/>
        </w:rPr>
        <w:sectPr>
          <w:pgSz w:w="11910" w:h="16840"/>
          <w:pgMar w:header="0" w:footer="956" w:top="1300" w:bottom="1140" w:left="1020" w:right="0"/>
        </w:sectPr>
      </w:pPr>
    </w:p>
    <w:p>
      <w:pPr>
        <w:spacing w:before="30"/>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、存在活跃市场的金融资产，将活跃市场中的报价确定为公允价值；</w:t>
      </w:r>
    </w:p>
    <w:p>
      <w:pPr>
        <w:spacing w:line="240" w:lineRule="auto" w:before="0"/>
        <w:rPr>
          <w:rFonts w:ascii="宋体" w:hAnsi="宋体" w:cs="宋体" w:eastAsia="宋体" w:hint="default"/>
          <w:sz w:val="19"/>
          <w:szCs w:val="19"/>
        </w:rPr>
      </w:pPr>
    </w:p>
    <w:p>
      <w:pPr>
        <w:spacing w:line="415" w:lineRule="auto" w:before="0"/>
        <w:ind w:left="112" w:right="1174"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B</w:t>
      </w:r>
      <w:r>
        <w:rPr>
          <w:rFonts w:ascii="宋体" w:hAnsi="宋体" w:cs="宋体" w:eastAsia="宋体" w:hint="default"/>
          <w:spacing w:val="-2"/>
          <w:sz w:val="21"/>
          <w:szCs w:val="21"/>
        </w:rPr>
        <w:t>、金融资产不存在活跃市场的，采用估值技术确定公允价值。采用估值技术得出的结果，反映估值</w:t>
      </w:r>
      <w:r>
        <w:rPr>
          <w:rFonts w:ascii="宋体" w:hAnsi="宋体" w:cs="宋体" w:eastAsia="宋体" w:hint="default"/>
          <w:w w:val="100"/>
          <w:sz w:val="21"/>
          <w:szCs w:val="21"/>
        </w:rPr>
        <w:t> </w:t>
      </w:r>
      <w:r>
        <w:rPr>
          <w:rFonts w:ascii="宋体" w:hAnsi="宋体" w:cs="宋体" w:eastAsia="宋体" w:hint="default"/>
          <w:sz w:val="21"/>
          <w:szCs w:val="21"/>
        </w:rPr>
        <w:t>日在公平交易中可能采用的交易价格。</w:t>
      </w:r>
    </w:p>
    <w:p>
      <w:pPr>
        <w:spacing w:before="71"/>
        <w:ind w:left="5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）金融资产转移：</w:t>
      </w:r>
    </w:p>
    <w:p>
      <w:pPr>
        <w:spacing w:line="240" w:lineRule="auto" w:before="4"/>
        <w:rPr>
          <w:rFonts w:ascii="宋体" w:hAnsi="宋体" w:cs="宋体" w:eastAsia="宋体" w:hint="default"/>
          <w:sz w:val="22"/>
          <w:szCs w:val="22"/>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本公</w:t>
      </w:r>
      <w:r>
        <w:rPr>
          <w:rFonts w:ascii="宋体" w:hAnsi="宋体" w:cs="宋体" w:eastAsia="宋体" w:hint="default"/>
          <w:spacing w:val="-1"/>
          <w:sz w:val="18"/>
          <w:szCs w:val="18"/>
        </w:rPr>
        <w:t>司</w:t>
      </w:r>
      <w:r>
        <w:rPr>
          <w:rFonts w:ascii="宋体" w:hAnsi="宋体" w:cs="宋体" w:eastAsia="宋体" w:hint="default"/>
          <w:sz w:val="18"/>
          <w:szCs w:val="18"/>
        </w:rPr>
        <w:t>于将金融资产所有权上几乎所有的风险和报酬转移给转入方或已放弃对该金融资产的控制时</w:t>
      </w:r>
      <w:r>
        <w:rPr>
          <w:rFonts w:ascii="宋体" w:hAnsi="宋体" w:cs="宋体" w:eastAsia="宋体" w:hint="default"/>
          <w:spacing w:val="-82"/>
          <w:sz w:val="18"/>
          <w:szCs w:val="18"/>
        </w:rPr>
        <w:t>，</w:t>
      </w:r>
      <w:r>
        <w:rPr>
          <w:rFonts w:ascii="宋体" w:hAnsi="宋体" w:cs="宋体" w:eastAsia="宋体" w:hint="default"/>
          <w:sz w:val="18"/>
          <w:szCs w:val="18"/>
        </w:rPr>
        <w:t>终止确认该金融资</w:t>
      </w:r>
    </w:p>
    <w:p>
      <w:pPr>
        <w:spacing w:line="240" w:lineRule="auto" w:before="2"/>
        <w:rPr>
          <w:rFonts w:ascii="宋体" w:hAnsi="宋体" w:cs="宋体" w:eastAsia="宋体" w:hint="default"/>
          <w:sz w:val="20"/>
          <w:szCs w:val="20"/>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产。</w:t>
      </w:r>
    </w:p>
    <w:p>
      <w:pPr>
        <w:spacing w:line="240" w:lineRule="auto" w:before="3"/>
        <w:rPr>
          <w:rFonts w:ascii="宋体" w:hAnsi="宋体" w:cs="宋体" w:eastAsia="宋体" w:hint="default"/>
          <w:sz w:val="23"/>
          <w:szCs w:val="23"/>
        </w:rPr>
      </w:pPr>
    </w:p>
    <w:p>
      <w:pPr>
        <w:spacing w:line="520" w:lineRule="auto"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）金融资产减值： </w:t>
      </w:r>
      <w:r>
        <w:rPr>
          <w:rFonts w:ascii="宋体" w:hAnsi="宋体" w:cs="宋体" w:eastAsia="宋体" w:hint="default"/>
          <w:spacing w:val="-2"/>
          <w:sz w:val="18"/>
          <w:szCs w:val="18"/>
        </w:rPr>
        <w:t>在资产负债表日对以公允价值计量且其变动计入当期损益的金融资产以外的金融资产的账面价值进行检查，有客观证据</w:t>
      </w:r>
    </w:p>
    <w:p>
      <w:pPr>
        <w:spacing w:line="528" w:lineRule="auto" w:before="56"/>
        <w:ind w:left="473" w:right="3374" w:hanging="361"/>
        <w:jc w:val="left"/>
        <w:rPr>
          <w:rFonts w:ascii="宋体" w:hAnsi="宋体" w:cs="宋体" w:eastAsia="宋体" w:hint="default"/>
          <w:sz w:val="18"/>
          <w:szCs w:val="18"/>
        </w:rPr>
      </w:pPr>
      <w:r>
        <w:rPr>
          <w:rFonts w:ascii="宋体" w:hAnsi="宋体" w:cs="宋体" w:eastAsia="宋体" w:hint="default"/>
          <w:sz w:val="18"/>
          <w:szCs w:val="18"/>
        </w:rPr>
        <w:t>表明该金融资产发生减值的，计提减值准备。金融资产发生减值的客观证据，包括下列各项： </w:t>
      </w:r>
      <w:r>
        <w:rPr>
          <w:rFonts w:ascii="Times New Roman" w:hAnsi="Times New Roman" w:cs="Times New Roman" w:eastAsia="Times New Roman" w:hint="default"/>
          <w:sz w:val="18"/>
          <w:szCs w:val="18"/>
        </w:rPr>
        <w:t>A</w:t>
      </w:r>
      <w:r>
        <w:rPr>
          <w:rFonts w:ascii="宋体" w:hAnsi="宋体" w:cs="宋体" w:eastAsia="宋体" w:hint="default"/>
          <w:sz w:val="18"/>
          <w:szCs w:val="18"/>
        </w:rPr>
        <w:t>、发行方或债务人发生严重财务困难； </w:t>
      </w:r>
      <w:r>
        <w:rPr>
          <w:rFonts w:ascii="Times New Roman" w:hAnsi="Times New Roman" w:cs="Times New Roman" w:eastAsia="Times New Roman" w:hint="default"/>
          <w:sz w:val="18"/>
          <w:szCs w:val="18"/>
        </w:rPr>
        <w:t>B</w:t>
      </w:r>
      <w:r>
        <w:rPr>
          <w:rFonts w:ascii="宋体" w:hAnsi="宋体" w:cs="宋体" w:eastAsia="宋体" w:hint="default"/>
          <w:sz w:val="18"/>
          <w:szCs w:val="18"/>
        </w:rPr>
        <w:t>、债务人违反了合同条款，如偿付利息或本金发生违约或逾期等； </w:t>
      </w:r>
      <w:r>
        <w:rPr>
          <w:rFonts w:ascii="Times New Roman" w:hAnsi="Times New Roman" w:cs="Times New Roman" w:eastAsia="Times New Roman" w:hint="default"/>
          <w:sz w:val="18"/>
          <w:szCs w:val="18"/>
        </w:rPr>
        <w:t>C</w:t>
      </w:r>
      <w:r>
        <w:rPr>
          <w:rFonts w:ascii="宋体" w:hAnsi="宋体" w:cs="宋体" w:eastAsia="宋体" w:hint="default"/>
          <w:sz w:val="18"/>
          <w:szCs w:val="18"/>
        </w:rPr>
        <w:t>、本公司出于经济或法律等方面因素的考虑，对发生困难的债务人作出让步； </w:t>
      </w:r>
      <w:r>
        <w:rPr>
          <w:rFonts w:ascii="Times New Roman" w:hAnsi="Times New Roman" w:cs="Times New Roman" w:eastAsia="Times New Roman" w:hint="default"/>
          <w:sz w:val="18"/>
          <w:szCs w:val="18"/>
        </w:rPr>
        <w:t>D</w:t>
      </w:r>
      <w:r>
        <w:rPr>
          <w:rFonts w:ascii="宋体" w:hAnsi="宋体" w:cs="宋体" w:eastAsia="宋体" w:hint="default"/>
          <w:sz w:val="18"/>
          <w:szCs w:val="18"/>
        </w:rPr>
        <w:t>、债务人很可能倒闭或进行其他财务重组；</w:t>
      </w:r>
    </w:p>
    <w:p>
      <w:pPr>
        <w:spacing w:line="520" w:lineRule="auto" w:before="51"/>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、因发行方发生重大财务困难，该金融资产无法在活跃市场继续交易； </w:t>
      </w:r>
      <w:r>
        <w:rPr>
          <w:rFonts w:ascii="Times New Roman" w:hAnsi="Times New Roman" w:cs="Times New Roman" w:eastAsia="Times New Roman" w:hint="default"/>
          <w:sz w:val="18"/>
          <w:szCs w:val="18"/>
        </w:rPr>
        <w:t>F</w:t>
      </w:r>
      <w:r>
        <w:rPr>
          <w:rFonts w:ascii="宋体" w:hAnsi="宋体" w:cs="宋体" w:eastAsia="宋体" w:hint="default"/>
          <w:sz w:val="18"/>
          <w:szCs w:val="18"/>
        </w:rPr>
        <w:t>、债务人经营所处的技术、市场、经济和法律环境等发生重大不利变化，使本公司可能无法收回投资成本； </w:t>
      </w:r>
      <w:r>
        <w:rPr>
          <w:rFonts w:ascii="Times New Roman" w:hAnsi="Times New Roman" w:cs="Times New Roman" w:eastAsia="Times New Roman" w:hint="default"/>
          <w:spacing w:val="-1"/>
          <w:sz w:val="18"/>
          <w:szCs w:val="18"/>
        </w:rPr>
        <w:t>G</w:t>
      </w:r>
      <w:r>
        <w:rPr>
          <w:rFonts w:ascii="宋体" w:hAnsi="宋体" w:cs="宋体" w:eastAsia="宋体" w:hint="default"/>
          <w:spacing w:val="-1"/>
          <w:sz w:val="18"/>
          <w:szCs w:val="18"/>
        </w:rPr>
        <w:t>、无法辨认一组金融资产中的某项资产的现金流量是否已经减少，但根据公开的数据对其进行总体评价后发现，该组</w:t>
      </w:r>
    </w:p>
    <w:p>
      <w:pPr>
        <w:spacing w:line="535" w:lineRule="auto" w:before="17"/>
        <w:ind w:left="473" w:right="5534" w:hanging="361"/>
        <w:jc w:val="left"/>
        <w:rPr>
          <w:rFonts w:ascii="宋体" w:hAnsi="宋体" w:cs="宋体" w:eastAsia="宋体" w:hint="default"/>
          <w:sz w:val="18"/>
          <w:szCs w:val="18"/>
        </w:rPr>
      </w:pPr>
      <w:r>
        <w:rPr>
          <w:rFonts w:ascii="宋体" w:hAnsi="宋体" w:cs="宋体" w:eastAsia="宋体" w:hint="default"/>
          <w:sz w:val="18"/>
          <w:szCs w:val="18"/>
        </w:rPr>
        <w:t>金融资产自初始确认以来的预计未来现金流量确已减少且可计量； </w:t>
      </w:r>
      <w:r>
        <w:rPr>
          <w:rFonts w:ascii="Times New Roman" w:hAnsi="Times New Roman" w:cs="Times New Roman" w:eastAsia="Times New Roman" w:hint="default"/>
          <w:sz w:val="18"/>
          <w:szCs w:val="18"/>
        </w:rPr>
        <w:t>H</w:t>
      </w:r>
      <w:r>
        <w:rPr>
          <w:rFonts w:ascii="宋体" w:hAnsi="宋体" w:cs="宋体" w:eastAsia="宋体" w:hint="default"/>
          <w:sz w:val="18"/>
          <w:szCs w:val="18"/>
        </w:rPr>
        <w:t>、权益工具投资的公允价值发生严重或非暂时性下跌； </w:t>
      </w:r>
      <w:r>
        <w:rPr>
          <w:rFonts w:ascii="Times New Roman" w:hAnsi="Times New Roman" w:cs="Times New Roman" w:eastAsia="Times New Roman" w:hint="default"/>
          <w:sz w:val="18"/>
          <w:szCs w:val="18"/>
        </w:rPr>
        <w:t>I</w:t>
      </w:r>
      <w:r>
        <w:rPr>
          <w:rFonts w:ascii="宋体" w:hAnsi="宋体" w:cs="宋体" w:eastAsia="宋体" w:hint="default"/>
          <w:sz w:val="18"/>
          <w:szCs w:val="18"/>
        </w:rPr>
        <w:t>、其他表明金融资产发生减值的客观证据。</w:t>
      </w:r>
    </w:p>
    <w:p>
      <w:pPr>
        <w:spacing w:line="520" w:lineRule="auto" w:before="45"/>
        <w:ind w:left="461" w:right="2185" w:hanging="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）金融资产减值损失的计量： </w:t>
      </w:r>
      <w:r>
        <w:rPr>
          <w:rFonts w:ascii="Times New Roman" w:hAnsi="Times New Roman" w:cs="Times New Roman" w:eastAsia="Times New Roman" w:hint="default"/>
          <w:sz w:val="18"/>
          <w:szCs w:val="18"/>
        </w:rPr>
        <w:t>A</w:t>
      </w:r>
      <w:r>
        <w:rPr>
          <w:rFonts w:ascii="宋体" w:hAnsi="宋体" w:cs="宋体" w:eastAsia="宋体" w:hint="default"/>
          <w:sz w:val="18"/>
          <w:szCs w:val="18"/>
        </w:rPr>
        <w:t>、以公允价值计量且其变动计入当期损益的金融资产不需要进行减值测试； </w:t>
      </w:r>
      <w:r>
        <w:rPr>
          <w:rFonts w:ascii="Times New Roman" w:hAnsi="Times New Roman" w:cs="Times New Roman" w:eastAsia="Times New Roman" w:hint="default"/>
          <w:sz w:val="18"/>
          <w:szCs w:val="18"/>
        </w:rPr>
        <w:t>B</w:t>
      </w:r>
      <w:r>
        <w:rPr>
          <w:rFonts w:ascii="宋体" w:hAnsi="宋体" w:cs="宋体" w:eastAsia="宋体" w:hint="default"/>
          <w:sz w:val="18"/>
          <w:szCs w:val="18"/>
        </w:rPr>
        <w:t>、持有至到期投资的减值损失的计量：按预计未来现金流现值低于期末账面价值的差额计提减值准备；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99" w:lineRule="auto" w:before="126"/>
        <w:ind w:left="112" w:right="1133"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、应收款项坏账准备的确认标准、计提方法：单项金额重大的，单独进行减值测试，根据其未来现金流量现值低于其</w:t>
      </w:r>
      <w:r>
        <w:rPr>
          <w:rFonts w:ascii="宋体" w:hAnsi="宋体" w:cs="宋体" w:eastAsia="宋体" w:hint="default"/>
          <w:sz w:val="18"/>
          <w:szCs w:val="18"/>
        </w:rPr>
        <w:t> </w:t>
      </w:r>
      <w:r>
        <w:rPr>
          <w:rFonts w:ascii="宋体" w:hAnsi="宋体" w:cs="宋体" w:eastAsia="宋体" w:hint="default"/>
          <w:spacing w:val="-2"/>
          <w:sz w:val="18"/>
          <w:szCs w:val="18"/>
        </w:rPr>
        <w:t>账面价值的差额，确认减值损失，计提坏账准备；单项金额不重大，经测试未减值的应收款项，采用账龄分析法，按应收款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项的账龄和规定的提取比例确认减值损失，计提坏账准备；单项金额不重大但按信用风险特征组合法组合后风险较大的应收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款项，单独进行测试，并计提个别坏账准备。经单独测试未减值的应收款项，采用账龄分析法，按应收款项的账龄和规定的</w:t>
      </w:r>
    </w:p>
    <w:p>
      <w:pPr>
        <w:spacing w:after="0" w:line="499" w:lineRule="auto"/>
        <w:jc w:val="both"/>
        <w:rPr>
          <w:rFonts w:ascii="宋体" w:hAnsi="宋体" w:cs="宋体" w:eastAsia="宋体" w:hint="default"/>
          <w:sz w:val="18"/>
          <w:szCs w:val="18"/>
        </w:rPr>
        <w:sectPr>
          <w:pgSz w:w="11910" w:h="16840"/>
          <w:pgMar w:header="0" w:footer="956" w:top="1320" w:bottom="1140" w:left="1020" w:right="0"/>
        </w:sectPr>
      </w:pPr>
    </w:p>
    <w:p>
      <w:pPr>
        <w:spacing w:before="30"/>
        <w:ind w:left="232" w:right="1128" w:firstLine="0"/>
        <w:jc w:val="left"/>
        <w:rPr>
          <w:rFonts w:ascii="宋体" w:hAnsi="宋体" w:cs="宋体" w:eastAsia="宋体" w:hint="default"/>
          <w:sz w:val="18"/>
          <w:szCs w:val="18"/>
        </w:rPr>
      </w:pPr>
      <w:r>
        <w:rPr>
          <w:rFonts w:ascii="宋体" w:hAnsi="宋体" w:cs="宋体" w:eastAsia="宋体" w:hint="default"/>
          <w:sz w:val="18"/>
          <w:szCs w:val="18"/>
        </w:rPr>
        <w:t>提取比例确认减值损失。</w:t>
      </w:r>
    </w:p>
    <w:p>
      <w:pPr>
        <w:spacing w:line="240" w:lineRule="auto" w:before="4"/>
        <w:rPr>
          <w:rFonts w:ascii="宋体" w:hAnsi="宋体" w:cs="宋体" w:eastAsia="宋体" w:hint="default"/>
          <w:sz w:val="23"/>
          <w:szCs w:val="23"/>
        </w:rPr>
      </w:pPr>
    </w:p>
    <w:p>
      <w:pPr>
        <w:spacing w:line="482" w:lineRule="auto" w:before="0"/>
        <w:ind w:left="232" w:right="1128"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D</w:t>
      </w:r>
      <w:r>
        <w:rPr>
          <w:rFonts w:ascii="宋体" w:hAnsi="宋体" w:cs="宋体" w:eastAsia="宋体" w:hint="default"/>
          <w:spacing w:val="-1"/>
          <w:sz w:val="18"/>
          <w:szCs w:val="18"/>
        </w:rPr>
        <w:t>、可供出售的金融资产减值的判断：若该项金融资产公允价值出现持续下降，且其下降属于非暂时性的，则可认定该</w:t>
      </w:r>
      <w:r>
        <w:rPr>
          <w:rFonts w:ascii="宋体" w:hAnsi="宋体" w:cs="宋体" w:eastAsia="宋体" w:hint="default"/>
          <w:sz w:val="18"/>
          <w:szCs w:val="18"/>
        </w:rPr>
        <w:t> 项金融资产发生了减值。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spacing w:before="0"/>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）单项金额重大并单项计提坏账准备的应收款项：</w:t>
      </w:r>
    </w:p>
    <w:p>
      <w:pPr>
        <w:spacing w:line="240" w:lineRule="auto" w:before="2"/>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4518"/>
        <w:gridCol w:w="5387"/>
      </w:tblGrid>
      <w:tr>
        <w:trPr>
          <w:trHeight w:val="595"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单笔金额超过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万元的款项</w:t>
            </w:r>
          </w:p>
        </w:tc>
      </w:tr>
      <w:tr>
        <w:trPr>
          <w:trHeight w:val="2098"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387" w:type="dxa"/>
            <w:tcBorders>
              <w:top w:val="single" w:sz="6" w:space="0" w:color="000000"/>
              <w:left w:val="single" w:sz="6" w:space="0" w:color="000000"/>
              <w:bottom w:val="single" w:sz="6" w:space="0" w:color="000000"/>
              <w:right w:val="nil" w:sz="6" w:space="0" w:color="auto"/>
            </w:tcBorders>
          </w:tcPr>
          <w:p>
            <w:pPr>
              <w:pStyle w:val="TableParagraph"/>
              <w:spacing w:line="500" w:lineRule="atLeast" w:before="15"/>
              <w:ind w:left="103" w:right="101"/>
              <w:jc w:val="both"/>
              <w:rPr>
                <w:rFonts w:ascii="宋体" w:hAnsi="宋体" w:cs="宋体" w:eastAsia="宋体" w:hint="default"/>
                <w:sz w:val="18"/>
                <w:szCs w:val="18"/>
              </w:rPr>
            </w:pPr>
            <w:r>
              <w:rPr>
                <w:rFonts w:ascii="宋体" w:hAnsi="宋体" w:cs="宋体" w:eastAsia="宋体" w:hint="default"/>
                <w:spacing w:val="-2"/>
                <w:sz w:val="18"/>
                <w:szCs w:val="18"/>
              </w:rPr>
              <w:t>单独进行减值测试，如有客观证据表明其发生了减值的，根据其未</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来现金流量现值低于其账面价值的差额，确认减值损失，计提坏账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准备。经单独测试后未减值的单项金额重大的应收款项，按照账龄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分析法计提坏账准备。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）按组合计提坏账准备应收款项：</w:t>
      </w:r>
    </w:p>
    <w:p>
      <w:pPr>
        <w:spacing w:line="240" w:lineRule="auto" w:before="2"/>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2674"/>
        <w:gridCol w:w="7230"/>
      </w:tblGrid>
      <w:tr>
        <w:trPr>
          <w:trHeight w:val="595" w:hRule="exact"/>
        </w:trPr>
        <w:tc>
          <w:tcPr>
            <w:tcW w:w="2674" w:type="dxa"/>
            <w:tcBorders>
              <w:top w:val="single" w:sz="6" w:space="0" w:color="000000"/>
              <w:left w:val="nil" w:sz="6" w:space="0" w:color="auto"/>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7230" w:type="dxa"/>
            <w:tcBorders>
              <w:top w:val="single" w:sz="6" w:space="0" w:color="000000"/>
              <w:left w:val="nil" w:sz="6" w:space="0" w:color="auto"/>
              <w:bottom w:val="single" w:sz="6" w:space="0" w:color="000000"/>
              <w:right w:val="nil" w:sz="6" w:space="0" w:color="auto"/>
            </w:tcBorders>
          </w:tcPr>
          <w:p>
            <w:pPr/>
          </w:p>
        </w:tc>
      </w:tr>
      <w:tr>
        <w:trPr>
          <w:trHeight w:val="596"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p>
        </w:tc>
        <w:tc>
          <w:tcPr>
            <w:tcW w:w="723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无明显减值迹象的应收款项，相同账龄的应收款项具有类似信用风险的特征</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232" w:right="1128"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275"/>
        <w:gridCol w:w="2652"/>
        <w:gridCol w:w="2976"/>
      </w:tblGrid>
      <w:tr>
        <w:trPr>
          <w:trHeight w:val="595" w:hRule="exact"/>
        </w:trPr>
        <w:tc>
          <w:tcPr>
            <w:tcW w:w="4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595" w:hRule="exact"/>
        </w:trPr>
        <w:tc>
          <w:tcPr>
            <w:tcW w:w="4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5" w:hRule="exact"/>
        </w:trPr>
        <w:tc>
          <w:tcPr>
            <w:tcW w:w="4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w:t>
            </w:r>
          </w:p>
        </w:tc>
      </w:tr>
      <w:tr>
        <w:trPr>
          <w:trHeight w:val="596" w:hRule="exact"/>
        </w:trPr>
        <w:tc>
          <w:tcPr>
            <w:tcW w:w="4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w:t>
            </w:r>
          </w:p>
        </w:tc>
      </w:tr>
      <w:tr>
        <w:trPr>
          <w:trHeight w:val="595" w:hRule="exact"/>
        </w:trPr>
        <w:tc>
          <w:tcPr>
            <w:tcW w:w="42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）单项金额虽不重大但单项计提坏账准备的应收款项：</w:t>
      </w:r>
    </w:p>
    <w:p>
      <w:pPr>
        <w:spacing w:after="0"/>
        <w:jc w:val="left"/>
        <w:rPr>
          <w:rFonts w:ascii="宋体" w:hAnsi="宋体" w:cs="宋体" w:eastAsia="宋体" w:hint="default"/>
          <w:sz w:val="18"/>
          <w:szCs w:val="18"/>
        </w:rPr>
        <w:sectPr>
          <w:pgSz w:w="11910" w:h="16840"/>
          <w:pgMar w:header="0" w:footer="956" w:top="1320" w:bottom="1140" w:left="900" w:right="0"/>
        </w:sectPr>
      </w:pPr>
    </w:p>
    <w:p>
      <w:pPr>
        <w:spacing w:line="240" w:lineRule="auto" w:before="9"/>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003"/>
        <w:gridCol w:w="6759"/>
      </w:tblGrid>
      <w:tr>
        <w:trPr>
          <w:trHeight w:val="595"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此类应收款项有明显证据不能收回。</w:t>
            </w:r>
          </w:p>
        </w:tc>
      </w:tr>
      <w:tr>
        <w:trPr>
          <w:trHeight w:val="598"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根据其未来现金流量现值低于其账面价值的差额，确认减值损失，计提坏账准备。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6"/>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11</w:t>
      </w:r>
      <w:r>
        <w:rPr>
          <w:rFonts w:ascii="宋体" w:hAnsi="宋体" w:cs="宋体" w:eastAsia="宋体" w:hint="default"/>
          <w:b/>
          <w:bCs/>
          <w:spacing w:val="-3"/>
          <w:sz w:val="21"/>
          <w:szCs w:val="21"/>
        </w:rPr>
        <w:t>、存货</w:t>
      </w:r>
      <w:r>
        <w:rPr>
          <w:rFonts w:ascii="宋体" w:hAnsi="宋体" w:cs="宋体" w:eastAsia="宋体" w:hint="default"/>
          <w:spacing w:val="-3"/>
          <w:sz w:val="21"/>
          <w:szCs w:val="21"/>
        </w:rPr>
      </w:r>
    </w:p>
    <w:p>
      <w:pPr>
        <w:spacing w:line="240" w:lineRule="auto" w:before="4"/>
        <w:rPr>
          <w:rFonts w:ascii="宋体" w:hAnsi="宋体" w:cs="宋体" w:eastAsia="宋体" w:hint="default"/>
          <w:b/>
          <w:bCs/>
          <w:sz w:val="22"/>
          <w:szCs w:val="22"/>
        </w:rPr>
      </w:pPr>
    </w:p>
    <w:p>
      <w:pPr>
        <w:spacing w:line="556" w:lineRule="auto" w:before="0"/>
        <w:ind w:left="593" w:right="4093"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）存货的分类 存货分为原材料、开发产品、在建开发产品、拟开发产品、低值易耗品五大类。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line="556" w:lineRule="auto" w:before="0"/>
        <w:ind w:left="593" w:right="5533"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）发出存货的计价方法 各类存货取得时按实际成本计价，发出时按个别认定法计价。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line="559" w:lineRule="auto" w:before="0"/>
        <w:ind w:left="593" w:right="1128"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）存货可变现净值的确定依据及存货跌价准备的计提方法 </w:t>
      </w:r>
      <w:r>
        <w:rPr>
          <w:rFonts w:ascii="宋体" w:hAnsi="宋体" w:cs="宋体" w:eastAsia="宋体" w:hint="default"/>
          <w:spacing w:val="-2"/>
          <w:sz w:val="18"/>
          <w:szCs w:val="18"/>
        </w:rPr>
        <w:t>存货可变现净值的确定依据：①产成品可变现净值为估计售价减去相关税费后金额；②为生产而持有的材料等，当用其</w:t>
      </w:r>
    </w:p>
    <w:p>
      <w:pPr>
        <w:spacing w:line="508" w:lineRule="auto" w:before="24"/>
        <w:ind w:left="232" w:right="1128" w:firstLine="0"/>
        <w:jc w:val="left"/>
        <w:rPr>
          <w:rFonts w:ascii="宋体" w:hAnsi="宋体" w:cs="宋体" w:eastAsia="宋体" w:hint="default"/>
          <w:sz w:val="18"/>
          <w:szCs w:val="18"/>
        </w:rPr>
      </w:pPr>
      <w:r>
        <w:rPr>
          <w:rFonts w:ascii="宋体" w:hAnsi="宋体" w:cs="宋体" w:eastAsia="宋体" w:hint="default"/>
          <w:spacing w:val="-2"/>
          <w:sz w:val="18"/>
          <w:szCs w:val="18"/>
        </w:rPr>
        <w:t>生产的产成品的可变现净值高于成本时按照成本计量；当材料价格下降表明产成品的可变现净值低于成本时，可变现净值为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估计售价减去至完工时估计将要发生的成本、估计的销售费用以及相关税费后的金额确定。</w:t>
      </w:r>
    </w:p>
    <w:p>
      <w:pPr>
        <w:spacing w:line="508" w:lineRule="auto" w:before="103"/>
        <w:ind w:left="232" w:right="1130" w:firstLine="360"/>
        <w:jc w:val="both"/>
        <w:rPr>
          <w:rFonts w:ascii="宋体" w:hAnsi="宋体" w:cs="宋体" w:eastAsia="宋体" w:hint="default"/>
          <w:sz w:val="18"/>
          <w:szCs w:val="18"/>
        </w:rPr>
      </w:pPr>
      <w:r>
        <w:rPr>
          <w:rFonts w:ascii="宋体" w:hAnsi="宋体" w:cs="宋体" w:eastAsia="宋体" w:hint="default"/>
          <w:spacing w:val="-2"/>
          <w:sz w:val="18"/>
          <w:szCs w:val="18"/>
        </w:rPr>
        <w:t>存货跌价准备的计提方法：本公司于每年中期期末及年度终了在对存货进行全面盘点的基础上，对遭受损失，全部或部</w:t>
      </w:r>
      <w:r>
        <w:rPr>
          <w:rFonts w:ascii="宋体" w:hAnsi="宋体" w:cs="宋体" w:eastAsia="宋体" w:hint="default"/>
          <w:sz w:val="18"/>
          <w:szCs w:val="18"/>
        </w:rPr>
        <w:t> </w:t>
      </w:r>
      <w:r>
        <w:rPr>
          <w:rFonts w:ascii="宋体" w:hAnsi="宋体" w:cs="宋体" w:eastAsia="宋体" w:hint="default"/>
          <w:spacing w:val="-2"/>
          <w:sz w:val="18"/>
          <w:szCs w:val="18"/>
        </w:rPr>
        <w:t>分陈旧过时或销售价格低于成本的存货，根据存货成本与可变现净值孰低计量，按单个存货项目对同类存货项目的可变现净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值低于存货成本的差额计提存货跌价准备，并计入当期损益。确定可变现净值时，除考虑持有目的和资产负债表日该存货的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价格与成本波动外，还需要考虑未来事项的影响。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spacing w:line="556" w:lineRule="auto" w:before="0"/>
        <w:ind w:left="593" w:right="7693"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）存货的盘存制度 存货的盘存制度采用永续盘存法。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line="520" w:lineRule="auto" w:before="0"/>
        <w:ind w:left="232" w:right="778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）低值易耗品和包装物的摊销方法 低值易耗品：</w:t>
      </w:r>
    </w:p>
    <w:p>
      <w:pPr>
        <w:spacing w:before="132"/>
        <w:ind w:left="593" w:right="1128" w:firstLine="0"/>
        <w:jc w:val="left"/>
        <w:rPr>
          <w:rFonts w:ascii="宋体" w:hAnsi="宋体" w:cs="宋体" w:eastAsia="宋体" w:hint="default"/>
          <w:sz w:val="18"/>
          <w:szCs w:val="18"/>
        </w:rPr>
      </w:pPr>
      <w:r>
        <w:rPr>
          <w:rFonts w:ascii="宋体" w:hAnsi="宋体" w:cs="宋体" w:eastAsia="宋体" w:hint="default"/>
          <w:sz w:val="18"/>
          <w:szCs w:val="18"/>
        </w:rPr>
        <w:t>低值易耗品于其领用时采用一次性摊销法摊销。</w:t>
      </w:r>
    </w:p>
    <w:p>
      <w:pPr>
        <w:spacing w:after="0"/>
        <w:jc w:val="left"/>
        <w:rPr>
          <w:rFonts w:ascii="宋体" w:hAnsi="宋体" w:cs="宋体" w:eastAsia="宋体" w:hint="default"/>
          <w:sz w:val="18"/>
          <w:szCs w:val="18"/>
        </w:rPr>
        <w:sectPr>
          <w:pgSz w:w="11910" w:h="16840"/>
          <w:pgMar w:header="0" w:footer="956" w:top="1040" w:bottom="1140" w:left="900" w:right="0"/>
        </w:sectPr>
      </w:pPr>
    </w:p>
    <w:p>
      <w:pPr>
        <w:spacing w:before="30"/>
        <w:ind w:left="112" w:right="0" w:firstLine="0"/>
        <w:jc w:val="both"/>
        <w:rPr>
          <w:rFonts w:ascii="宋体" w:hAnsi="宋体" w:cs="宋体" w:eastAsia="宋体" w:hint="default"/>
          <w:sz w:val="18"/>
          <w:szCs w:val="18"/>
        </w:rPr>
      </w:pPr>
      <w:r>
        <w:rPr>
          <w:rFonts w:ascii="宋体" w:hAnsi="宋体" w:cs="宋体" w:eastAsia="宋体" w:hint="default"/>
          <w:sz w:val="18"/>
          <w:szCs w:val="18"/>
        </w:rPr>
        <w:t>包装物：</w:t>
      </w:r>
    </w:p>
    <w:p>
      <w:pPr>
        <w:spacing w:line="240" w:lineRule="auto" w:before="4"/>
        <w:rPr>
          <w:rFonts w:ascii="宋体" w:hAnsi="宋体" w:cs="宋体" w:eastAsia="宋体" w:hint="default"/>
          <w:sz w:val="23"/>
          <w:szCs w:val="23"/>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包装物于其领用时采用一次性摊销法摊销。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）投资成本确定</w:t>
      </w:r>
    </w:p>
    <w:p>
      <w:pPr>
        <w:spacing w:line="240" w:lineRule="auto" w:before="12"/>
        <w:rPr>
          <w:rFonts w:ascii="宋体" w:hAnsi="宋体" w:cs="宋体" w:eastAsia="宋体" w:hint="default"/>
          <w:sz w:val="15"/>
          <w:szCs w:val="15"/>
        </w:rPr>
      </w:pPr>
    </w:p>
    <w:p>
      <w:pPr>
        <w:spacing w:line="379" w:lineRule="auto" w:before="0"/>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、企业合并形成的长期股权投资，按照下列规定确定其投资成本：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、同一控制下的企业合并，合并方以支付现金、转让非现金资产或承担债务方式作为合并对价的，</w:t>
      </w:r>
    </w:p>
    <w:p>
      <w:pPr>
        <w:spacing w:line="400" w:lineRule="auto" w:before="35"/>
        <w:ind w:left="112" w:right="1126" w:firstLine="0"/>
        <w:jc w:val="both"/>
        <w:rPr>
          <w:rFonts w:ascii="宋体" w:hAnsi="宋体" w:cs="宋体" w:eastAsia="宋体" w:hint="default"/>
          <w:sz w:val="21"/>
          <w:szCs w:val="21"/>
        </w:rPr>
      </w:pPr>
      <w:r>
        <w:rPr>
          <w:rFonts w:ascii="宋体" w:hAnsi="宋体" w:cs="宋体" w:eastAsia="宋体" w:hint="default"/>
          <w:spacing w:val="-2"/>
          <w:sz w:val="21"/>
          <w:szCs w:val="21"/>
        </w:rPr>
        <w:t>在合并日按照取得被合并方所有者权益账面价值的份额作为长期股权投资的投资成本。长期股权投资投资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成本与支付的现金、转让的非现金资产以及所承担债务账面价值之间的差额，调整资本公积；资本公积不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足冲减的，调整留存收益。</w:t>
      </w:r>
    </w:p>
    <w:p>
      <w:pPr>
        <w:spacing w:line="400" w:lineRule="auto" w:before="45"/>
        <w:ind w:left="11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合并方以发行权益性证券作为合并对价的，在合并日按照取得被合并方所有者权益账面价值的份额作</w:t>
      </w:r>
      <w:r>
        <w:rPr>
          <w:rFonts w:ascii="宋体" w:hAnsi="宋体" w:cs="宋体" w:eastAsia="宋体" w:hint="default"/>
          <w:w w:val="100"/>
          <w:sz w:val="21"/>
          <w:szCs w:val="21"/>
        </w:rPr>
        <w:t> </w:t>
      </w:r>
      <w:r>
        <w:rPr>
          <w:rFonts w:ascii="宋体" w:hAnsi="宋体" w:cs="宋体" w:eastAsia="宋体" w:hint="default"/>
          <w:spacing w:val="-2"/>
          <w:sz w:val="21"/>
          <w:szCs w:val="21"/>
        </w:rPr>
        <w:t>为长期股权投资的投资成本。按照发行股份的面值总额作为股本，长期股权投资初始投资成本与所发行股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份面值总额之间的差额，调整资本公积；资本公积不足冲减的，调整留存收益。</w:t>
      </w:r>
    </w:p>
    <w:p>
      <w:pPr>
        <w:spacing w:before="45"/>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、非同一控制下的企业合并，按照下列规定确定的合并成本作为长期股权投资的投资成本：</w:t>
      </w:r>
    </w:p>
    <w:p>
      <w:pPr>
        <w:spacing w:line="400" w:lineRule="auto" w:before="170"/>
        <w:ind w:left="112" w:right="1126" w:firstLine="420"/>
        <w:jc w:val="both"/>
        <w:rPr>
          <w:rFonts w:ascii="宋体" w:hAnsi="宋体" w:cs="宋体" w:eastAsia="宋体" w:hint="default"/>
          <w:sz w:val="21"/>
          <w:szCs w:val="21"/>
        </w:rPr>
      </w:pPr>
      <w:r>
        <w:rPr>
          <w:rFonts w:ascii="宋体" w:hAnsi="宋体" w:cs="宋体" w:eastAsia="宋体" w:hint="default"/>
          <w:spacing w:val="-2"/>
          <w:sz w:val="21"/>
          <w:szCs w:val="21"/>
        </w:rPr>
        <w:t>①一次交换交易实现的企业合并，合并成本为购买方在购买日为取得对被购买方的控制权而付出的资</w:t>
      </w:r>
      <w:r>
        <w:rPr>
          <w:rFonts w:ascii="宋体" w:hAnsi="宋体" w:cs="宋体" w:eastAsia="宋体" w:hint="default"/>
          <w:w w:val="100"/>
          <w:sz w:val="21"/>
          <w:szCs w:val="21"/>
        </w:rPr>
        <w:t> </w:t>
      </w:r>
      <w:r>
        <w:rPr>
          <w:rFonts w:ascii="宋体" w:hAnsi="宋体" w:cs="宋体" w:eastAsia="宋体" w:hint="default"/>
          <w:sz w:val="21"/>
          <w:szCs w:val="21"/>
        </w:rPr>
        <w:t>产、发生或承担的负债以及发行的权益性证券的公允价值。</w:t>
      </w:r>
    </w:p>
    <w:p>
      <w:pPr>
        <w:spacing w:before="45"/>
        <w:ind w:left="533" w:right="0" w:firstLine="0"/>
        <w:jc w:val="left"/>
        <w:rPr>
          <w:rFonts w:ascii="宋体" w:hAnsi="宋体" w:cs="宋体" w:eastAsia="宋体" w:hint="default"/>
          <w:sz w:val="21"/>
          <w:szCs w:val="21"/>
        </w:rPr>
      </w:pPr>
      <w:r>
        <w:rPr>
          <w:rFonts w:ascii="宋体" w:hAnsi="宋体" w:cs="宋体" w:eastAsia="宋体" w:hint="default"/>
          <w:sz w:val="21"/>
          <w:szCs w:val="21"/>
        </w:rPr>
        <w:t>②通过多次交换交易分步实现的企业合并，合并成本为每一单项交易成本之和。</w:t>
      </w:r>
    </w:p>
    <w:p>
      <w:pPr>
        <w:spacing w:line="240" w:lineRule="auto" w:before="3"/>
        <w:rPr>
          <w:rFonts w:ascii="宋体" w:hAnsi="宋体" w:cs="宋体" w:eastAsia="宋体" w:hint="default"/>
          <w:sz w:val="14"/>
          <w:szCs w:val="14"/>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③购买方为进行企业合并发生的各项直接相关费用也应当计入企业合并成本。</w:t>
      </w:r>
    </w:p>
    <w:p>
      <w:pPr>
        <w:spacing w:line="240" w:lineRule="auto" w:before="0"/>
        <w:rPr>
          <w:rFonts w:ascii="宋体" w:hAnsi="宋体" w:cs="宋体" w:eastAsia="宋体" w:hint="default"/>
          <w:sz w:val="14"/>
          <w:szCs w:val="14"/>
        </w:rPr>
      </w:pPr>
    </w:p>
    <w:p>
      <w:pPr>
        <w:spacing w:line="403" w:lineRule="auto" w:before="0"/>
        <w:ind w:left="112" w:right="1126" w:firstLine="420"/>
        <w:jc w:val="both"/>
        <w:rPr>
          <w:rFonts w:ascii="宋体" w:hAnsi="宋体" w:cs="宋体" w:eastAsia="宋体" w:hint="default"/>
          <w:sz w:val="21"/>
          <w:szCs w:val="21"/>
        </w:rPr>
      </w:pPr>
      <w:r>
        <w:rPr>
          <w:rFonts w:ascii="宋体" w:hAnsi="宋体" w:cs="宋体" w:eastAsia="宋体" w:hint="default"/>
          <w:spacing w:val="-2"/>
          <w:sz w:val="21"/>
          <w:szCs w:val="21"/>
        </w:rPr>
        <w:t>④在合并合同或协议中对可能影响合并成本的未来事项作出约定的，购买日如果估计未来事项很可能</w:t>
      </w:r>
      <w:r>
        <w:rPr>
          <w:rFonts w:ascii="宋体" w:hAnsi="宋体" w:cs="宋体" w:eastAsia="宋体" w:hint="default"/>
          <w:w w:val="100"/>
          <w:sz w:val="21"/>
          <w:szCs w:val="21"/>
        </w:rPr>
        <w:t> </w:t>
      </w:r>
      <w:r>
        <w:rPr>
          <w:rFonts w:ascii="宋体" w:hAnsi="宋体" w:cs="宋体" w:eastAsia="宋体" w:hint="default"/>
          <w:sz w:val="21"/>
          <w:szCs w:val="21"/>
        </w:rPr>
        <w:t>发生并且对合并成本的影响金额能够可靠计量的，购买方应当将其计入合并成本。</w:t>
      </w:r>
    </w:p>
    <w:p>
      <w:pPr>
        <w:spacing w:line="379" w:lineRule="auto" w:before="43"/>
        <w:ind w:left="112" w:right="112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、除企业合并形成的长期股权投资以外，其它方式取得的长期股权投资，按照下列规定确定其投资</w:t>
      </w:r>
      <w:r>
        <w:rPr>
          <w:rFonts w:ascii="宋体" w:hAnsi="宋体" w:cs="宋体" w:eastAsia="宋体" w:hint="default"/>
          <w:w w:val="100"/>
          <w:sz w:val="21"/>
          <w:szCs w:val="21"/>
        </w:rPr>
        <w:t> </w:t>
      </w:r>
      <w:r>
        <w:rPr>
          <w:rFonts w:ascii="宋体" w:hAnsi="宋体" w:cs="宋体" w:eastAsia="宋体" w:hint="default"/>
          <w:sz w:val="21"/>
          <w:szCs w:val="21"/>
        </w:rPr>
        <w:t>成本：</w:t>
      </w:r>
    </w:p>
    <w:p>
      <w:pPr>
        <w:spacing w:line="381" w:lineRule="auto" w:before="64"/>
        <w:ind w:left="112" w:right="113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、以支付现金取得的长期股权投资，按照实际支付的购买价款作为投资成本。投资成本包括与取得</w:t>
      </w:r>
      <w:r>
        <w:rPr>
          <w:rFonts w:ascii="宋体" w:hAnsi="宋体" w:cs="宋体" w:eastAsia="宋体" w:hint="default"/>
          <w:w w:val="100"/>
          <w:sz w:val="21"/>
          <w:szCs w:val="21"/>
        </w:rPr>
        <w:t> </w:t>
      </w:r>
      <w:r>
        <w:rPr>
          <w:rFonts w:ascii="宋体" w:hAnsi="宋体" w:cs="宋体" w:eastAsia="宋体" w:hint="default"/>
          <w:sz w:val="21"/>
          <w:szCs w:val="21"/>
        </w:rPr>
        <w:t>长期股权投资直接相关的费用、税金及其它必要支出。</w:t>
      </w:r>
    </w:p>
    <w:p>
      <w:pPr>
        <w:spacing w:line="381" w:lineRule="auto" w:before="60"/>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、以发行权益性证券取得的长期股权投资，按照发行权益性证券的公允价值作为投资成本。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、投资者投入的长期股权投资，按照投资合同或协议约定的价值作为投资成本，但合同或协议约定</w:t>
      </w:r>
    </w:p>
    <w:p>
      <w:pPr>
        <w:spacing w:before="33"/>
        <w:ind w:left="112" w:right="0" w:firstLine="0"/>
        <w:jc w:val="both"/>
        <w:rPr>
          <w:rFonts w:ascii="宋体" w:hAnsi="宋体" w:cs="宋体" w:eastAsia="宋体" w:hint="default"/>
          <w:sz w:val="21"/>
          <w:szCs w:val="21"/>
        </w:rPr>
      </w:pPr>
      <w:r>
        <w:rPr>
          <w:rFonts w:ascii="宋体" w:hAnsi="宋体" w:cs="宋体" w:eastAsia="宋体" w:hint="default"/>
          <w:sz w:val="21"/>
          <w:szCs w:val="21"/>
        </w:rPr>
        <w:t>价值不公允的除外。</w:t>
      </w:r>
    </w:p>
    <w:p>
      <w:pPr>
        <w:spacing w:line="240" w:lineRule="auto" w:before="0"/>
        <w:rPr>
          <w:rFonts w:ascii="宋体" w:hAnsi="宋体" w:cs="宋体" w:eastAsia="宋体" w:hint="default"/>
          <w:sz w:val="14"/>
          <w:szCs w:val="14"/>
        </w:rPr>
      </w:pPr>
    </w:p>
    <w:p>
      <w:pPr>
        <w:spacing w:line="391" w:lineRule="auto" w:before="0"/>
        <w:ind w:left="11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、通过非货币性资产交换取得的长期股权投资，如非货币性资产交换具有商业实质，换入的长期股</w:t>
      </w:r>
      <w:r>
        <w:rPr>
          <w:rFonts w:ascii="宋体" w:hAnsi="宋体" w:cs="宋体" w:eastAsia="宋体" w:hint="default"/>
          <w:w w:val="100"/>
          <w:sz w:val="21"/>
          <w:szCs w:val="21"/>
        </w:rPr>
        <w:t> </w:t>
      </w:r>
      <w:r>
        <w:rPr>
          <w:rFonts w:ascii="宋体" w:hAnsi="宋体" w:cs="宋体" w:eastAsia="宋体" w:hint="default"/>
          <w:spacing w:val="-2"/>
          <w:sz w:val="21"/>
          <w:szCs w:val="21"/>
        </w:rPr>
        <w:t>权投资按照公允价值和应支付的相关税费作为投资成本；如非货币资产交易不具有商业实质，换入的长期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股权投资以换出资产的账面价值和应支付的相关税费作为投资成本。</w:t>
      </w:r>
    </w:p>
    <w:p>
      <w:pPr>
        <w:spacing w:after="0" w:line="391" w:lineRule="auto"/>
        <w:jc w:val="both"/>
        <w:rPr>
          <w:rFonts w:ascii="宋体" w:hAnsi="宋体" w:cs="宋体" w:eastAsia="宋体" w:hint="default"/>
          <w:sz w:val="21"/>
          <w:szCs w:val="21"/>
        </w:rPr>
        <w:sectPr>
          <w:pgSz w:w="11910" w:h="16840"/>
          <w:pgMar w:header="0" w:footer="956" w:top="1320" w:bottom="1140" w:left="1020" w:right="0"/>
        </w:sectPr>
      </w:pPr>
    </w:p>
    <w:p>
      <w:pPr>
        <w:spacing w:before="30"/>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、通过债务重组取得的长期股权投资，其投资成本按照公允价值和应付的相关税费确定。</w:t>
      </w:r>
    </w:p>
    <w:p>
      <w:pPr>
        <w:spacing w:line="240" w:lineRule="auto" w:before="2"/>
        <w:rPr>
          <w:rFonts w:ascii="宋体" w:hAnsi="宋体" w:cs="宋体" w:eastAsia="宋体" w:hint="default"/>
          <w:sz w:val="25"/>
          <w:szCs w:val="25"/>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）后续计量及损益确认方法</w:t>
      </w:r>
    </w:p>
    <w:p>
      <w:pPr>
        <w:spacing w:line="240" w:lineRule="auto" w:before="7"/>
        <w:rPr>
          <w:rFonts w:ascii="宋体" w:hAnsi="宋体" w:cs="宋体" w:eastAsia="宋体" w:hint="default"/>
          <w:sz w:val="25"/>
          <w:szCs w:val="25"/>
        </w:rPr>
      </w:pPr>
    </w:p>
    <w:p>
      <w:pPr>
        <w:spacing w:line="480" w:lineRule="auto" w:before="0"/>
        <w:ind w:left="112" w:right="1132"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、本公司能够对被投资单位实施控制的长期股权投资或本公司对被投资单位不具有共同控制或重大影响，并且在活跃</w:t>
      </w:r>
      <w:r>
        <w:rPr>
          <w:rFonts w:ascii="宋体" w:hAnsi="宋体" w:cs="宋体" w:eastAsia="宋体" w:hint="default"/>
          <w:sz w:val="18"/>
          <w:szCs w:val="18"/>
        </w:rPr>
        <w:t> 市场中没有报价、公允价值不能可靠计量的长期股权投资采用成本法核算。</w:t>
      </w:r>
    </w:p>
    <w:p>
      <w:pPr>
        <w:spacing w:line="508" w:lineRule="auto" w:before="124"/>
        <w:ind w:left="112" w:right="1131" w:firstLine="360"/>
        <w:jc w:val="both"/>
        <w:rPr>
          <w:rFonts w:ascii="宋体" w:hAnsi="宋体" w:cs="宋体" w:eastAsia="宋体" w:hint="default"/>
          <w:sz w:val="18"/>
          <w:szCs w:val="18"/>
        </w:rPr>
      </w:pPr>
      <w:r>
        <w:rPr>
          <w:rFonts w:ascii="宋体" w:hAnsi="宋体" w:cs="宋体" w:eastAsia="宋体" w:hint="default"/>
          <w:spacing w:val="-2"/>
          <w:sz w:val="18"/>
          <w:szCs w:val="18"/>
        </w:rPr>
        <w:t>采用成本法核算的长期股权投资按照投资成本计价。追加或收回投资时调整长期股权投资的成本。被投资单位宣告分派</w:t>
      </w:r>
      <w:r>
        <w:rPr>
          <w:rFonts w:ascii="宋体" w:hAnsi="宋体" w:cs="宋体" w:eastAsia="宋体" w:hint="default"/>
          <w:sz w:val="18"/>
          <w:szCs w:val="18"/>
        </w:rPr>
        <w:t> </w:t>
      </w:r>
      <w:r>
        <w:rPr>
          <w:rFonts w:ascii="宋体" w:hAnsi="宋体" w:cs="宋体" w:eastAsia="宋体" w:hint="default"/>
          <w:spacing w:val="-2"/>
          <w:sz w:val="18"/>
          <w:szCs w:val="18"/>
        </w:rPr>
        <w:t>的现金股利或利润，除取得投资时实际支付的价款或对价中包含的已宣告但尚未发放的现金股利或利润外，本公司按照享有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被投资单位宣告发放的现金股利或利润确认当期投资收益。</w:t>
      </w:r>
    </w:p>
    <w:p>
      <w:pPr>
        <w:spacing w:line="520" w:lineRule="auto" w:before="103"/>
        <w:ind w:left="533" w:right="0" w:hanging="6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、本公司对被投资单位具有共同控制或重大影响的长期股权投资，采用权益法核算。 长期股权投资的投资成本大于投资时应享有被投资单位可辨认净资产公允价值份额的，不调整长期股权投资的投资成</w:t>
      </w:r>
    </w:p>
    <w:p>
      <w:pPr>
        <w:spacing w:line="508" w:lineRule="auto" w:before="53"/>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本；长期股权投资的投资成本小于投资时应享有被投资单位可辨认净资产公允价值份额的，其差额应当计入当期损益，同时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调整长期股权投资的成本。</w:t>
      </w:r>
    </w:p>
    <w:p>
      <w:pPr>
        <w:spacing w:line="508" w:lineRule="auto" w:before="103"/>
        <w:ind w:left="112" w:right="1129" w:firstLine="480"/>
        <w:jc w:val="both"/>
        <w:rPr>
          <w:rFonts w:ascii="宋体" w:hAnsi="宋体" w:cs="宋体" w:eastAsia="宋体" w:hint="default"/>
          <w:sz w:val="18"/>
          <w:szCs w:val="18"/>
        </w:rPr>
      </w:pPr>
      <w:r>
        <w:rPr>
          <w:rFonts w:ascii="宋体" w:hAnsi="宋体" w:cs="宋体" w:eastAsia="宋体" w:hint="default"/>
          <w:spacing w:val="-1"/>
          <w:sz w:val="18"/>
          <w:szCs w:val="18"/>
        </w:rPr>
        <w:t>公司取得长期股权投资后，按照应享有或应分担的被投资单位实现的净损益的份额，确认投资损益并调整长期股权投</w:t>
      </w:r>
      <w:r>
        <w:rPr>
          <w:rFonts w:ascii="宋体" w:hAnsi="宋体" w:cs="宋体" w:eastAsia="宋体" w:hint="default"/>
          <w:sz w:val="18"/>
          <w:szCs w:val="18"/>
        </w:rPr>
        <w:t> </w:t>
      </w:r>
      <w:r>
        <w:rPr>
          <w:rFonts w:ascii="宋体" w:hAnsi="宋体" w:cs="宋体" w:eastAsia="宋体" w:hint="default"/>
          <w:spacing w:val="-2"/>
          <w:sz w:val="18"/>
          <w:szCs w:val="18"/>
        </w:rPr>
        <w:t>资的账面价值；按照被投资单位宣告分派的利润或现金股利计算应分得的部分，相应减少长期股权投资的账面价值。公司确</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认被投资单位发生的净亏损，以长期股权投资的账面价值以及其他实质上构成对被投资单位净投资的长期权益减记至零为</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2"/>
          <w:sz w:val="18"/>
          <w:szCs w:val="18"/>
        </w:rPr>
        <w:t>限，公司负有承担额外损失义务的除外。被投资单位以后实现净利润的，投资企业在其收益分享额弥补未确认的亏损分担额</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后，恢复确认收益分享额。</w:t>
      </w:r>
    </w:p>
    <w:p>
      <w:pPr>
        <w:spacing w:line="508" w:lineRule="auto" w:before="103"/>
        <w:ind w:left="112" w:right="1131" w:firstLine="420"/>
        <w:jc w:val="both"/>
        <w:rPr>
          <w:rFonts w:ascii="宋体" w:hAnsi="宋体" w:cs="宋体" w:eastAsia="宋体" w:hint="default"/>
          <w:sz w:val="18"/>
          <w:szCs w:val="18"/>
        </w:rPr>
      </w:pPr>
      <w:r>
        <w:rPr>
          <w:rFonts w:ascii="宋体" w:hAnsi="宋体" w:cs="宋体" w:eastAsia="宋体" w:hint="default"/>
          <w:sz w:val="18"/>
          <w:szCs w:val="18"/>
        </w:rPr>
        <w:t>在确认应享有被投资单位净损益的份额时，以取得投资时被投资单位各项可辨认资产等的公允价值为基础，对被投资 </w:t>
      </w:r>
      <w:r>
        <w:rPr>
          <w:rFonts w:ascii="宋体" w:hAnsi="宋体" w:cs="宋体" w:eastAsia="宋体" w:hint="default"/>
          <w:spacing w:val="-2"/>
          <w:sz w:val="18"/>
          <w:szCs w:val="18"/>
        </w:rPr>
        <w:t>单位的净利润进行调整后确认。被投资单位采用的会计政策及会计期间与投资企业不一致的，应当按照投资企业的会计政策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及会计期间对被投资单位的财务报表进行调整，并据以确认投资损益。</w:t>
      </w:r>
    </w:p>
    <w:p>
      <w:pPr>
        <w:spacing w:before="60"/>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、处置长期股权投资，其账面价值与实际取得价款的差额，应当计入当期损益。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9"/>
          <w:szCs w:val="19"/>
        </w:rPr>
      </w:pPr>
    </w:p>
    <w:p>
      <w:pPr>
        <w:spacing w:line="559" w:lineRule="auto" w:before="0"/>
        <w:ind w:left="473" w:right="0"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）确定对被投资单位具有共同控制、重大影响的依据 </w:t>
      </w:r>
      <w:r>
        <w:rPr>
          <w:rFonts w:ascii="宋体" w:hAnsi="宋体" w:cs="宋体" w:eastAsia="宋体" w:hint="default"/>
          <w:spacing w:val="-2"/>
          <w:sz w:val="18"/>
          <w:szCs w:val="18"/>
        </w:rPr>
        <w:t>共同控制，是指按照合同约定对某项经济活动所共有的控制，仅在与该项经济活动相关的重要财务和经营决策需要分享</w:t>
      </w:r>
    </w:p>
    <w:p>
      <w:pPr>
        <w:spacing w:line="549" w:lineRule="auto" w:before="24"/>
        <w:ind w:left="473" w:right="0" w:hanging="361"/>
        <w:jc w:val="left"/>
        <w:rPr>
          <w:rFonts w:ascii="宋体" w:hAnsi="宋体" w:cs="宋体" w:eastAsia="宋体" w:hint="default"/>
          <w:sz w:val="18"/>
          <w:szCs w:val="18"/>
        </w:rPr>
      </w:pPr>
      <w:r>
        <w:rPr>
          <w:rFonts w:ascii="宋体" w:hAnsi="宋体" w:cs="宋体" w:eastAsia="宋体" w:hint="default"/>
          <w:sz w:val="18"/>
          <w:szCs w:val="18"/>
        </w:rPr>
        <w:t>控制权的投资方一致同意时存在。 </w:t>
      </w:r>
      <w:r>
        <w:rPr>
          <w:rFonts w:ascii="宋体" w:hAnsi="宋体" w:cs="宋体" w:eastAsia="宋体" w:hint="default"/>
          <w:spacing w:val="-2"/>
          <w:sz w:val="18"/>
          <w:szCs w:val="18"/>
        </w:rPr>
        <w:t>重大影响，是指对一个企业的财务和经营政策有参与决策的权力，但并不能够控制或者与其他方一起共同控制这些政策</w:t>
      </w:r>
    </w:p>
    <w:p>
      <w:pPr>
        <w:spacing w:before="34"/>
        <w:ind w:left="112" w:right="0" w:firstLine="0"/>
        <w:jc w:val="left"/>
        <w:rPr>
          <w:rFonts w:ascii="宋体" w:hAnsi="宋体" w:cs="宋体" w:eastAsia="宋体" w:hint="default"/>
          <w:sz w:val="18"/>
          <w:szCs w:val="18"/>
        </w:rPr>
      </w:pPr>
      <w:r>
        <w:rPr>
          <w:rFonts w:ascii="宋体" w:hAnsi="宋体" w:cs="宋体" w:eastAsia="宋体" w:hint="default"/>
          <w:sz w:val="18"/>
          <w:szCs w:val="18"/>
        </w:rPr>
        <w:t>的制定。</w:t>
      </w:r>
    </w:p>
    <w:p>
      <w:pPr>
        <w:spacing w:after="0"/>
        <w:jc w:val="left"/>
        <w:rPr>
          <w:rFonts w:ascii="宋体" w:hAnsi="宋体" w:cs="宋体" w:eastAsia="宋体" w:hint="default"/>
          <w:sz w:val="18"/>
          <w:szCs w:val="18"/>
        </w:rPr>
        <w:sectPr>
          <w:pgSz w:w="11910" w:h="16840"/>
          <w:pgMar w:header="0" w:footer="956" w:top="1320" w:bottom="1140" w:left="1020" w:right="0"/>
        </w:sectPr>
      </w:pPr>
    </w:p>
    <w:p>
      <w:pPr>
        <w:spacing w:line="559" w:lineRule="auto" w:before="30"/>
        <w:ind w:left="593" w:right="1128"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）减值测试方法及减值准备计提方法 </w:t>
      </w:r>
      <w:r>
        <w:rPr>
          <w:rFonts w:ascii="宋体" w:hAnsi="宋体" w:cs="宋体" w:eastAsia="宋体" w:hint="default"/>
          <w:spacing w:val="-2"/>
          <w:sz w:val="18"/>
          <w:szCs w:val="18"/>
        </w:rPr>
        <w:t>资产负债表日对长期股权投资逐项进行检查，判断长期股权投资是否存在可能发生减值的迹象。如果存在被投资单位经</w:t>
      </w:r>
    </w:p>
    <w:p>
      <w:pPr>
        <w:spacing w:line="508" w:lineRule="auto" w:before="24"/>
        <w:ind w:left="232" w:right="1130" w:firstLine="0"/>
        <w:jc w:val="both"/>
        <w:rPr>
          <w:rFonts w:ascii="宋体" w:hAnsi="宋体" w:cs="宋体" w:eastAsia="宋体" w:hint="default"/>
          <w:sz w:val="18"/>
          <w:szCs w:val="18"/>
        </w:rPr>
      </w:pPr>
      <w:r>
        <w:rPr>
          <w:rFonts w:ascii="宋体" w:hAnsi="宋体" w:cs="宋体" w:eastAsia="宋体" w:hint="default"/>
          <w:spacing w:val="-2"/>
          <w:sz w:val="18"/>
          <w:szCs w:val="18"/>
        </w:rPr>
        <w:t>营状况恶化等减值迹象的，则估计其可收回金额。可收回金额的计量结果表明，长期股权投资的可收回金额低于其账面价值</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的，将长期股权投资的账面价值减记至可收回金额，减记的金额确认为资产减值损失，计入当期损益，同时计提相应的长期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投资减值准备。长期投资减值损失一经确认，在以后会计期间不再转回。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spacing w:before="0"/>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593" w:right="1128" w:firstLine="0"/>
        <w:jc w:val="left"/>
        <w:rPr>
          <w:rFonts w:ascii="宋体" w:hAnsi="宋体" w:cs="宋体" w:eastAsia="宋体" w:hint="default"/>
          <w:sz w:val="18"/>
          <w:szCs w:val="18"/>
        </w:rPr>
      </w:pPr>
      <w:r>
        <w:rPr>
          <w:rFonts w:ascii="宋体" w:hAnsi="宋体" w:cs="宋体" w:eastAsia="宋体" w:hint="default"/>
          <w:sz w:val="18"/>
          <w:szCs w:val="18"/>
        </w:rPr>
        <w:t>投资性房地产，是指为赚取租金或资本增值，或两者兼有而持有的房地产。</w:t>
      </w:r>
    </w:p>
    <w:p>
      <w:pPr>
        <w:spacing w:line="240" w:lineRule="auto" w:before="6"/>
        <w:rPr>
          <w:rFonts w:ascii="宋体" w:hAnsi="宋体" w:cs="宋体" w:eastAsia="宋体" w:hint="default"/>
          <w:sz w:val="23"/>
          <w:szCs w:val="23"/>
        </w:rPr>
      </w:pPr>
    </w:p>
    <w:p>
      <w:pPr>
        <w:spacing w:line="520" w:lineRule="auto" w:before="0"/>
        <w:ind w:left="593" w:right="25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）投资性房地产按照成本进行初始计量： </w:t>
      </w:r>
      <w:r>
        <w:rPr>
          <w:rFonts w:ascii="Times New Roman" w:hAnsi="Times New Roman" w:cs="Times New Roman" w:eastAsia="Times New Roman" w:hint="default"/>
          <w:sz w:val="18"/>
          <w:szCs w:val="18"/>
        </w:rPr>
        <w:t>A</w:t>
      </w:r>
      <w:r>
        <w:rPr>
          <w:rFonts w:ascii="宋体" w:hAnsi="宋体" w:cs="宋体" w:eastAsia="宋体" w:hint="default"/>
          <w:sz w:val="18"/>
          <w:szCs w:val="18"/>
        </w:rPr>
        <w:t>、外购投资性房地产的成本，包括购买价款、相关税费和可直接归属于该资产的其他支出。 </w:t>
      </w:r>
      <w:r>
        <w:rPr>
          <w:rFonts w:ascii="Times New Roman" w:hAnsi="Times New Roman" w:cs="Times New Roman" w:eastAsia="Times New Roman" w:hint="default"/>
          <w:sz w:val="18"/>
          <w:szCs w:val="18"/>
        </w:rPr>
        <w:t>B</w:t>
      </w:r>
      <w:r>
        <w:rPr>
          <w:rFonts w:ascii="宋体" w:hAnsi="宋体" w:cs="宋体" w:eastAsia="宋体" w:hint="default"/>
          <w:sz w:val="18"/>
          <w:szCs w:val="18"/>
        </w:rPr>
        <w:t>、自行建造投资性房地产的成本，由建造该项资产达到预定可使用状态前所发生的必要支出构成。 </w:t>
      </w:r>
      <w:r>
        <w:rPr>
          <w:rFonts w:ascii="Times New Roman" w:hAnsi="Times New Roman" w:cs="Times New Roman" w:eastAsia="Times New Roman" w:hint="default"/>
          <w:sz w:val="18"/>
          <w:szCs w:val="18"/>
        </w:rPr>
        <w:t>C</w:t>
      </w:r>
      <w:r>
        <w:rPr>
          <w:rFonts w:ascii="宋体" w:hAnsi="宋体" w:cs="宋体" w:eastAsia="宋体" w:hint="default"/>
          <w:sz w:val="18"/>
          <w:szCs w:val="18"/>
        </w:rPr>
        <w:t>、以其他方式取得的投资性房地产的成本，按照相关会计准则的规定确定。</w:t>
      </w:r>
    </w:p>
    <w:p>
      <w:pPr>
        <w:spacing w:line="520" w:lineRule="auto" w:before="57"/>
        <w:ind w:left="593"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）后续计量 </w:t>
      </w:r>
      <w:r>
        <w:rPr>
          <w:rFonts w:ascii="宋体" w:hAnsi="宋体" w:cs="宋体" w:eastAsia="宋体" w:hint="default"/>
          <w:spacing w:val="-2"/>
          <w:sz w:val="18"/>
          <w:szCs w:val="18"/>
        </w:rPr>
        <w:t>与投资性房地产有关的后续支出，如与该投资性房地产有关的经济利益很可能流入企业且该投资性房地产的成本能够可</w:t>
      </w:r>
    </w:p>
    <w:p>
      <w:pPr>
        <w:spacing w:line="549" w:lineRule="auto" w:before="53"/>
        <w:ind w:left="593" w:right="5173" w:hanging="361"/>
        <w:jc w:val="left"/>
        <w:rPr>
          <w:rFonts w:ascii="宋体" w:hAnsi="宋体" w:cs="宋体" w:eastAsia="宋体" w:hint="default"/>
          <w:sz w:val="18"/>
          <w:szCs w:val="18"/>
        </w:rPr>
      </w:pPr>
      <w:r>
        <w:rPr>
          <w:rFonts w:ascii="宋体" w:hAnsi="宋体" w:cs="宋体" w:eastAsia="宋体" w:hint="default"/>
          <w:sz w:val="18"/>
          <w:szCs w:val="18"/>
        </w:rPr>
        <w:t>靠地计量，则计入投资性房地产成本；否则在发生时计入当期损益。 公司在资产负债表日采用成本模式对投资性房地产进行后续计量。</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spacing w:before="0"/>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line="561" w:lineRule="auto" w:before="0"/>
        <w:ind w:left="593" w:right="1128"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）固定资产确认条件 </w:t>
      </w:r>
      <w:r>
        <w:rPr>
          <w:rFonts w:ascii="宋体" w:hAnsi="宋体" w:cs="宋体" w:eastAsia="宋体" w:hint="default"/>
          <w:spacing w:val="-2"/>
          <w:sz w:val="18"/>
          <w:szCs w:val="18"/>
        </w:rPr>
        <w:t>固定资产指为生产商品、提供劳务、出租或经营管理而持有的，使用寿命超过一个会计年度的有形资产。固定资产以实</w:t>
      </w:r>
    </w:p>
    <w:p>
      <w:pPr>
        <w:spacing w:line="508" w:lineRule="auto" w:before="22"/>
        <w:ind w:left="232" w:right="1130" w:firstLine="0"/>
        <w:jc w:val="both"/>
        <w:rPr>
          <w:rFonts w:ascii="宋体" w:hAnsi="宋体" w:cs="宋体" w:eastAsia="宋体" w:hint="default"/>
          <w:sz w:val="18"/>
          <w:szCs w:val="18"/>
        </w:rPr>
      </w:pPr>
      <w:r>
        <w:rPr>
          <w:rFonts w:ascii="宋体" w:hAnsi="宋体" w:cs="宋体" w:eastAsia="宋体" w:hint="default"/>
          <w:spacing w:val="-2"/>
          <w:sz w:val="18"/>
          <w:szCs w:val="18"/>
        </w:rPr>
        <w:t>际成本进行初始计量。当与该固定资产有关的经济利益很可能流入企业，且该固定资产资产的成本能够可靠地计量时，确认</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spacing w:before="0"/>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）各类固定资产的折旧方法</w:t>
      </w:r>
    </w:p>
    <w:p>
      <w:pPr>
        <w:spacing w:line="240" w:lineRule="auto" w:before="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477"/>
        <w:gridCol w:w="2465"/>
        <w:gridCol w:w="2463"/>
        <w:gridCol w:w="2465"/>
      </w:tblGrid>
      <w:tr>
        <w:trPr>
          <w:trHeight w:val="59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9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56" w:top="1320" w:bottom="1140" w:left="900" w:right="0"/>
        </w:sectPr>
      </w:pP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477"/>
        <w:gridCol w:w="2465"/>
        <w:gridCol w:w="2463"/>
        <w:gridCol w:w="2465"/>
      </w:tblGrid>
      <w:tr>
        <w:trPr>
          <w:trHeight w:val="59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130"/>
              <w:jc w:val="right"/>
              <w:rPr>
                <w:rFonts w:ascii="Times New Roman" w:hAnsi="Times New Roman" w:cs="Times New Roman" w:eastAsia="Times New Roman" w:hint="default"/>
                <w:sz w:val="18"/>
                <w:szCs w:val="18"/>
              </w:rPr>
            </w:pPr>
            <w:r>
              <w:rPr>
                <w:rFonts w:ascii="Times New Roman"/>
                <w:sz w:val="18"/>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9.00</w:t>
            </w:r>
          </w:p>
        </w:tc>
      </w:tr>
      <w:tr>
        <w:trPr>
          <w:trHeight w:val="591"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130"/>
              <w:jc w:val="right"/>
              <w:rPr>
                <w:rFonts w:ascii="Times New Roman" w:hAnsi="Times New Roman" w:cs="Times New Roman" w:eastAsia="Times New Roman" w:hint="default"/>
                <w:sz w:val="18"/>
                <w:szCs w:val="18"/>
              </w:rPr>
            </w:pPr>
            <w:r>
              <w:rPr>
                <w:rFonts w:ascii="Times New Roman"/>
                <w:sz w:val="18"/>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18.00</w:t>
            </w:r>
          </w:p>
        </w:tc>
      </w:tr>
      <w:tr>
        <w:trPr>
          <w:trHeight w:val="59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130"/>
              <w:jc w:val="right"/>
              <w:rPr>
                <w:rFonts w:ascii="Times New Roman" w:hAnsi="Times New Roman" w:cs="Times New Roman" w:eastAsia="Times New Roman" w:hint="default"/>
                <w:sz w:val="18"/>
                <w:szCs w:val="18"/>
              </w:rPr>
            </w:pPr>
            <w:r>
              <w:rPr>
                <w:rFonts w:ascii="Times New Roman"/>
                <w:sz w:val="18"/>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18.00</w:t>
            </w:r>
          </w:p>
        </w:tc>
      </w:tr>
      <w:tr>
        <w:trPr>
          <w:trHeight w:val="59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130"/>
              <w:jc w:val="right"/>
              <w:rPr>
                <w:rFonts w:ascii="Times New Roman" w:hAnsi="Times New Roman" w:cs="Times New Roman" w:eastAsia="Times New Roman" w:hint="default"/>
                <w:sz w:val="18"/>
                <w:szCs w:val="18"/>
              </w:rPr>
            </w:pPr>
            <w:r>
              <w:rPr>
                <w:rFonts w:ascii="Times New Roman"/>
                <w:sz w:val="18"/>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559" w:lineRule="auto" w:before="44"/>
        <w:ind w:left="593" w:right="1128"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）固定资产的减值测试方法、减值准备计提方法 </w:t>
      </w:r>
      <w:r>
        <w:rPr>
          <w:rFonts w:ascii="宋体" w:hAnsi="宋体" w:cs="宋体" w:eastAsia="宋体" w:hint="default"/>
          <w:spacing w:val="-2"/>
          <w:sz w:val="18"/>
          <w:szCs w:val="18"/>
        </w:rPr>
        <w:t>资产负债表日判断固定资产是否存在可能发生减值的迹象。如果存在资产市价持续下跌，或技术陈旧、损坏、长期闲置</w:t>
      </w:r>
    </w:p>
    <w:p>
      <w:pPr>
        <w:spacing w:line="508" w:lineRule="auto" w:before="25"/>
        <w:ind w:left="232" w:right="1131" w:firstLine="0"/>
        <w:jc w:val="both"/>
        <w:rPr>
          <w:rFonts w:ascii="宋体" w:hAnsi="宋体" w:cs="宋体" w:eastAsia="宋体" w:hint="default"/>
          <w:sz w:val="18"/>
          <w:szCs w:val="18"/>
        </w:rPr>
      </w:pPr>
      <w:r>
        <w:rPr>
          <w:rFonts w:ascii="宋体" w:hAnsi="宋体" w:cs="宋体" w:eastAsia="宋体" w:hint="default"/>
          <w:spacing w:val="-2"/>
          <w:sz w:val="18"/>
          <w:szCs w:val="18"/>
        </w:rPr>
        <w:t>等减值迹象的，则估计其可收回金额。可收回金额的计量结果表明，固定资产的可收回金额低于其账面价值的，将固定资产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的账面价值减记至可收回金额，减记的金额确认为资产减值损失，计入当期损益，同时计提相应的固定资产减值准备。固定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资产减值损失一经确认，在以后会计期间不再转回。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spacing w:line="559" w:lineRule="auto" w:before="0"/>
        <w:ind w:left="593" w:right="1128" w:hanging="36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）融资租入固定资产的认定依据、计价方法 </w:t>
      </w:r>
      <w:r>
        <w:rPr>
          <w:rFonts w:ascii="宋体" w:hAnsi="宋体" w:cs="宋体" w:eastAsia="宋体" w:hint="default"/>
          <w:spacing w:val="-2"/>
          <w:sz w:val="18"/>
          <w:szCs w:val="18"/>
        </w:rPr>
        <w:t>如果与某项租入固定资产有关的全部风险和报酬实质上已经转移，本公司认定为融资租赁。融资租入固定资产需按租赁</w:t>
      </w:r>
    </w:p>
    <w:p>
      <w:pPr>
        <w:spacing w:line="511" w:lineRule="auto" w:before="24"/>
        <w:ind w:left="232" w:right="1130" w:firstLine="0"/>
        <w:jc w:val="both"/>
        <w:rPr>
          <w:rFonts w:ascii="宋体" w:hAnsi="宋体" w:cs="宋体" w:eastAsia="宋体" w:hint="default"/>
          <w:sz w:val="18"/>
          <w:szCs w:val="18"/>
        </w:rPr>
      </w:pPr>
      <w:r>
        <w:rPr>
          <w:rFonts w:ascii="宋体" w:hAnsi="宋体" w:cs="宋体" w:eastAsia="宋体" w:hint="default"/>
          <w:spacing w:val="-2"/>
          <w:sz w:val="18"/>
          <w:szCs w:val="18"/>
        </w:rPr>
        <w:t>开始日租赁资产的公允价值与最低租赁付款额现值两者中的较低者，加上可直接归属于租赁项目的初始直接费用，作为租入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资产的入账价值，将最低租赁付款额作为长期应付款的入账价值，其差额作为未确认融资费用。未确认融资费用采用实际利</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率法在租赁期内分摊。租入固定资产按租赁期和估计净残值确定折旧率，计提折旧。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23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653" w:right="112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）在建工程的核算方法</w:t>
      </w:r>
    </w:p>
    <w:p>
      <w:pPr>
        <w:spacing w:line="240" w:lineRule="auto" w:before="4"/>
        <w:rPr>
          <w:rFonts w:ascii="宋体" w:hAnsi="宋体" w:cs="宋体" w:eastAsia="宋体" w:hint="default"/>
          <w:sz w:val="22"/>
          <w:szCs w:val="22"/>
        </w:rPr>
      </w:pPr>
    </w:p>
    <w:p>
      <w:pPr>
        <w:spacing w:line="508" w:lineRule="auto" w:before="0"/>
        <w:ind w:left="232" w:right="1130" w:firstLine="360"/>
        <w:jc w:val="both"/>
        <w:rPr>
          <w:rFonts w:ascii="宋体" w:hAnsi="宋体" w:cs="宋体" w:eastAsia="宋体" w:hint="default"/>
          <w:sz w:val="18"/>
          <w:szCs w:val="18"/>
        </w:rPr>
      </w:pPr>
      <w:r>
        <w:rPr>
          <w:rFonts w:ascii="宋体" w:hAnsi="宋体" w:cs="宋体" w:eastAsia="宋体" w:hint="default"/>
          <w:spacing w:val="-2"/>
          <w:sz w:val="18"/>
          <w:szCs w:val="18"/>
        </w:rPr>
        <w:t>在建工程包括施工前期准备、正在施工中的建筑工程、安装工程、技术改造工程和大修理工程等。在建工程按照实际发</w:t>
      </w:r>
      <w:r>
        <w:rPr>
          <w:rFonts w:ascii="宋体" w:hAnsi="宋体" w:cs="宋体" w:eastAsia="宋体" w:hint="default"/>
          <w:sz w:val="18"/>
          <w:szCs w:val="18"/>
        </w:rPr>
        <w:t> </w:t>
      </w:r>
      <w:r>
        <w:rPr>
          <w:rFonts w:ascii="宋体" w:hAnsi="宋体" w:cs="宋体" w:eastAsia="宋体" w:hint="default"/>
          <w:spacing w:val="-2"/>
          <w:sz w:val="18"/>
          <w:szCs w:val="18"/>
        </w:rPr>
        <w:t>生的支出分项目核算，并在工程达到预定可使用状态时结转为固定资产。与在建工程有关的借款费用（包括借款利息、溢折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价摊销、汇兑损益等），在相关工程达到预定可使用状态前的计入工程成本，在相关工程达到预定可使用状态后的计入当期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财务费用。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spacing w:line="520" w:lineRule="auto" w:before="0"/>
        <w:ind w:left="593"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）在建工程减值准备 </w:t>
      </w:r>
      <w:r>
        <w:rPr>
          <w:rFonts w:ascii="宋体" w:hAnsi="宋体" w:cs="宋体" w:eastAsia="宋体" w:hint="default"/>
          <w:spacing w:val="-4"/>
          <w:sz w:val="18"/>
          <w:szCs w:val="18"/>
        </w:rPr>
        <w:t>资产负债表日对在建工程进行全面检查，判断在建工程是否存在可能发生减值的迹象。如果存在：（</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）在建工程长期停</w:t>
      </w:r>
    </w:p>
    <w:p>
      <w:pPr>
        <w:spacing w:before="17"/>
        <w:ind w:left="232" w:right="0" w:firstLine="0"/>
        <w:jc w:val="both"/>
        <w:rPr>
          <w:rFonts w:ascii="宋体" w:hAnsi="宋体" w:cs="宋体" w:eastAsia="宋体" w:hint="default"/>
          <w:sz w:val="18"/>
          <w:szCs w:val="18"/>
        </w:rPr>
      </w:pPr>
      <w:r>
        <w:rPr>
          <w:rFonts w:ascii="宋体" w:hAnsi="宋体" w:cs="宋体" w:eastAsia="宋体" w:hint="default"/>
          <w:sz w:val="18"/>
          <w:szCs w:val="18"/>
        </w:rPr>
        <w:t>建并且预计在未来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年内不</w:t>
      </w:r>
      <w:r>
        <w:rPr>
          <w:rFonts w:ascii="宋体" w:hAnsi="宋体" w:cs="宋体" w:eastAsia="宋体" w:hint="default"/>
          <w:spacing w:val="-3"/>
          <w:sz w:val="18"/>
          <w:szCs w:val="18"/>
        </w:rPr>
        <w:t>会</w:t>
      </w:r>
      <w:r>
        <w:rPr>
          <w:rFonts w:ascii="宋体" w:hAnsi="宋体" w:cs="宋体" w:eastAsia="宋体" w:hint="default"/>
          <w:sz w:val="18"/>
          <w:szCs w:val="18"/>
        </w:rPr>
        <w:t>重新开工</w:t>
      </w:r>
      <w:r>
        <w:rPr>
          <w:rFonts w:ascii="宋体" w:hAnsi="宋体" w:cs="宋体" w:eastAsia="宋体" w:hint="default"/>
          <w:spacing w:val="-11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27"/>
          <w:sz w:val="18"/>
          <w:szCs w:val="18"/>
        </w:rPr>
        <w:t>）</w:t>
      </w:r>
      <w:r>
        <w:rPr>
          <w:rFonts w:ascii="宋体" w:hAnsi="宋体" w:cs="宋体" w:eastAsia="宋体" w:hint="default"/>
          <w:sz w:val="18"/>
          <w:szCs w:val="18"/>
        </w:rPr>
        <w:t>所建项目在</w:t>
      </w:r>
      <w:r>
        <w:rPr>
          <w:rFonts w:ascii="宋体" w:hAnsi="宋体" w:cs="宋体" w:eastAsia="宋体" w:hint="default"/>
          <w:spacing w:val="-3"/>
          <w:sz w:val="18"/>
          <w:szCs w:val="18"/>
        </w:rPr>
        <w:t>性</w:t>
      </w:r>
      <w:r>
        <w:rPr>
          <w:rFonts w:ascii="宋体" w:hAnsi="宋体" w:cs="宋体" w:eastAsia="宋体" w:hint="default"/>
          <w:sz w:val="18"/>
          <w:szCs w:val="18"/>
        </w:rPr>
        <w:t>能上</w:t>
      </w:r>
      <w:r>
        <w:rPr>
          <w:rFonts w:ascii="宋体" w:hAnsi="宋体" w:cs="宋体" w:eastAsia="宋体" w:hint="default"/>
          <w:spacing w:val="-27"/>
          <w:sz w:val="18"/>
          <w:szCs w:val="18"/>
        </w:rPr>
        <w:t>、</w:t>
      </w:r>
      <w:r>
        <w:rPr>
          <w:rFonts w:ascii="宋体" w:hAnsi="宋体" w:cs="宋体" w:eastAsia="宋体" w:hint="default"/>
          <w:sz w:val="18"/>
          <w:szCs w:val="18"/>
        </w:rPr>
        <w:t>技术上已经落后并且所带来的经济效益具有很大的不确定</w:t>
      </w:r>
    </w:p>
    <w:p>
      <w:pPr>
        <w:spacing w:after="0"/>
        <w:jc w:val="both"/>
        <w:rPr>
          <w:rFonts w:ascii="宋体" w:hAnsi="宋体" w:cs="宋体" w:eastAsia="宋体" w:hint="default"/>
          <w:sz w:val="18"/>
          <w:szCs w:val="18"/>
        </w:rPr>
        <w:sectPr>
          <w:pgSz w:w="11910" w:h="16840"/>
          <w:pgMar w:header="0" w:footer="956" w:top="1040" w:bottom="1140" w:left="900" w:right="0"/>
        </w:sectPr>
      </w:pPr>
    </w:p>
    <w:p>
      <w:pPr>
        <w:spacing w:line="511" w:lineRule="auto" w:before="30"/>
        <w:ind w:left="112" w:right="1129" w:firstLine="0"/>
        <w:jc w:val="both"/>
        <w:rPr>
          <w:rFonts w:ascii="宋体" w:hAnsi="宋体" w:cs="宋体" w:eastAsia="宋体" w:hint="default"/>
          <w:sz w:val="18"/>
          <w:szCs w:val="18"/>
        </w:rPr>
      </w:pPr>
      <w:r>
        <w:rPr>
          <w:rFonts w:ascii="宋体" w:hAnsi="宋体" w:cs="宋体" w:eastAsia="宋体" w:hint="default"/>
          <w:spacing w:val="-2"/>
          <w:sz w:val="18"/>
          <w:szCs w:val="18"/>
        </w:rPr>
        <w:t>性等减值迹象的，则估计其可收回金额。可收回金额的计量结果表明，在建工程的可收回金额低于其账面价值的，将在建工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程的账面价值减记至可收回金额，减记的金额确认为资产减值损失，计入当期损益，同时计提相应的在建工程减值准备。在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建工程减值损失一经确认，在以后会计期间不再转回。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24" w:lineRule="auto"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）企业发生的借款费用，可直接归属于符合资本化条件的资产的购建或者生产的，予以资本化，计入</w:t>
      </w:r>
      <w:r>
        <w:rPr>
          <w:rFonts w:ascii="宋体" w:hAnsi="宋体" w:cs="宋体" w:eastAsia="宋体" w:hint="default"/>
          <w:w w:val="100"/>
          <w:sz w:val="21"/>
          <w:szCs w:val="21"/>
        </w:rPr>
        <w:t> </w:t>
      </w:r>
      <w:r>
        <w:rPr>
          <w:rFonts w:ascii="宋体" w:hAnsi="宋体" w:cs="宋体" w:eastAsia="宋体" w:hint="default"/>
          <w:spacing w:val="-2"/>
          <w:sz w:val="21"/>
          <w:szCs w:val="21"/>
        </w:rPr>
        <w:t>相关资产成本；其他借款费用，在发生时根据其发生额确认为费用，计入当期损益。借款费用同时满足下</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列条件的，开始资本化：</w:t>
      </w:r>
    </w:p>
    <w:p>
      <w:pPr>
        <w:spacing w:line="412" w:lineRule="auto" w:before="63"/>
        <w:ind w:left="112"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、资产支出已经发生，资产支出包括为购建或者生产符合资本化条件的资产而以支付现金、转移非</w:t>
      </w:r>
      <w:r>
        <w:rPr>
          <w:rFonts w:ascii="宋体" w:hAnsi="宋体" w:cs="宋体" w:eastAsia="宋体" w:hint="default"/>
          <w:w w:val="100"/>
          <w:sz w:val="21"/>
          <w:szCs w:val="21"/>
        </w:rPr>
        <w:t> </w:t>
      </w:r>
      <w:r>
        <w:rPr>
          <w:rFonts w:ascii="宋体" w:hAnsi="宋体" w:cs="宋体" w:eastAsia="宋体" w:hint="default"/>
          <w:sz w:val="21"/>
          <w:szCs w:val="21"/>
        </w:rPr>
        <w:t>现金资产或者承担带息债务形式发生的支出；</w:t>
      </w:r>
    </w:p>
    <w:p>
      <w:pPr>
        <w:spacing w:line="412" w:lineRule="auto" w:before="75"/>
        <w:ind w:left="533" w:right="11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、借款费用已经发生；</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C</w:t>
      </w:r>
      <w:r>
        <w:rPr>
          <w:rFonts w:ascii="宋体" w:hAnsi="宋体" w:cs="宋体" w:eastAsia="宋体" w:hint="default"/>
          <w:spacing w:val="-2"/>
          <w:sz w:val="21"/>
          <w:szCs w:val="21"/>
        </w:rPr>
        <w:t>、为使资产达到预定可使用或者可销售状态所必要的购建或者生产活动已经开始。</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9"/>
          <w:szCs w:val="19"/>
        </w:rPr>
      </w:pPr>
    </w:p>
    <w:p>
      <w:pPr>
        <w:spacing w:line="424" w:lineRule="auto" w:before="0"/>
        <w:ind w:left="112" w:right="0" w:firstLine="21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）购建或者生产符合资本化条件的资产达到预定可使用或者可销售状态时，借款费用停止资本化。</w:t>
      </w:r>
      <w:r>
        <w:rPr>
          <w:rFonts w:ascii="宋体" w:hAnsi="宋体" w:cs="宋体" w:eastAsia="宋体" w:hint="default"/>
          <w:w w:val="100"/>
          <w:sz w:val="21"/>
          <w:szCs w:val="21"/>
        </w:rPr>
        <w:t> </w:t>
      </w:r>
      <w:r>
        <w:rPr>
          <w:rFonts w:ascii="宋体" w:hAnsi="宋体" w:cs="宋体" w:eastAsia="宋体" w:hint="default"/>
          <w:spacing w:val="-2"/>
          <w:sz w:val="21"/>
          <w:szCs w:val="21"/>
        </w:rPr>
        <w:t>在符合资本化条件的资产达到预定可使用或者可销售状态之后所发生的借款费用，在发生时根据其发生额</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确认为费用，计入当期损益。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）无形资产指企业拥有或控制的没有实物形态的可辨认非货币性资产，包括专有技术、土地使用权等。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4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）无形资产在取得时按照实际成本计价。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96" w:lineRule="auto" w:before="124"/>
        <w:ind w:left="11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）对使用寿命确定的无形资产，自无形资产可供使用时起，在使用寿命内采用直线法摊销，计入当期损益；对使用 </w:t>
      </w:r>
      <w:r>
        <w:rPr>
          <w:rFonts w:ascii="宋体" w:hAnsi="宋体" w:cs="宋体" w:eastAsia="宋体" w:hint="default"/>
          <w:spacing w:val="-2"/>
          <w:sz w:val="18"/>
          <w:szCs w:val="18"/>
        </w:rPr>
        <w:t>寿命不确定的无形资产不摊销；公司于年度终了对无形资产的使用寿命及摊销方法进行复核，使用寿命及摊销方法与以前估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计不同的，则改变摊销期限和摊销方法。</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）无形资产减值准备</w:t>
      </w:r>
    </w:p>
    <w:p>
      <w:pPr>
        <w:spacing w:line="240" w:lineRule="auto" w:before="6"/>
        <w:rPr>
          <w:rFonts w:ascii="宋体" w:hAnsi="宋体" w:cs="宋体" w:eastAsia="宋体" w:hint="default"/>
          <w:sz w:val="22"/>
          <w:szCs w:val="22"/>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期末检查各项无形资产预计给本公司带来未来经济利益的能力</w:t>
      </w:r>
      <w:r>
        <w:rPr>
          <w:rFonts w:ascii="宋体" w:hAnsi="宋体" w:cs="宋体" w:eastAsia="宋体" w:hint="default"/>
          <w:spacing w:val="-27"/>
          <w:sz w:val="18"/>
          <w:szCs w:val="18"/>
        </w:rPr>
        <w:t>，</w:t>
      </w:r>
      <w:r>
        <w:rPr>
          <w:rFonts w:ascii="宋体" w:hAnsi="宋体" w:cs="宋体" w:eastAsia="宋体" w:hint="default"/>
          <w:sz w:val="18"/>
          <w:szCs w:val="18"/>
        </w:rPr>
        <w:t>当存在以下情形之一时</w:t>
      </w:r>
      <w:r>
        <w:rPr>
          <w:rFonts w:ascii="宋体" w:hAnsi="宋体" w:cs="宋体" w:eastAsia="宋体" w:hint="default"/>
          <w:spacing w:val="-11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7"/>
          <w:sz w:val="18"/>
          <w:szCs w:val="18"/>
        </w:rPr>
        <w:t>）</w:t>
      </w:r>
      <w:r>
        <w:rPr>
          <w:rFonts w:ascii="宋体" w:hAnsi="宋体" w:cs="宋体" w:eastAsia="宋体" w:hint="default"/>
          <w:sz w:val="18"/>
          <w:szCs w:val="18"/>
        </w:rPr>
        <w:t>某项无形资产已被其他新</w:t>
      </w:r>
    </w:p>
    <w:p>
      <w:pPr>
        <w:spacing w:after="0"/>
        <w:jc w:val="left"/>
        <w:rPr>
          <w:rFonts w:ascii="宋体" w:hAnsi="宋体" w:cs="宋体" w:eastAsia="宋体" w:hint="default"/>
          <w:sz w:val="18"/>
          <w:szCs w:val="18"/>
        </w:rPr>
        <w:sectPr>
          <w:footerReference w:type="default" r:id="rId22"/>
          <w:pgSz w:w="11910" w:h="16840"/>
          <w:pgMar w:footer="956" w:header="0" w:top="1320" w:bottom="1140" w:left="1020" w:right="0"/>
          <w:pgNumType w:start="80"/>
        </w:sectPr>
      </w:pPr>
    </w:p>
    <w:p>
      <w:pPr>
        <w:spacing w:line="491" w:lineRule="auto" w:before="30"/>
        <w:ind w:left="112" w:right="0" w:firstLine="0"/>
        <w:jc w:val="left"/>
        <w:rPr>
          <w:rFonts w:ascii="宋体" w:hAnsi="宋体" w:cs="宋体" w:eastAsia="宋体" w:hint="default"/>
          <w:sz w:val="18"/>
          <w:szCs w:val="18"/>
        </w:rPr>
      </w:pPr>
      <w:r>
        <w:rPr>
          <w:rFonts w:ascii="宋体" w:hAnsi="宋体" w:cs="宋体" w:eastAsia="宋体" w:hint="default"/>
          <w:spacing w:val="-4"/>
          <w:sz w:val="18"/>
          <w:szCs w:val="18"/>
        </w:rPr>
        <w:t>技术等所替代，使其为企业创造经济利益的能力受到重大不利影响；（</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）某项无形资产的市价在当期大幅下跌，在剩余摊销</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4"/>
          <w:sz w:val="18"/>
          <w:szCs w:val="18"/>
        </w:rPr>
        <w:t>年限内预期不会恢复；（</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）某项无形资产已超过法律保护期限，但仍然具有部分使用价值等减值迹象的，则估计其可收回金</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2"/>
          <w:sz w:val="18"/>
          <w:szCs w:val="18"/>
        </w:rPr>
        <w:t>额。可收回金额的计量结果表明，无形资产的可收回金额低于其账面价值的，将无形资产的账面价值减记至可收回金额，减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记的金额确认为资产减值损失，计入当期损益，同时计提相应的无形资产减值准备；（</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）其他足以证明某项无形资产实质上</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已发生了减值准备情形的情况，按预计可收回金额低于账面价值的差额计提无形资产减值准备。无形资产减值损失一经确认，</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before="0"/>
        <w:ind w:left="4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）长期待摊费用指应由本期和以后各期负担的分摊期限在一年以上的各项费用。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94" w:lineRule="auto" w:before="126"/>
        <w:ind w:left="11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）长期待摊费用在取得时按照实际成本计价，开办费在发生时计入当期损益；经营性租赁固定资产的装修费用在可 </w:t>
      </w:r>
      <w:r>
        <w:rPr>
          <w:rFonts w:ascii="宋体" w:hAnsi="宋体" w:cs="宋体" w:eastAsia="宋体" w:hint="default"/>
          <w:spacing w:val="-2"/>
          <w:sz w:val="18"/>
          <w:szCs w:val="18"/>
        </w:rPr>
        <w:t>使用年限和租赁期两者较低年限进行平均摊销，其他长期待摊费用按项目的受益期平均摊销。对于在以后会计期间已无法带</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来预期经济利益的长期待摊费用，本公司对其尚未摊销的摊余价值全部转入当期损益。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480" w:lineRule="auto" w:before="0"/>
        <w:ind w:left="11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）与或有事项相关的义务同时符合以下条件，本公司将其确认为预计负债：该义务是本公司承担的现时义务；该义 务的履行很可能导致经济利益流出企业；该义务的金额能够可靠的计量；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spacing w:line="482" w:lineRule="auto" w:before="0"/>
        <w:ind w:left="11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）本公司清偿预计负债所需支出全部或部分预期由第三方补偿的，补偿金额只有在基本确定能够收到时，才能作为 资产单独确认，同时对该项单独核算的资产确认的补偿金额不超过对应的预计负债的账面金额。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line="523" w:lineRule="auto" w:before="0"/>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、销售商品收入 </w:t>
      </w:r>
      <w:r>
        <w:rPr>
          <w:rFonts w:ascii="宋体" w:hAnsi="宋体" w:cs="宋体" w:eastAsia="宋体" w:hint="default"/>
          <w:spacing w:val="-2"/>
          <w:sz w:val="18"/>
          <w:szCs w:val="18"/>
        </w:rPr>
        <w:t>企业已将商品所有权上的主要风险和报酬转移给购货方；企业既没有保留通常与所有权相联系的继续管理权，也没有对</w:t>
      </w:r>
    </w:p>
    <w:p>
      <w:pPr>
        <w:spacing w:line="508" w:lineRule="auto" w:before="51"/>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已售出的商品实施有效控制；收入的金额能够可靠地计量；相关的经济利益很可能流入企业；相关的已发生或将发生的成本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能够可靠地计量。</w:t>
      </w:r>
    </w:p>
    <w:p>
      <w:pPr>
        <w:spacing w:before="102"/>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、提供劳务收入</w:t>
      </w:r>
    </w:p>
    <w:p>
      <w:pPr>
        <w:spacing w:after="0"/>
        <w:jc w:val="left"/>
        <w:rPr>
          <w:rFonts w:ascii="宋体" w:hAnsi="宋体" w:cs="宋体" w:eastAsia="宋体" w:hint="default"/>
          <w:sz w:val="18"/>
          <w:szCs w:val="18"/>
        </w:rPr>
        <w:sectPr>
          <w:pgSz w:w="11910" w:h="16840"/>
          <w:pgMar w:header="0" w:footer="956" w:top="1320" w:bottom="1140" w:left="1020" w:right="0"/>
        </w:sectPr>
      </w:pPr>
    </w:p>
    <w:p>
      <w:pPr>
        <w:spacing w:line="511" w:lineRule="auto" w:before="30"/>
        <w:ind w:left="112" w:right="1034" w:firstLine="360"/>
        <w:jc w:val="left"/>
        <w:rPr>
          <w:rFonts w:ascii="宋体" w:hAnsi="宋体" w:cs="宋体" w:eastAsia="宋体" w:hint="default"/>
          <w:sz w:val="18"/>
          <w:szCs w:val="18"/>
        </w:rPr>
      </w:pPr>
      <w:r>
        <w:rPr>
          <w:rFonts w:ascii="宋体" w:hAnsi="宋体" w:cs="宋体" w:eastAsia="宋体" w:hint="default"/>
          <w:sz w:val="18"/>
          <w:szCs w:val="18"/>
        </w:rPr>
        <w:t>对在同一会计年度内开始并完成的劳务，于完成劳务时确认收入；如果劳务的开始和完成分属不同的会计年度，则在提 供劳务交易的结果能够可靠估计的情况下，于期末按完工百分比法确认相关的劳务收入。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spacing w:line="520" w:lineRule="auto" w:before="0"/>
        <w:ind w:left="47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、让渡资产使用权收入 让渡资产使用权收入包括利息收入和使用费收入等；利息收入金额，按照他人使用本公司货币资金的时间和实际利率计</w:t>
      </w:r>
    </w:p>
    <w:p>
      <w:pPr>
        <w:spacing w:before="53"/>
        <w:ind w:left="112" w:right="0" w:firstLine="0"/>
        <w:jc w:val="left"/>
        <w:rPr>
          <w:rFonts w:ascii="宋体" w:hAnsi="宋体" w:cs="宋体" w:eastAsia="宋体" w:hint="default"/>
          <w:sz w:val="18"/>
          <w:szCs w:val="18"/>
        </w:rPr>
      </w:pPr>
      <w:r>
        <w:rPr>
          <w:rFonts w:ascii="宋体" w:hAnsi="宋体" w:cs="宋体" w:eastAsia="宋体" w:hint="default"/>
          <w:sz w:val="18"/>
          <w:szCs w:val="18"/>
        </w:rPr>
        <w:t>算确定；使用费收入金额，按照有关合同或协议约定的收费时间和方法计算确定。</w:t>
      </w:r>
    </w:p>
    <w:p>
      <w:pPr>
        <w:spacing w:line="240" w:lineRule="auto" w:before="3"/>
        <w:rPr>
          <w:rFonts w:ascii="宋体" w:hAnsi="宋体" w:cs="宋体" w:eastAsia="宋体" w:hint="default"/>
          <w:sz w:val="23"/>
          <w:szCs w:val="23"/>
        </w:rPr>
      </w:pPr>
    </w:p>
    <w:p>
      <w:pPr>
        <w:spacing w:before="0"/>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、房地产销售收入</w:t>
      </w:r>
    </w:p>
    <w:p>
      <w:pPr>
        <w:spacing w:line="240" w:lineRule="auto" w:before="13"/>
        <w:rPr>
          <w:rFonts w:ascii="宋体" w:hAnsi="宋体" w:cs="宋体" w:eastAsia="宋体" w:hint="default"/>
          <w:sz w:val="18"/>
          <w:szCs w:val="18"/>
        </w:rPr>
      </w:pPr>
    </w:p>
    <w:p>
      <w:pPr>
        <w:spacing w:line="424" w:lineRule="auto" w:before="0"/>
        <w:ind w:left="11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房地产销售在房产完工并验收合格，达到了销售合同约定的交付条件，收到了买方按销售合同约定交</w:t>
      </w:r>
      <w:r>
        <w:rPr>
          <w:rFonts w:ascii="宋体" w:hAnsi="宋体" w:cs="宋体" w:eastAsia="宋体" w:hint="default"/>
          <w:w w:val="100"/>
          <w:sz w:val="21"/>
          <w:szCs w:val="21"/>
        </w:rPr>
        <w:t> </w:t>
      </w:r>
      <w:r>
        <w:rPr>
          <w:rFonts w:ascii="宋体" w:hAnsi="宋体" w:cs="宋体" w:eastAsia="宋体" w:hint="default"/>
          <w:sz w:val="21"/>
          <w:szCs w:val="21"/>
        </w:rPr>
        <w:t>付房产的款项时 </w:t>
      </w:r>
      <w:r>
        <w:rPr>
          <w:rFonts w:ascii="宋体" w:hAnsi="宋体" w:cs="宋体" w:eastAsia="宋体" w:hint="default"/>
          <w:spacing w:val="-4"/>
          <w:sz w:val="21"/>
          <w:szCs w:val="21"/>
        </w:rPr>
        <w:t>，已向购买方发出书面交房通知</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于书面交房通知确定的交付使用时限结束后，确认销售</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收入的实现。</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line="508" w:lineRule="auto" w:before="0"/>
        <w:ind w:left="112" w:right="1034" w:firstLine="362"/>
        <w:jc w:val="left"/>
        <w:rPr>
          <w:rFonts w:ascii="宋体" w:hAnsi="宋体" w:cs="宋体" w:eastAsia="宋体" w:hint="default"/>
          <w:sz w:val="18"/>
          <w:szCs w:val="18"/>
        </w:rPr>
      </w:pPr>
      <w:r>
        <w:rPr>
          <w:rFonts w:ascii="宋体" w:hAnsi="宋体" w:cs="宋体" w:eastAsia="宋体" w:hint="default"/>
          <w:spacing w:val="-4"/>
          <w:sz w:val="18"/>
          <w:szCs w:val="18"/>
        </w:rPr>
        <w:t>包括财政拨款、财政贴息、税收返还和无偿划拨非货币性资产。本公司收到的与资产相关的政府补助，确认为递延收益，</w:t>
      </w:r>
      <w:r>
        <w:rPr>
          <w:rFonts w:ascii="宋体" w:hAnsi="宋体" w:cs="宋体" w:eastAsia="宋体" w:hint="default"/>
          <w:sz w:val="18"/>
          <w:szCs w:val="18"/>
        </w:rPr>
        <w:t> 自相关资产达到预定可使用状态时起，在该资产使用寿命内平均计入各期损益。相关资产在使用寿命结束前被出售、转让、 </w:t>
      </w:r>
      <w:r>
        <w:rPr>
          <w:rFonts w:ascii="宋体" w:hAnsi="宋体" w:cs="宋体" w:eastAsia="宋体" w:hint="default"/>
          <w:spacing w:val="-2"/>
          <w:sz w:val="18"/>
          <w:szCs w:val="18"/>
        </w:rPr>
        <w:t>报废或发生毁损的，将递延收益余额一次性转入资产处置当期的损益。收到的与收益相关的政府补助，用于补偿以后期间的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相关费用或损失的，确认为递延收益，在确认相关费用的期间计入当期损益；用于补偿已经发生的相关费用或损失的，取得</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时直接计入当期损益。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5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）递延所得税资产的确认</w:t>
      </w:r>
    </w:p>
    <w:p>
      <w:pPr>
        <w:spacing w:line="240" w:lineRule="auto" w:before="3"/>
        <w:rPr>
          <w:rFonts w:ascii="宋体" w:hAnsi="宋体" w:cs="宋体" w:eastAsia="宋体" w:hint="default"/>
          <w:sz w:val="22"/>
          <w:szCs w:val="22"/>
        </w:rPr>
      </w:pPr>
    </w:p>
    <w:p>
      <w:pPr>
        <w:spacing w:line="484" w:lineRule="auto" w:before="0"/>
        <w:ind w:left="112" w:right="0" w:firstLine="42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、本公司以很可能取得用来抵扣可抵扣暂时性差异的应纳税所得额为限，确认由可抵扣暂时性差异产生的递延所得</w:t>
      </w:r>
      <w:r>
        <w:rPr>
          <w:rFonts w:ascii="宋体" w:hAnsi="宋体" w:cs="宋体" w:eastAsia="宋体" w:hint="default"/>
          <w:spacing w:val="2"/>
          <w:sz w:val="18"/>
          <w:szCs w:val="18"/>
        </w:rPr>
        <w:t> </w:t>
      </w:r>
      <w:r>
        <w:rPr>
          <w:rFonts w:ascii="宋体" w:hAnsi="宋体" w:cs="宋体" w:eastAsia="宋体" w:hint="default"/>
          <w:sz w:val="18"/>
          <w:szCs w:val="18"/>
        </w:rPr>
        <w:t>税资产。但是同时具有下列特征的交易中因资产或负债的初始确认所产生的递延所得税资产不予确认：</w:t>
      </w:r>
    </w:p>
    <w:p>
      <w:pPr>
        <w:spacing w:before="121"/>
        <w:ind w:left="5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 该项交易不是企业合并；</w:t>
      </w:r>
    </w:p>
    <w:p>
      <w:pPr>
        <w:spacing w:line="240" w:lineRule="auto" w:before="3"/>
        <w:rPr>
          <w:rFonts w:ascii="宋体" w:hAnsi="宋体" w:cs="宋体" w:eastAsia="宋体" w:hint="default"/>
          <w:sz w:val="22"/>
          <w:szCs w:val="22"/>
        </w:rPr>
      </w:pPr>
    </w:p>
    <w:p>
      <w:pPr>
        <w:spacing w:line="520" w:lineRule="auto" w:before="0"/>
        <w:ind w:left="53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、交易发生时既不影响会计利润也不影响应纳税所得额（或可抵扣亏损）。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、本公司对与子公司、联营公司及合营企业投资相关的可抵扣暂时性差异，同时满足下列条件的，确认相应的递延所</w:t>
      </w:r>
    </w:p>
    <w:p>
      <w:pPr>
        <w:spacing w:before="17"/>
        <w:ind w:left="112" w:right="0" w:firstLine="0"/>
        <w:jc w:val="left"/>
        <w:rPr>
          <w:rFonts w:ascii="宋体" w:hAnsi="宋体" w:cs="宋体" w:eastAsia="宋体" w:hint="default"/>
          <w:sz w:val="18"/>
          <w:szCs w:val="18"/>
        </w:rPr>
      </w:pPr>
      <w:r>
        <w:rPr>
          <w:rFonts w:ascii="宋体" w:hAnsi="宋体" w:cs="宋体" w:eastAsia="宋体" w:hint="default"/>
          <w:sz w:val="18"/>
          <w:szCs w:val="18"/>
        </w:rPr>
        <w:t>得税资产：</w:t>
      </w:r>
    </w:p>
    <w:p>
      <w:pPr>
        <w:spacing w:line="240" w:lineRule="auto" w:before="3"/>
        <w:rPr>
          <w:rFonts w:ascii="宋体" w:hAnsi="宋体" w:cs="宋体" w:eastAsia="宋体" w:hint="default"/>
          <w:sz w:val="23"/>
          <w:szCs w:val="23"/>
        </w:rPr>
      </w:pPr>
    </w:p>
    <w:p>
      <w:pPr>
        <w:spacing w:before="0"/>
        <w:ind w:left="5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、暂时性差异在可预见的未来很可能转回；</w:t>
      </w:r>
    </w:p>
    <w:p>
      <w:pPr>
        <w:spacing w:after="0"/>
        <w:jc w:val="left"/>
        <w:rPr>
          <w:rFonts w:ascii="宋体" w:hAnsi="宋体" w:cs="宋体" w:eastAsia="宋体" w:hint="default"/>
          <w:sz w:val="18"/>
          <w:szCs w:val="18"/>
        </w:rPr>
        <w:sectPr>
          <w:pgSz w:w="11910" w:h="16840"/>
          <w:pgMar w:header="0" w:footer="956" w:top="1320" w:bottom="1140" w:left="1020" w:right="0"/>
        </w:sectPr>
      </w:pPr>
    </w:p>
    <w:p>
      <w:pPr>
        <w:spacing w:line="520" w:lineRule="auto" w:before="30"/>
        <w:ind w:left="653" w:right="1128" w:firstLine="0"/>
        <w:jc w:val="left"/>
        <w:rPr>
          <w:rFonts w:ascii="宋体" w:hAnsi="宋体" w:cs="宋体" w:eastAsia="宋体" w:hint="default"/>
          <w:sz w:val="18"/>
          <w:szCs w:val="18"/>
        </w:rPr>
      </w:pPr>
      <w:r>
        <w:rPr/>
        <w:pict>
          <v:shape style="position:absolute;margin-left:494.049988pt;margin-top:784.099731pt;width:101.25pt;height:57.75pt;mso-position-horizontal-relative:page;mso-position-vertical-relative:page;z-index:-623128" type="#_x0000_t75" stroked="false">
            <v:imagedata r:id="rId15" o:title=""/>
          </v:shape>
        </w:pict>
      </w:r>
      <w:r>
        <w:rPr>
          <w:rFonts w:ascii="Times New Roman" w:hAnsi="Times New Roman" w:cs="Times New Roman" w:eastAsia="Times New Roman" w:hint="default"/>
          <w:sz w:val="18"/>
          <w:szCs w:val="18"/>
        </w:rPr>
        <w:t>b</w:t>
      </w:r>
      <w:r>
        <w:rPr>
          <w:rFonts w:ascii="宋体" w:hAnsi="宋体" w:cs="宋体" w:eastAsia="宋体" w:hint="default"/>
          <w:sz w:val="18"/>
          <w:szCs w:val="18"/>
        </w:rPr>
        <w:t>、未来很可能获得用来抵扣暂时性差异的应纳税所得额。 </w:t>
      </w:r>
      <w:r>
        <w:rPr>
          <w:rFonts w:ascii="Times New Roman" w:hAnsi="Times New Roman" w:cs="Times New Roman" w:eastAsia="Times New Roman" w:hint="default"/>
          <w:spacing w:val="-2"/>
          <w:sz w:val="18"/>
          <w:szCs w:val="18"/>
        </w:rPr>
        <w:t>C</w:t>
      </w:r>
      <w:r>
        <w:rPr>
          <w:rFonts w:ascii="宋体" w:hAnsi="宋体" w:cs="宋体" w:eastAsia="宋体" w:hint="default"/>
          <w:spacing w:val="-2"/>
          <w:sz w:val="18"/>
          <w:szCs w:val="18"/>
        </w:rPr>
        <w:t>、本公司对于能够结转以后年度的可抵扣亏损和税款抵减，以很可能获得用来抵扣可抵扣亏损和税款抵减的未来应纳</w:t>
      </w:r>
    </w:p>
    <w:p>
      <w:pPr>
        <w:spacing w:before="19"/>
        <w:ind w:left="232" w:right="1128" w:firstLine="0"/>
        <w:jc w:val="left"/>
        <w:rPr>
          <w:rFonts w:ascii="宋体" w:hAnsi="宋体" w:cs="宋体" w:eastAsia="宋体" w:hint="default"/>
          <w:sz w:val="18"/>
          <w:szCs w:val="18"/>
        </w:rPr>
      </w:pPr>
      <w:r>
        <w:rPr>
          <w:rFonts w:ascii="宋体" w:hAnsi="宋体" w:cs="宋体" w:eastAsia="宋体" w:hint="default"/>
          <w:sz w:val="18"/>
          <w:szCs w:val="18"/>
        </w:rPr>
        <w:t>税所得额为限，确认相应的递延所得税资产。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35" w:lineRule="auto" w:before="138"/>
        <w:ind w:left="653" w:right="241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）递延所得税负债的确认 除下列情况产生的递延所得税负债以外，本公司确认所有应纳税暂时性差异产生的递延所得税负债： </w:t>
      </w:r>
      <w:r>
        <w:rPr>
          <w:rFonts w:ascii="Times New Roman" w:hAnsi="Times New Roman" w:cs="Times New Roman" w:eastAsia="Times New Roman" w:hint="default"/>
          <w:sz w:val="18"/>
          <w:szCs w:val="18"/>
        </w:rPr>
        <w:t>A</w:t>
      </w:r>
      <w:r>
        <w:rPr>
          <w:rFonts w:ascii="宋体" w:hAnsi="宋体" w:cs="宋体" w:eastAsia="宋体" w:hint="default"/>
          <w:sz w:val="18"/>
          <w:szCs w:val="18"/>
        </w:rPr>
        <w:t>、商誉的初始确认；</w:t>
      </w:r>
    </w:p>
    <w:p>
      <w:pPr>
        <w:spacing w:line="520" w:lineRule="auto" w:before="45"/>
        <w:ind w:left="653" w:right="44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、同时满足具有下列特征的交易中产生的资产或负债的初始确认： </w:t>
      </w:r>
      <w:r>
        <w:rPr>
          <w:rFonts w:ascii="Times New Roman" w:hAnsi="Times New Roman" w:cs="Times New Roman" w:eastAsia="Times New Roman" w:hint="default"/>
          <w:sz w:val="18"/>
          <w:szCs w:val="18"/>
        </w:rPr>
        <w:t>a</w:t>
      </w:r>
      <w:r>
        <w:rPr>
          <w:rFonts w:ascii="宋体" w:hAnsi="宋体" w:cs="宋体" w:eastAsia="宋体" w:hint="default"/>
          <w:sz w:val="18"/>
          <w:szCs w:val="18"/>
        </w:rPr>
        <w:t>、该项交易不是企业合并； </w:t>
      </w: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、交易发生时既不影响会计利润也不影响应纳税所得额（或可抵扣亏损）。</w:t>
      </w:r>
    </w:p>
    <w:p>
      <w:pPr>
        <w:spacing w:line="520" w:lineRule="auto" w:before="57"/>
        <w:ind w:left="653" w:right="2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、本公司对与子公司、联营公司及合营企业投资产生相关的应纳税暂时性差异，同时满足下列条件的： </w:t>
      </w:r>
      <w:r>
        <w:rPr>
          <w:rFonts w:ascii="Times New Roman" w:hAnsi="Times New Roman" w:cs="Times New Roman" w:eastAsia="Times New Roman" w:hint="default"/>
          <w:sz w:val="18"/>
          <w:szCs w:val="18"/>
        </w:rPr>
        <w:t>a</w:t>
      </w:r>
      <w:r>
        <w:rPr>
          <w:rFonts w:ascii="宋体" w:hAnsi="宋体" w:cs="宋体" w:eastAsia="宋体" w:hint="default"/>
          <w:sz w:val="18"/>
          <w:szCs w:val="18"/>
        </w:rPr>
        <w:t>、投资企业能够控制暂时性差异的转回的时间；</w:t>
      </w:r>
    </w:p>
    <w:p>
      <w:pPr>
        <w:spacing w:before="57"/>
        <w:ind w:left="593" w:right="112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、暂时性差异在可预见的未来很可能不会转回。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0"/>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520" w:lineRule="auto" w:before="0"/>
        <w:ind w:left="232" w:right="715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 本报告期内未发生重大的会计政策变更事项。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line="520" w:lineRule="auto" w:before="0"/>
        <w:ind w:left="232" w:right="67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）会计估计变更 本报告期内未发生重大的会计估计政策变更事项。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1"/>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232" w:right="1128" w:firstLine="0"/>
        <w:jc w:val="left"/>
        <w:rPr>
          <w:rFonts w:ascii="宋体" w:hAnsi="宋体" w:cs="宋体" w:eastAsia="宋体" w:hint="default"/>
          <w:sz w:val="18"/>
          <w:szCs w:val="18"/>
        </w:rPr>
      </w:pPr>
      <w:r>
        <w:rPr>
          <w:rFonts w:ascii="宋体" w:hAnsi="宋体" w:cs="宋体" w:eastAsia="宋体" w:hint="default"/>
          <w:sz w:val="18"/>
          <w:szCs w:val="18"/>
        </w:rPr>
        <w:t>本报告期内未发现前期重大的会计差错。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spacing w:before="0"/>
        <w:ind w:left="232" w:right="1128" w:firstLine="0"/>
        <w:jc w:val="left"/>
        <w:rPr>
          <w:rFonts w:ascii="黑体" w:hAnsi="黑体" w:cs="黑体" w:eastAsia="黑体" w:hint="default"/>
          <w:sz w:val="21"/>
          <w:szCs w:val="21"/>
        </w:rPr>
      </w:pPr>
      <w:r>
        <w:rPr>
          <w:rFonts w:ascii="黑体" w:hAnsi="黑体" w:cs="黑体" w:eastAsia="黑体" w:hint="default"/>
          <w:b/>
          <w:bCs/>
          <w:sz w:val="21"/>
          <w:szCs w:val="21"/>
        </w:rPr>
        <w:t>三、税项</w:t>
      </w:r>
      <w:r>
        <w:rPr>
          <w:rFonts w:ascii="黑体" w:hAnsi="黑体" w:cs="黑体" w:eastAsia="黑体" w:hint="default"/>
          <w:sz w:val="21"/>
          <w:szCs w:val="21"/>
        </w:rPr>
      </w:r>
    </w:p>
    <w:p>
      <w:pPr>
        <w:spacing w:line="240" w:lineRule="auto" w:before="4"/>
        <w:rPr>
          <w:rFonts w:ascii="黑体" w:hAnsi="黑体" w:cs="黑体" w:eastAsia="黑体" w:hint="default"/>
          <w:b/>
          <w:bCs/>
          <w:sz w:val="17"/>
          <w:szCs w:val="17"/>
        </w:rPr>
      </w:pPr>
    </w:p>
    <w:p>
      <w:pPr>
        <w:spacing w:before="0"/>
        <w:ind w:left="232" w:right="1128" w:firstLine="0"/>
        <w:jc w:val="left"/>
        <w:rPr>
          <w:rFonts w:ascii="宋体" w:hAnsi="宋体" w:cs="宋体" w:eastAsia="宋体" w:hint="default"/>
          <w:sz w:val="21"/>
          <w:szCs w:val="21"/>
        </w:rPr>
      </w:pP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4"/>
        <w:rPr>
          <w:rFonts w:ascii="宋体" w:hAnsi="宋体" w:cs="宋体" w:eastAsia="宋体"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1870"/>
        <w:gridCol w:w="3747"/>
        <w:gridCol w:w="4253"/>
      </w:tblGrid>
      <w:tr>
        <w:trPr>
          <w:trHeight w:val="590" w:hRule="exact"/>
        </w:trPr>
        <w:tc>
          <w:tcPr>
            <w:tcW w:w="1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footerReference w:type="default" r:id="rId23"/>
          <w:pgSz w:w="11910" w:h="16840"/>
          <w:pgMar w:footer="818" w:header="0" w:top="1320" w:bottom="1000" w:left="900" w:right="0"/>
          <w:pgNumType w:start="83"/>
        </w:sectPr>
      </w:pPr>
    </w:p>
    <w:p>
      <w:pPr>
        <w:spacing w:line="240" w:lineRule="auto" w:before="5"/>
        <w:rPr>
          <w:rFonts w:ascii="Times New Roman" w:hAnsi="Times New Roman" w:cs="Times New Roman" w:eastAsia="Times New Roman" w:hint="default"/>
          <w:sz w:val="6"/>
          <w:szCs w:val="6"/>
        </w:rPr>
      </w:pPr>
      <w:r>
        <w:rPr/>
        <w:pict>
          <v:shape style="position:absolute;margin-left:494.049988pt;margin-top:784.099731pt;width:101.25pt;height:57.75pt;mso-position-horizontal-relative:page;mso-position-vertical-relative:page;z-index:2008" type="#_x0000_t75" stroked="false">
            <v:imagedata r:id="rId15" o:title=""/>
          </v:shape>
        </w:pict>
      </w:r>
    </w:p>
    <w:tbl>
      <w:tblPr>
        <w:tblW w:w="0" w:type="auto"/>
        <w:jc w:val="left"/>
        <w:tblInd w:w="104" w:type="dxa"/>
        <w:tblLayout w:type="fixed"/>
        <w:tblCellMar>
          <w:top w:w="0" w:type="dxa"/>
          <w:left w:w="0" w:type="dxa"/>
          <w:bottom w:w="0" w:type="dxa"/>
          <w:right w:w="0" w:type="dxa"/>
        </w:tblCellMar>
        <w:tblLook w:val="01E0"/>
      </w:tblPr>
      <w:tblGrid>
        <w:gridCol w:w="1856"/>
        <w:gridCol w:w="3747"/>
        <w:gridCol w:w="4253"/>
      </w:tblGrid>
      <w:tr>
        <w:trPr>
          <w:trHeight w:val="590" w:hRule="exact"/>
        </w:trPr>
        <w:tc>
          <w:tcPr>
            <w:tcW w:w="1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房地产销售收入</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919" w:right="0"/>
              <w:jc w:val="left"/>
              <w:rPr>
                <w:rFonts w:ascii="宋体" w:hAnsi="宋体" w:cs="宋体" w:eastAsia="宋体" w:hint="default"/>
                <w:sz w:val="18"/>
                <w:szCs w:val="18"/>
              </w:rPr>
            </w:pPr>
            <w:r>
              <w:rPr>
                <w:rFonts w:ascii="宋体" w:hAnsi="宋体" w:cs="宋体" w:eastAsia="宋体" w:hint="default"/>
                <w:sz w:val="18"/>
                <w:szCs w:val="18"/>
              </w:rPr>
              <w:t>普通住宅按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预交</w:t>
            </w:r>
            <w:r>
              <w:rPr>
                <w:rFonts w:ascii="Times New Roman" w:hAnsi="Times New Roman" w:cs="Times New Roman" w:eastAsia="Times New Roman" w:hint="default"/>
                <w:sz w:val="18"/>
                <w:szCs w:val="18"/>
              </w:rPr>
              <w:t>*</w:t>
            </w:r>
            <w:r>
              <w:rPr>
                <w:rFonts w:ascii="宋体" w:hAnsi="宋体" w:cs="宋体" w:eastAsia="宋体" w:hint="default"/>
                <w:sz w:val="18"/>
                <w:szCs w:val="18"/>
              </w:rPr>
              <w:t>注释一</w:t>
            </w:r>
          </w:p>
        </w:tc>
      </w:tr>
      <w:tr>
        <w:trPr>
          <w:trHeight w:val="591" w:hRule="exact"/>
        </w:trPr>
        <w:tc>
          <w:tcPr>
            <w:tcW w:w="1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商品、产品销售收入以及进出口货物</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17%</w:t>
            </w:r>
          </w:p>
        </w:tc>
      </w:tr>
      <w:tr>
        <w:trPr>
          <w:trHeight w:val="590" w:hRule="exact"/>
        </w:trPr>
        <w:tc>
          <w:tcPr>
            <w:tcW w:w="1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提供劳务、销售不动产、租赁不动产</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5%</w:t>
            </w:r>
          </w:p>
        </w:tc>
      </w:tr>
      <w:tr>
        <w:trPr>
          <w:trHeight w:val="590" w:hRule="exact"/>
        </w:trPr>
        <w:tc>
          <w:tcPr>
            <w:tcW w:w="1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应交增值税、营业税等流转税</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7%</w:t>
            </w:r>
          </w:p>
        </w:tc>
      </w:tr>
      <w:tr>
        <w:trPr>
          <w:trHeight w:val="590" w:hRule="exact"/>
        </w:trPr>
        <w:tc>
          <w:tcPr>
            <w:tcW w:w="1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宋体" w:hAnsi="宋体" w:cs="宋体" w:eastAsia="宋体" w:hint="default"/>
                <w:sz w:val="18"/>
                <w:szCs w:val="18"/>
              </w:rPr>
              <w:t>注释二</w:t>
            </w:r>
          </w:p>
        </w:tc>
      </w:tr>
      <w:tr>
        <w:trPr>
          <w:trHeight w:val="7726" w:hRule="exact"/>
        </w:trPr>
        <w:tc>
          <w:tcPr>
            <w:tcW w:w="9856"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484" w:lineRule="auto"/>
              <w:ind w:left="107" w:right="106" w:firstLine="360"/>
              <w:jc w:val="left"/>
              <w:rPr>
                <w:rFonts w:ascii="宋体" w:hAnsi="宋体" w:cs="宋体" w:eastAsia="宋体" w:hint="default"/>
                <w:sz w:val="18"/>
                <w:szCs w:val="18"/>
              </w:rPr>
            </w:pPr>
            <w:r>
              <w:rPr>
                <w:rFonts w:ascii="宋体" w:hAnsi="宋体" w:cs="宋体" w:eastAsia="宋体" w:hint="default"/>
                <w:spacing w:val="-1"/>
                <w:sz w:val="18"/>
                <w:szCs w:val="18"/>
              </w:rPr>
              <w:t>注释一：</w:t>
            </w:r>
            <w:r>
              <w:rPr>
                <w:rFonts w:ascii="宋体" w:hAnsi="宋体" w:cs="宋体" w:eastAsia="宋体" w:hint="default"/>
                <w:color w:val="1D1D1D"/>
                <w:spacing w:val="-1"/>
                <w:sz w:val="18"/>
                <w:szCs w:val="18"/>
              </w:rPr>
              <w:t>据</w:t>
            </w:r>
            <w:r>
              <w:rPr>
                <w:rFonts w:ascii="宋体" w:hAnsi="宋体" w:cs="宋体" w:eastAsia="宋体" w:hint="default"/>
                <w:color w:val="1D1D1D"/>
                <w:sz w:val="18"/>
                <w:szCs w:val="18"/>
              </w:rPr>
              <w:t> </w:t>
            </w:r>
            <w:r>
              <w:rPr>
                <w:rFonts w:ascii="Times New Roman" w:hAnsi="Times New Roman" w:cs="Times New Roman" w:eastAsia="Times New Roman" w:hint="default"/>
                <w:color w:val="1D1D1D"/>
                <w:sz w:val="18"/>
                <w:szCs w:val="18"/>
              </w:rPr>
              <w:t>2004 </w:t>
            </w:r>
            <w:r>
              <w:rPr>
                <w:rFonts w:ascii="宋体" w:hAnsi="宋体" w:cs="宋体" w:eastAsia="宋体" w:hint="default"/>
                <w:color w:val="1D1D1D"/>
                <w:sz w:val="18"/>
                <w:szCs w:val="18"/>
              </w:rPr>
              <w:t>年 </w:t>
            </w:r>
            <w:r>
              <w:rPr>
                <w:rFonts w:ascii="Times New Roman" w:hAnsi="Times New Roman" w:cs="Times New Roman" w:eastAsia="Times New Roman" w:hint="default"/>
                <w:color w:val="1D1D1D"/>
                <w:sz w:val="18"/>
                <w:szCs w:val="18"/>
              </w:rPr>
              <w:t>4 </w:t>
            </w:r>
            <w:r>
              <w:rPr>
                <w:rFonts w:ascii="宋体" w:hAnsi="宋体" w:cs="宋体" w:eastAsia="宋体" w:hint="default"/>
                <w:color w:val="1D1D1D"/>
                <w:spacing w:val="-1"/>
                <w:sz w:val="18"/>
                <w:szCs w:val="18"/>
              </w:rPr>
              <w:t>月山东省地方税务局鲁地税发【</w:t>
            </w:r>
            <w:r>
              <w:rPr>
                <w:rFonts w:ascii="Times New Roman" w:hAnsi="Times New Roman" w:cs="Times New Roman" w:eastAsia="Times New Roman" w:hint="default"/>
                <w:color w:val="1D1D1D"/>
                <w:spacing w:val="-1"/>
                <w:sz w:val="18"/>
                <w:szCs w:val="18"/>
              </w:rPr>
              <w:t>2004</w:t>
            </w:r>
            <w:r>
              <w:rPr>
                <w:rFonts w:ascii="宋体" w:hAnsi="宋体" w:cs="宋体" w:eastAsia="宋体" w:hint="default"/>
                <w:color w:val="1D1D1D"/>
                <w:spacing w:val="-1"/>
                <w:sz w:val="18"/>
                <w:szCs w:val="18"/>
              </w:rPr>
              <w:t>】</w:t>
            </w:r>
            <w:r>
              <w:rPr>
                <w:rFonts w:ascii="Times New Roman" w:hAnsi="Times New Roman" w:cs="Times New Roman" w:eastAsia="Times New Roman" w:hint="default"/>
                <w:color w:val="1D1D1D"/>
                <w:spacing w:val="-1"/>
                <w:sz w:val="18"/>
                <w:szCs w:val="18"/>
              </w:rPr>
              <w:t>33</w:t>
            </w:r>
            <w:r>
              <w:rPr>
                <w:rFonts w:ascii="Times New Roman" w:hAnsi="Times New Roman" w:cs="Times New Roman" w:eastAsia="Times New Roman" w:hint="default"/>
                <w:color w:val="1D1D1D"/>
                <w:spacing w:val="14"/>
                <w:sz w:val="18"/>
                <w:szCs w:val="18"/>
              </w:rPr>
              <w:t> </w:t>
            </w:r>
            <w:r>
              <w:rPr>
                <w:rFonts w:ascii="宋体" w:hAnsi="宋体" w:cs="宋体" w:eastAsia="宋体" w:hint="default"/>
                <w:color w:val="1D1D1D"/>
                <w:spacing w:val="-1"/>
                <w:w w:val="97"/>
                <w:sz w:val="18"/>
                <w:szCs w:val="18"/>
              </w:rPr>
              <w:t>号文</w:t>
            </w:r>
            <w:r>
              <w:rPr>
                <w:rFonts w:ascii="Times New Roman" w:hAnsi="Times New Roman" w:cs="Times New Roman" w:eastAsia="Times New Roman" w:hint="default"/>
                <w:color w:val="1D1D1D"/>
                <w:spacing w:val="-1"/>
                <w:w w:val="97"/>
                <w:sz w:val="18"/>
                <w:szCs w:val="18"/>
              </w:rPr>
              <w:t>―</w:t>
            </w:r>
            <w:r>
              <w:rPr>
                <w:rFonts w:ascii="宋体" w:hAnsi="宋体" w:cs="宋体" w:eastAsia="宋体" w:hint="default"/>
                <w:color w:val="1D1D1D"/>
                <w:spacing w:val="-1"/>
                <w:w w:val="97"/>
                <w:sz w:val="18"/>
                <w:szCs w:val="18"/>
              </w:rPr>
              <w:t>山东省地方税务局房地产开发企业土地增值说预</w:t>
            </w:r>
            <w:r>
              <w:rPr>
                <w:rFonts w:ascii="宋体" w:hAnsi="宋体" w:cs="宋体" w:eastAsia="宋体" w:hint="default"/>
                <w:color w:val="1D1D1D"/>
                <w:sz w:val="18"/>
                <w:szCs w:val="18"/>
              </w:rPr>
              <w:t> 征和清算管理暂行办法规定</w:t>
            </w:r>
            <w:r>
              <w:rPr>
                <w:rFonts w:ascii="Times New Roman" w:hAnsi="Times New Roman" w:cs="Times New Roman" w:eastAsia="Times New Roman" w:hint="default"/>
                <w:color w:val="1D1D1D"/>
                <w:sz w:val="18"/>
                <w:szCs w:val="18"/>
              </w:rPr>
              <w:t>‖</w:t>
            </w:r>
            <w:r>
              <w:rPr>
                <w:rFonts w:ascii="宋体" w:hAnsi="宋体" w:cs="宋体" w:eastAsia="宋体" w:hint="default"/>
                <w:color w:val="1D1D1D"/>
                <w:sz w:val="18"/>
                <w:szCs w:val="18"/>
              </w:rPr>
              <w:t>子公司青岛广顺房地产有限公司按照</w:t>
            </w:r>
            <w:r>
              <w:rPr>
                <w:rFonts w:ascii="宋体" w:hAnsi="宋体" w:cs="宋体" w:eastAsia="宋体" w:hint="default"/>
                <w:color w:val="1D1D1D"/>
                <w:spacing w:val="-37"/>
                <w:sz w:val="18"/>
                <w:szCs w:val="18"/>
              </w:rPr>
              <w:t> </w:t>
            </w:r>
            <w:r>
              <w:rPr>
                <w:rFonts w:ascii="Times New Roman" w:hAnsi="Times New Roman" w:cs="Times New Roman" w:eastAsia="Times New Roman" w:hint="default"/>
                <w:color w:val="1D1D1D"/>
                <w:sz w:val="18"/>
                <w:szCs w:val="18"/>
              </w:rPr>
              <w:t>1%</w:t>
            </w:r>
            <w:r>
              <w:rPr>
                <w:rFonts w:ascii="宋体" w:hAnsi="宋体" w:cs="宋体" w:eastAsia="宋体" w:hint="default"/>
                <w:color w:val="1D1D1D"/>
                <w:sz w:val="18"/>
                <w:szCs w:val="18"/>
              </w:rPr>
              <w:t>预征率预交</w:t>
            </w:r>
            <w:r>
              <w:rPr>
                <w:rFonts w:ascii="宋体" w:hAnsi="宋体" w:cs="宋体" w:eastAsia="宋体" w:hint="default"/>
                <w:color w:val="1D1D1D"/>
                <w:spacing w:val="-38"/>
                <w:sz w:val="18"/>
                <w:szCs w:val="18"/>
              </w:rPr>
              <w:t> </w:t>
            </w:r>
            <w:r>
              <w:rPr>
                <w:rFonts w:ascii="Times New Roman" w:hAnsi="Times New Roman" w:cs="Times New Roman" w:eastAsia="Times New Roman" w:hint="default"/>
                <w:color w:val="1D1D1D"/>
                <w:sz w:val="18"/>
                <w:szCs w:val="18"/>
              </w:rPr>
              <w:t>2009</w:t>
            </w:r>
            <w:r>
              <w:rPr>
                <w:rFonts w:ascii="Times New Roman" w:hAnsi="Times New Roman" w:cs="Times New Roman" w:eastAsia="Times New Roman" w:hint="default"/>
                <w:color w:val="1D1D1D"/>
                <w:spacing w:val="9"/>
                <w:sz w:val="18"/>
                <w:szCs w:val="18"/>
              </w:rPr>
              <w:t> </w:t>
            </w:r>
            <w:r>
              <w:rPr>
                <w:rFonts w:ascii="宋体" w:hAnsi="宋体" w:cs="宋体" w:eastAsia="宋体" w:hint="default"/>
                <w:color w:val="1D1D1D"/>
                <w:sz w:val="18"/>
                <w:szCs w:val="18"/>
              </w:rPr>
              <w:t>年度土地增值税；</w:t>
            </w:r>
            <w:r>
              <w:rPr>
                <w:rFonts w:ascii="宋体" w:hAnsi="宋体" w:cs="宋体" w:eastAsia="宋体" w:hint="default"/>
                <w:sz w:val="18"/>
                <w:szCs w:val="18"/>
              </w:rPr>
            </w:r>
          </w:p>
          <w:p>
            <w:pPr>
              <w:pStyle w:val="TableParagraph"/>
              <w:spacing w:line="482" w:lineRule="auto" w:before="87"/>
              <w:ind w:left="107" w:right="16" w:firstLine="360"/>
              <w:jc w:val="left"/>
              <w:rPr>
                <w:rFonts w:ascii="宋体" w:hAnsi="宋体" w:cs="宋体" w:eastAsia="宋体" w:hint="default"/>
                <w:sz w:val="18"/>
                <w:szCs w:val="18"/>
              </w:rPr>
            </w:pPr>
            <w:r>
              <w:rPr>
                <w:rFonts w:ascii="宋体" w:hAnsi="宋体" w:cs="宋体" w:eastAsia="宋体" w:hint="default"/>
                <w:color w:val="1D1D1D"/>
                <w:sz w:val="18"/>
                <w:szCs w:val="18"/>
              </w:rPr>
              <w:t>据青岛市财政局、青岛市国税局、青岛市地税局青下发的财源〔</w:t>
            </w:r>
            <w:r>
              <w:rPr>
                <w:rFonts w:ascii="Times New Roman" w:hAnsi="Times New Roman" w:cs="Times New Roman" w:eastAsia="Times New Roman" w:hint="default"/>
                <w:color w:val="1D1D1D"/>
                <w:sz w:val="18"/>
                <w:szCs w:val="18"/>
              </w:rPr>
              <w:t>2010</w:t>
            </w:r>
            <w:r>
              <w:rPr>
                <w:rFonts w:ascii="宋体" w:hAnsi="宋体" w:cs="宋体" w:eastAsia="宋体" w:hint="default"/>
                <w:color w:val="1D1D1D"/>
                <w:sz w:val="18"/>
                <w:szCs w:val="18"/>
              </w:rPr>
              <w:t>〕</w:t>
            </w:r>
            <w:r>
              <w:rPr>
                <w:rFonts w:ascii="Times New Roman" w:hAnsi="Times New Roman" w:cs="Times New Roman" w:eastAsia="Times New Roman" w:hint="default"/>
                <w:color w:val="1D1D1D"/>
                <w:sz w:val="18"/>
                <w:szCs w:val="18"/>
              </w:rPr>
              <w:t>2</w:t>
            </w:r>
            <w:r>
              <w:rPr>
                <w:rFonts w:ascii="Times New Roman" w:hAnsi="Times New Roman" w:cs="Times New Roman" w:eastAsia="Times New Roman" w:hint="default"/>
                <w:color w:val="1D1D1D"/>
                <w:spacing w:val="-13"/>
                <w:sz w:val="18"/>
                <w:szCs w:val="18"/>
              </w:rPr>
              <w:t> </w:t>
            </w:r>
            <w:r>
              <w:rPr>
                <w:rFonts w:ascii="宋体" w:hAnsi="宋体" w:cs="宋体" w:eastAsia="宋体" w:hint="default"/>
                <w:color w:val="1D1D1D"/>
                <w:sz w:val="18"/>
                <w:szCs w:val="18"/>
              </w:rPr>
              <w:t>号《关于调整我市房地产税收政策有关问题的 通知》，对房地产企业开发的非普通住宅（含别墅）和非住宅的土地增值税预征率由现行的 </w:t>
            </w:r>
            <w:r>
              <w:rPr>
                <w:rFonts w:ascii="Times New Roman" w:hAnsi="Times New Roman" w:cs="Times New Roman" w:eastAsia="Times New Roman" w:hint="default"/>
                <w:color w:val="1D1D1D"/>
                <w:sz w:val="18"/>
                <w:szCs w:val="18"/>
              </w:rPr>
              <w:t>1%</w:t>
            </w:r>
            <w:r>
              <w:rPr>
                <w:rFonts w:ascii="宋体" w:hAnsi="宋体" w:cs="宋体" w:eastAsia="宋体" w:hint="default"/>
                <w:color w:val="1D1D1D"/>
                <w:sz w:val="18"/>
                <w:szCs w:val="18"/>
              </w:rPr>
              <w:t>调至</w:t>
            </w:r>
            <w:r>
              <w:rPr>
                <w:rFonts w:ascii="宋体" w:hAnsi="宋体" w:cs="宋体" w:eastAsia="宋体" w:hint="default"/>
                <w:color w:val="1D1D1D"/>
                <w:spacing w:val="-23"/>
                <w:sz w:val="18"/>
                <w:szCs w:val="18"/>
              </w:rPr>
              <w:t> </w:t>
            </w:r>
            <w:r>
              <w:rPr>
                <w:rFonts w:ascii="Times New Roman" w:hAnsi="Times New Roman" w:cs="Times New Roman" w:eastAsia="Times New Roman" w:hint="default"/>
                <w:color w:val="1D1D1D"/>
                <w:sz w:val="18"/>
                <w:szCs w:val="18"/>
              </w:rPr>
              <w:t>2%</w:t>
            </w:r>
            <w:r>
              <w:rPr>
                <w:rFonts w:ascii="宋体" w:hAnsi="宋体" w:cs="宋体" w:eastAsia="宋体" w:hint="default"/>
                <w:color w:val="1D1D1D"/>
                <w:sz w:val="18"/>
                <w:szCs w:val="18"/>
              </w:rPr>
              <w:t>，普通住宅、经济 适用住房、廉租住房等的预征率仍按现行税收政策执行；对房地产企业开发的一般商品房的计税毛利率由现行的 </w:t>
            </w:r>
            <w:r>
              <w:rPr>
                <w:rFonts w:ascii="Times New Roman" w:hAnsi="Times New Roman" w:cs="Times New Roman" w:eastAsia="Times New Roman" w:hint="default"/>
                <w:color w:val="1D1D1D"/>
                <w:sz w:val="18"/>
                <w:szCs w:val="18"/>
              </w:rPr>
              <w:t>15%</w:t>
            </w:r>
            <w:r>
              <w:rPr>
                <w:rFonts w:ascii="宋体" w:hAnsi="宋体" w:cs="宋体" w:eastAsia="宋体" w:hint="default"/>
                <w:color w:val="1D1D1D"/>
                <w:sz w:val="18"/>
                <w:szCs w:val="18"/>
              </w:rPr>
              <w:t>调至</w:t>
            </w:r>
            <w:r>
              <w:rPr>
                <w:rFonts w:ascii="宋体" w:hAnsi="宋体" w:cs="宋体" w:eastAsia="宋体" w:hint="default"/>
                <w:color w:val="1D1D1D"/>
                <w:spacing w:val="-53"/>
                <w:sz w:val="18"/>
                <w:szCs w:val="18"/>
              </w:rPr>
              <w:t> </w:t>
            </w:r>
            <w:r>
              <w:rPr>
                <w:rFonts w:ascii="Times New Roman" w:hAnsi="Times New Roman" w:cs="Times New Roman" w:eastAsia="Times New Roman" w:hint="default"/>
                <w:color w:val="1D1D1D"/>
                <w:spacing w:val="-3"/>
                <w:sz w:val="18"/>
                <w:szCs w:val="18"/>
              </w:rPr>
              <w:t>20%</w:t>
            </w:r>
            <w:r>
              <w:rPr>
                <w:rFonts w:ascii="宋体" w:hAnsi="宋体" w:cs="宋体" w:eastAsia="宋体" w:hint="default"/>
                <w:color w:val="1D1D1D"/>
                <w:spacing w:val="-3"/>
                <w:sz w:val="18"/>
                <w:szCs w:val="18"/>
              </w:rPr>
              <w:t>，其他类型的开发产品计税毛利率仍按现行税收政策执行。青岛广顺房地产有限公司朱雀台项目属于普通标准住宅项目，</w:t>
            </w:r>
            <w:r>
              <w:rPr>
                <w:rFonts w:ascii="宋体" w:hAnsi="宋体" w:cs="宋体" w:eastAsia="宋体" w:hint="default"/>
                <w:color w:val="1D1D1D"/>
                <w:spacing w:val="-63"/>
                <w:sz w:val="18"/>
                <w:szCs w:val="18"/>
              </w:rPr>
              <w:t> </w:t>
            </w:r>
            <w:r>
              <w:rPr>
                <w:rFonts w:ascii="宋体" w:hAnsi="宋体" w:cs="宋体" w:eastAsia="宋体" w:hint="default"/>
                <w:color w:val="1D1D1D"/>
                <w:spacing w:val="-63"/>
                <w:sz w:val="18"/>
                <w:szCs w:val="18"/>
              </w:rPr>
            </w:r>
            <w:r>
              <w:rPr>
                <w:rFonts w:ascii="宋体" w:hAnsi="宋体" w:cs="宋体" w:eastAsia="宋体" w:hint="default"/>
                <w:color w:val="1D1D1D"/>
                <w:sz w:val="18"/>
                <w:szCs w:val="18"/>
              </w:rPr>
              <w:t>土地增值税</w:t>
            </w:r>
            <w:r>
              <w:rPr>
                <w:rFonts w:ascii="宋体" w:hAnsi="宋体" w:cs="宋体" w:eastAsia="宋体" w:hint="default"/>
                <w:color w:val="1D1D1D"/>
                <w:spacing w:val="-46"/>
                <w:sz w:val="18"/>
                <w:szCs w:val="18"/>
              </w:rPr>
              <w:t> </w:t>
            </w:r>
            <w:r>
              <w:rPr>
                <w:rFonts w:ascii="Times New Roman" w:hAnsi="Times New Roman" w:cs="Times New Roman" w:eastAsia="Times New Roman" w:hint="default"/>
                <w:color w:val="1D1D1D"/>
                <w:sz w:val="18"/>
                <w:szCs w:val="18"/>
              </w:rPr>
              <w:t>2010</w:t>
            </w:r>
            <w:r>
              <w:rPr>
                <w:rFonts w:ascii="Times New Roman" w:hAnsi="Times New Roman" w:cs="Times New Roman" w:eastAsia="Times New Roman" w:hint="default"/>
                <w:color w:val="1D1D1D"/>
                <w:spacing w:val="-1"/>
                <w:sz w:val="18"/>
                <w:szCs w:val="18"/>
              </w:rPr>
              <w:t> </w:t>
            </w:r>
            <w:r>
              <w:rPr>
                <w:rFonts w:ascii="宋体" w:hAnsi="宋体" w:cs="宋体" w:eastAsia="宋体" w:hint="default"/>
                <w:color w:val="1D1D1D"/>
                <w:sz w:val="18"/>
                <w:szCs w:val="18"/>
              </w:rPr>
              <w:t>年仍按照</w:t>
            </w:r>
            <w:r>
              <w:rPr>
                <w:rFonts w:ascii="宋体" w:hAnsi="宋体" w:cs="宋体" w:eastAsia="宋体" w:hint="default"/>
                <w:color w:val="1D1D1D"/>
                <w:spacing w:val="-47"/>
                <w:sz w:val="18"/>
                <w:szCs w:val="18"/>
              </w:rPr>
              <w:t> </w:t>
            </w:r>
            <w:r>
              <w:rPr>
                <w:rFonts w:ascii="Times New Roman" w:hAnsi="Times New Roman" w:cs="Times New Roman" w:eastAsia="Times New Roman" w:hint="default"/>
                <w:color w:val="1D1D1D"/>
                <w:sz w:val="18"/>
                <w:szCs w:val="18"/>
              </w:rPr>
              <w:t>1%</w:t>
            </w:r>
            <w:r>
              <w:rPr>
                <w:rFonts w:ascii="宋体" w:hAnsi="宋体" w:cs="宋体" w:eastAsia="宋体" w:hint="default"/>
                <w:color w:val="1D1D1D"/>
                <w:sz w:val="18"/>
                <w:szCs w:val="18"/>
              </w:rPr>
              <w:t>预征率预缴。</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482" w:lineRule="auto"/>
              <w:ind w:left="107" w:right="14" w:firstLine="360"/>
              <w:jc w:val="left"/>
              <w:rPr>
                <w:rFonts w:ascii="宋体" w:hAnsi="宋体" w:cs="宋体" w:eastAsia="宋体" w:hint="default"/>
                <w:sz w:val="18"/>
                <w:szCs w:val="18"/>
              </w:rPr>
            </w:pPr>
            <w:r>
              <w:rPr>
                <w:rFonts w:ascii="宋体" w:hAnsi="宋体" w:cs="宋体" w:eastAsia="宋体" w:hint="default"/>
                <w:sz w:val="18"/>
                <w:szCs w:val="18"/>
              </w:rPr>
              <w:t>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年山东省地方税务局下发的鲁地税发【</w:t>
            </w:r>
            <w:r>
              <w:rPr>
                <w:rFonts w:ascii="Times New Roman" w:hAnsi="Times New Roman" w:cs="Times New Roman" w:eastAsia="Times New Roman" w:hint="default"/>
                <w:sz w:val="18"/>
                <w:szCs w:val="18"/>
              </w:rPr>
              <w:t>2004</w:t>
            </w:r>
            <w:r>
              <w:rPr>
                <w:rFonts w:ascii="宋体" w:hAnsi="宋体" w:cs="宋体" w:eastAsia="宋体" w:hint="default"/>
                <w:sz w:val="18"/>
                <w:szCs w:val="18"/>
              </w:rPr>
              <w:t>】</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号文《山东省地方税务局关于房地产开发企业土地增值税预征 </w:t>
            </w:r>
            <w:r>
              <w:rPr>
                <w:rFonts w:ascii="宋体" w:hAnsi="宋体" w:cs="宋体" w:eastAsia="宋体" w:hint="default"/>
                <w:spacing w:val="-4"/>
                <w:sz w:val="18"/>
                <w:szCs w:val="18"/>
              </w:rPr>
              <w:t>和清算管理暂行办法》，子公司济宁海情置业有限公司（原兖州海情置业有限公司）</w:t>
            </w:r>
            <w:r>
              <w:rPr>
                <w:rFonts w:ascii="Times New Roman" w:hAnsi="Times New Roman" w:cs="Times New Roman" w:eastAsia="Times New Roman" w:hint="default"/>
                <w:spacing w:val="-4"/>
                <w:sz w:val="18"/>
                <w:szCs w:val="18"/>
              </w:rPr>
              <w:t>2009</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年按照</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预征率预交土地增值税，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年兖州地方税务局通知调整为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500" w:lineRule="atLeast"/>
              <w:ind w:left="107" w:right="106" w:firstLine="360"/>
              <w:jc w:val="left"/>
              <w:rPr>
                <w:rFonts w:ascii="宋体" w:hAnsi="宋体" w:cs="宋体" w:eastAsia="宋体" w:hint="default"/>
                <w:sz w:val="18"/>
                <w:szCs w:val="18"/>
              </w:rPr>
            </w:pPr>
            <w:r>
              <w:rPr>
                <w:rFonts w:ascii="宋体" w:hAnsi="宋体" w:cs="宋体" w:eastAsia="宋体" w:hint="default"/>
                <w:sz w:val="18"/>
                <w:szCs w:val="18"/>
              </w:rPr>
              <w:t>注释二：深大通公司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年执行过渡期所得税率为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，子公司青岛广顺房地产有限公司和济宁海情置业有限公司执 行的所得税税率均为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bl>
    <w:p>
      <w:pPr>
        <w:spacing w:after="0" w:line="500" w:lineRule="atLeast"/>
        <w:jc w:val="left"/>
        <w:rPr>
          <w:rFonts w:ascii="宋体" w:hAnsi="宋体" w:cs="宋体" w:eastAsia="宋体" w:hint="default"/>
          <w:sz w:val="18"/>
          <w:szCs w:val="18"/>
        </w:rPr>
        <w:sectPr>
          <w:pgSz w:w="11910" w:h="16840"/>
          <w:pgMar w:header="0" w:footer="818" w:top="1040" w:bottom="1000" w:left="920" w:right="0"/>
        </w:sectPr>
      </w:pPr>
    </w:p>
    <w:p>
      <w:pPr>
        <w:spacing w:line="240" w:lineRule="auto" w:before="1"/>
        <w:rPr>
          <w:rFonts w:ascii="Times New Roman" w:hAnsi="Times New Roman" w:cs="Times New Roman" w:eastAsia="Times New Roman" w:hint="default"/>
          <w:sz w:val="16"/>
          <w:szCs w:val="16"/>
        </w:rPr>
      </w:pPr>
    </w:p>
    <w:p>
      <w:pPr>
        <w:spacing w:before="36"/>
        <w:ind w:left="152" w:right="0" w:firstLine="0"/>
        <w:jc w:val="left"/>
        <w:rPr>
          <w:rFonts w:ascii="黑体" w:hAnsi="黑体" w:cs="黑体" w:eastAsia="黑体" w:hint="default"/>
          <w:sz w:val="21"/>
          <w:szCs w:val="21"/>
        </w:rPr>
      </w:pPr>
      <w:r>
        <w:rPr>
          <w:rFonts w:ascii="黑体" w:hAnsi="黑体" w:cs="黑体" w:eastAsia="黑体" w:hint="default"/>
          <w:b/>
          <w:bCs/>
          <w:sz w:val="21"/>
          <w:szCs w:val="21"/>
        </w:rPr>
        <w:t>四、企业合并及合并财务报表</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）通过设立或投资等方式取得的孙公司</w:t>
      </w:r>
    </w:p>
    <w:p>
      <w:pPr>
        <w:spacing w:line="240" w:lineRule="auto" w:before="11"/>
        <w:rPr>
          <w:rFonts w:ascii="宋体" w:hAnsi="宋体" w:cs="宋体" w:eastAsia="宋体" w:hint="default"/>
          <w:sz w:val="18"/>
          <w:szCs w:val="18"/>
        </w:rPr>
      </w:pPr>
    </w:p>
    <w:p>
      <w:pPr>
        <w:spacing w:before="44"/>
        <w:ind w:left="0" w:right="1104" w:firstLine="0"/>
        <w:jc w:val="righ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456"/>
        <w:gridCol w:w="854"/>
        <w:gridCol w:w="710"/>
        <w:gridCol w:w="850"/>
        <w:gridCol w:w="850"/>
        <w:gridCol w:w="1411"/>
        <w:gridCol w:w="996"/>
        <w:gridCol w:w="1272"/>
        <w:gridCol w:w="847"/>
        <w:gridCol w:w="850"/>
        <w:gridCol w:w="710"/>
        <w:gridCol w:w="711"/>
        <w:gridCol w:w="1133"/>
        <w:gridCol w:w="2015"/>
      </w:tblGrid>
      <w:tr>
        <w:trPr>
          <w:trHeight w:val="1591" w:hRule="exact"/>
        </w:trPr>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70"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412" w:lineRule="auto"/>
              <w:ind w:left="273" w:right="192" w:hanging="77"/>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spacing w:val="-72"/>
                <w:sz w:val="15"/>
                <w:szCs w:val="15"/>
              </w:rPr>
              <w:t> </w:t>
            </w:r>
            <w:r>
              <w:rPr>
                <w:rFonts w:ascii="宋体" w:hAnsi="宋体" w:cs="宋体" w:eastAsia="宋体" w:hint="default"/>
                <w:sz w:val="15"/>
                <w:szCs w:val="15"/>
              </w:rPr>
              <w:t>类型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412" w:lineRule="auto"/>
              <w:ind w:left="268" w:right="267"/>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资本</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98"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67" w:lineRule="auto"/>
              <w:ind w:left="343" w:right="113" w:hanging="226"/>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资额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64" w:lineRule="auto"/>
              <w:ind w:left="105" w:right="101"/>
              <w:jc w:val="center"/>
              <w:rPr>
                <w:rFonts w:ascii="宋体" w:hAnsi="宋体" w:cs="宋体" w:eastAsia="宋体" w:hint="default"/>
                <w:sz w:val="15"/>
                <w:szCs w:val="15"/>
              </w:rPr>
            </w:pPr>
            <w:r>
              <w:rPr>
                <w:rFonts w:ascii="宋体" w:hAnsi="宋体" w:cs="宋体" w:eastAsia="宋体" w:hint="default"/>
                <w:spacing w:val="-1"/>
                <w:sz w:val="15"/>
                <w:szCs w:val="15"/>
              </w:rPr>
              <w:t>实质上构成对子</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1"/>
                <w:sz w:val="15"/>
                <w:szCs w:val="15"/>
              </w:rPr>
              <w:t>公司净投资的其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他项目余额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412" w:lineRule="auto" w:before="133"/>
              <w:ind w:left="155" w:right="115"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间接持股</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367" w:lineRule="auto"/>
              <w:ind w:left="232" w:right="115" w:hanging="113"/>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表决权比</w:t>
            </w:r>
            <w:r>
              <w:rPr>
                <w:rFonts w:ascii="宋体" w:hAnsi="宋体" w:cs="宋体" w:eastAsia="宋体" w:hint="default"/>
                <w:w w:val="100"/>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67" w:lineRule="auto"/>
              <w:ind w:left="124" w:right="120"/>
              <w:jc w:val="left"/>
              <w:rPr>
                <w:rFonts w:ascii="宋体" w:hAnsi="宋体" w:cs="宋体" w:eastAsia="宋体" w:hint="default"/>
                <w:sz w:val="15"/>
                <w:szCs w:val="15"/>
              </w:rPr>
            </w:pPr>
            <w:r>
              <w:rPr>
                <w:rFonts w:ascii="宋体" w:hAnsi="宋体" w:cs="宋体" w:eastAsia="宋体" w:hint="default"/>
                <w:sz w:val="15"/>
                <w:szCs w:val="15"/>
              </w:rPr>
              <w:t>是否合</w:t>
            </w:r>
            <w:r>
              <w:rPr>
                <w:rFonts w:ascii="宋体" w:hAnsi="宋体" w:cs="宋体" w:eastAsia="宋体" w:hint="default"/>
                <w:spacing w:val="-72"/>
                <w:sz w:val="15"/>
                <w:szCs w:val="15"/>
              </w:rPr>
              <w:t> </w:t>
            </w:r>
            <w:r>
              <w:rPr>
                <w:rFonts w:ascii="宋体" w:hAnsi="宋体" w:cs="宋体" w:eastAsia="宋体" w:hint="default"/>
                <w:sz w:val="15"/>
                <w:szCs w:val="15"/>
              </w:rPr>
              <w:t>并报表</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67" w:lineRule="auto"/>
              <w:ind w:left="124" w:right="122"/>
              <w:jc w:val="left"/>
              <w:rPr>
                <w:rFonts w:ascii="宋体" w:hAnsi="宋体" w:cs="宋体" w:eastAsia="宋体" w:hint="default"/>
                <w:sz w:val="15"/>
                <w:szCs w:val="15"/>
              </w:rPr>
            </w:pPr>
            <w:r>
              <w:rPr>
                <w:rFonts w:ascii="宋体" w:hAnsi="宋体" w:cs="宋体" w:eastAsia="宋体" w:hint="default"/>
                <w:sz w:val="15"/>
                <w:szCs w:val="15"/>
              </w:rPr>
              <w:t>少数股</w:t>
            </w:r>
            <w:r>
              <w:rPr>
                <w:rFonts w:ascii="宋体" w:hAnsi="宋体" w:cs="宋体" w:eastAsia="宋体" w:hint="default"/>
                <w:spacing w:val="-72"/>
                <w:sz w:val="15"/>
                <w:szCs w:val="15"/>
              </w:rPr>
              <w:t> </w:t>
            </w:r>
            <w:r>
              <w:rPr>
                <w:rFonts w:ascii="宋体" w:hAnsi="宋体" w:cs="宋体" w:eastAsia="宋体" w:hint="default"/>
                <w:sz w:val="15"/>
                <w:szCs w:val="15"/>
              </w:rPr>
              <w:t>东权益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367" w:lineRule="auto"/>
              <w:ind w:left="110" w:right="108"/>
              <w:jc w:val="center"/>
              <w:rPr>
                <w:rFonts w:ascii="宋体" w:hAnsi="宋体" w:cs="宋体" w:eastAsia="宋体" w:hint="default"/>
                <w:sz w:val="15"/>
                <w:szCs w:val="15"/>
              </w:rPr>
            </w:pPr>
            <w:r>
              <w:rPr>
                <w:rFonts w:ascii="宋体" w:hAnsi="宋体" w:cs="宋体" w:eastAsia="宋体" w:hint="default"/>
                <w:spacing w:val="-1"/>
                <w:sz w:val="15"/>
                <w:szCs w:val="15"/>
              </w:rPr>
              <w:t>少数股东权益</w:t>
            </w:r>
            <w:r>
              <w:rPr>
                <w:rFonts w:ascii="宋体" w:hAnsi="宋体" w:cs="宋体" w:eastAsia="宋体" w:hint="default"/>
                <w:w w:val="100"/>
                <w:sz w:val="15"/>
                <w:szCs w:val="15"/>
              </w:rPr>
              <w:t> </w:t>
            </w:r>
            <w:r>
              <w:rPr>
                <w:rFonts w:ascii="宋体" w:hAnsi="宋体" w:cs="宋体" w:eastAsia="宋体" w:hint="default"/>
                <w:spacing w:val="-1"/>
                <w:sz w:val="15"/>
                <w:szCs w:val="15"/>
              </w:rPr>
              <w:t>中用于冲减少</w:t>
            </w:r>
            <w:r>
              <w:rPr>
                <w:rFonts w:ascii="宋体" w:hAnsi="宋体" w:cs="宋体" w:eastAsia="宋体" w:hint="default"/>
                <w:w w:val="100"/>
                <w:sz w:val="15"/>
                <w:szCs w:val="15"/>
              </w:rPr>
              <w:t> </w:t>
            </w:r>
            <w:r>
              <w:rPr>
                <w:rFonts w:ascii="宋体" w:hAnsi="宋体" w:cs="宋体" w:eastAsia="宋体" w:hint="default"/>
                <w:spacing w:val="-1"/>
                <w:sz w:val="15"/>
                <w:szCs w:val="15"/>
              </w:rPr>
              <w:t>数股东损益的</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367" w:lineRule="auto" w:before="122"/>
              <w:ind w:left="165" w:right="188"/>
              <w:jc w:val="center"/>
              <w:rPr>
                <w:rFonts w:ascii="宋体" w:hAnsi="宋体" w:cs="宋体" w:eastAsia="宋体" w:hint="default"/>
                <w:sz w:val="15"/>
                <w:szCs w:val="15"/>
              </w:rPr>
            </w:pPr>
            <w:r>
              <w:rPr>
                <w:rFonts w:ascii="宋体" w:hAnsi="宋体" w:cs="宋体" w:eastAsia="宋体" w:hint="default"/>
                <w:spacing w:val="-2"/>
                <w:sz w:val="15"/>
                <w:szCs w:val="15"/>
              </w:rPr>
              <w:t>从母公司所有者权益冲减</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子公司少数股东分担的本</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期亏损超过少数股东在该</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子公司期初所有者权益中</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所享有份额后的余额</w:t>
            </w:r>
          </w:p>
        </w:tc>
      </w:tr>
      <w:tr>
        <w:trPr>
          <w:trHeight w:val="874" w:hRule="exact"/>
        </w:trPr>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192" w:lineRule="exact"/>
              <w:ind w:left="147" w:right="99"/>
              <w:jc w:val="left"/>
              <w:rPr>
                <w:rFonts w:ascii="宋体" w:hAnsi="宋体" w:cs="宋体" w:eastAsia="宋体" w:hint="default"/>
                <w:sz w:val="15"/>
                <w:szCs w:val="15"/>
              </w:rPr>
            </w:pPr>
            <w:r>
              <w:rPr>
                <w:rFonts w:ascii="宋体" w:hAnsi="宋体" w:cs="宋体" w:eastAsia="宋体" w:hint="default"/>
                <w:spacing w:val="-2"/>
                <w:sz w:val="15"/>
                <w:szCs w:val="15"/>
              </w:rPr>
              <w:t>泗水海情置业有限</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泗水县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192" w:lineRule="exact"/>
              <w:ind w:left="120" w:right="115"/>
              <w:jc w:val="left"/>
              <w:rPr>
                <w:rFonts w:ascii="宋体" w:hAnsi="宋体" w:cs="宋体" w:eastAsia="宋体" w:hint="default"/>
                <w:sz w:val="15"/>
                <w:szCs w:val="15"/>
              </w:rPr>
            </w:pPr>
            <w:r>
              <w:rPr>
                <w:rFonts w:ascii="宋体" w:hAnsi="宋体" w:cs="宋体" w:eastAsia="宋体" w:hint="default"/>
                <w:sz w:val="15"/>
                <w:szCs w:val="15"/>
              </w:rPr>
              <w:t>房地产开</w:t>
            </w:r>
            <w:r>
              <w:rPr>
                <w:rFonts w:ascii="宋体" w:hAnsi="宋体" w:cs="宋体" w:eastAsia="宋体" w:hint="default"/>
                <w:w w:val="100"/>
                <w:sz w:val="15"/>
                <w:szCs w:val="15"/>
              </w:rPr>
              <w:t> </w:t>
            </w:r>
            <w:r>
              <w:rPr>
                <w:rFonts w:ascii="宋体" w:hAnsi="宋体" w:cs="宋体" w:eastAsia="宋体" w:hint="default"/>
                <w:sz w:val="15"/>
                <w:szCs w:val="15"/>
              </w:rPr>
              <w:t>发、销售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5"/>
                <w:szCs w:val="15"/>
              </w:rPr>
            </w:pPr>
            <w:r>
              <w:rPr>
                <w:rFonts w:ascii="Times New Roman"/>
                <w:sz w:val="15"/>
              </w:rPr>
              <w:t>5000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35" w:lineRule="auto"/>
              <w:ind w:left="103" w:right="98" w:firstLine="69"/>
              <w:jc w:val="left"/>
              <w:rPr>
                <w:rFonts w:ascii="宋体" w:hAnsi="宋体" w:cs="宋体" w:eastAsia="宋体" w:hint="default"/>
                <w:sz w:val="15"/>
                <w:szCs w:val="15"/>
              </w:rPr>
            </w:pPr>
            <w:r>
              <w:rPr>
                <w:rFonts w:ascii="宋体" w:hAnsi="宋体" w:cs="宋体" w:eastAsia="宋体" w:hint="default"/>
                <w:sz w:val="15"/>
                <w:szCs w:val="15"/>
              </w:rPr>
              <w:t>房地产开发、经</w:t>
            </w:r>
            <w:r>
              <w:rPr>
                <w:rFonts w:ascii="宋体" w:hAnsi="宋体" w:cs="宋体" w:eastAsia="宋体" w:hint="default"/>
                <w:w w:val="100"/>
                <w:sz w:val="15"/>
                <w:szCs w:val="15"/>
              </w:rPr>
              <w:t> </w:t>
            </w:r>
            <w:r>
              <w:rPr>
                <w:rFonts w:ascii="宋体" w:hAnsi="宋体" w:cs="宋体" w:eastAsia="宋体" w:hint="default"/>
                <w:spacing w:val="-2"/>
                <w:sz w:val="15"/>
                <w:szCs w:val="15"/>
              </w:rPr>
              <w:t>营；销售：建筑材</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pacing w:val="-3"/>
                <w:sz w:val="15"/>
                <w:szCs w:val="15"/>
              </w:rPr>
              <w:t>料、装饰装潢材料</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5000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5"/>
                <w:szCs w:val="15"/>
              </w:rPr>
            </w:pPr>
            <w:r>
              <w:rPr>
                <w:rFonts w:ascii="Times New Roman"/>
                <w:sz w:val="15"/>
              </w:rPr>
              <w:t>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7"/>
              <w:jc w:val="center"/>
              <w:rPr>
                <w:rFonts w:ascii="宋体" w:hAnsi="宋体" w:cs="宋体" w:eastAsia="宋体" w:hint="default"/>
                <w:sz w:val="15"/>
                <w:szCs w:val="15"/>
              </w:rPr>
            </w:pPr>
            <w:r>
              <w:rPr>
                <w:rFonts w:ascii="宋体" w:hAnsi="宋体" w:cs="宋体" w:eastAsia="宋体" w:hint="default"/>
                <w:w w:val="100"/>
                <w:sz w:val="15"/>
                <w:szCs w:val="15"/>
              </w:rPr>
              <w:t>无</w:t>
            </w:r>
          </w:p>
        </w:tc>
      </w:tr>
    </w:tbl>
    <w:p>
      <w:pPr>
        <w:spacing w:line="240" w:lineRule="auto" w:before="2"/>
        <w:rPr>
          <w:rFonts w:ascii="宋体" w:hAnsi="宋体" w:cs="宋体" w:eastAsia="宋体" w:hint="default"/>
          <w:sz w:val="12"/>
          <w:szCs w:val="12"/>
        </w:rPr>
      </w:pPr>
    </w:p>
    <w:p>
      <w:pPr>
        <w:spacing w:before="54"/>
        <w:ind w:left="152" w:right="0" w:firstLine="0"/>
        <w:jc w:val="left"/>
        <w:rPr>
          <w:rFonts w:ascii="宋体" w:hAnsi="宋体" w:cs="宋体" w:eastAsia="宋体" w:hint="default"/>
          <w:sz w:val="15"/>
          <w:szCs w:val="15"/>
        </w:rPr>
      </w:pPr>
      <w:r>
        <w:rPr>
          <w:rFonts w:ascii="宋体" w:hAnsi="宋体" w:cs="宋体" w:eastAsia="宋体" w:hint="default"/>
          <w:sz w:val="15"/>
          <w:szCs w:val="15"/>
        </w:rPr>
        <w:t>泗水海情置业有限公司为济宁海情置业有限公司的全资子公司。</w:t>
      </w:r>
    </w:p>
    <w:p>
      <w:pPr>
        <w:spacing w:line="240" w:lineRule="auto" w:before="6"/>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）非同一控制下企业合并取得的子公司</w:t>
      </w:r>
    </w:p>
    <w:p>
      <w:pPr>
        <w:spacing w:line="240" w:lineRule="auto" w:before="11"/>
        <w:rPr>
          <w:rFonts w:ascii="宋体" w:hAnsi="宋体" w:cs="宋体" w:eastAsia="宋体" w:hint="default"/>
          <w:sz w:val="18"/>
          <w:szCs w:val="18"/>
        </w:rPr>
      </w:pPr>
    </w:p>
    <w:p>
      <w:pPr>
        <w:spacing w:before="44"/>
        <w:ind w:left="0" w:right="1104" w:firstLine="0"/>
        <w:jc w:val="righ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175"/>
        <w:gridCol w:w="1087"/>
        <w:gridCol w:w="708"/>
        <w:gridCol w:w="850"/>
        <w:gridCol w:w="850"/>
        <w:gridCol w:w="1466"/>
        <w:gridCol w:w="994"/>
        <w:gridCol w:w="989"/>
        <w:gridCol w:w="850"/>
        <w:gridCol w:w="852"/>
        <w:gridCol w:w="852"/>
        <w:gridCol w:w="994"/>
        <w:gridCol w:w="1274"/>
        <w:gridCol w:w="1724"/>
      </w:tblGrid>
      <w:tr>
        <w:trPr>
          <w:trHeight w:val="1889" w:hRule="exact"/>
        </w:trPr>
        <w:tc>
          <w:tcPr>
            <w:tcW w:w="11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29"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415" w:lineRule="auto"/>
              <w:ind w:left="388" w:right="307" w:hanging="75"/>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spacing w:val="-72"/>
                <w:sz w:val="15"/>
                <w:szCs w:val="15"/>
              </w:rPr>
              <w:t> </w:t>
            </w:r>
            <w:r>
              <w:rPr>
                <w:rFonts w:ascii="宋体" w:hAnsi="宋体" w:cs="宋体" w:eastAsia="宋体" w:hint="default"/>
                <w:sz w:val="15"/>
                <w:szCs w:val="15"/>
              </w:rPr>
              <w:t>类型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19"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19"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429"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415" w:lineRule="auto"/>
              <w:ind w:left="266" w:right="187" w:hanging="75"/>
              <w:jc w:val="left"/>
              <w:rPr>
                <w:rFonts w:ascii="宋体" w:hAnsi="宋体" w:cs="宋体" w:eastAsia="宋体" w:hint="default"/>
                <w:sz w:val="15"/>
                <w:szCs w:val="15"/>
              </w:rPr>
            </w:pPr>
            <w:r>
              <w:rPr>
                <w:rFonts w:ascii="宋体" w:hAnsi="宋体" w:cs="宋体" w:eastAsia="宋体" w:hint="default"/>
                <w:sz w:val="15"/>
                <w:szCs w:val="15"/>
              </w:rPr>
              <w:t>期末实际</w:t>
            </w:r>
            <w:r>
              <w:rPr>
                <w:rFonts w:ascii="宋体" w:hAnsi="宋体" w:cs="宋体" w:eastAsia="宋体" w:hint="default"/>
                <w:w w:val="100"/>
                <w:sz w:val="15"/>
                <w:szCs w:val="15"/>
              </w:rPr>
              <w:t> </w:t>
            </w:r>
            <w:r>
              <w:rPr>
                <w:rFonts w:ascii="宋体" w:hAnsi="宋体" w:cs="宋体" w:eastAsia="宋体" w:hint="default"/>
                <w:sz w:val="15"/>
                <w:szCs w:val="15"/>
              </w:rPr>
              <w:t>出资额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67" w:lineRule="auto"/>
              <w:ind w:left="112" w:right="111"/>
              <w:jc w:val="both"/>
              <w:rPr>
                <w:rFonts w:ascii="宋体" w:hAnsi="宋体" w:cs="宋体" w:eastAsia="宋体" w:hint="default"/>
                <w:sz w:val="15"/>
                <w:szCs w:val="15"/>
              </w:rPr>
            </w:pPr>
            <w:r>
              <w:rPr>
                <w:rFonts w:ascii="宋体" w:hAnsi="宋体" w:cs="宋体" w:eastAsia="宋体" w:hint="default"/>
                <w:sz w:val="15"/>
                <w:szCs w:val="15"/>
              </w:rPr>
              <w:t>实质上构成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对子公司净</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投资的其他</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项目余额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415" w:lineRule="auto"/>
              <w:ind w:left="158" w:right="151" w:firstLine="112"/>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415" w:lineRule="auto"/>
              <w:ind w:left="158" w:right="154" w:firstLine="38"/>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67" w:lineRule="auto"/>
              <w:ind w:left="271" w:right="118" w:hanging="152"/>
              <w:jc w:val="left"/>
              <w:rPr>
                <w:rFonts w:ascii="宋体" w:hAnsi="宋体" w:cs="宋体" w:eastAsia="宋体" w:hint="default"/>
                <w:sz w:val="15"/>
                <w:szCs w:val="15"/>
              </w:rPr>
            </w:pPr>
            <w:r>
              <w:rPr>
                <w:rFonts w:ascii="宋体" w:hAnsi="宋体" w:cs="宋体" w:eastAsia="宋体" w:hint="default"/>
                <w:sz w:val="15"/>
                <w:szCs w:val="15"/>
              </w:rPr>
              <w:t>是否合并</w:t>
            </w:r>
            <w:r>
              <w:rPr>
                <w:rFonts w:ascii="宋体" w:hAnsi="宋体" w:cs="宋体" w:eastAsia="宋体" w:hint="default"/>
                <w:w w:val="100"/>
                <w:sz w:val="15"/>
                <w:szCs w:val="15"/>
              </w:rPr>
              <w:t> </w:t>
            </w:r>
            <w:r>
              <w:rPr>
                <w:rFonts w:ascii="宋体" w:hAnsi="宋体" w:cs="宋体" w:eastAsia="宋体" w:hint="default"/>
                <w:sz w:val="15"/>
                <w:szCs w:val="15"/>
              </w:rPr>
              <w:t>报表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415" w:lineRule="auto"/>
              <w:ind w:left="340" w:right="188"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67" w:lineRule="auto"/>
              <w:ind w:left="108" w:right="101"/>
              <w:jc w:val="left"/>
              <w:rPr>
                <w:rFonts w:ascii="宋体" w:hAnsi="宋体" w:cs="宋体" w:eastAsia="宋体" w:hint="default"/>
                <w:sz w:val="15"/>
                <w:szCs w:val="15"/>
              </w:rPr>
            </w:pPr>
            <w:r>
              <w:rPr>
                <w:rFonts w:ascii="宋体" w:hAnsi="宋体" w:cs="宋体" w:eastAsia="宋体" w:hint="default"/>
                <w:sz w:val="15"/>
                <w:szCs w:val="15"/>
              </w:rPr>
              <w:t>少数股东权益中</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用于冲减少数</w:t>
            </w:r>
          </w:p>
          <w:p>
            <w:pPr>
              <w:pStyle w:val="TableParagraph"/>
              <w:spacing w:line="240" w:lineRule="auto" w:before="65"/>
              <w:ind w:left="108" w:right="0"/>
              <w:jc w:val="left"/>
              <w:rPr>
                <w:rFonts w:ascii="宋体" w:hAnsi="宋体" w:cs="宋体" w:eastAsia="宋体" w:hint="default"/>
                <w:sz w:val="15"/>
                <w:szCs w:val="15"/>
              </w:rPr>
            </w:pPr>
            <w:r>
              <w:rPr>
                <w:rFonts w:ascii="宋体" w:hAnsi="宋体" w:cs="宋体" w:eastAsia="宋体" w:hint="default"/>
                <w:sz w:val="15"/>
                <w:szCs w:val="15"/>
              </w:rPr>
              <w:t>股东损益的金额</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367" w:lineRule="auto" w:before="120"/>
              <w:ind w:left="170" w:right="193"/>
              <w:jc w:val="both"/>
              <w:rPr>
                <w:rFonts w:ascii="宋体" w:hAnsi="宋体" w:cs="宋体" w:eastAsia="宋体" w:hint="default"/>
                <w:sz w:val="15"/>
                <w:szCs w:val="15"/>
              </w:rPr>
            </w:pPr>
            <w:r>
              <w:rPr>
                <w:rFonts w:ascii="宋体" w:hAnsi="宋体" w:cs="宋体" w:eastAsia="宋体" w:hint="default"/>
                <w:spacing w:val="-1"/>
                <w:sz w:val="15"/>
                <w:szCs w:val="15"/>
              </w:rPr>
              <w:t>从母公司所有者权益</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冲减子公司少数股东</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分担的本期亏损超过</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少数股东在该子公司</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期初所有者权益中所</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享有份额后的余额</w:t>
            </w:r>
          </w:p>
        </w:tc>
      </w:tr>
      <w:tr>
        <w:trPr>
          <w:trHeight w:val="876" w:hRule="exact"/>
        </w:trPr>
        <w:tc>
          <w:tcPr>
            <w:tcW w:w="11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192" w:lineRule="exact" w:before="126"/>
              <w:ind w:left="147" w:right="99"/>
              <w:jc w:val="left"/>
              <w:rPr>
                <w:rFonts w:ascii="Times New Roman" w:hAnsi="Times New Roman" w:cs="Times New Roman" w:eastAsia="Times New Roman" w:hint="default"/>
                <w:sz w:val="15"/>
                <w:szCs w:val="15"/>
              </w:rPr>
            </w:pPr>
            <w:r>
              <w:rPr>
                <w:rFonts w:ascii="宋体" w:hAnsi="宋体" w:cs="宋体" w:eastAsia="宋体" w:hint="default"/>
                <w:sz w:val="15"/>
                <w:szCs w:val="15"/>
              </w:rPr>
              <w:t>青岛广顺房地</w:t>
            </w:r>
            <w:r>
              <w:rPr>
                <w:rFonts w:ascii="宋体" w:hAnsi="宋体" w:cs="宋体" w:eastAsia="宋体" w:hint="default"/>
                <w:spacing w:val="-56"/>
                <w:sz w:val="15"/>
                <w:szCs w:val="15"/>
              </w:rPr>
              <w:t> </w:t>
            </w:r>
            <w:r>
              <w:rPr>
                <w:rFonts w:ascii="宋体" w:hAnsi="宋体" w:cs="宋体" w:eastAsia="宋体" w:hint="default"/>
                <w:spacing w:val="-56"/>
                <w:sz w:val="15"/>
                <w:szCs w:val="15"/>
              </w:rPr>
            </w:r>
            <w:r>
              <w:rPr>
                <w:rFonts w:ascii="宋体" w:hAnsi="宋体" w:cs="宋体" w:eastAsia="宋体" w:hint="default"/>
                <w:spacing w:val="-3"/>
                <w:sz w:val="15"/>
                <w:szCs w:val="15"/>
              </w:rPr>
              <w:t>产有限公司</w:t>
            </w:r>
            <w:r>
              <w:rPr>
                <w:rFonts w:ascii="Times New Roman" w:hAnsi="Times New Roman" w:cs="Times New Roman" w:eastAsia="Times New Roman" w:hint="default"/>
                <w:spacing w:val="-3"/>
                <w:sz w:val="15"/>
                <w:szCs w:val="15"/>
              </w:rPr>
              <w:t>*1</w:t>
            </w:r>
            <w:r>
              <w:rPr>
                <w:rFonts w:ascii="Times New Roman" w:hAnsi="Times New Roman" w:cs="Times New Roman" w:eastAsia="Times New Roman" w:hint="default"/>
                <w:sz w:val="15"/>
                <w:szCs w:val="15"/>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5"/>
                <w:szCs w:val="15"/>
              </w:rPr>
            </w:pPr>
            <w:r>
              <w:rPr>
                <w:rFonts w:ascii="宋体" w:hAnsi="宋体" w:cs="宋体" w:eastAsia="宋体" w:hint="default"/>
                <w:sz w:val="15"/>
                <w:szCs w:val="15"/>
              </w:rPr>
              <w:t>控股子公司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青岛市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192" w:lineRule="exact"/>
              <w:ind w:left="119" w:right="115"/>
              <w:jc w:val="left"/>
              <w:rPr>
                <w:rFonts w:ascii="宋体" w:hAnsi="宋体" w:cs="宋体" w:eastAsia="宋体" w:hint="default"/>
                <w:sz w:val="15"/>
                <w:szCs w:val="15"/>
              </w:rPr>
            </w:pPr>
            <w:r>
              <w:rPr>
                <w:rFonts w:ascii="宋体" w:hAnsi="宋体" w:cs="宋体" w:eastAsia="宋体" w:hint="default"/>
                <w:sz w:val="15"/>
                <w:szCs w:val="15"/>
              </w:rPr>
              <w:t>房地产开</w:t>
            </w:r>
            <w:r>
              <w:rPr>
                <w:rFonts w:ascii="宋体" w:hAnsi="宋体" w:cs="宋体" w:eastAsia="宋体" w:hint="default"/>
                <w:w w:val="100"/>
                <w:sz w:val="15"/>
                <w:szCs w:val="15"/>
              </w:rPr>
              <w:t> </w:t>
            </w:r>
            <w:r>
              <w:rPr>
                <w:rFonts w:ascii="宋体" w:hAnsi="宋体" w:cs="宋体" w:eastAsia="宋体" w:hint="default"/>
                <w:sz w:val="15"/>
                <w:szCs w:val="15"/>
              </w:rPr>
              <w:t>发、销售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35" w:lineRule="auto"/>
              <w:ind w:left="100" w:right="202"/>
              <w:jc w:val="both"/>
              <w:rPr>
                <w:rFonts w:ascii="宋体" w:hAnsi="宋体" w:cs="宋体" w:eastAsia="宋体" w:hint="default"/>
                <w:sz w:val="15"/>
                <w:szCs w:val="15"/>
              </w:rPr>
            </w:pPr>
            <w:r>
              <w:rPr>
                <w:rFonts w:ascii="宋体" w:hAnsi="宋体" w:cs="宋体" w:eastAsia="宋体" w:hint="default"/>
                <w:spacing w:val="11"/>
                <w:sz w:val="15"/>
                <w:szCs w:val="15"/>
              </w:rPr>
              <w:t>房地产开发、</w:t>
            </w:r>
            <w:r>
              <w:rPr>
                <w:rFonts w:ascii="宋体" w:hAnsi="宋体" w:cs="宋体" w:eastAsia="宋体" w:hint="default"/>
                <w:spacing w:val="-53"/>
                <w:sz w:val="15"/>
                <w:szCs w:val="15"/>
              </w:rPr>
              <w:t> </w:t>
            </w:r>
            <w:r>
              <w:rPr>
                <w:rFonts w:ascii="宋体" w:hAnsi="宋体" w:cs="宋体" w:eastAsia="宋体" w:hint="default"/>
                <w:sz w:val="15"/>
                <w:szCs w:val="15"/>
              </w:rPr>
              <w:t>经</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pacing w:val="-8"/>
                <w:sz w:val="15"/>
                <w:szCs w:val="15"/>
              </w:rPr>
              <w:t>营；销售：建筑材</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8"/>
                <w:sz w:val="15"/>
                <w:szCs w:val="15"/>
              </w:rPr>
              <w:t>料、装饰装潢材料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46" w:right="0"/>
              <w:jc w:val="left"/>
              <w:rPr>
                <w:rFonts w:ascii="Times New Roman" w:hAnsi="Times New Roman" w:cs="Times New Roman" w:eastAsia="Times New Roman" w:hint="default"/>
                <w:sz w:val="15"/>
                <w:szCs w:val="15"/>
              </w:rPr>
            </w:pPr>
            <w:r>
              <w:rPr>
                <w:rFonts w:ascii="Times New Roman"/>
                <w:sz w:val="15"/>
              </w:rPr>
              <w:t>830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5"/>
              <w:jc w:val="center"/>
              <w:rPr>
                <w:rFonts w:ascii="宋体" w:hAnsi="宋体" w:cs="宋体" w:eastAsia="宋体" w:hint="default"/>
                <w:sz w:val="15"/>
                <w:szCs w:val="15"/>
              </w:rPr>
            </w:pPr>
            <w:r>
              <w:rPr>
                <w:rFonts w:ascii="宋体" w:hAnsi="宋体" w:cs="宋体" w:eastAsia="宋体" w:hint="default"/>
                <w:w w:val="100"/>
                <w:sz w:val="15"/>
                <w:szCs w:val="15"/>
              </w:rPr>
              <w:t>无</w:t>
            </w:r>
          </w:p>
        </w:tc>
      </w:tr>
    </w:tbl>
    <w:p>
      <w:pPr>
        <w:spacing w:after="0" w:line="240" w:lineRule="auto"/>
        <w:jc w:val="center"/>
        <w:rPr>
          <w:rFonts w:ascii="宋体" w:hAnsi="宋体" w:cs="宋体" w:eastAsia="宋体" w:hint="default"/>
          <w:sz w:val="15"/>
          <w:szCs w:val="15"/>
        </w:rPr>
        <w:sectPr>
          <w:footerReference w:type="default" r:id="rId24"/>
          <w:pgSz w:w="16840" w:h="11910" w:orient="landscape"/>
          <w:pgMar w:footer="818" w:header="0" w:top="1100" w:bottom="1000" w:left="980" w:right="0"/>
          <w:pgNumType w:start="85"/>
        </w:sectPr>
      </w:pPr>
    </w:p>
    <w:p>
      <w:pPr>
        <w:spacing w:line="240" w:lineRule="auto" w:before="6"/>
        <w:rPr>
          <w:rFonts w:ascii="Times New Roman" w:hAnsi="Times New Roman" w:cs="Times New Roman" w:eastAsia="Times New Roman"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150"/>
        <w:gridCol w:w="1087"/>
        <w:gridCol w:w="708"/>
        <w:gridCol w:w="850"/>
        <w:gridCol w:w="850"/>
        <w:gridCol w:w="1466"/>
        <w:gridCol w:w="994"/>
        <w:gridCol w:w="989"/>
        <w:gridCol w:w="850"/>
        <w:gridCol w:w="852"/>
        <w:gridCol w:w="852"/>
        <w:gridCol w:w="994"/>
        <w:gridCol w:w="1274"/>
        <w:gridCol w:w="1699"/>
      </w:tblGrid>
      <w:tr>
        <w:trPr>
          <w:trHeight w:val="682"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192" w:lineRule="exact"/>
              <w:ind w:left="122" w:right="99"/>
              <w:jc w:val="left"/>
              <w:rPr>
                <w:rFonts w:ascii="Times New Roman" w:hAnsi="Times New Roman" w:cs="Times New Roman" w:eastAsia="Times New Roman" w:hint="default"/>
                <w:sz w:val="15"/>
                <w:szCs w:val="15"/>
              </w:rPr>
            </w:pPr>
            <w:r>
              <w:rPr>
                <w:rFonts w:ascii="宋体" w:hAnsi="宋体" w:cs="宋体" w:eastAsia="宋体" w:hint="default"/>
                <w:sz w:val="15"/>
                <w:szCs w:val="15"/>
              </w:rPr>
              <w:t>济宁海情置业</w:t>
            </w:r>
            <w:r>
              <w:rPr>
                <w:rFonts w:ascii="宋体" w:hAnsi="宋体" w:cs="宋体" w:eastAsia="宋体" w:hint="default"/>
                <w:spacing w:val="-56"/>
                <w:sz w:val="15"/>
                <w:szCs w:val="15"/>
              </w:rPr>
              <w:t> </w:t>
            </w:r>
            <w:r>
              <w:rPr>
                <w:rFonts w:ascii="宋体" w:hAnsi="宋体" w:cs="宋体" w:eastAsia="宋体" w:hint="default"/>
                <w:spacing w:val="-56"/>
                <w:sz w:val="15"/>
                <w:szCs w:val="15"/>
              </w:rPr>
            </w:r>
            <w:r>
              <w:rPr>
                <w:rFonts w:ascii="宋体" w:hAnsi="宋体" w:cs="宋体" w:eastAsia="宋体" w:hint="default"/>
                <w:spacing w:val="-3"/>
                <w:sz w:val="15"/>
                <w:szCs w:val="15"/>
              </w:rPr>
              <w:t>有限公司</w:t>
            </w:r>
            <w:r>
              <w:rPr>
                <w:rFonts w:ascii="Times New Roman" w:hAnsi="Times New Roman" w:cs="Times New Roman" w:eastAsia="Times New Roman" w:hint="default"/>
                <w:spacing w:val="-3"/>
                <w:sz w:val="15"/>
                <w:szCs w:val="15"/>
              </w:rPr>
              <w:t>*2</w:t>
            </w:r>
            <w:r>
              <w:rPr>
                <w:rFonts w:ascii="Times New Roman" w:hAnsi="Times New Roman" w:cs="Times New Roman" w:eastAsia="Times New Roman" w:hint="default"/>
                <w:sz w:val="15"/>
                <w:szCs w:val="15"/>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163" w:right="0"/>
              <w:jc w:val="left"/>
              <w:rPr>
                <w:rFonts w:ascii="宋体" w:hAnsi="宋体" w:cs="宋体" w:eastAsia="宋体" w:hint="default"/>
                <w:sz w:val="15"/>
                <w:szCs w:val="15"/>
              </w:rPr>
            </w:pPr>
            <w:r>
              <w:rPr>
                <w:rFonts w:ascii="宋体" w:hAnsi="宋体" w:cs="宋体" w:eastAsia="宋体" w:hint="default"/>
                <w:sz w:val="15"/>
                <w:szCs w:val="15"/>
              </w:rPr>
              <w:t>控股子公司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兖州市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192" w:lineRule="exact"/>
              <w:ind w:left="119" w:right="115"/>
              <w:jc w:val="left"/>
              <w:rPr>
                <w:rFonts w:ascii="宋体" w:hAnsi="宋体" w:cs="宋体" w:eastAsia="宋体" w:hint="default"/>
                <w:sz w:val="15"/>
                <w:szCs w:val="15"/>
              </w:rPr>
            </w:pPr>
            <w:r>
              <w:rPr>
                <w:rFonts w:ascii="宋体" w:hAnsi="宋体" w:cs="宋体" w:eastAsia="宋体" w:hint="default"/>
                <w:sz w:val="15"/>
                <w:szCs w:val="15"/>
              </w:rPr>
              <w:t>房地产开</w:t>
            </w:r>
            <w:r>
              <w:rPr>
                <w:rFonts w:ascii="宋体" w:hAnsi="宋体" w:cs="宋体" w:eastAsia="宋体" w:hint="default"/>
                <w:w w:val="100"/>
                <w:sz w:val="15"/>
                <w:szCs w:val="15"/>
              </w:rPr>
              <w:t> </w:t>
            </w:r>
            <w:r>
              <w:rPr>
                <w:rFonts w:ascii="宋体" w:hAnsi="宋体" w:cs="宋体" w:eastAsia="宋体" w:hint="default"/>
                <w:sz w:val="15"/>
                <w:szCs w:val="15"/>
              </w:rPr>
              <w:t>发、销售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8"/>
              <w:ind w:left="17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192" w:lineRule="exact"/>
              <w:ind w:left="100" w:right="203"/>
              <w:jc w:val="left"/>
              <w:rPr>
                <w:rFonts w:ascii="宋体" w:hAnsi="宋体" w:cs="宋体" w:eastAsia="宋体" w:hint="default"/>
                <w:sz w:val="15"/>
                <w:szCs w:val="15"/>
              </w:rPr>
            </w:pPr>
            <w:r>
              <w:rPr>
                <w:rFonts w:ascii="宋体" w:hAnsi="宋体" w:cs="宋体" w:eastAsia="宋体" w:hint="default"/>
                <w:spacing w:val="12"/>
                <w:sz w:val="15"/>
                <w:szCs w:val="15"/>
              </w:rPr>
              <w:t>房地产开发及商</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品房销售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410" w:right="0"/>
              <w:jc w:val="left"/>
              <w:rPr>
                <w:rFonts w:ascii="Times New Roman" w:hAnsi="Times New Roman" w:cs="Times New Roman" w:eastAsia="Times New Roman" w:hint="default"/>
                <w:sz w:val="15"/>
                <w:szCs w:val="15"/>
              </w:rPr>
            </w:pPr>
            <w:r>
              <w:rPr>
                <w:rFonts w:ascii="Times New Roman"/>
                <w:sz w:val="15"/>
              </w:rPr>
              <w:t>1800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r>
    </w:tbl>
    <w:p>
      <w:pPr>
        <w:spacing w:after="0" w:line="240" w:lineRule="auto"/>
        <w:jc w:val="center"/>
        <w:rPr>
          <w:rFonts w:ascii="宋体" w:hAnsi="宋体" w:cs="宋体" w:eastAsia="宋体" w:hint="default"/>
          <w:sz w:val="15"/>
          <w:szCs w:val="15"/>
        </w:rPr>
        <w:sectPr>
          <w:pgSz w:w="16840" w:h="11910" w:orient="landscape"/>
          <w:pgMar w:header="0" w:footer="818" w:top="1040" w:bottom="1000" w:left="1000" w:right="0"/>
        </w:sectPr>
      </w:pPr>
    </w:p>
    <w:p>
      <w:pPr>
        <w:spacing w:before="8"/>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、特殊目的主体或通过受托经营或承租等方式形成控制权的经营实体</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2463"/>
        <w:gridCol w:w="2341"/>
        <w:gridCol w:w="5101"/>
      </w:tblGrid>
      <w:tr>
        <w:trPr>
          <w:trHeight w:val="591" w:hRule="exact"/>
        </w:trPr>
        <w:tc>
          <w:tcPr>
            <w:tcW w:w="246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510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r>
        <w:trPr>
          <w:trHeight w:val="590" w:hRule="exact"/>
        </w:trPr>
        <w:tc>
          <w:tcPr>
            <w:tcW w:w="24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41" w:type="dxa"/>
            <w:tcBorders>
              <w:top w:val="single" w:sz="4" w:space="0" w:color="000000"/>
              <w:left w:val="single" w:sz="4" w:space="0" w:color="000000"/>
              <w:bottom w:val="single" w:sz="4" w:space="0" w:color="000000"/>
              <w:right w:val="single" w:sz="4" w:space="0" w:color="000000"/>
            </w:tcBorders>
          </w:tcPr>
          <w:p>
            <w:pPr/>
          </w:p>
        </w:tc>
        <w:tc>
          <w:tcPr>
            <w:tcW w:w="510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spacing w:before="36"/>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line="480" w:lineRule="auto" w:before="0"/>
        <w:ind w:left="232" w:right="112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日，由子公司济宁海情置业有限公司投资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万元成立泗水海情置业有限公司，本年度将其纳入合并 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spacing w:before="0"/>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、本期新纳入合并范围的主体和本期不再纳入合并范围的主体</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line="520" w:lineRule="auto" w:before="0"/>
        <w:ind w:left="232" w:right="2564" w:firstLine="0"/>
        <w:jc w:val="left"/>
        <w:rPr>
          <w:rFonts w:ascii="宋体" w:hAnsi="宋体" w:cs="宋体" w:eastAsia="宋体" w:hint="default"/>
          <w:sz w:val="18"/>
          <w:szCs w:val="18"/>
        </w:rPr>
      </w:pPr>
      <w:r>
        <w:rPr/>
        <w:pict>
          <v:shape style="position:absolute;margin-left:50.28001pt;margin-top:42.191753pt;width:495.95pt;height:59.5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11"/>
                    <w:gridCol w:w="3298"/>
                    <w:gridCol w:w="3296"/>
                  </w:tblGrid>
                  <w:tr>
                    <w:trPr>
                      <w:trHeight w:val="590"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590"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泗水海情置业有限公司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2150" w:right="0"/>
                          <w:jc w:val="left"/>
                          <w:rPr>
                            <w:rFonts w:ascii="Times New Roman" w:hAnsi="Times New Roman" w:cs="Times New Roman" w:eastAsia="Times New Roman" w:hint="default"/>
                            <w:sz w:val="18"/>
                            <w:szCs w:val="18"/>
                          </w:rPr>
                        </w:pPr>
                        <w:r>
                          <w:rPr>
                            <w:rFonts w:ascii="Times New Roman"/>
                            <w:sz w:val="18"/>
                          </w:rPr>
                          <w:t>70,415,794.57</w:t>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2150" w:right="0"/>
                          <w:jc w:val="left"/>
                          <w:rPr>
                            <w:rFonts w:ascii="Times New Roman" w:hAnsi="Times New Roman" w:cs="Times New Roman" w:eastAsia="Times New Roman" w:hint="default"/>
                            <w:sz w:val="18"/>
                            <w:szCs w:val="18"/>
                          </w:rPr>
                        </w:pPr>
                        <w:r>
                          <w:rPr>
                            <w:rFonts w:ascii="Times New Roman"/>
                            <w:sz w:val="18"/>
                          </w:rPr>
                          <w:t>20,415,794.57</w:t>
                        </w:r>
                      </w:p>
                    </w:tc>
                  </w:tr>
                </w:tbl>
                <w:p>
                  <w:pPr/>
                </w:p>
              </w:txbxContent>
            </v:textbox>
            <w10:wrap type="none"/>
          </v:shape>
        </w:pic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）本期新纳入合并范围的子公司、特殊目的主体、通过受托经营或承租等方式形成控制权的经营实体 本期新纳入合并范围的孙公司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44"/>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）本期不再纳入合并范围的子公司、特殊目的主体、通过受托经营或承租等方式形成控制权的经营实体</w:t>
      </w:r>
    </w:p>
    <w:p>
      <w:pPr>
        <w:spacing w:line="240" w:lineRule="auto" w:before="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3311"/>
        <w:gridCol w:w="3298"/>
        <w:gridCol w:w="3296"/>
      </w:tblGrid>
      <w:tr>
        <w:trPr>
          <w:trHeight w:val="590"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处置日净资产</w:t>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期初至处置日净利润</w:t>
            </w:r>
          </w:p>
        </w:tc>
      </w:tr>
      <w:tr>
        <w:trPr>
          <w:trHeight w:val="590"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6"/>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1258"/>
        <w:gridCol w:w="2127"/>
        <w:gridCol w:w="1354"/>
        <w:gridCol w:w="1764"/>
        <w:gridCol w:w="1498"/>
        <w:gridCol w:w="1903"/>
      </w:tblGrid>
      <w:tr>
        <w:trPr>
          <w:trHeight w:val="888" w:hRule="exact"/>
        </w:trPr>
        <w:tc>
          <w:tcPr>
            <w:tcW w:w="125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276"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400" w:lineRule="atLeast" w:before="11"/>
              <w:ind w:left="518" w:right="158" w:hanging="360"/>
              <w:jc w:val="left"/>
              <w:rPr>
                <w:rFonts w:ascii="宋体" w:hAnsi="宋体" w:cs="宋体" w:eastAsia="宋体" w:hint="default"/>
                <w:sz w:val="18"/>
                <w:szCs w:val="18"/>
              </w:rPr>
            </w:pPr>
            <w:r>
              <w:rPr>
                <w:rFonts w:ascii="宋体" w:hAnsi="宋体" w:cs="宋体" w:eastAsia="宋体" w:hint="default"/>
                <w:sz w:val="18"/>
                <w:szCs w:val="18"/>
              </w:rPr>
              <w:t>属于同一控制下企业合 并的判断依据</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400" w:lineRule="atLeast" w:before="11"/>
              <w:ind w:left="312" w:right="131" w:hanging="180"/>
              <w:jc w:val="left"/>
              <w:rPr>
                <w:rFonts w:ascii="宋体" w:hAnsi="宋体" w:cs="宋体" w:eastAsia="宋体" w:hint="default"/>
                <w:sz w:val="18"/>
                <w:szCs w:val="18"/>
              </w:rPr>
            </w:pPr>
            <w:r>
              <w:rPr>
                <w:rFonts w:ascii="宋体" w:hAnsi="宋体" w:cs="宋体" w:eastAsia="宋体" w:hint="default"/>
                <w:sz w:val="18"/>
                <w:szCs w:val="18"/>
              </w:rPr>
              <w:t>同一控制的实 际控制人</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400" w:lineRule="atLeast" w:before="11"/>
              <w:ind w:left="427" w:right="156"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400" w:lineRule="atLeast" w:before="11"/>
              <w:ind w:left="292" w:right="113" w:hanging="180"/>
              <w:jc w:val="left"/>
              <w:rPr>
                <w:rFonts w:ascii="宋体" w:hAnsi="宋体" w:cs="宋体" w:eastAsia="宋体" w:hint="default"/>
                <w:sz w:val="18"/>
                <w:szCs w:val="18"/>
              </w:rPr>
            </w:pPr>
            <w:r>
              <w:rPr>
                <w:rFonts w:ascii="宋体" w:hAnsi="宋体" w:cs="宋体" w:eastAsia="宋体" w:hint="default"/>
                <w:sz w:val="18"/>
                <w:szCs w:val="18"/>
              </w:rPr>
              <w:t>合并本期至合并 日的净利润</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400" w:lineRule="atLeast" w:before="11"/>
              <w:ind w:left="316" w:right="139" w:hanging="180"/>
              <w:jc w:val="left"/>
              <w:rPr>
                <w:rFonts w:ascii="宋体" w:hAnsi="宋体" w:cs="宋体" w:eastAsia="宋体" w:hint="default"/>
                <w:sz w:val="18"/>
                <w:szCs w:val="18"/>
              </w:rPr>
            </w:pPr>
            <w:r>
              <w:rPr>
                <w:rFonts w:ascii="宋体" w:hAnsi="宋体" w:cs="宋体" w:eastAsia="宋体" w:hint="default"/>
                <w:sz w:val="18"/>
                <w:szCs w:val="18"/>
              </w:rPr>
              <w:t>合并本期至合并日的 经营活动现金流</w:t>
            </w:r>
          </w:p>
        </w:tc>
      </w:tr>
      <w:tr>
        <w:trPr>
          <w:trHeight w:val="591" w:hRule="exact"/>
        </w:trPr>
        <w:tc>
          <w:tcPr>
            <w:tcW w:w="1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before="36"/>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3311"/>
        <w:gridCol w:w="3298"/>
        <w:gridCol w:w="3296"/>
      </w:tblGrid>
      <w:tr>
        <w:trPr>
          <w:trHeight w:val="590"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590"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footerReference w:type="default" r:id="rId25"/>
          <w:pgSz w:w="11910" w:h="16840"/>
          <w:pgMar w:footer="950" w:header="0" w:top="1300" w:bottom="1140" w:left="900" w:right="0"/>
          <w:pgNumType w:start="87"/>
        </w:sectPr>
      </w:pPr>
    </w:p>
    <w:p>
      <w:pPr>
        <w:spacing w:before="9"/>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、本期出售丧失控制权的股权而减少子公司</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3311"/>
        <w:gridCol w:w="3298"/>
        <w:gridCol w:w="3296"/>
      </w:tblGrid>
      <w:tr>
        <w:trPr>
          <w:trHeight w:val="572"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损益确认方法</w:t>
            </w:r>
          </w:p>
        </w:tc>
      </w:tr>
      <w:tr>
        <w:trPr>
          <w:trHeight w:val="571"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spacing w:before="36"/>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、本期发生的反向购买</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2259"/>
        <w:gridCol w:w="2259"/>
        <w:gridCol w:w="2235"/>
        <w:gridCol w:w="3152"/>
      </w:tblGrid>
      <w:tr>
        <w:trPr>
          <w:trHeight w:val="638" w:hRule="exact"/>
        </w:trPr>
        <w:tc>
          <w:tcPr>
            <w:tcW w:w="2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3152"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4"/>
              <w:ind w:left="1121" w:right="132" w:hanging="990"/>
              <w:jc w:val="left"/>
              <w:rPr>
                <w:rFonts w:ascii="宋体" w:hAnsi="宋体" w:cs="宋体" w:eastAsia="宋体" w:hint="default"/>
                <w:sz w:val="18"/>
                <w:szCs w:val="18"/>
              </w:rPr>
            </w:pPr>
            <w:r>
              <w:rPr>
                <w:rFonts w:ascii="宋体" w:hAnsi="宋体" w:cs="宋体" w:eastAsia="宋体" w:hint="default"/>
                <w:sz w:val="18"/>
                <w:szCs w:val="18"/>
              </w:rPr>
              <w:t>合并中确认的商誉或计入当期的损益 的计算方法</w:t>
            </w:r>
          </w:p>
        </w:tc>
      </w:tr>
      <w:tr>
        <w:trPr>
          <w:trHeight w:val="550" w:hRule="exact"/>
        </w:trPr>
        <w:tc>
          <w:tcPr>
            <w:tcW w:w="2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5"/>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、本期发生的吸收合并</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2532"/>
        <w:gridCol w:w="1844"/>
        <w:gridCol w:w="1844"/>
        <w:gridCol w:w="1832"/>
        <w:gridCol w:w="1829"/>
      </w:tblGrid>
      <w:tr>
        <w:trPr>
          <w:trHeight w:val="55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吸收合并的类型</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10"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366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195"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55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5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52"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7"/>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、境外经营实体主要报表项目的折算汇率</w:t>
      </w:r>
      <w:r>
        <w:rPr>
          <w:rFonts w:ascii="宋体" w:hAnsi="宋体" w:cs="宋体" w:eastAsia="宋体" w:hint="default"/>
          <w:sz w:val="21"/>
          <w:szCs w:val="21"/>
        </w:rPr>
      </w:r>
    </w:p>
    <w:p>
      <w:pPr>
        <w:spacing w:line="240" w:lineRule="auto" w:before="2"/>
        <w:rPr>
          <w:rFonts w:ascii="宋体" w:hAnsi="宋体" w:cs="宋体" w:eastAsia="宋体" w:hint="default"/>
          <w:b/>
          <w:bCs/>
          <w:sz w:val="19"/>
          <w:szCs w:val="19"/>
        </w:rPr>
      </w:pPr>
    </w:p>
    <w:p>
      <w:pPr>
        <w:spacing w:before="0"/>
        <w:ind w:left="232" w:right="1128"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spacing w:before="0"/>
        <w:ind w:left="232" w:right="1128" w:firstLine="0"/>
        <w:jc w:val="left"/>
        <w:rPr>
          <w:rFonts w:ascii="黑体" w:hAnsi="黑体" w:cs="黑体" w:eastAsia="黑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5"/>
          <w:szCs w:val="15"/>
        </w:rPr>
      </w:pPr>
    </w:p>
    <w:p>
      <w:pPr>
        <w:spacing w:before="0"/>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13"/>
        <w:rPr>
          <w:rFonts w:ascii="宋体" w:hAnsi="宋体" w:cs="宋体" w:eastAsia="宋体" w:hint="default"/>
          <w:b/>
          <w:bCs/>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644"/>
        <w:gridCol w:w="1501"/>
        <w:gridCol w:w="758"/>
        <w:gridCol w:w="1503"/>
        <w:gridCol w:w="1505"/>
        <w:gridCol w:w="1054"/>
        <w:gridCol w:w="1793"/>
      </w:tblGrid>
      <w:tr>
        <w:trPr>
          <w:trHeight w:val="550" w:hRule="exact"/>
        </w:trPr>
        <w:tc>
          <w:tcPr>
            <w:tcW w:w="164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7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5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0" w:hRule="exact"/>
        </w:trPr>
        <w:tc>
          <w:tcPr>
            <w:tcW w:w="1644" w:type="dxa"/>
            <w:vMerge/>
            <w:tcBorders>
              <w:left w:val="nil" w:sz="6" w:space="0" w:color="auto"/>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折算率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550"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5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w w:val="95"/>
                <w:sz w:val="20"/>
              </w:rPr>
              <w:t>807,305.84</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368,919.62</w:t>
            </w:r>
          </w:p>
        </w:tc>
      </w:tr>
      <w:tr>
        <w:trPr>
          <w:trHeight w:val="550"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87" w:right="0"/>
              <w:jc w:val="left"/>
              <w:rPr>
                <w:rFonts w:ascii="Times New Roman" w:hAnsi="Times New Roman" w:cs="Times New Roman" w:eastAsia="Times New Roman" w:hint="default"/>
                <w:sz w:val="20"/>
                <w:szCs w:val="20"/>
              </w:rPr>
            </w:pPr>
            <w:r>
              <w:rPr>
                <w:rFonts w:ascii="Times New Roman"/>
                <w:sz w:val="20"/>
              </w:rPr>
              <w:t>807,305.84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807,305.84</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368,919.62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626" w:right="0"/>
              <w:jc w:val="left"/>
              <w:rPr>
                <w:rFonts w:ascii="Times New Roman" w:hAnsi="Times New Roman" w:cs="Times New Roman" w:eastAsia="Times New Roman" w:hint="default"/>
                <w:sz w:val="18"/>
                <w:szCs w:val="18"/>
              </w:rPr>
            </w:pPr>
            <w:r>
              <w:rPr>
                <w:rFonts w:ascii="Times New Roman"/>
                <w:sz w:val="18"/>
              </w:rPr>
              <w:t>1.00</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368,919.62</w:t>
            </w:r>
          </w:p>
        </w:tc>
      </w:tr>
      <w:tr>
        <w:trPr>
          <w:trHeight w:val="552"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5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22,318,672.95</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144,431,473.33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0" w:top="1280" w:bottom="1140" w:left="900" w:right="0"/>
        </w:sectPr>
      </w:pP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644"/>
        <w:gridCol w:w="1501"/>
        <w:gridCol w:w="758"/>
        <w:gridCol w:w="1503"/>
        <w:gridCol w:w="1505"/>
        <w:gridCol w:w="1054"/>
        <w:gridCol w:w="1793"/>
      </w:tblGrid>
      <w:tr>
        <w:trPr>
          <w:trHeight w:val="552" w:hRule="exact"/>
        </w:trPr>
        <w:tc>
          <w:tcPr>
            <w:tcW w:w="164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7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5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0" w:hRule="exact"/>
        </w:trPr>
        <w:tc>
          <w:tcPr>
            <w:tcW w:w="1644" w:type="dxa"/>
            <w:vMerge/>
            <w:tcBorders>
              <w:left w:val="nil" w:sz="6" w:space="0" w:color="auto"/>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折算率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550"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7" w:right="0"/>
              <w:jc w:val="left"/>
              <w:rPr>
                <w:rFonts w:ascii="Times New Roman" w:hAnsi="Times New Roman" w:cs="Times New Roman" w:eastAsia="Times New Roman" w:hint="default"/>
                <w:sz w:val="20"/>
                <w:szCs w:val="20"/>
              </w:rPr>
            </w:pPr>
            <w:r>
              <w:rPr>
                <w:rFonts w:ascii="Times New Roman"/>
                <w:sz w:val="20"/>
              </w:rPr>
              <w:t>22,318,672.95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2" w:right="0"/>
              <w:jc w:val="left"/>
              <w:rPr>
                <w:rFonts w:ascii="Times New Roman" w:hAnsi="Times New Roman" w:cs="Times New Roman" w:eastAsia="Times New Roman" w:hint="default"/>
                <w:sz w:val="20"/>
                <w:szCs w:val="20"/>
              </w:rPr>
            </w:pPr>
            <w:r>
              <w:rPr>
                <w:rFonts w:ascii="Times New Roman"/>
                <w:sz w:val="20"/>
              </w:rPr>
              <w:t>22,318,672.95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144,431,473.33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626" w:right="0"/>
              <w:jc w:val="left"/>
              <w:rPr>
                <w:rFonts w:ascii="Times New Roman" w:hAnsi="Times New Roman" w:cs="Times New Roman" w:eastAsia="Times New Roman" w:hint="default"/>
                <w:sz w:val="18"/>
                <w:szCs w:val="18"/>
              </w:rPr>
            </w:pPr>
            <w:r>
              <w:rPr>
                <w:rFonts w:ascii="Times New Roman"/>
                <w:sz w:val="18"/>
              </w:rPr>
              <w:t>1.00</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144,431,473.33</w:t>
            </w:r>
          </w:p>
        </w:tc>
      </w:tr>
      <w:tr>
        <w:trPr>
          <w:trHeight w:val="550"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2" w:right="0"/>
              <w:jc w:val="left"/>
              <w:rPr>
                <w:rFonts w:ascii="Times New Roman" w:hAnsi="Times New Roman" w:cs="Times New Roman" w:eastAsia="Times New Roman" w:hint="default"/>
                <w:sz w:val="20"/>
                <w:szCs w:val="20"/>
              </w:rPr>
            </w:pPr>
            <w:r>
              <w:rPr>
                <w:rFonts w:ascii="Times New Roman"/>
                <w:sz w:val="20"/>
              </w:rPr>
              <w:t>23,125,978.79</w:t>
            </w:r>
          </w:p>
        </w:tc>
        <w:tc>
          <w:tcPr>
            <w:tcW w:w="15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144,800,392.95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line="482" w:lineRule="auto" w:before="44"/>
        <w:ind w:left="232" w:right="104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年末货币资金较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年大幅减少主要原因如下：①、因本期归还银行贷款，较上期末减少了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5341.44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万元；②、 为济宁海情置业有限公司及其子公司泗水海情置业有限公司项目均进入开发施工阶段，工程款支付额增加。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0"/>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）应收账款按种类披露：</w:t>
      </w:r>
    </w:p>
    <w:p>
      <w:pPr>
        <w:spacing w:line="240" w:lineRule="auto" w:before="5"/>
        <w:rPr>
          <w:rFonts w:ascii="宋体" w:hAnsi="宋体" w:cs="宋体" w:eastAsia="宋体" w:hint="default"/>
          <w:sz w:val="22"/>
          <w:szCs w:val="22"/>
        </w:rPr>
      </w:pPr>
    </w:p>
    <w:p>
      <w:pPr>
        <w:spacing w:before="0"/>
        <w:ind w:left="0" w:right="1342"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503"/>
        <w:gridCol w:w="1702"/>
        <w:gridCol w:w="991"/>
        <w:gridCol w:w="1561"/>
        <w:gridCol w:w="991"/>
      </w:tblGrid>
      <w:tr>
        <w:trPr>
          <w:trHeight w:val="595" w:hRule="exact"/>
        </w:trPr>
        <w:tc>
          <w:tcPr>
            <w:tcW w:w="450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93" w:hRule="exact"/>
        </w:trPr>
        <w:tc>
          <w:tcPr>
            <w:tcW w:w="4503"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6" w:hRule="exact"/>
        </w:trPr>
        <w:tc>
          <w:tcPr>
            <w:tcW w:w="4503" w:type="dxa"/>
            <w:vMerge/>
            <w:tcBorders>
              <w:left w:val="nil" w:sz="6" w:space="0" w:color="auto"/>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95" w:hRule="exact"/>
        </w:trPr>
        <w:tc>
          <w:tcPr>
            <w:tcW w:w="45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line="240" w:lineRule="auto" w:before="10"/>
        <w:rPr>
          <w:rFonts w:ascii="宋体" w:hAnsi="宋体" w:cs="宋体" w:eastAsia="宋体" w:hint="default"/>
          <w:sz w:val="17"/>
          <w:szCs w:val="17"/>
        </w:rPr>
      </w:pPr>
    </w:p>
    <w:p>
      <w:pPr>
        <w:spacing w:before="44"/>
        <w:ind w:left="232" w:right="1128"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3"/>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518"/>
        <w:gridCol w:w="1702"/>
        <w:gridCol w:w="991"/>
        <w:gridCol w:w="1561"/>
        <w:gridCol w:w="991"/>
      </w:tblGrid>
      <w:tr>
        <w:trPr>
          <w:trHeight w:val="595"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w w:val="95"/>
                <w:sz w:val="20"/>
              </w:rPr>
              <w:t>20,094,288.00</w:t>
            </w:r>
            <w:r>
              <w:rPr>
                <w:rFonts w:ascii="Times New Roman"/>
                <w:sz w:val="20"/>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2"/>
              <w:jc w:val="right"/>
              <w:rPr>
                <w:rFonts w:ascii="Times New Roman" w:hAnsi="Times New Roman" w:cs="Times New Roman" w:eastAsia="Times New Roman" w:hint="default"/>
                <w:sz w:val="20"/>
                <w:szCs w:val="20"/>
              </w:rPr>
            </w:pPr>
            <w:r>
              <w:rPr>
                <w:rFonts w:ascii="Times New Roman"/>
                <w:sz w:val="20"/>
              </w:rPr>
              <w:t>100%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95"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95"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w w:val="95"/>
                <w:sz w:val="20"/>
              </w:rPr>
              <w:t>20,094,288.00</w:t>
            </w:r>
            <w:r>
              <w:rPr>
                <w:rFonts w:ascii="Times New Roman"/>
                <w:sz w:val="20"/>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2"/>
              <w:jc w:val="right"/>
              <w:rPr>
                <w:rFonts w:ascii="Times New Roman" w:hAnsi="Times New Roman" w:cs="Times New Roman" w:eastAsia="Times New Roman" w:hint="default"/>
                <w:sz w:val="20"/>
                <w:szCs w:val="20"/>
              </w:rPr>
            </w:pPr>
            <w:r>
              <w:rPr>
                <w:rFonts w:ascii="Times New Roman"/>
                <w:sz w:val="20"/>
              </w:rPr>
              <w:t>100%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503"/>
        <w:gridCol w:w="1702"/>
        <w:gridCol w:w="991"/>
        <w:gridCol w:w="1702"/>
        <w:gridCol w:w="850"/>
      </w:tblGrid>
      <w:tr>
        <w:trPr>
          <w:trHeight w:val="595" w:hRule="exact"/>
        </w:trPr>
        <w:tc>
          <w:tcPr>
            <w:tcW w:w="450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5" w:hRule="exact"/>
        </w:trPr>
        <w:tc>
          <w:tcPr>
            <w:tcW w:w="4503"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5" w:hRule="exact"/>
        </w:trPr>
        <w:tc>
          <w:tcPr>
            <w:tcW w:w="4503" w:type="dxa"/>
            <w:vMerge/>
            <w:tcBorders>
              <w:left w:val="nil" w:sz="6" w:space="0" w:color="auto"/>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95" w:hRule="exact"/>
        </w:trPr>
        <w:tc>
          <w:tcPr>
            <w:tcW w:w="45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17"/>
          <w:szCs w:val="17"/>
        </w:rPr>
      </w:pPr>
    </w:p>
    <w:p>
      <w:pPr>
        <w:spacing w:before="44"/>
        <w:ind w:left="232" w:right="1128"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5"/>
        <w:rPr>
          <w:rFonts w:ascii="宋体" w:hAnsi="宋体" w:cs="宋体" w:eastAsia="宋体" w:hint="default"/>
          <w:sz w:val="5"/>
          <w:szCs w:val="5"/>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88.9pt;height:.75pt;mso-position-horizontal-relative:char;mso-position-vertical-relative:line" coordorigin="0,0" coordsize="9778,15">
            <v:group style="position:absolute;left:7;top:7;width:9763;height:2" coordorigin="7,7" coordsize="9763,2">
              <v:shape style="position:absolute;left:7;top:7;width:9763;height:2" coordorigin="7,7" coordsize="9763,0" path="m7,7l9770,7e" filled="false" stroked="true" strokeweight=".71997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950" w:top="1040" w:bottom="1140" w:left="900" w:right="0"/>
        </w:sectPr>
      </w:pPr>
    </w:p>
    <w:p>
      <w:pPr>
        <w:spacing w:line="240" w:lineRule="auto" w:before="9"/>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518"/>
        <w:gridCol w:w="1702"/>
        <w:gridCol w:w="991"/>
        <w:gridCol w:w="1702"/>
        <w:gridCol w:w="850"/>
      </w:tblGrid>
      <w:tr>
        <w:trPr>
          <w:trHeight w:val="595"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6"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5" w:hRule="exact"/>
        </w:trPr>
        <w:tc>
          <w:tcPr>
            <w:tcW w:w="45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17"/>
          <w:szCs w:val="17"/>
        </w:rPr>
      </w:pPr>
    </w:p>
    <w:p>
      <w:pPr>
        <w:spacing w:before="44"/>
        <w:ind w:left="232" w:right="1128" w:firstLine="0"/>
        <w:jc w:val="left"/>
        <w:rPr>
          <w:rFonts w:ascii="宋体" w:hAnsi="宋体" w:cs="宋体" w:eastAsia="宋体" w:hint="default"/>
          <w:sz w:val="18"/>
          <w:szCs w:val="18"/>
        </w:rPr>
      </w:pPr>
      <w:r>
        <w:rPr>
          <w:rFonts w:ascii="宋体" w:hAnsi="宋体" w:cs="宋体" w:eastAsia="宋体" w:hint="default"/>
          <w:sz w:val="18"/>
          <w:szCs w:val="18"/>
        </w:rPr>
        <w:t>应收账款种类的说明：</w:t>
      </w:r>
    </w:p>
    <w:p>
      <w:pPr>
        <w:spacing w:line="240" w:lineRule="auto" w:before="7"/>
        <w:rPr>
          <w:rFonts w:ascii="宋体" w:hAnsi="宋体" w:cs="宋体" w:eastAsia="宋体" w:hint="default"/>
          <w:sz w:val="26"/>
          <w:szCs w:val="26"/>
        </w:rPr>
      </w:pPr>
    </w:p>
    <w:p>
      <w:pPr>
        <w:spacing w:line="480" w:lineRule="auto" w:before="0"/>
        <w:ind w:left="232" w:right="1222" w:firstLine="36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单项金额重大并单项计提坏账准备的应收账款指单笔金额为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万元以上，单独进行减值测试后，有客观证据表明发 生了减值，并根据其未来现金流量现值低于其账面价值的差额计提坏账准备的应收账款。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spacing w:line="508" w:lineRule="auto" w:before="0"/>
        <w:ind w:left="232" w:right="1128" w:firstLine="360"/>
        <w:jc w:val="left"/>
        <w:rPr>
          <w:rFonts w:ascii="宋体" w:hAnsi="宋体" w:cs="宋体" w:eastAsia="宋体" w:hint="default"/>
          <w:sz w:val="18"/>
          <w:szCs w:val="18"/>
        </w:rPr>
      </w:pPr>
      <w:r>
        <w:rPr>
          <w:rFonts w:ascii="宋体" w:hAnsi="宋体" w:cs="宋体" w:eastAsia="宋体" w:hint="default"/>
          <w:spacing w:val="-1"/>
          <w:sz w:val="18"/>
          <w:szCs w:val="18"/>
        </w:rPr>
        <w:t>对于单项金额不重大的应收款项，与经单独测试后未减值的单项金额重大、单项金额虽不重大但单项计提坏账准备的</w:t>
      </w:r>
      <w:r>
        <w:rPr>
          <w:rFonts w:ascii="宋体" w:hAnsi="宋体" w:cs="宋体" w:eastAsia="宋体" w:hint="default"/>
          <w:sz w:val="18"/>
          <w:szCs w:val="18"/>
        </w:rPr>
        <w:t> 应收款项一起按以下信用风险组合计提坏账准备，以账龄为信用风险组合依据账龄分析法计提坏账准备。</w:t>
      </w:r>
    </w:p>
    <w:p>
      <w:pPr>
        <w:spacing w:line="482" w:lineRule="auto" w:before="103"/>
        <w:ind w:left="232" w:right="1223" w:firstLine="451"/>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单项金额虽不重大但单项计提坏账准备的应收账款是指单笔金额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万以下，有客观证据表明发生了减值，根据其未 来现金流量现值低于其账面价值的差额计提坏账准备的应收账款。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spacing w:before="0"/>
        <w:ind w:left="232" w:right="1128"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line="240" w:lineRule="auto" w:before="3"/>
        <w:rPr>
          <w:rFonts w:ascii="宋体" w:hAnsi="宋体" w:cs="宋体" w:eastAsia="宋体" w:hint="default"/>
          <w:sz w:val="23"/>
          <w:szCs w:val="23"/>
        </w:rPr>
      </w:pPr>
    </w:p>
    <w:p>
      <w:pPr>
        <w:spacing w:before="0"/>
        <w:ind w:left="0" w:right="1342"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400"/>
        <w:gridCol w:w="1558"/>
        <w:gridCol w:w="1135"/>
        <w:gridCol w:w="1419"/>
        <w:gridCol w:w="1699"/>
        <w:gridCol w:w="1136"/>
        <w:gridCol w:w="1416"/>
      </w:tblGrid>
      <w:tr>
        <w:trPr>
          <w:trHeight w:val="557" w:hRule="exact"/>
        </w:trPr>
        <w:tc>
          <w:tcPr>
            <w:tcW w:w="1400"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1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1"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5" w:hRule="exact"/>
        </w:trPr>
        <w:tc>
          <w:tcPr>
            <w:tcW w:w="1400"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5" w:hRule="exact"/>
        </w:trPr>
        <w:tc>
          <w:tcPr>
            <w:tcW w:w="1400" w:type="dxa"/>
            <w:vMerge/>
            <w:tcBorders>
              <w:left w:val="nil" w:sz="6" w:space="0" w:color="auto"/>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19" w:type="dxa"/>
            <w:vMerge/>
            <w:tcBorders>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16" w:type="dxa"/>
            <w:vMerge/>
            <w:tcBorders>
              <w:left w:val="single" w:sz="6" w:space="0" w:color="000000"/>
              <w:bottom w:val="single" w:sz="6" w:space="0" w:color="000000"/>
              <w:right w:val="nil" w:sz="6" w:space="0" w:color="auto"/>
            </w:tcBorders>
          </w:tcPr>
          <w:p>
            <w:pPr/>
          </w:p>
        </w:tc>
      </w:tr>
      <w:tr>
        <w:trPr>
          <w:trHeight w:val="593" w:hRule="exact"/>
        </w:trPr>
        <w:tc>
          <w:tcPr>
            <w:tcW w:w="14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20,094,288.00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100%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8" w:hRule="exact"/>
        </w:trPr>
        <w:tc>
          <w:tcPr>
            <w:tcW w:w="14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20,094,288.00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100%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44"/>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）应收账款金额前五名单位情况</w:t>
      </w:r>
    </w:p>
    <w:p>
      <w:pPr>
        <w:spacing w:line="240" w:lineRule="auto" w:before="11"/>
        <w:rPr>
          <w:rFonts w:ascii="宋体" w:hAnsi="宋体" w:cs="宋体" w:eastAsia="宋体" w:hint="default"/>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1935"/>
        <w:gridCol w:w="1923"/>
        <w:gridCol w:w="1920"/>
        <w:gridCol w:w="1325"/>
        <w:gridCol w:w="2518"/>
      </w:tblGrid>
      <w:tr>
        <w:trPr>
          <w:trHeight w:val="588" w:hRule="exact"/>
        </w:trPr>
        <w:tc>
          <w:tcPr>
            <w:tcW w:w="1935"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1923"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20"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25"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518" w:type="dxa"/>
            <w:tcBorders>
              <w:top w:val="single" w:sz="4"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586"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9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1,660,000.00</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8.26%</w:t>
            </w:r>
          </w:p>
        </w:tc>
      </w:tr>
      <w:tr>
        <w:trPr>
          <w:trHeight w:val="588" w:hRule="exact"/>
        </w:trPr>
        <w:tc>
          <w:tcPr>
            <w:tcW w:w="1935" w:type="dxa"/>
            <w:tcBorders>
              <w:top w:val="single" w:sz="2" w:space="0" w:color="000000"/>
              <w:left w:val="nil" w:sz="6" w:space="0" w:color="auto"/>
              <w:bottom w:val="single" w:sz="4"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923"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20"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1,840,000.00</w:t>
            </w:r>
          </w:p>
        </w:tc>
        <w:tc>
          <w:tcPr>
            <w:tcW w:w="1325"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518" w:type="dxa"/>
            <w:tcBorders>
              <w:top w:val="single" w:sz="2" w:space="0" w:color="000000"/>
              <w:left w:val="single" w:sz="2"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9.16%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0" w:top="1040" w:bottom="1140" w:left="900" w:right="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935"/>
        <w:gridCol w:w="1923"/>
        <w:gridCol w:w="1920"/>
        <w:gridCol w:w="1325"/>
        <w:gridCol w:w="2518"/>
      </w:tblGrid>
      <w:tr>
        <w:trPr>
          <w:trHeight w:val="588" w:hRule="exact"/>
        </w:trPr>
        <w:tc>
          <w:tcPr>
            <w:tcW w:w="1935"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923"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20"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1,300,000.00</w:t>
            </w:r>
          </w:p>
        </w:tc>
        <w:tc>
          <w:tcPr>
            <w:tcW w:w="1325"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518" w:type="dxa"/>
            <w:tcBorders>
              <w:top w:val="single" w:sz="4"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6.47%</w:t>
            </w:r>
          </w:p>
        </w:tc>
      </w:tr>
      <w:tr>
        <w:trPr>
          <w:trHeight w:val="586"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9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800,000.00</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3.98%</w:t>
            </w:r>
          </w:p>
        </w:tc>
      </w:tr>
      <w:tr>
        <w:trPr>
          <w:trHeight w:val="586"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9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710,000.00</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3.53%</w:t>
            </w:r>
          </w:p>
        </w:tc>
      </w:tr>
      <w:tr>
        <w:trPr>
          <w:trHeight w:val="588" w:hRule="exact"/>
        </w:trPr>
        <w:tc>
          <w:tcPr>
            <w:tcW w:w="1935" w:type="dxa"/>
            <w:tcBorders>
              <w:top w:val="single" w:sz="2" w:space="0" w:color="000000"/>
              <w:left w:val="nil" w:sz="6" w:space="0" w:color="auto"/>
              <w:bottom w:val="single" w:sz="4"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3"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6,310,000.00</w:t>
            </w:r>
          </w:p>
        </w:tc>
        <w:tc>
          <w:tcPr>
            <w:tcW w:w="1325"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518" w:type="dxa"/>
            <w:tcBorders>
              <w:top w:val="single" w:sz="2" w:space="0" w:color="000000"/>
              <w:left w:val="single" w:sz="2"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31.40%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）本报告期内无实际核销的应收账款情况。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）应收账款期末余额无持有本公司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以上股份的股东单位欠款情况。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）应收账款期末余额无关联方的欠款。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）本报告期内无终止确认的应收款项情况。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22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日，期末应收客户款项均已收回。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）预付款项按账龄列示</w:t>
      </w:r>
    </w:p>
    <w:p>
      <w:pPr>
        <w:spacing w:line="240" w:lineRule="auto" w:before="0"/>
        <w:rPr>
          <w:rFonts w:ascii="宋体" w:hAnsi="宋体" w:cs="宋体" w:eastAsia="宋体" w:hint="default"/>
          <w:sz w:val="19"/>
          <w:szCs w:val="19"/>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875"/>
        <w:gridCol w:w="1969"/>
        <w:gridCol w:w="1973"/>
        <w:gridCol w:w="1971"/>
        <w:gridCol w:w="1867"/>
      </w:tblGrid>
      <w:tr>
        <w:trPr>
          <w:trHeight w:val="588" w:hRule="exact"/>
        </w:trPr>
        <w:tc>
          <w:tcPr>
            <w:tcW w:w="1875" w:type="dxa"/>
            <w:vMerge w:val="restart"/>
            <w:tcBorders>
              <w:top w:val="single" w:sz="4"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2" w:type="dxa"/>
            <w:gridSpan w:val="2"/>
            <w:tcBorders>
              <w:top w:val="single" w:sz="4"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38" w:type="dxa"/>
            <w:gridSpan w:val="2"/>
            <w:tcBorders>
              <w:top w:val="single" w:sz="4"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83" w:hRule="exact"/>
        </w:trPr>
        <w:tc>
          <w:tcPr>
            <w:tcW w:w="1875" w:type="dxa"/>
            <w:vMerge/>
            <w:tcBorders>
              <w:left w:val="nil" w:sz="6" w:space="0" w:color="auto"/>
              <w:bottom w:val="single" w:sz="2" w:space="0" w:color="000000"/>
              <w:right w:val="single" w:sz="2" w:space="0" w:color="000000"/>
            </w:tcBorders>
          </w:tcPr>
          <w:p>
            <w:pP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86" w:hRule="exact"/>
        </w:trPr>
        <w:tc>
          <w:tcPr>
            <w:tcW w:w="1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5,764,959.69</w:t>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98.98%</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59,300.00</w:t>
            </w:r>
          </w:p>
        </w:tc>
        <w:tc>
          <w:tcPr>
            <w:tcW w:w="18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r>
      <w:tr>
        <w:trPr>
          <w:trHeight w:val="586" w:hRule="exact"/>
        </w:trPr>
        <w:tc>
          <w:tcPr>
            <w:tcW w:w="1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34,300.00</w:t>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0.59%</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86" w:hRule="exact"/>
        </w:trPr>
        <w:tc>
          <w:tcPr>
            <w:tcW w:w="1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25,000.00</w:t>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0.43%</w:t>
            </w: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86" w:hRule="exact"/>
        </w:trPr>
        <w:tc>
          <w:tcPr>
            <w:tcW w:w="1875" w:type="dxa"/>
            <w:tcBorders>
              <w:top w:val="single" w:sz="2" w:space="0" w:color="000000"/>
              <w:left w:val="nil" w:sz="6" w:space="0" w:color="auto"/>
              <w:bottom w:val="single" w:sz="4"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9"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5,824,259.69</w:t>
            </w:r>
          </w:p>
        </w:tc>
        <w:tc>
          <w:tcPr>
            <w:tcW w:w="1973"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971"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59,300.00</w:t>
            </w:r>
          </w:p>
        </w:tc>
        <w:tc>
          <w:tcPr>
            <w:tcW w:w="1867" w:type="dxa"/>
            <w:tcBorders>
              <w:top w:val="single" w:sz="2" w:space="0" w:color="000000"/>
              <w:left w:val="single" w:sz="2"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日主要欠款单位情况如下：</w:t>
      </w:r>
    </w:p>
    <w:p>
      <w:pPr>
        <w:spacing w:after="0"/>
        <w:jc w:val="left"/>
        <w:rPr>
          <w:rFonts w:ascii="宋体" w:hAnsi="宋体" w:cs="宋体" w:eastAsia="宋体" w:hint="default"/>
          <w:sz w:val="18"/>
          <w:szCs w:val="18"/>
        </w:rPr>
        <w:sectPr>
          <w:pgSz w:w="11910" w:h="16840"/>
          <w:pgMar w:header="0" w:footer="950" w:top="1040" w:bottom="1140" w:left="1000" w:right="0"/>
        </w:sectPr>
      </w:pPr>
    </w:p>
    <w:p>
      <w:pPr>
        <w:spacing w:before="3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843"/>
        <w:gridCol w:w="1568"/>
        <w:gridCol w:w="1414"/>
        <w:gridCol w:w="1136"/>
        <w:gridCol w:w="1694"/>
      </w:tblGrid>
      <w:tr>
        <w:trPr>
          <w:trHeight w:val="588" w:hRule="exact"/>
        </w:trPr>
        <w:tc>
          <w:tcPr>
            <w:tcW w:w="3843" w:type="dxa"/>
            <w:tcBorders>
              <w:top w:val="single" w:sz="4"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8"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14"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6"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694" w:type="dxa"/>
            <w:tcBorders>
              <w:top w:val="single" w:sz="4"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86" w:hRule="exact"/>
        </w:trPr>
        <w:tc>
          <w:tcPr>
            <w:tcW w:w="3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山东荷建建筑集团有限公司</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2,527,504.66</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工程未完成</w:t>
            </w:r>
          </w:p>
        </w:tc>
      </w:tr>
      <w:tr>
        <w:trPr>
          <w:trHeight w:val="586" w:hRule="exact"/>
        </w:trPr>
        <w:tc>
          <w:tcPr>
            <w:tcW w:w="3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兖州市永华建筑安装工程有限公司</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1,103,899.78</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工程未完成</w:t>
            </w:r>
          </w:p>
        </w:tc>
      </w:tr>
      <w:tr>
        <w:trPr>
          <w:trHeight w:val="586" w:hRule="exact"/>
        </w:trPr>
        <w:tc>
          <w:tcPr>
            <w:tcW w:w="3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山东正元建设工程有限公司</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工程未完成</w:t>
            </w:r>
          </w:p>
        </w:tc>
      </w:tr>
      <w:tr>
        <w:trPr>
          <w:trHeight w:val="583" w:hRule="exact"/>
        </w:trPr>
        <w:tc>
          <w:tcPr>
            <w:tcW w:w="3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济宁市建筑设计研究院</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465,942.86</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工程未完成</w:t>
            </w:r>
          </w:p>
        </w:tc>
      </w:tr>
      <w:tr>
        <w:trPr>
          <w:trHeight w:val="588" w:hRule="exact"/>
        </w:trPr>
        <w:tc>
          <w:tcPr>
            <w:tcW w:w="3843" w:type="dxa"/>
            <w:tcBorders>
              <w:top w:val="single" w:sz="2" w:space="0" w:color="000000"/>
              <w:left w:val="nil" w:sz="6" w:space="0" w:color="auto"/>
              <w:bottom w:val="single" w:sz="4"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山东省建设建工集团路桥工程有限公司</w:t>
            </w:r>
          </w:p>
        </w:tc>
        <w:tc>
          <w:tcPr>
            <w:tcW w:w="1568"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4"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136"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4" w:type="dxa"/>
            <w:tcBorders>
              <w:top w:val="single" w:sz="2" w:space="0" w:color="000000"/>
              <w:left w:val="single" w:sz="2"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工程未完成</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）预付账款期末余额中无持有本公司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以上股份的股东单位款项；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）预付账款期末余额无关联方的欠款。</w:t>
      </w:r>
    </w:p>
    <w:p>
      <w:pPr>
        <w:spacing w:line="240" w:lineRule="auto" w:before="3"/>
        <w:rPr>
          <w:rFonts w:ascii="宋体" w:hAnsi="宋体" w:cs="宋体" w:eastAsia="宋体" w:hint="default"/>
          <w:sz w:val="22"/>
          <w:szCs w:val="22"/>
        </w:rPr>
      </w:pPr>
    </w:p>
    <w:p>
      <w:pPr>
        <w:spacing w:line="480" w:lineRule="auto" w:before="0"/>
        <w:ind w:left="1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）预付账款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年期末余额较</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日增长</w:t>
      </w:r>
      <w:r>
        <w:rPr>
          <w:rFonts w:ascii="宋体" w:hAnsi="宋体" w:cs="宋体" w:eastAsia="宋体"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u w:val="single" w:color="000000"/>
        </w:rPr>
        <w:t>9721.69%</w:t>
      </w:r>
      <w:r>
        <w:rPr>
          <w:rFonts w:ascii="Times New Roman" w:hAnsi="Times New Roman" w:cs="Times New Roman" w:eastAsia="Times New Roman" w:hint="default"/>
          <w:sz w:val="18"/>
          <w:szCs w:val="18"/>
        </w:rPr>
      </w:r>
      <w:r>
        <w:rPr>
          <w:rFonts w:ascii="宋体" w:hAnsi="宋体" w:cs="宋体" w:eastAsia="宋体" w:hint="default"/>
          <w:sz w:val="18"/>
          <w:szCs w:val="18"/>
        </w:rPr>
        <w:t>，主要为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年末新开工项目海情丽都一期二阶段预 付施工款所致。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1"/>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）其他应收款按种类披露：</w:t>
      </w:r>
    </w:p>
    <w:p>
      <w:pPr>
        <w:spacing w:line="240" w:lineRule="auto" w:before="3"/>
        <w:rPr>
          <w:rFonts w:ascii="宋体" w:hAnsi="宋体" w:cs="宋体" w:eastAsia="宋体" w:hint="default"/>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4410"/>
        <w:gridCol w:w="1560"/>
        <w:gridCol w:w="1063"/>
        <w:gridCol w:w="1630"/>
        <w:gridCol w:w="991"/>
      </w:tblGrid>
      <w:tr>
        <w:trPr>
          <w:trHeight w:val="595" w:hRule="exact"/>
        </w:trPr>
        <w:tc>
          <w:tcPr>
            <w:tcW w:w="4410"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95" w:hRule="exact"/>
        </w:trPr>
        <w:tc>
          <w:tcPr>
            <w:tcW w:w="4410" w:type="dxa"/>
            <w:vMerge/>
            <w:tcBorders>
              <w:left w:val="nil" w:sz="6" w:space="0" w:color="auto"/>
              <w:right w:val="single" w:sz="6" w:space="0" w:color="000000"/>
            </w:tcBorders>
          </w:tcPr>
          <w:p>
            <w:pPr/>
          </w:p>
        </w:tc>
        <w:tc>
          <w:tcPr>
            <w:tcW w:w="26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21"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5" w:hRule="exact"/>
        </w:trPr>
        <w:tc>
          <w:tcPr>
            <w:tcW w:w="4410" w:type="dxa"/>
            <w:vMerge/>
            <w:tcBorders>
              <w:left w:val="nil" w:sz="6" w:space="0" w:color="auto"/>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96"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5,469,457.38</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10,540.00</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0.20%</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5,469,457.38</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10,540.00</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0.20%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0" w:top="1320" w:bottom="1140" w:left="1000" w:right="0"/>
        </w:sectPr>
      </w:pPr>
    </w:p>
    <w:p>
      <w:pPr>
        <w:spacing w:line="240" w:lineRule="auto" w:before="9"/>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4410"/>
        <w:gridCol w:w="1560"/>
        <w:gridCol w:w="1063"/>
        <w:gridCol w:w="1630"/>
        <w:gridCol w:w="991"/>
      </w:tblGrid>
      <w:tr>
        <w:trPr>
          <w:trHeight w:val="595" w:hRule="exact"/>
        </w:trPr>
        <w:tc>
          <w:tcPr>
            <w:tcW w:w="4410"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6" w:hRule="exact"/>
        </w:trPr>
        <w:tc>
          <w:tcPr>
            <w:tcW w:w="4410" w:type="dxa"/>
            <w:vMerge/>
            <w:tcBorders>
              <w:left w:val="nil" w:sz="6" w:space="0" w:color="auto"/>
              <w:right w:val="single" w:sz="6" w:space="0" w:color="000000"/>
            </w:tcBorders>
          </w:tcPr>
          <w:p>
            <w:pPr/>
          </w:p>
        </w:tc>
        <w:tc>
          <w:tcPr>
            <w:tcW w:w="26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21"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5" w:hRule="exact"/>
        </w:trPr>
        <w:tc>
          <w:tcPr>
            <w:tcW w:w="4410" w:type="dxa"/>
            <w:vMerge/>
            <w:tcBorders>
              <w:left w:val="nil" w:sz="6" w:space="0" w:color="auto"/>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3,472,210.84</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98,542.04</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2.92%</w:t>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5" w:hRule="exact"/>
        </w:trPr>
        <w:tc>
          <w:tcPr>
            <w:tcW w:w="44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3,472,210.84</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98,542.04</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2.92%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w:t>
      </w:r>
    </w:p>
    <w:p>
      <w:pPr>
        <w:spacing w:line="240" w:lineRule="auto" w:before="0"/>
        <w:rPr>
          <w:rFonts w:ascii="宋体" w:hAnsi="宋体" w:cs="宋体" w:eastAsia="宋体" w:hint="default"/>
          <w:sz w:val="20"/>
          <w:szCs w:val="20"/>
        </w:rPr>
      </w:pPr>
    </w:p>
    <w:p>
      <w:pPr>
        <w:spacing w:line="429" w:lineRule="auto" w:before="0"/>
        <w:ind w:left="13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本公司根据公司经营规模、业务性质及客户结算状况等确定单项金额重大的其他应收款标准为单笔金</w:t>
      </w:r>
      <w:r>
        <w:rPr>
          <w:rFonts w:ascii="宋体" w:hAnsi="宋体" w:cs="宋体" w:eastAsia="宋体" w:hint="default"/>
          <w:w w:val="100"/>
          <w:sz w:val="21"/>
          <w:szCs w:val="21"/>
        </w:rPr>
        <w:t> </w:t>
      </w:r>
      <w:r>
        <w:rPr>
          <w:rFonts w:ascii="宋体" w:hAnsi="宋体" w:cs="宋体" w:eastAsia="宋体" w:hint="default"/>
          <w:sz w:val="21"/>
          <w:szCs w:val="21"/>
        </w:rPr>
        <w:t>额超过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万元的款项；无明显减值迹象的其他应收款，相同账龄的其他应收款具有类似信用风险的特征</w:t>
      </w:r>
      <w:r>
        <w:rPr>
          <w:rFonts w:ascii="宋体" w:hAnsi="宋体" w:cs="宋体" w:eastAsia="宋体" w:hint="default"/>
          <w:w w:val="100"/>
          <w:sz w:val="21"/>
          <w:szCs w:val="21"/>
        </w:rPr>
        <w:t> </w:t>
      </w:r>
      <w:r>
        <w:rPr>
          <w:rFonts w:ascii="宋体" w:hAnsi="宋体" w:cs="宋体" w:eastAsia="宋体" w:hint="default"/>
          <w:spacing w:val="-2"/>
          <w:sz w:val="21"/>
          <w:szCs w:val="21"/>
        </w:rPr>
        <w:t>作为一个组合；单项金额虽不重大但单项计提坏账准备的其他应收款是指不符合单项金额重大或组合的应</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收账款以外有明显减值迹象的其他应收款。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8"/>
        <w:ind w:left="132" w:right="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line="240" w:lineRule="auto" w:before="3"/>
        <w:rPr>
          <w:rFonts w:ascii="宋体" w:hAnsi="宋体" w:cs="宋体" w:eastAsia="宋体" w:hint="default"/>
          <w:sz w:val="23"/>
          <w:szCs w:val="23"/>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716"/>
        <w:gridCol w:w="1561"/>
        <w:gridCol w:w="991"/>
        <w:gridCol w:w="1419"/>
        <w:gridCol w:w="1416"/>
        <w:gridCol w:w="1277"/>
        <w:gridCol w:w="1332"/>
      </w:tblGrid>
      <w:tr>
        <w:trPr>
          <w:trHeight w:val="554" w:hRule="exact"/>
        </w:trPr>
        <w:tc>
          <w:tcPr>
            <w:tcW w:w="1716"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7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25"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4" w:hRule="exact"/>
        </w:trPr>
        <w:tc>
          <w:tcPr>
            <w:tcW w:w="1716" w:type="dxa"/>
            <w:vMerge/>
            <w:tcBorders>
              <w:left w:val="nil" w:sz="6" w:space="0" w:color="auto"/>
              <w:right w:val="single" w:sz="6" w:space="0" w:color="000000"/>
            </w:tcBorders>
          </w:tcPr>
          <w:p>
            <w:pPr/>
          </w:p>
        </w:tc>
        <w:tc>
          <w:tcPr>
            <w:tcW w:w="25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32"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7" w:hRule="exact"/>
        </w:trPr>
        <w:tc>
          <w:tcPr>
            <w:tcW w:w="1716" w:type="dxa"/>
            <w:vMerge/>
            <w:tcBorders>
              <w:left w:val="nil" w:sz="6" w:space="0" w:color="auto"/>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419"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32" w:type="dxa"/>
            <w:vMerge/>
            <w:tcBorders>
              <w:left w:val="single" w:sz="6" w:space="0" w:color="000000"/>
              <w:bottom w:val="single" w:sz="6" w:space="0" w:color="000000"/>
              <w:right w:val="nil" w:sz="6" w:space="0" w:color="auto"/>
            </w:tcBorders>
          </w:tcPr>
          <w:p>
            <w:pPr/>
          </w:p>
        </w:tc>
      </w:tr>
      <w:tr>
        <w:trPr>
          <w:trHeight w:val="554"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3,156,674.06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57.72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2,940,980.58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84.70</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5"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2,257,504.60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41.27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522,230.26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15.04</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98,542.04</w:t>
            </w:r>
          </w:p>
        </w:tc>
      </w:tr>
      <w:tr>
        <w:trPr>
          <w:trHeight w:val="554"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46,278.72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0.85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9,540.00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95"/>
                <w:sz w:val="18"/>
              </w:rPr>
              <w:t>9,000.00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0.26</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9,000.00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0.16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4" w:hRule="exact"/>
        </w:trPr>
        <w:tc>
          <w:tcPr>
            <w:tcW w:w="17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5,469,457.38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10,540.00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3,472,210.84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100.00</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98,542.04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）本报告期无前期已全额计提坏账准备，或计提坏账准备的比例较大，但在本期又全额收回或转回，或在本期收回或转</w:t>
      </w:r>
    </w:p>
    <w:p>
      <w:pPr>
        <w:spacing w:after="0"/>
        <w:jc w:val="left"/>
        <w:rPr>
          <w:rFonts w:ascii="宋体" w:hAnsi="宋体" w:cs="宋体" w:eastAsia="宋体" w:hint="default"/>
          <w:sz w:val="18"/>
          <w:szCs w:val="18"/>
        </w:rPr>
        <w:sectPr>
          <w:pgSz w:w="11910" w:h="16840"/>
          <w:pgMar w:header="0" w:footer="950" w:top="1040" w:bottom="1140" w:left="1000" w:right="0"/>
        </w:sectPr>
      </w:pPr>
    </w:p>
    <w:p>
      <w:pPr>
        <w:spacing w:before="29"/>
        <w:ind w:left="132" w:right="0" w:firstLine="0"/>
        <w:jc w:val="left"/>
        <w:rPr>
          <w:rFonts w:ascii="宋体" w:hAnsi="宋体" w:cs="宋体" w:eastAsia="宋体" w:hint="default"/>
          <w:sz w:val="18"/>
          <w:szCs w:val="18"/>
        </w:rPr>
      </w:pPr>
      <w:r>
        <w:rPr>
          <w:rFonts w:ascii="宋体" w:hAnsi="宋体" w:cs="宋体" w:eastAsia="宋体" w:hint="default"/>
          <w:sz w:val="18"/>
          <w:szCs w:val="18"/>
        </w:rPr>
        <w:t>回比例较大的情况；本报告期无通过重组等其他方式收回的应收款项金额。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2"/>
          <w:szCs w:val="22"/>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）本报告期末无单项金额重大或虽不重大但单独进行减值测试的其他应收款坏账准备计提情况。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）本报告期无实际核销的其他应收款</w:t>
      </w:r>
      <w:r>
        <w:rPr>
          <w:rFonts w:ascii="Times New Roman" w:hAnsi="Times New Roman" w:cs="Times New Roman" w:eastAsia="Times New Roman"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8"/>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）本报告期其他应收款中无持有公司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）其他应收款金额前五名单位情况</w:t>
      </w:r>
    </w:p>
    <w:p>
      <w:pPr>
        <w:spacing w:line="240" w:lineRule="auto" w:before="3"/>
        <w:rPr>
          <w:rFonts w:ascii="宋体" w:hAnsi="宋体" w:cs="宋体" w:eastAsia="宋体" w:hint="default"/>
          <w:sz w:val="22"/>
          <w:szCs w:val="22"/>
        </w:rPr>
      </w:pPr>
    </w:p>
    <w:p>
      <w:pPr>
        <w:spacing w:before="0"/>
        <w:ind w:left="0" w:right="1445"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702"/>
        <w:gridCol w:w="1416"/>
        <w:gridCol w:w="1563"/>
        <w:gridCol w:w="1133"/>
        <w:gridCol w:w="1428"/>
      </w:tblGrid>
      <w:tr>
        <w:trPr>
          <w:trHeight w:val="84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30"/>
              <w:ind w:left="523" w:right="341"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30" w:lineRule="exact"/>
              <w:ind w:left="259" w:right="173" w:hanging="92"/>
              <w:jc w:val="left"/>
              <w:rPr>
                <w:rFonts w:ascii="宋体" w:hAnsi="宋体" w:cs="宋体" w:eastAsia="宋体" w:hint="default"/>
                <w:sz w:val="18"/>
                <w:szCs w:val="18"/>
              </w:rPr>
            </w:pPr>
            <w:r>
              <w:rPr>
                <w:rFonts w:ascii="宋体" w:hAnsi="宋体" w:cs="宋体" w:eastAsia="宋体" w:hint="default"/>
                <w:sz w:val="18"/>
                <w:szCs w:val="18"/>
              </w:rPr>
              <w:t>占其他应收款 总额的比例</w:t>
            </w:r>
          </w:p>
        </w:tc>
      </w:tr>
      <w:tr>
        <w:trPr>
          <w:trHeight w:val="588"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兖州城市小区住宅管理办公室</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1,699,557.25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31.07%</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兖州拖欠工程款问题领导小组办公室</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1,386,050.00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25.34%</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兖州市新型墙体材料应用领导小组办公室</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498,080.00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9.11%</w:t>
            </w:r>
          </w:p>
        </w:tc>
      </w:tr>
      <w:tr>
        <w:trPr>
          <w:trHeight w:val="591"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济宁供电公司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348,098.45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6.36%</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泗水县建设局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3.84%</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4,141,785.70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75.72%</w:t>
            </w:r>
          </w:p>
        </w:tc>
      </w:tr>
    </w:tbl>
    <w:p>
      <w:pPr>
        <w:spacing w:line="240" w:lineRule="auto" w:before="8"/>
        <w:rPr>
          <w:rFonts w:ascii="宋体" w:hAnsi="宋体" w:cs="宋体" w:eastAsia="宋体" w:hint="default"/>
          <w:sz w:val="17"/>
          <w:szCs w:val="17"/>
        </w:rPr>
      </w:pPr>
    </w:p>
    <w:p>
      <w:pPr>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）本报告期其他应收款中无持有关联方的欠款。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）本报告期无终止确认的其他应收款项情况。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）本报告期无以其他应收款项为标的进行证券化的情况。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）存货分类</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after="0"/>
        <w:jc w:val="right"/>
        <w:rPr>
          <w:rFonts w:ascii="宋体" w:hAnsi="宋体" w:cs="宋体" w:eastAsia="宋体" w:hint="default"/>
          <w:sz w:val="18"/>
          <w:szCs w:val="18"/>
        </w:rPr>
        <w:sectPr>
          <w:pgSz w:w="11910" w:h="16840"/>
          <w:pgMar w:header="0" w:footer="950" w:top="1280" w:bottom="1140" w:left="1000" w:right="0"/>
        </w:sectPr>
      </w:pPr>
    </w:p>
    <w:p>
      <w:pPr>
        <w:spacing w:line="240" w:lineRule="auto" w:before="9"/>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594"/>
        <w:gridCol w:w="1388"/>
        <w:gridCol w:w="1342"/>
        <w:gridCol w:w="1390"/>
        <w:gridCol w:w="1342"/>
        <w:gridCol w:w="1340"/>
        <w:gridCol w:w="1337"/>
      </w:tblGrid>
      <w:tr>
        <w:trPr>
          <w:trHeight w:val="590" w:hRule="exact"/>
        </w:trPr>
        <w:tc>
          <w:tcPr>
            <w:tcW w:w="15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1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1" w:hRule="exact"/>
        </w:trPr>
        <w:tc>
          <w:tcPr>
            <w:tcW w:w="1594" w:type="dxa"/>
            <w:vMerge/>
            <w:tcBorders>
              <w:left w:val="nil" w:sz="6" w:space="0" w:color="auto"/>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90"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在建开发产品</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41,715,917.40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41,715,917.40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26,605,440.53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26,605,440.53</w:t>
            </w:r>
          </w:p>
        </w:tc>
      </w:tr>
      <w:tr>
        <w:trPr>
          <w:trHeight w:val="590"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拟开发产品</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246,424,428.31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246,424,428.31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165,561,457.02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165,561,457.02</w:t>
            </w:r>
          </w:p>
        </w:tc>
      </w:tr>
      <w:tr>
        <w:trPr>
          <w:trHeight w:val="590"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已开发产品</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173,737,327.66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173,737,327.66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134,973,806.14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134,973,806.14</w:t>
            </w:r>
          </w:p>
        </w:tc>
      </w:tr>
      <w:tr>
        <w:trPr>
          <w:trHeight w:val="590"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461,877,673.37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461,877,673.37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327,140,703.69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327,140,703.69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44"/>
        <w:ind w:left="152" w:right="36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）在建开发产品</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141"/>
        <w:gridCol w:w="1702"/>
        <w:gridCol w:w="1702"/>
        <w:gridCol w:w="1370"/>
        <w:gridCol w:w="1369"/>
        <w:gridCol w:w="1370"/>
      </w:tblGrid>
      <w:tr>
        <w:trPr>
          <w:trHeight w:val="59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开工时间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预计竣工时间</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预计总投资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3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89"/>
              <w:ind w:left="122" w:right="0"/>
              <w:jc w:val="left"/>
              <w:rPr>
                <w:rFonts w:ascii="宋体" w:hAnsi="宋体" w:cs="宋体" w:eastAsia="宋体" w:hint="default"/>
                <w:sz w:val="18"/>
                <w:szCs w:val="18"/>
              </w:rPr>
            </w:pPr>
            <w:r>
              <w:rPr>
                <w:rFonts w:ascii="宋体" w:hAnsi="宋体" w:cs="宋体" w:eastAsia="宋体" w:hint="default"/>
                <w:sz w:val="18"/>
                <w:szCs w:val="18"/>
              </w:rPr>
              <w:t>海情丽都一期二阶段</w:t>
            </w:r>
          </w:p>
          <w:p>
            <w:pPr>
              <w:pStyle w:val="TableParagraph"/>
              <w:spacing w:line="248"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亩高层）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180,000,000.00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99"/>
              <w:jc w:val="right"/>
              <w:rPr>
                <w:rFonts w:ascii="Times New Roman" w:hAnsi="Times New Roman" w:cs="Times New Roman" w:eastAsia="Times New Roman" w:hint="default"/>
                <w:sz w:val="18"/>
                <w:szCs w:val="18"/>
              </w:rPr>
            </w:pPr>
            <w:r>
              <w:rPr>
                <w:rFonts w:ascii="Times New Roman"/>
                <w:spacing w:val="-1"/>
                <w:sz w:val="18"/>
              </w:rPr>
              <w:t>41,715,917.40</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19" w:right="0"/>
              <w:jc w:val="center"/>
              <w:rPr>
                <w:rFonts w:ascii="Times New Roman" w:hAnsi="Times New Roman" w:cs="Times New Roman" w:eastAsia="Times New Roman" w:hint="default"/>
                <w:sz w:val="18"/>
                <w:szCs w:val="18"/>
              </w:rPr>
            </w:pPr>
            <w:r>
              <w:rPr>
                <w:rFonts w:ascii="Times New Roman"/>
                <w:sz w:val="18"/>
              </w:rPr>
              <w:t>26,605,440.53</w:t>
            </w:r>
          </w:p>
        </w:tc>
      </w:tr>
      <w:tr>
        <w:trPr>
          <w:trHeight w:val="59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41,715,917.40</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26,605,440.53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44"/>
        <w:ind w:left="152" w:right="3673" w:firstLine="0"/>
        <w:jc w:val="left"/>
        <w:rPr>
          <w:rFonts w:ascii="宋体" w:hAnsi="宋体" w:cs="宋体" w:eastAsia="宋体" w:hint="default"/>
          <w:sz w:val="18"/>
          <w:szCs w:val="18"/>
        </w:rPr>
      </w:pPr>
      <w:r>
        <w:rPr>
          <w:rFonts w:ascii="宋体" w:hAnsi="宋体" w:cs="宋体" w:eastAsia="宋体" w:hint="default"/>
          <w:sz w:val="18"/>
          <w:szCs w:val="18"/>
        </w:rPr>
        <w:t>其中：利息资本化金额如下：</w:t>
      </w:r>
    </w:p>
    <w:p>
      <w:pPr>
        <w:spacing w:line="240" w:lineRule="auto" w:before="11"/>
        <w:rPr>
          <w:rFonts w:ascii="宋体" w:hAnsi="宋体" w:cs="宋体" w:eastAsia="宋体" w:hint="default"/>
          <w:sz w:val="19"/>
          <w:szCs w:val="19"/>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711"/>
        <w:gridCol w:w="1735"/>
        <w:gridCol w:w="1736"/>
        <w:gridCol w:w="1916"/>
        <w:gridCol w:w="1558"/>
      </w:tblGrid>
      <w:tr>
        <w:trPr>
          <w:trHeight w:val="590" w:hRule="exact"/>
        </w:trPr>
        <w:tc>
          <w:tcPr>
            <w:tcW w:w="2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本期转入开发产品</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90" w:hRule="exact"/>
        </w:trPr>
        <w:tc>
          <w:tcPr>
            <w:tcW w:w="2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海情丽都一期一阶段</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2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石雀滩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朱雀台项目</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before="44"/>
        <w:ind w:left="152" w:right="36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）已开发产品</w:t>
      </w:r>
    </w:p>
    <w:p>
      <w:pPr>
        <w:spacing w:line="240" w:lineRule="auto" w:before="4"/>
        <w:rPr>
          <w:rFonts w:ascii="宋体" w:hAnsi="宋体" w:cs="宋体" w:eastAsia="宋体" w:hint="default"/>
          <w:sz w:val="20"/>
          <w:szCs w:val="2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91" w:type="dxa"/>
        <w:tblLayout w:type="fixed"/>
        <w:tblCellMar>
          <w:top w:w="0" w:type="dxa"/>
          <w:left w:w="0" w:type="dxa"/>
          <w:bottom w:w="0" w:type="dxa"/>
          <w:right w:w="0" w:type="dxa"/>
        </w:tblCellMar>
        <w:tblLook w:val="01E0"/>
      </w:tblPr>
      <w:tblGrid>
        <w:gridCol w:w="2043"/>
        <w:gridCol w:w="1743"/>
        <w:gridCol w:w="1342"/>
        <w:gridCol w:w="1390"/>
        <w:gridCol w:w="1349"/>
        <w:gridCol w:w="1730"/>
      </w:tblGrid>
      <w:tr>
        <w:trPr>
          <w:trHeight w:val="610"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67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竣工时间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612"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海情丽都一期一阶段</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78,534,236.51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-358,973.29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68,982,117.53</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9,193,145.69</w:t>
            </w:r>
          </w:p>
        </w:tc>
      </w:tr>
      <w:tr>
        <w:trPr>
          <w:trHeight w:val="610"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石雀滩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朱雀台项目</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56,439,569.63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1,285,996.17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57,290,652.27</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434,913.53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0" w:top="1040" w:bottom="1140" w:left="980" w:right="0"/>
        </w:sectPr>
      </w:pPr>
    </w:p>
    <w:p>
      <w:pPr>
        <w:spacing w:line="240" w:lineRule="auto" w:before="9"/>
        <w:rPr>
          <w:rFonts w:ascii="宋体" w:hAnsi="宋体" w:cs="宋体" w:eastAsia="宋体" w:hint="default"/>
          <w:sz w:val="5"/>
          <w:szCs w:val="5"/>
        </w:rPr>
      </w:pPr>
    </w:p>
    <w:tbl>
      <w:tblPr>
        <w:tblW w:w="0" w:type="auto"/>
        <w:jc w:val="left"/>
        <w:tblInd w:w="191" w:type="dxa"/>
        <w:tblLayout w:type="fixed"/>
        <w:tblCellMar>
          <w:top w:w="0" w:type="dxa"/>
          <w:left w:w="0" w:type="dxa"/>
          <w:bottom w:w="0" w:type="dxa"/>
          <w:right w:w="0" w:type="dxa"/>
        </w:tblCellMar>
        <w:tblLook w:val="01E0"/>
      </w:tblPr>
      <w:tblGrid>
        <w:gridCol w:w="2043"/>
        <w:gridCol w:w="1743"/>
        <w:gridCol w:w="1342"/>
        <w:gridCol w:w="1390"/>
        <w:gridCol w:w="1349"/>
        <w:gridCol w:w="1730"/>
      </w:tblGrid>
      <w:tr>
        <w:trPr>
          <w:trHeight w:val="612"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67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竣工时间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610"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海情圣地一期（泗水）</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246,370,915.38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82,261,646.94</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164,109,268.44</w:t>
            </w:r>
          </w:p>
        </w:tc>
      </w:tr>
      <w:tr>
        <w:trPr>
          <w:trHeight w:val="610"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4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134,973,806.14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247,297,938.26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208,534,416.74</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173,737,327.66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44"/>
        <w:ind w:left="152" w:right="36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）拟开发项目</w:t>
      </w:r>
    </w:p>
    <w:p>
      <w:pPr>
        <w:spacing w:line="240" w:lineRule="auto" w:before="4"/>
        <w:rPr>
          <w:rFonts w:ascii="宋体" w:hAnsi="宋体" w:cs="宋体" w:eastAsia="宋体" w:hint="default"/>
          <w:sz w:val="20"/>
          <w:szCs w:val="2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91" w:type="dxa"/>
        <w:tblLayout w:type="fixed"/>
        <w:tblCellMar>
          <w:top w:w="0" w:type="dxa"/>
          <w:left w:w="0" w:type="dxa"/>
          <w:bottom w:w="0" w:type="dxa"/>
          <w:right w:w="0" w:type="dxa"/>
        </w:tblCellMar>
        <w:tblLook w:val="01E0"/>
      </w:tblPr>
      <w:tblGrid>
        <w:gridCol w:w="1940"/>
        <w:gridCol w:w="1537"/>
        <w:gridCol w:w="1531"/>
        <w:gridCol w:w="1529"/>
        <w:gridCol w:w="1532"/>
        <w:gridCol w:w="1529"/>
      </w:tblGrid>
      <w:tr>
        <w:trPr>
          <w:trHeight w:val="610"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预计竣工时间</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610"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海情二期</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118,677,612.85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14,648,721.61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133,326,334.46</w:t>
            </w:r>
          </w:p>
        </w:tc>
      </w:tr>
      <w:tr>
        <w:trPr>
          <w:trHeight w:val="610"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石雀滩项目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23,705,660.77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43,143.80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23,748,804.57</w:t>
            </w:r>
          </w:p>
        </w:tc>
      </w:tr>
      <w:tr>
        <w:trPr>
          <w:trHeight w:val="610"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石雀滩项目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23,178,183.40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970,358.04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24,148,541.44</w:t>
            </w:r>
          </w:p>
        </w:tc>
      </w:tr>
      <w:tr>
        <w:trPr>
          <w:trHeight w:val="612"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海情圣地二标段</w:t>
            </w:r>
          </w:p>
        </w:tc>
        <w:tc>
          <w:tcPr>
            <w:tcW w:w="1537"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65,200,747.84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65,200,747.84</w:t>
            </w:r>
          </w:p>
        </w:tc>
      </w:tr>
      <w:tr>
        <w:trPr>
          <w:trHeight w:val="610"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7"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165,561,457.02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80,862,971.29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246,424,428.31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44"/>
        <w:ind w:left="152" w:right="36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）存货跌价准备</w:t>
      </w:r>
    </w:p>
    <w:p>
      <w:pPr>
        <w:spacing w:line="240" w:lineRule="auto" w:before="6"/>
        <w:rPr>
          <w:rFonts w:ascii="宋体" w:hAnsi="宋体" w:cs="宋体" w:eastAsia="宋体" w:hint="default"/>
          <w:sz w:val="20"/>
          <w:szCs w:val="20"/>
        </w:rPr>
      </w:pPr>
    </w:p>
    <w:p>
      <w:pPr>
        <w:spacing w:before="0"/>
        <w:ind w:left="364" w:right="3673" w:firstLine="0"/>
        <w:jc w:val="left"/>
        <w:rPr>
          <w:rFonts w:ascii="宋体" w:hAnsi="宋体" w:cs="宋体" w:eastAsia="宋体" w:hint="default"/>
          <w:sz w:val="21"/>
          <w:szCs w:val="21"/>
        </w:rPr>
      </w:pPr>
      <w:r>
        <w:rPr>
          <w:rFonts w:ascii="宋体" w:hAnsi="宋体" w:cs="宋体" w:eastAsia="宋体" w:hint="default"/>
          <w:sz w:val="21"/>
          <w:szCs w:val="21"/>
        </w:rPr>
        <w:t>期末存货无需计提跌价准备。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0"/>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存货抵押情况说明</w:t>
      </w:r>
      <w:r>
        <w:rPr>
          <w:rFonts w:ascii="宋体" w:hAnsi="宋体" w:cs="宋体" w:eastAsia="宋体" w:hint="default"/>
          <w:spacing w:val="-92"/>
          <w:sz w:val="18"/>
          <w:szCs w:val="18"/>
        </w:rPr>
        <w:t>：</w:t>
      </w:r>
      <w:r>
        <w:rPr>
          <w:rFonts w:ascii="宋体" w:hAnsi="宋体" w:cs="宋体" w:eastAsia="宋体" w:hint="default"/>
          <w:sz w:val="18"/>
          <w:szCs w:val="18"/>
        </w:rPr>
        <w:t>青岛</w:t>
      </w:r>
      <w:r>
        <w:rPr>
          <w:rFonts w:ascii="宋体" w:hAnsi="宋体" w:cs="宋体" w:eastAsia="宋体" w:hint="default"/>
          <w:spacing w:val="2"/>
          <w:sz w:val="18"/>
          <w:szCs w:val="18"/>
        </w:rPr>
        <w:t>广</w:t>
      </w:r>
      <w:r>
        <w:rPr>
          <w:rFonts w:ascii="宋体" w:hAnsi="宋体" w:cs="宋体" w:eastAsia="宋体" w:hint="default"/>
          <w:sz w:val="18"/>
          <w:szCs w:val="18"/>
        </w:rPr>
        <w:t>顺房地产有限公司土地使用权编号</w:t>
      </w:r>
      <w:r>
        <w:rPr>
          <w:rFonts w:ascii="宋体" w:hAnsi="宋体" w:cs="宋体" w:eastAsia="宋体" w:hint="default"/>
          <w:spacing w:val="1"/>
          <w:sz w:val="18"/>
          <w:szCs w:val="18"/>
        </w:rPr>
        <w:t>为</w:t>
      </w:r>
      <w:r>
        <w:rPr>
          <w:rFonts w:ascii="宋体" w:hAnsi="宋体" w:cs="宋体" w:eastAsia="宋体" w:hint="default"/>
          <w:sz w:val="18"/>
          <w:szCs w:val="18"/>
        </w:rPr>
        <w:t>青房地权产字第</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青房地权产字第</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67</w:t>
      </w:r>
      <w:r>
        <w:rPr>
          <w:rFonts w:ascii="Times New Roman" w:hAnsi="Times New Roman" w:cs="Times New Roman" w:eastAsia="Times New Roman" w:hint="default"/>
          <w:sz w:val="18"/>
          <w:szCs w:val="18"/>
        </w:rPr>
        <w:t>2</w:t>
      </w:r>
    </w:p>
    <w:p>
      <w:pPr>
        <w:spacing w:line="240" w:lineRule="auto" w:before="7"/>
        <w:rPr>
          <w:rFonts w:ascii="Times New Roman" w:hAnsi="Times New Roman" w:cs="Times New Roman" w:eastAsia="Times New Roman" w:hint="default"/>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号、青房地权产字第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20083673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号土地于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日抵押给中国工商银行股份有限公司青岛李沧第二支行。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1"/>
        <w:ind w:left="152" w:right="36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0"/>
        <w:ind w:left="152" w:right="36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602"/>
        <w:gridCol w:w="1772"/>
        <w:gridCol w:w="1772"/>
        <w:gridCol w:w="1772"/>
        <w:gridCol w:w="1769"/>
      </w:tblGrid>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sz w:val="18"/>
                <w:szCs w:val="18"/>
              </w:rPr>
              <w:t>一、账面原值合计：</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92" w:right="0"/>
              <w:jc w:val="left"/>
              <w:rPr>
                <w:rFonts w:ascii="Times New Roman" w:hAnsi="Times New Roman" w:cs="Times New Roman" w:eastAsia="Times New Roman" w:hint="default"/>
                <w:sz w:val="18"/>
                <w:szCs w:val="18"/>
              </w:rPr>
            </w:pPr>
            <w:r>
              <w:rPr>
                <w:rFonts w:ascii="Times New Roman"/>
                <w:sz w:val="18"/>
              </w:rPr>
              <w:t>1,596,179.56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169,847.00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1,766,026.56</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50" w:top="1040" w:bottom="1140" w:left="980" w:right="0"/>
        </w:sectPr>
      </w:pPr>
    </w:p>
    <w:p>
      <w:pPr>
        <w:spacing w:line="240" w:lineRule="auto" w:before="9"/>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602"/>
        <w:gridCol w:w="1772"/>
        <w:gridCol w:w="1772"/>
        <w:gridCol w:w="1772"/>
        <w:gridCol w:w="1769"/>
      </w:tblGrid>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91"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1,092,087.15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1,092,087.15</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176,931.00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176,931.00</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327,161.41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169,847.00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497,008.41</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sz w:val="18"/>
                <w:szCs w:val="18"/>
              </w:rPr>
              <w:t>二、累计折旧合计：</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1,183,757.18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129,810.88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1,313,568.06</w:t>
            </w:r>
          </w:p>
        </w:tc>
      </w:tr>
      <w:tr>
        <w:trPr>
          <w:trHeight w:val="588"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890,371.70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47,892.22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938,263.92</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85,086.19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33,616.92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2"/>
                <w:sz w:val="18"/>
              </w:rPr>
              <w:t>118,703.11</w:t>
            </w:r>
          </w:p>
        </w:tc>
      </w:tr>
      <w:tr>
        <w:trPr>
          <w:trHeight w:val="591"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208,299.29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48,301.74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256,601.03</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sz w:val="18"/>
                <w:szCs w:val="18"/>
              </w:rPr>
              <w:t>三、固定资产账面净值合计</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412,422.38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40,036.12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452,458.50</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201,715.45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-47,892.22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153,823.23</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91,844.81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-33,616.92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58,227.89</w:t>
            </w:r>
          </w:p>
        </w:tc>
      </w:tr>
      <w:tr>
        <w:trPr>
          <w:trHeight w:val="588"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118,862.12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121,545.26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240,407.38</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sz w:val="18"/>
                <w:szCs w:val="18"/>
              </w:rPr>
              <w:t>四、减值准备合计</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1"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sz w:val="18"/>
                <w:szCs w:val="18"/>
              </w:rPr>
              <w:t>五、固定资产账面价值合计</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412,422.38</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452,458.50</w:t>
            </w:r>
          </w:p>
        </w:tc>
      </w:tr>
      <w:tr>
        <w:trPr>
          <w:trHeight w:val="588"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201,715.45</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153,823.23</w:t>
            </w:r>
          </w:p>
        </w:tc>
      </w:tr>
      <w:tr>
        <w:trPr>
          <w:trHeight w:val="590"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91,844.81</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58,227.89</w:t>
            </w:r>
          </w:p>
        </w:tc>
      </w:tr>
      <w:tr>
        <w:trPr>
          <w:trHeight w:val="591"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118,862.12</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240,407.38</w:t>
            </w:r>
          </w:p>
        </w:tc>
      </w:tr>
    </w:tbl>
    <w:p>
      <w:pPr>
        <w:spacing w:line="240" w:lineRule="auto" w:before="8"/>
        <w:rPr>
          <w:rFonts w:ascii="宋体" w:hAnsi="宋体" w:cs="宋体" w:eastAsia="宋体" w:hint="default"/>
          <w:sz w:val="17"/>
          <w:szCs w:val="17"/>
        </w:rPr>
      </w:pPr>
    </w:p>
    <w:p>
      <w:pPr>
        <w:spacing w:before="44"/>
        <w:ind w:left="152" w:right="3673"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129,810.88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22"/>
          <w:szCs w:val="22"/>
        </w:rPr>
      </w:pPr>
    </w:p>
    <w:p>
      <w:pPr>
        <w:spacing w:before="0"/>
        <w:ind w:left="152" w:right="3673" w:firstLine="0"/>
        <w:jc w:val="left"/>
        <w:rPr>
          <w:rFonts w:ascii="宋体" w:hAnsi="宋体" w:cs="宋体" w:eastAsia="宋体" w:hint="default"/>
          <w:sz w:val="18"/>
          <w:szCs w:val="18"/>
        </w:rPr>
      </w:pPr>
      <w:r>
        <w:rPr>
          <w:rFonts w:ascii="宋体" w:hAnsi="宋体" w:cs="宋体" w:eastAsia="宋体" w:hint="default"/>
          <w:sz w:val="18"/>
          <w:szCs w:val="18"/>
        </w:rPr>
        <w:t>本期由在建工程转入固定资产原价为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52" w:right="36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）本报告期末无暂时闲置的固定资产。</w:t>
      </w:r>
    </w:p>
    <w:p>
      <w:pPr>
        <w:spacing w:after="0"/>
        <w:jc w:val="left"/>
        <w:rPr>
          <w:rFonts w:ascii="宋体" w:hAnsi="宋体" w:cs="宋体" w:eastAsia="宋体" w:hint="default"/>
          <w:sz w:val="18"/>
          <w:szCs w:val="18"/>
        </w:rPr>
        <w:sectPr>
          <w:pgSz w:w="11910" w:h="16840"/>
          <w:pgMar w:header="0" w:footer="950" w:top="1040" w:bottom="1140" w:left="980" w:right="0"/>
        </w:sectPr>
      </w:pPr>
    </w:p>
    <w:p>
      <w:pPr>
        <w:spacing w:before="30"/>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）本报告期末无通过融资租赁租入的固定资产。</w:t>
      </w:r>
    </w:p>
    <w:p>
      <w:pPr>
        <w:spacing w:line="240" w:lineRule="auto" w:before="3"/>
        <w:rPr>
          <w:rFonts w:ascii="宋体" w:hAnsi="宋体" w:cs="宋体" w:eastAsia="宋体" w:hint="default"/>
          <w:sz w:val="22"/>
          <w:szCs w:val="22"/>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）本报告期末无通过通过经营租赁租出的固定资产。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）本报告期无期末持有待售的固定资产。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）本报告期末无未办妥产权证书的的固定资产。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）本报告期无公司固定资产抵押情况：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、在建工程</w:t>
      </w:r>
      <w:r>
        <w:rPr>
          <w:rFonts w:ascii="宋体" w:hAnsi="宋体" w:cs="宋体" w:eastAsia="宋体" w:hint="default"/>
          <w:sz w:val="18"/>
          <w:szCs w:val="18"/>
        </w:rPr>
      </w:r>
    </w:p>
    <w:p>
      <w:pPr>
        <w:spacing w:line="240" w:lineRule="auto" w:before="3"/>
        <w:rPr>
          <w:rFonts w:ascii="宋体" w:hAnsi="宋体" w:cs="宋体" w:eastAsia="宋体" w:hint="default"/>
          <w:b/>
          <w:bCs/>
          <w:sz w:val="22"/>
          <w:szCs w:val="22"/>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）在建项目</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520"/>
        <w:gridCol w:w="1196"/>
        <w:gridCol w:w="1406"/>
        <w:gridCol w:w="1412"/>
        <w:gridCol w:w="1406"/>
        <w:gridCol w:w="1407"/>
        <w:gridCol w:w="1294"/>
      </w:tblGrid>
      <w:tr>
        <w:trPr>
          <w:trHeight w:val="586" w:hRule="exact"/>
        </w:trPr>
        <w:tc>
          <w:tcPr>
            <w:tcW w:w="1520"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14"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07" w:type="dxa"/>
            <w:gridSpan w:val="3"/>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86" w:hRule="exact"/>
        </w:trPr>
        <w:tc>
          <w:tcPr>
            <w:tcW w:w="1520" w:type="dxa"/>
            <w:vMerge/>
            <w:tcBorders>
              <w:left w:val="nil" w:sz="6" w:space="0" w:color="auto"/>
              <w:bottom w:val="single" w:sz="2" w:space="0" w:color="000000"/>
              <w:right w:val="single" w:sz="2" w:space="0" w:color="000000"/>
            </w:tcBorders>
          </w:tcPr>
          <w:p>
            <w:pPr/>
          </w:p>
        </w:tc>
        <w:tc>
          <w:tcPr>
            <w:tcW w:w="11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2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账面净值</w:t>
            </w:r>
          </w:p>
        </w:tc>
      </w:tr>
      <w:tr>
        <w:trPr>
          <w:trHeight w:val="586" w:hRule="exact"/>
        </w:trPr>
        <w:tc>
          <w:tcPr>
            <w:tcW w:w="152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在建幼儿园</w:t>
            </w:r>
          </w:p>
        </w:tc>
        <w:tc>
          <w:tcPr>
            <w:tcW w:w="11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867,210.00</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867,210.00</w:t>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132" w:right="0" w:firstLine="0"/>
        <w:jc w:val="left"/>
        <w:rPr>
          <w:rFonts w:ascii="宋体" w:hAnsi="宋体" w:cs="宋体" w:eastAsia="宋体" w:hint="default"/>
          <w:sz w:val="18"/>
          <w:szCs w:val="18"/>
        </w:rPr>
      </w:pPr>
      <w:r>
        <w:rPr/>
        <w:pict>
          <v:shape style="position:absolute;margin-left:395.829987pt;margin-top:73.311745pt;width:.480023pt;height:.36pt;mso-position-horizontal-relative:page;mso-position-vertical-relative:paragraph;z-index:2080" type="#_x0000_t75" stroked="false">
            <v:imagedata r:id="rId26" o:title=""/>
          </v:shape>
        </w:pic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）在建项目明细</w:t>
      </w:r>
    </w:p>
    <w:p>
      <w:pPr>
        <w:spacing w:line="240" w:lineRule="auto" w:before="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405"/>
        <w:gridCol w:w="1431"/>
        <w:gridCol w:w="1544"/>
        <w:gridCol w:w="1423"/>
        <w:gridCol w:w="1426"/>
        <w:gridCol w:w="1426"/>
      </w:tblGrid>
      <w:tr>
        <w:trPr>
          <w:trHeight w:val="1126" w:hRule="exact"/>
        </w:trPr>
        <w:tc>
          <w:tcPr>
            <w:tcW w:w="2405"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23" w:type="dxa"/>
            <w:tcBorders>
              <w:top w:val="single" w:sz="2" w:space="0" w:color="000000"/>
              <w:left w:val="single" w:sz="2" w:space="0" w:color="000000"/>
              <w:bottom w:val="single" w:sz="2" w:space="0" w:color="000000"/>
              <w:right w:val="single" w:sz="4" w:space="0" w:color="000000"/>
            </w:tcBorders>
          </w:tcPr>
          <w:p>
            <w:pPr>
              <w:pStyle w:val="TableParagraph"/>
              <w:spacing w:line="540" w:lineRule="exact" w:before="55"/>
              <w:ind w:left="400" w:right="293"/>
              <w:jc w:val="left"/>
              <w:rPr>
                <w:rFonts w:ascii="宋体" w:hAnsi="宋体" w:cs="宋体" w:eastAsia="宋体" w:hint="default"/>
                <w:sz w:val="18"/>
                <w:szCs w:val="18"/>
              </w:rPr>
            </w:pPr>
            <w:r>
              <w:rPr>
                <w:rFonts w:ascii="宋体" w:hAnsi="宋体" w:cs="宋体" w:eastAsia="宋体" w:hint="default"/>
                <w:sz w:val="18"/>
                <w:szCs w:val="18"/>
              </w:rPr>
              <w:t>本期转入 固定资产</w:t>
            </w:r>
          </w:p>
        </w:tc>
        <w:tc>
          <w:tcPr>
            <w:tcW w:w="1426" w:type="dxa"/>
            <w:tcBorders>
              <w:top w:val="single" w:sz="2" w:space="0" w:color="000000"/>
              <w:left w:val="single" w:sz="4" w:space="0" w:color="000000"/>
              <w:bottom w:val="single" w:sz="2" w:space="0" w:color="000000"/>
              <w:right w:val="single" w:sz="2" w:space="0" w:color="000000"/>
            </w:tcBorders>
          </w:tcPr>
          <w:p>
            <w:pPr>
              <w:pStyle w:val="TableParagraph"/>
              <w:spacing w:line="540" w:lineRule="exact" w:before="55"/>
              <w:ind w:left="580" w:right="296" w:hanging="180"/>
              <w:jc w:val="left"/>
              <w:rPr>
                <w:rFonts w:ascii="宋体" w:hAnsi="宋体" w:cs="宋体" w:eastAsia="宋体" w:hint="default"/>
                <w:sz w:val="18"/>
                <w:szCs w:val="18"/>
              </w:rPr>
            </w:pPr>
            <w:r>
              <w:rPr>
                <w:rFonts w:ascii="宋体" w:hAnsi="宋体" w:cs="宋体" w:eastAsia="宋体" w:hint="default"/>
                <w:sz w:val="18"/>
                <w:szCs w:val="18"/>
              </w:rPr>
              <w:t>本期其他 减少</w:t>
            </w:r>
          </w:p>
        </w:tc>
        <w:tc>
          <w:tcPr>
            <w:tcW w:w="142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86" w:hRule="exact"/>
        </w:trPr>
        <w:tc>
          <w:tcPr>
            <w:tcW w:w="24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在建幼儿园</w:t>
            </w:r>
          </w:p>
        </w:tc>
        <w:tc>
          <w:tcPr>
            <w:tcW w:w="14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867,210.00</w:t>
            </w:r>
          </w:p>
        </w:tc>
        <w:tc>
          <w:tcPr>
            <w:tcW w:w="1423"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867,210.00</w:t>
            </w:r>
          </w:p>
        </w:tc>
      </w:tr>
      <w:tr>
        <w:trPr>
          <w:trHeight w:val="586" w:hRule="exact"/>
        </w:trPr>
        <w:tc>
          <w:tcPr>
            <w:tcW w:w="24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867,210.00</w:t>
            </w:r>
          </w:p>
        </w:tc>
        <w:tc>
          <w:tcPr>
            <w:tcW w:w="1423"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867,210.00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132" w:right="0" w:firstLine="0"/>
        <w:jc w:val="left"/>
        <w:rPr>
          <w:rFonts w:ascii="宋体" w:hAnsi="宋体" w:cs="宋体" w:eastAsia="宋体" w:hint="default"/>
          <w:sz w:val="18"/>
          <w:szCs w:val="18"/>
        </w:rPr>
      </w:pPr>
      <w:r>
        <w:rPr/>
        <w:pict>
          <v:shape style="position:absolute;margin-left:395.829987pt;margin-top:-68.318268pt;width:.48003pt;height:.24pt;mso-position-horizontal-relative:page;mso-position-vertical-relative:paragraph;z-index:2104" type="#_x0000_t75" stroked="false">
            <v:imagedata r:id="rId27" o:title=""/>
          </v:shape>
        </w:pict>
      </w:r>
      <w:r>
        <w:rPr/>
        <w:pict>
          <v:shape style="position:absolute;margin-left:395.829987pt;margin-top:-39.008270pt;width:.48003pt;height:.24pt;mso-position-horizontal-relative:page;mso-position-vertical-relative:paragraph;z-index:2128" type="#_x0000_t75" stroked="false">
            <v:imagedata r:id="rId28" o:title=""/>
          </v:shape>
        </w:pic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）本期在建工程无资本化利息。</w:t>
      </w:r>
    </w:p>
    <w:p>
      <w:pPr>
        <w:spacing w:after="0"/>
        <w:jc w:val="left"/>
        <w:rPr>
          <w:rFonts w:ascii="宋体" w:hAnsi="宋体" w:cs="宋体" w:eastAsia="宋体" w:hint="default"/>
          <w:sz w:val="18"/>
          <w:szCs w:val="18"/>
        </w:rPr>
        <w:sectPr>
          <w:pgSz w:w="11910" w:h="16840"/>
          <w:pgMar w:header="0" w:footer="950" w:top="1320" w:bottom="1140" w:left="1000" w:right="0"/>
        </w:sectPr>
      </w:pPr>
    </w:p>
    <w:p>
      <w:pPr>
        <w:spacing w:before="7"/>
        <w:ind w:left="152" w:right="36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、递延所得税资产</w:t>
      </w:r>
      <w:r>
        <w:rPr>
          <w:rFonts w:ascii="宋体" w:hAnsi="宋体" w:cs="宋体" w:eastAsia="宋体" w:hint="default"/>
          <w:sz w:val="21"/>
          <w:szCs w:val="21"/>
        </w:rPr>
      </w:r>
    </w:p>
    <w:p>
      <w:pPr>
        <w:spacing w:line="240" w:lineRule="auto" w:before="9"/>
        <w:rPr>
          <w:rFonts w:ascii="宋体" w:hAnsi="宋体" w:cs="宋体" w:eastAsia="宋体" w:hint="default"/>
          <w:b/>
          <w:bCs/>
          <w:sz w:val="17"/>
          <w:szCs w:val="17"/>
        </w:rPr>
      </w:pPr>
    </w:p>
    <w:p>
      <w:pPr>
        <w:spacing w:before="0"/>
        <w:ind w:left="152" w:right="36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）已确认的递延所得税资产和递延所得税负债</w:t>
      </w:r>
    </w:p>
    <w:p>
      <w:pPr>
        <w:spacing w:line="240" w:lineRule="auto" w:before="6"/>
        <w:rPr>
          <w:rFonts w:ascii="宋体" w:hAnsi="宋体" w:cs="宋体" w:eastAsia="宋体" w:hint="default"/>
          <w:sz w:val="14"/>
          <w:szCs w:val="1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53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28"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3214" w:type="dxa"/>
            <w:tcBorders>
              <w:top w:val="single" w:sz="4" w:space="0" w:color="000000"/>
              <w:left w:val="single" w:sz="4" w:space="0" w:color="000000"/>
              <w:bottom w:val="single" w:sz="4" w:space="0" w:color="000000"/>
              <w:right w:val="single" w:sz="4" w:space="0" w:color="000000"/>
            </w:tcBorders>
          </w:tcPr>
          <w:p>
            <w:pPr/>
          </w:p>
        </w:tc>
        <w:tc>
          <w:tcPr>
            <w:tcW w:w="3212"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可弥补亏损</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2,635.00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24,635.51</w:t>
            </w:r>
          </w:p>
        </w:tc>
      </w:tr>
      <w:tr>
        <w:trPr>
          <w:trHeight w:val="53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预售房款</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96,200.35</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482,492.34</w:t>
            </w:r>
          </w:p>
        </w:tc>
      </w:tr>
      <w:tr>
        <w:trPr>
          <w:trHeight w:val="53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98,835.35</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507,127.85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152" w:right="36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）引起暂时性差异的资产或负债项目对应的暂时性差异</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866"/>
        <w:gridCol w:w="4849"/>
      </w:tblGrid>
      <w:tr>
        <w:trPr>
          <w:trHeight w:val="588"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53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10,540.00</w:t>
            </w:r>
          </w:p>
        </w:tc>
      </w:tr>
      <w:tr>
        <w:trPr>
          <w:trHeight w:val="531"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预售房款</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2,443,972.00</w:t>
            </w:r>
          </w:p>
        </w:tc>
      </w:tr>
      <w:tr>
        <w:trPr>
          <w:trHeight w:val="530" w:hRule="exact"/>
        </w:trPr>
        <w:tc>
          <w:tcPr>
            <w:tcW w:w="4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2,454,512.00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152" w:right="36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1"/>
        <w:rPr>
          <w:rFonts w:ascii="宋体" w:hAnsi="宋体" w:cs="宋体" w:eastAsia="宋体" w:hint="default"/>
          <w:b/>
          <w:bCs/>
          <w:sz w:val="14"/>
          <w:szCs w:val="1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141"/>
        <w:gridCol w:w="1561"/>
        <w:gridCol w:w="1133"/>
        <w:gridCol w:w="1277"/>
        <w:gridCol w:w="1327"/>
        <w:gridCol w:w="800"/>
        <w:gridCol w:w="1416"/>
      </w:tblGrid>
      <w:tr>
        <w:trPr>
          <w:trHeight w:val="530" w:hRule="exact"/>
        </w:trPr>
        <w:tc>
          <w:tcPr>
            <w:tcW w:w="214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6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p>
        </w:tc>
        <w:tc>
          <w:tcPr>
            <w:tcW w:w="141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28" w:hRule="exact"/>
        </w:trPr>
        <w:tc>
          <w:tcPr>
            <w:tcW w:w="2141" w:type="dxa"/>
            <w:vMerge/>
            <w:tcBorders>
              <w:left w:val="nil" w:sz="6" w:space="0" w:color="auto"/>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80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nil" w:sz="6" w:space="0" w:color="auto"/>
            </w:tcBorders>
          </w:tcPr>
          <w:p>
            <w:pPr/>
          </w:p>
        </w:tc>
      </w:tr>
      <w:tr>
        <w:trPr>
          <w:trHeight w:val="531"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33"/>
              <w:jc w:val="right"/>
              <w:rPr>
                <w:rFonts w:ascii="宋体" w:hAnsi="宋体" w:cs="宋体" w:eastAsia="宋体" w:hint="default"/>
                <w:sz w:val="18"/>
                <w:szCs w:val="18"/>
              </w:rPr>
            </w:pPr>
            <w:r>
              <w:rPr>
                <w:rFonts w:ascii="宋体" w:hAnsi="宋体" w:cs="宋体" w:eastAsia="宋体" w:hint="default"/>
                <w:sz w:val="18"/>
                <w:szCs w:val="18"/>
              </w:rPr>
              <w:t>一、坏账准备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98,542.04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88,002.04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10,540.00</w:t>
            </w:r>
          </w:p>
        </w:tc>
      </w:tr>
      <w:tr>
        <w:trPr>
          <w:trHeight w:val="53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876"/>
              <w:jc w:val="righ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98,542.04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88,002.04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10,540.00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152" w:right="36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7"/>
        <w:rPr>
          <w:rFonts w:ascii="宋体" w:hAnsi="宋体" w:cs="宋体" w:eastAsia="宋体" w:hint="default"/>
          <w:b/>
          <w:bCs/>
          <w:sz w:val="17"/>
          <w:szCs w:val="17"/>
        </w:rPr>
      </w:pPr>
    </w:p>
    <w:p>
      <w:pPr>
        <w:spacing w:before="0"/>
        <w:ind w:left="152" w:right="36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）短期借款分类：</w:t>
      </w:r>
    </w:p>
    <w:p>
      <w:pPr>
        <w:spacing w:line="240" w:lineRule="auto" w:before="5"/>
        <w:rPr>
          <w:rFonts w:ascii="宋体" w:hAnsi="宋体" w:cs="宋体" w:eastAsia="宋体" w:hint="default"/>
          <w:sz w:val="14"/>
          <w:szCs w:val="1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3846"/>
        <w:gridCol w:w="2933"/>
        <w:gridCol w:w="2936"/>
      </w:tblGrid>
      <w:tr>
        <w:trPr>
          <w:trHeight w:val="530"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0" w:footer="950" w:top="1260" w:bottom="1140" w:left="980" w:right="0"/>
        </w:sectPr>
      </w:pPr>
    </w:p>
    <w:p>
      <w:pPr>
        <w:spacing w:line="240" w:lineRule="auto" w:before="9"/>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3846"/>
        <w:gridCol w:w="2933"/>
        <w:gridCol w:w="2936"/>
      </w:tblGrid>
      <w:tr>
        <w:trPr>
          <w:trHeight w:val="530"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25,956,482.60</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531" w:hRule="exact"/>
        </w:trPr>
        <w:tc>
          <w:tcPr>
            <w:tcW w:w="3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25,956,482.60</w:t>
            </w:r>
          </w:p>
        </w:tc>
        <w:tc>
          <w:tcPr>
            <w:tcW w:w="2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）短期借款期末余额均为应付一年内中国农业银行深圳罗湖支行贷款。</w:t>
      </w:r>
    </w:p>
    <w:p>
      <w:pPr>
        <w:spacing w:line="240" w:lineRule="auto" w:before="13"/>
        <w:rPr>
          <w:rFonts w:ascii="宋体" w:hAnsi="宋体" w:cs="宋体" w:eastAsia="宋体" w:hint="default"/>
          <w:sz w:val="18"/>
          <w:szCs w:val="18"/>
        </w:rPr>
      </w:pPr>
    </w:p>
    <w:p>
      <w:pPr>
        <w:spacing w:before="0"/>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）应付账款情况</w:t>
      </w:r>
    </w:p>
    <w:p>
      <w:pPr>
        <w:spacing w:line="240" w:lineRule="auto" w:before="0"/>
        <w:rPr>
          <w:rFonts w:ascii="宋体" w:hAnsi="宋体" w:cs="宋体" w:eastAsia="宋体" w:hint="default"/>
          <w:sz w:val="19"/>
          <w:szCs w:val="19"/>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265"/>
        <w:gridCol w:w="3250"/>
        <w:gridCol w:w="3248"/>
      </w:tblGrid>
      <w:tr>
        <w:trPr>
          <w:trHeight w:val="59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38"/>
              <w:jc w:val="right"/>
              <w:rPr>
                <w:rFonts w:ascii="宋体" w:hAnsi="宋体" w:cs="宋体" w:eastAsia="宋体" w:hint="default"/>
                <w:sz w:val="18"/>
                <w:szCs w:val="18"/>
              </w:rPr>
            </w:pPr>
            <w:r>
              <w:rPr>
                <w:rFonts w:ascii="宋体" w:hAnsi="宋体" w:cs="宋体" w:eastAsia="宋体" w:hint="default"/>
                <w:sz w:val="18"/>
                <w:szCs w:val="18"/>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120,336,753.50</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69,661,140.10</w:t>
            </w:r>
          </w:p>
        </w:tc>
      </w:tr>
      <w:tr>
        <w:trPr>
          <w:trHeight w:val="588"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30,592,044.81</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8,215,291.21</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8,215,291.21</w:t>
            </w:r>
          </w:p>
        </w:tc>
      </w:tr>
      <w:tr>
        <w:trPr>
          <w:trHeight w:val="59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38"/>
              <w:jc w:val="right"/>
              <w:rPr>
                <w:rFonts w:ascii="宋体" w:hAnsi="宋体" w:cs="宋体" w:eastAsia="宋体" w:hint="default"/>
                <w:sz w:val="18"/>
                <w:szCs w:val="18"/>
              </w:rPr>
            </w:pPr>
            <w:r>
              <w:rPr>
                <w:rFonts w:ascii="宋体" w:hAnsi="宋体" w:cs="宋体" w:eastAsia="宋体" w:hint="default"/>
                <w:sz w:val="18"/>
                <w:szCs w:val="18"/>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159,144,089.52</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77,876,431.31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）本报告期应付账款中无应付持有公司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以上表决权股份的股东单位或关联方的款项。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日，应付账款余额前五名列示如下：</w:t>
      </w:r>
    </w:p>
    <w:p>
      <w:pPr>
        <w:spacing w:line="240" w:lineRule="auto" w:before="3"/>
        <w:rPr>
          <w:rFonts w:ascii="宋体" w:hAnsi="宋体" w:cs="宋体" w:eastAsia="宋体" w:hint="default"/>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3702"/>
        <w:gridCol w:w="1459"/>
        <w:gridCol w:w="1498"/>
        <w:gridCol w:w="1498"/>
        <w:gridCol w:w="1498"/>
      </w:tblGrid>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所欠金额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欠款内容</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山东港基建设集团有限公司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42,479,141.31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26.69%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工程款</w:t>
            </w:r>
          </w:p>
        </w:tc>
      </w:tr>
      <w:tr>
        <w:trPr>
          <w:trHeight w:val="588"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泗水恒源电力有限公司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7,802,727.00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工程款</w:t>
            </w:r>
          </w:p>
        </w:tc>
      </w:tr>
      <w:tr>
        <w:trPr>
          <w:trHeight w:val="591"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山东圣大建设集团有限公司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6,699,565.48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工程款</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济南花木联合开发公司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6,224,207.28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工程款</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青岛洋光幕墙门窗工程有限公司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6,219,618.56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工程款</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tabs>
                <w:tab w:pos="665"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69,425,259.63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43.63%</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29"/>
          <w:pgSz w:w="11910" w:h="16840"/>
          <w:pgMar w:footer="956" w:header="0" w:top="1040" w:bottom="1140" w:left="900" w:right="0"/>
        </w:sectPr>
      </w:pPr>
    </w:p>
    <w:p>
      <w:pPr>
        <w:spacing w:before="8"/>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）预收款项情况</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265"/>
        <w:gridCol w:w="3250"/>
        <w:gridCol w:w="3248"/>
      </w:tblGrid>
      <w:tr>
        <w:trPr>
          <w:trHeight w:val="59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38"/>
              <w:jc w:val="right"/>
              <w:rPr>
                <w:rFonts w:ascii="宋体" w:hAnsi="宋体" w:cs="宋体" w:eastAsia="宋体" w:hint="default"/>
                <w:sz w:val="18"/>
                <w:szCs w:val="18"/>
              </w:rPr>
            </w:pPr>
            <w:r>
              <w:rPr>
                <w:rFonts w:ascii="宋体" w:hAnsi="宋体" w:cs="宋体" w:eastAsia="宋体" w:hint="default"/>
                <w:sz w:val="18"/>
                <w:szCs w:val="18"/>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3,869,403.15</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29,743,802.05</w:t>
            </w:r>
          </w:p>
        </w:tc>
      </w:tr>
      <w:tr>
        <w:trPr>
          <w:trHeight w:val="59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38"/>
              <w:jc w:val="right"/>
              <w:rPr>
                <w:rFonts w:ascii="宋体" w:hAnsi="宋体" w:cs="宋体" w:eastAsia="宋体" w:hint="default"/>
                <w:sz w:val="18"/>
                <w:szCs w:val="18"/>
              </w:rPr>
            </w:pPr>
            <w:r>
              <w:rPr>
                <w:rFonts w:ascii="宋体" w:hAnsi="宋体" w:cs="宋体" w:eastAsia="宋体" w:hint="default"/>
                <w:sz w:val="18"/>
                <w:szCs w:val="18"/>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3,869,403.15</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29,743,802.05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）本报告期预收款项中无预收持有公司</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以上表决权股份的股东单位或关联方款项。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日，预收账款余额前五名列示如下：</w:t>
      </w:r>
    </w:p>
    <w:p>
      <w:pPr>
        <w:spacing w:line="240" w:lineRule="auto" w:before="11"/>
        <w:rPr>
          <w:rFonts w:ascii="宋体" w:hAnsi="宋体" w:cs="宋体" w:eastAsia="宋体" w:hint="default"/>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3551"/>
        <w:gridCol w:w="1526"/>
        <w:gridCol w:w="1527"/>
        <w:gridCol w:w="1525"/>
        <w:gridCol w:w="1526"/>
      </w:tblGrid>
      <w:tr>
        <w:trPr>
          <w:trHeight w:val="590"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02"/>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所欠金额</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欠款内容</w:t>
            </w:r>
          </w:p>
        </w:tc>
      </w:tr>
      <w:tr>
        <w:trPr>
          <w:trHeight w:val="588"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购房户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241,672.00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售房款</w:t>
            </w:r>
          </w:p>
        </w:tc>
      </w:tr>
      <w:tr>
        <w:trPr>
          <w:trHeight w:val="591"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购房户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138,000.00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售房款</w:t>
            </w:r>
          </w:p>
        </w:tc>
      </w:tr>
      <w:tr>
        <w:trPr>
          <w:trHeight w:val="590"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购房户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136,584.00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3.53%</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售房款</w:t>
            </w:r>
          </w:p>
        </w:tc>
      </w:tr>
      <w:tr>
        <w:trPr>
          <w:trHeight w:val="590"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购房户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103,000.00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售房款</w:t>
            </w:r>
          </w:p>
        </w:tc>
      </w:tr>
      <w:tr>
        <w:trPr>
          <w:trHeight w:val="590"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购房户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2.58%</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售房款</w:t>
            </w:r>
          </w:p>
        </w:tc>
      </w:tr>
      <w:tr>
        <w:trPr>
          <w:trHeight w:val="590"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tabs>
                <w:tab w:pos="453" w:val="left" w:leader="none"/>
              </w:tabs>
              <w:spacing w:line="240" w:lineRule="auto"/>
              <w:ind w:right="144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719,256.00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18.59%</w:t>
            </w:r>
          </w:p>
        </w:tc>
        <w:tc>
          <w:tcPr>
            <w:tcW w:w="152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）预收款项期末余额较期初余额降低</w:t>
      </w:r>
      <w:r>
        <w:rPr>
          <w:rFonts w:ascii="Times New Roman" w:hAnsi="Times New Roman" w:cs="Times New Roman" w:eastAsia="Times New Roman" w:hint="default"/>
          <w:sz w:val="18"/>
          <w:szCs w:val="18"/>
        </w:rPr>
        <w:t>86.99%</w:t>
      </w:r>
      <w:r>
        <w:rPr>
          <w:rFonts w:ascii="宋体" w:hAnsi="宋体" w:cs="宋体" w:eastAsia="宋体" w:hint="default"/>
          <w:sz w:val="18"/>
          <w:szCs w:val="18"/>
        </w:rPr>
        <w:t>的主要原因系子公司上期末预收款项在本期确认销售。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spacing w:before="0"/>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3359"/>
        <w:gridCol w:w="1572"/>
        <w:gridCol w:w="1577"/>
        <w:gridCol w:w="1573"/>
        <w:gridCol w:w="1574"/>
      </w:tblGrid>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2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13" w:right="0"/>
              <w:jc w:val="left"/>
              <w:rPr>
                <w:rFonts w:ascii="Times New Roman" w:hAnsi="Times New Roman" w:cs="Times New Roman" w:eastAsia="Times New Roman" w:hint="default"/>
                <w:sz w:val="20"/>
                <w:szCs w:val="20"/>
              </w:rPr>
            </w:pPr>
            <w:r>
              <w:rPr>
                <w:rFonts w:ascii="Times New Roman"/>
                <w:sz w:val="20"/>
              </w:rPr>
              <w:t>2,216,605.49</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07" w:right="0"/>
              <w:jc w:val="left"/>
              <w:rPr>
                <w:rFonts w:ascii="Times New Roman" w:hAnsi="Times New Roman" w:cs="Times New Roman" w:eastAsia="Times New Roman" w:hint="default"/>
                <w:sz w:val="20"/>
                <w:szCs w:val="20"/>
              </w:rPr>
            </w:pPr>
            <w:r>
              <w:rPr>
                <w:rFonts w:ascii="Times New Roman"/>
                <w:sz w:val="20"/>
              </w:rPr>
              <w:t>2,418,377.99</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561" w:right="0"/>
              <w:jc w:val="left"/>
              <w:rPr>
                <w:rFonts w:ascii="Times New Roman" w:hAnsi="Times New Roman" w:cs="Times New Roman" w:eastAsia="Times New Roman" w:hint="default"/>
                <w:sz w:val="20"/>
                <w:szCs w:val="20"/>
              </w:rPr>
            </w:pPr>
            <w:r>
              <w:rPr>
                <w:rFonts w:ascii="Times New Roman"/>
                <w:sz w:val="20"/>
              </w:rPr>
              <w:t>201,772.50</w:t>
            </w:r>
          </w:p>
        </w:tc>
      </w:tr>
    </w:tbl>
    <w:p>
      <w:pPr>
        <w:spacing w:after="0" w:line="240" w:lineRule="auto"/>
        <w:jc w:val="left"/>
        <w:rPr>
          <w:rFonts w:ascii="Times New Roman" w:hAnsi="Times New Roman" w:cs="Times New Roman" w:eastAsia="Times New Roman" w:hint="default"/>
          <w:sz w:val="20"/>
          <w:szCs w:val="20"/>
        </w:rPr>
        <w:sectPr>
          <w:footerReference w:type="default" r:id="rId30"/>
          <w:pgSz w:w="11910" w:h="16840"/>
          <w:pgMar w:footer="956" w:header="0" w:top="1300" w:bottom="1140" w:left="900" w:right="0"/>
          <w:pgNumType w:start="101"/>
        </w:sectPr>
      </w:pPr>
    </w:p>
    <w:p>
      <w:pPr>
        <w:spacing w:line="240" w:lineRule="auto" w:before="9"/>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359"/>
        <w:gridCol w:w="1572"/>
        <w:gridCol w:w="1577"/>
        <w:gridCol w:w="1573"/>
        <w:gridCol w:w="1574"/>
      </w:tblGrid>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2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91"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139,325.25</w:t>
            </w:r>
            <w:r>
              <w:rPr>
                <w:rFonts w:ascii="Times New Roman"/>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139,325.25</w:t>
            </w:r>
            <w:r>
              <w:rPr>
                <w:rFonts w:ascii="Times New Roman"/>
                <w:sz w:val="20"/>
              </w:rPr>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231,084.64</w:t>
            </w:r>
            <w:r>
              <w:rPr>
                <w:rFonts w:ascii="Times New Roman"/>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231,084.64</w:t>
            </w:r>
            <w:r>
              <w:rPr>
                <w:rFonts w:ascii="Times New Roman"/>
                <w:sz w:val="20"/>
              </w:rPr>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204,862.26</w:t>
            </w:r>
            <w:r>
              <w:rPr>
                <w:rFonts w:ascii="Times New Roman"/>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204,862.26</w:t>
            </w:r>
            <w:r>
              <w:rPr>
                <w:rFonts w:ascii="Times New Roman"/>
                <w:sz w:val="20"/>
              </w:rPr>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医疗养老保险费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15,795.52</w:t>
            </w:r>
            <w:r>
              <w:rPr>
                <w:rFonts w:ascii="Times New Roman"/>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15,795.52</w:t>
            </w:r>
            <w:r>
              <w:rPr>
                <w:rFonts w:ascii="Times New Roman"/>
                <w:sz w:val="20"/>
              </w:rPr>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88"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2,489.98</w:t>
            </w:r>
            <w:r>
              <w:rPr>
                <w:rFonts w:ascii="Times New Roman"/>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2,489.98</w:t>
            </w:r>
            <w:r>
              <w:rPr>
                <w:rFonts w:ascii="Times New Roman"/>
                <w:sz w:val="20"/>
              </w:rPr>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5,766.76</w:t>
            </w:r>
            <w:r>
              <w:rPr>
                <w:rFonts w:ascii="Times New Roman"/>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5,766.76</w:t>
            </w:r>
            <w:r>
              <w:rPr>
                <w:rFonts w:ascii="Times New Roman"/>
                <w:sz w:val="20"/>
              </w:rPr>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91"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6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2,170.12</w:t>
            </w:r>
            <w:r>
              <w:rPr>
                <w:rFonts w:ascii="Times New Roman"/>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2,170.12</w:t>
            </w:r>
            <w:r>
              <w:rPr>
                <w:rFonts w:ascii="Times New Roman"/>
                <w:sz w:val="20"/>
              </w:rPr>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五、其他</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1,812.43</w:t>
            </w:r>
            <w:r>
              <w:rPr>
                <w:rFonts w:ascii="Times New Roman"/>
                <w:sz w:val="20"/>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38,606.62</w:t>
            </w:r>
            <w:r>
              <w:rPr>
                <w:rFonts w:ascii="Times New Roman"/>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39,780.62</w:t>
            </w:r>
            <w:r>
              <w:rPr>
                <w:rFonts w:ascii="Times New Roman"/>
                <w:sz w:val="20"/>
              </w:rPr>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w w:val="95"/>
                <w:sz w:val="20"/>
              </w:rPr>
              <w:t>638.43</w:t>
            </w:r>
            <w:r>
              <w:rPr>
                <w:rFonts w:ascii="Times New Roman"/>
                <w:sz w:val="20"/>
              </w:rPr>
            </w:r>
          </w:p>
        </w:tc>
      </w:tr>
      <w:tr>
        <w:trPr>
          <w:trHeight w:val="59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1,812.43</w:t>
            </w:r>
            <w:r>
              <w:rPr>
                <w:rFonts w:ascii="Times New Roman"/>
                <w:sz w:val="20"/>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2,625,622.00</w:t>
            </w:r>
            <w:r>
              <w:rPr>
                <w:rFonts w:ascii="Times New Roman"/>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2,828,568.50</w:t>
            </w:r>
            <w:r>
              <w:rPr>
                <w:rFonts w:ascii="Times New Roman"/>
                <w:sz w:val="20"/>
              </w:rPr>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202,410.93</w:t>
            </w:r>
            <w:r>
              <w:rPr>
                <w:rFonts w:ascii="Times New Roman"/>
                <w:sz w:val="20"/>
              </w:rPr>
            </w:r>
          </w:p>
        </w:tc>
      </w:tr>
    </w:tbl>
    <w:p>
      <w:pPr>
        <w:spacing w:line="240" w:lineRule="auto" w:before="8"/>
        <w:rPr>
          <w:rFonts w:ascii="宋体" w:hAnsi="宋体" w:cs="宋体" w:eastAsia="宋体" w:hint="default"/>
          <w:sz w:val="17"/>
          <w:szCs w:val="17"/>
        </w:rPr>
      </w:pPr>
    </w:p>
    <w:p>
      <w:pPr>
        <w:spacing w:before="44"/>
        <w:ind w:left="152" w:right="3673"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Times New Roman" w:hAnsi="Times New Roman" w:cs="Times New Roman" w:eastAsia="Times New Roman" w:hint="default"/>
          <w:sz w:val="18"/>
          <w:szCs w:val="18"/>
        </w:rPr>
        <w:t>—</w:t>
      </w:r>
      <w:r>
        <w:rPr>
          <w:rFonts w:ascii="宋体" w:hAnsi="宋体" w:cs="宋体" w:eastAsia="宋体" w:hint="default"/>
          <w:sz w:val="18"/>
          <w:szCs w:val="18"/>
        </w:rPr>
        <w:t>其他期末余额中包括工会经费和职工教育经费金额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638.43 </w:t>
      </w:r>
      <w:r>
        <w:rPr>
          <w:rFonts w:ascii="宋体" w:hAnsi="宋体" w:cs="宋体" w:eastAsia="宋体" w:hint="default"/>
          <w:sz w:val="18"/>
          <w:szCs w:val="18"/>
        </w:rPr>
        <w:t>元，非货币性福利金额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元，因解除劳动关系</w:t>
      </w:r>
    </w:p>
    <w:p>
      <w:pPr>
        <w:spacing w:line="240" w:lineRule="auto" w:before="4"/>
        <w:rPr>
          <w:rFonts w:ascii="宋体" w:hAnsi="宋体" w:cs="宋体" w:eastAsia="宋体" w:hint="default"/>
          <w:sz w:val="19"/>
          <w:szCs w:val="19"/>
        </w:rPr>
      </w:pPr>
    </w:p>
    <w:p>
      <w:pPr>
        <w:spacing w:before="0"/>
        <w:ind w:left="152" w:right="3673" w:firstLine="0"/>
        <w:jc w:val="left"/>
        <w:rPr>
          <w:rFonts w:ascii="宋体" w:hAnsi="宋体" w:cs="宋体" w:eastAsia="宋体" w:hint="default"/>
          <w:sz w:val="18"/>
          <w:szCs w:val="18"/>
        </w:rPr>
      </w:pPr>
      <w:r>
        <w:rPr>
          <w:rFonts w:ascii="宋体" w:hAnsi="宋体" w:cs="宋体" w:eastAsia="宋体" w:hint="default"/>
          <w:sz w:val="18"/>
          <w:szCs w:val="18"/>
        </w:rPr>
        <w:t>给予补偿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2"/>
          <w:szCs w:val="22"/>
        </w:rPr>
      </w:pPr>
    </w:p>
    <w:p>
      <w:pPr>
        <w:spacing w:before="0"/>
        <w:ind w:left="152" w:right="3673" w:firstLine="0"/>
        <w:jc w:val="left"/>
        <w:rPr>
          <w:rFonts w:ascii="宋体" w:hAnsi="宋体" w:cs="宋体" w:eastAsia="宋体" w:hint="default"/>
          <w:sz w:val="18"/>
          <w:szCs w:val="18"/>
        </w:rPr>
      </w:pPr>
      <w:r>
        <w:rPr>
          <w:rFonts w:ascii="宋体" w:hAnsi="宋体" w:cs="宋体" w:eastAsia="宋体" w:hint="default"/>
          <w:sz w:val="18"/>
          <w:szCs w:val="18"/>
        </w:rPr>
        <w:t>公司职工劳动合同约定每月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号之前发放上月的工资。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152" w:right="36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6"/>
      </w:tblGrid>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8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12,462,117.62</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5,653,958.32</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-6,573.00</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-6,573.00</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8,826,444.23</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11,680,816.37</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4,865,783.39</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6,054,596.89</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441,723.47</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276,887.57</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49,915.24</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33,303.63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040" w:bottom="1140" w:left="980" w:right="0"/>
        </w:sectPr>
      </w:pPr>
    </w:p>
    <w:p>
      <w:pPr>
        <w:spacing w:line="240" w:lineRule="auto" w:before="9"/>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6"/>
      </w:tblGrid>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480,316.52</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433,177.21</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375,927.47</w:t>
            </w:r>
          </w:p>
        </w:tc>
      </w:tr>
      <w:tr>
        <w:trPr>
          <w:trHeight w:val="5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w w:val="95"/>
                <w:sz w:val="20"/>
              </w:rPr>
              <w:t>27,552,904.68</w:t>
            </w:r>
            <w:r>
              <w:rPr>
                <w:rFonts w:ascii="Times New Roman"/>
                <w:sz w:val="20"/>
              </w:rPr>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24,068,917.25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52" w:right="36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3"/>
        <w:rPr>
          <w:rFonts w:ascii="宋体" w:hAnsi="宋体" w:cs="宋体" w:eastAsia="宋体" w:hint="default"/>
          <w:b/>
          <w:bCs/>
          <w:sz w:val="17"/>
          <w:szCs w:val="1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452"/>
        <w:gridCol w:w="1702"/>
        <w:gridCol w:w="1700"/>
        <w:gridCol w:w="2864"/>
      </w:tblGrid>
      <w:tr>
        <w:trPr>
          <w:trHeight w:val="571"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年未支付原因</w:t>
            </w:r>
          </w:p>
        </w:tc>
      </w:tr>
      <w:tr>
        <w:trPr>
          <w:trHeight w:val="569"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广东华侨信托投资公司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53"/>
              <w:jc w:val="right"/>
              <w:rPr>
                <w:rFonts w:ascii="Times New Roman" w:hAnsi="Times New Roman" w:cs="Times New Roman" w:eastAsia="Times New Roman" w:hint="default"/>
                <w:sz w:val="18"/>
                <w:szCs w:val="18"/>
              </w:rPr>
            </w:pPr>
            <w:r>
              <w:rPr>
                <w:rFonts w:ascii="Times New Roman"/>
                <w:spacing w:val="-1"/>
                <w:sz w:val="18"/>
              </w:rPr>
              <w:t>176,157.08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51"/>
              <w:jc w:val="right"/>
              <w:rPr>
                <w:rFonts w:ascii="Times New Roman" w:hAnsi="Times New Roman" w:cs="Times New Roman" w:eastAsia="Times New Roman" w:hint="default"/>
                <w:sz w:val="18"/>
                <w:szCs w:val="18"/>
              </w:rPr>
            </w:pPr>
            <w:r>
              <w:rPr>
                <w:rFonts w:ascii="Times New Roman"/>
                <w:spacing w:val="-1"/>
                <w:sz w:val="18"/>
              </w:rPr>
              <w:t>176,157.08</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历史遗留</w:t>
            </w:r>
          </w:p>
        </w:tc>
      </w:tr>
      <w:tr>
        <w:trPr>
          <w:trHeight w:val="571"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深圳新通阳电子元件工业有限公司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53"/>
              <w:jc w:val="right"/>
              <w:rPr>
                <w:rFonts w:ascii="Times New Roman" w:hAnsi="Times New Roman" w:cs="Times New Roman" w:eastAsia="Times New Roman" w:hint="default"/>
                <w:sz w:val="18"/>
                <w:szCs w:val="18"/>
              </w:rPr>
            </w:pPr>
            <w:r>
              <w:rPr>
                <w:rFonts w:ascii="Times New Roman"/>
                <w:spacing w:val="-1"/>
                <w:sz w:val="18"/>
              </w:rPr>
              <w:t>14,545.20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51"/>
              <w:jc w:val="right"/>
              <w:rPr>
                <w:rFonts w:ascii="Times New Roman" w:hAnsi="Times New Roman" w:cs="Times New Roman" w:eastAsia="Times New Roman" w:hint="default"/>
                <w:sz w:val="18"/>
                <w:szCs w:val="18"/>
              </w:rPr>
            </w:pPr>
            <w:r>
              <w:rPr>
                <w:rFonts w:ascii="Times New Roman"/>
                <w:spacing w:val="-1"/>
                <w:sz w:val="18"/>
              </w:rPr>
              <w:t>14,545.20</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历史遗留</w:t>
            </w:r>
          </w:p>
        </w:tc>
      </w:tr>
      <w:tr>
        <w:trPr>
          <w:trHeight w:val="569"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公众股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53"/>
              <w:jc w:val="right"/>
              <w:rPr>
                <w:rFonts w:ascii="Times New Roman" w:hAnsi="Times New Roman" w:cs="Times New Roman" w:eastAsia="Times New Roman" w:hint="default"/>
                <w:sz w:val="18"/>
                <w:szCs w:val="18"/>
              </w:rPr>
            </w:pPr>
            <w:r>
              <w:rPr>
                <w:rFonts w:ascii="Times New Roman"/>
                <w:spacing w:val="-1"/>
                <w:sz w:val="18"/>
              </w:rPr>
              <w:t>15,326.74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51"/>
              <w:jc w:val="right"/>
              <w:rPr>
                <w:rFonts w:ascii="Times New Roman" w:hAnsi="Times New Roman" w:cs="Times New Roman" w:eastAsia="Times New Roman" w:hint="default"/>
                <w:sz w:val="18"/>
                <w:szCs w:val="18"/>
              </w:rPr>
            </w:pPr>
            <w:r>
              <w:rPr>
                <w:rFonts w:ascii="Times New Roman"/>
                <w:spacing w:val="-1"/>
                <w:sz w:val="18"/>
              </w:rPr>
              <w:t>15,326.74</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历史遗留</w:t>
            </w:r>
          </w:p>
        </w:tc>
      </w:tr>
      <w:tr>
        <w:trPr>
          <w:trHeight w:val="571" w:hRule="exact"/>
        </w:trPr>
        <w:tc>
          <w:tcPr>
            <w:tcW w:w="3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53"/>
              <w:jc w:val="right"/>
              <w:rPr>
                <w:rFonts w:ascii="Times New Roman" w:hAnsi="Times New Roman" w:cs="Times New Roman" w:eastAsia="Times New Roman" w:hint="default"/>
                <w:sz w:val="18"/>
                <w:szCs w:val="18"/>
              </w:rPr>
            </w:pPr>
            <w:r>
              <w:rPr>
                <w:rFonts w:ascii="Times New Roman"/>
                <w:spacing w:val="-1"/>
                <w:sz w:val="18"/>
              </w:rPr>
              <w:t>206,029.02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51"/>
              <w:jc w:val="right"/>
              <w:rPr>
                <w:rFonts w:ascii="Times New Roman" w:hAnsi="Times New Roman" w:cs="Times New Roman" w:eastAsia="Times New Roman" w:hint="default"/>
                <w:sz w:val="18"/>
                <w:szCs w:val="18"/>
              </w:rPr>
            </w:pPr>
            <w:r>
              <w:rPr>
                <w:rFonts w:ascii="Times New Roman"/>
                <w:spacing w:val="-1"/>
                <w:sz w:val="18"/>
              </w:rPr>
              <w:t>206,029.02</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56" w:top="1040" w:bottom="1140" w:left="980" w:right="0"/>
        </w:sectPr>
      </w:pPr>
    </w:p>
    <w:p>
      <w:pPr>
        <w:spacing w:before="7"/>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）其他应付款情况</w:t>
      </w:r>
    </w:p>
    <w:p>
      <w:pPr>
        <w:spacing w:line="240" w:lineRule="auto" w:before="9"/>
        <w:rPr>
          <w:rFonts w:ascii="宋体" w:hAnsi="宋体" w:cs="宋体" w:eastAsia="宋体" w:hint="default"/>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265"/>
        <w:gridCol w:w="3250"/>
        <w:gridCol w:w="3248"/>
      </w:tblGrid>
      <w:tr>
        <w:trPr>
          <w:trHeight w:val="552"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438"/>
              <w:jc w:val="right"/>
              <w:rPr>
                <w:rFonts w:ascii="宋体" w:hAnsi="宋体" w:cs="宋体" w:eastAsia="宋体" w:hint="default"/>
                <w:sz w:val="18"/>
                <w:szCs w:val="18"/>
              </w:rPr>
            </w:pPr>
            <w:r>
              <w:rPr>
                <w:rFonts w:ascii="宋体" w:hAnsi="宋体" w:cs="宋体" w:eastAsia="宋体" w:hint="default"/>
                <w:sz w:val="18"/>
                <w:szCs w:val="18"/>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35,663,270.61</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34,722,056.16</w:t>
            </w:r>
          </w:p>
        </w:tc>
      </w:tr>
      <w:tr>
        <w:trPr>
          <w:trHeight w:val="55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8,939,414.51</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55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110,000.00</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18,012,346.32</w:t>
            </w:r>
          </w:p>
        </w:tc>
      </w:tr>
      <w:tr>
        <w:trPr>
          <w:trHeight w:val="55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21,950,815.96</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8,891,953.36</w:t>
            </w:r>
          </w:p>
        </w:tc>
      </w:tr>
      <w:tr>
        <w:trPr>
          <w:trHeight w:val="552"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438"/>
              <w:jc w:val="right"/>
              <w:rPr>
                <w:rFonts w:ascii="宋体" w:hAnsi="宋体" w:cs="宋体" w:eastAsia="宋体" w:hint="default"/>
                <w:sz w:val="18"/>
                <w:szCs w:val="18"/>
              </w:rPr>
            </w:pPr>
            <w:r>
              <w:rPr>
                <w:rFonts w:ascii="宋体" w:hAnsi="宋体" w:cs="宋体" w:eastAsia="宋体" w:hint="default"/>
                <w:sz w:val="18"/>
                <w:szCs w:val="18"/>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66,663,501.08</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61,736,355.84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line="441" w:lineRule="auto" w:before="0"/>
        <w:ind w:left="232" w:right="111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）本报告期其他应付款中应付持有公司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含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以上表决权股份的股东单位或关联方款项见关联方往来附注六、</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 披露。</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3"/>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日，其他应付款余额前五名列示如下：</w:t>
      </w:r>
    </w:p>
    <w:p>
      <w:pPr>
        <w:spacing w:line="240" w:lineRule="auto" w:before="1"/>
        <w:rPr>
          <w:rFonts w:ascii="宋体" w:hAnsi="宋体" w:cs="宋体" w:eastAsia="宋体" w:hint="default"/>
          <w:sz w:val="19"/>
          <w:szCs w:val="19"/>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6"/>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3723"/>
        <w:gridCol w:w="1536"/>
        <w:gridCol w:w="1459"/>
        <w:gridCol w:w="1537"/>
        <w:gridCol w:w="1536"/>
      </w:tblGrid>
      <w:tr>
        <w:trPr>
          <w:trHeight w:val="55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所欠金额</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欠款内容</w:t>
            </w:r>
          </w:p>
        </w:tc>
      </w:tr>
      <w:tr>
        <w:trPr>
          <w:trHeight w:val="55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22" w:right="0"/>
              <w:jc w:val="left"/>
              <w:rPr>
                <w:rFonts w:ascii="宋体" w:hAnsi="宋体" w:cs="宋体" w:eastAsia="宋体" w:hint="default"/>
                <w:sz w:val="22"/>
                <w:szCs w:val="22"/>
              </w:rPr>
            </w:pPr>
            <w:r>
              <w:rPr>
                <w:rFonts w:ascii="宋体" w:hAnsi="宋体" w:cs="宋体" w:eastAsia="宋体" w:hint="default"/>
                <w:sz w:val="22"/>
                <w:szCs w:val="22"/>
              </w:rPr>
              <w:t>青岛嘉合福远置业有限公司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关联往来</w:t>
            </w:r>
          </w:p>
        </w:tc>
      </w:tr>
      <w:tr>
        <w:trPr>
          <w:trHeight w:val="55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22" w:right="0"/>
              <w:jc w:val="left"/>
              <w:rPr>
                <w:rFonts w:ascii="宋体" w:hAnsi="宋体" w:cs="宋体" w:eastAsia="宋体" w:hint="default"/>
                <w:sz w:val="22"/>
                <w:szCs w:val="22"/>
              </w:rPr>
            </w:pPr>
            <w:r>
              <w:rPr>
                <w:rFonts w:ascii="宋体" w:hAnsi="宋体" w:cs="宋体" w:eastAsia="宋体" w:hint="default"/>
                <w:sz w:val="22"/>
                <w:szCs w:val="22"/>
              </w:rPr>
              <w:t>青岛亚星实业有限公司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12,749,424.77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19.13%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关联往来</w:t>
            </w:r>
          </w:p>
        </w:tc>
      </w:tr>
      <w:tr>
        <w:trPr>
          <w:trHeight w:val="55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22" w:right="0"/>
              <w:jc w:val="left"/>
              <w:rPr>
                <w:rFonts w:ascii="宋体" w:hAnsi="宋体" w:cs="宋体" w:eastAsia="宋体" w:hint="default"/>
                <w:sz w:val="22"/>
                <w:szCs w:val="22"/>
              </w:rPr>
            </w:pPr>
            <w:r>
              <w:rPr>
                <w:rFonts w:ascii="宋体" w:hAnsi="宋体" w:cs="宋体" w:eastAsia="宋体" w:hint="default"/>
                <w:sz w:val="22"/>
                <w:szCs w:val="22"/>
              </w:rPr>
              <w:t>青岛亚星投资有限公司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4.51%</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关联往来</w:t>
            </w:r>
          </w:p>
        </w:tc>
      </w:tr>
      <w:tr>
        <w:trPr>
          <w:trHeight w:val="55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22" w:right="0"/>
              <w:jc w:val="left"/>
              <w:rPr>
                <w:rFonts w:ascii="宋体" w:hAnsi="宋体" w:cs="宋体" w:eastAsia="宋体" w:hint="default"/>
                <w:sz w:val="22"/>
                <w:szCs w:val="22"/>
              </w:rPr>
            </w:pPr>
            <w:r>
              <w:rPr>
                <w:rFonts w:ascii="宋体" w:hAnsi="宋体" w:cs="宋体" w:eastAsia="宋体" w:hint="default"/>
                <w:sz w:val="22"/>
                <w:szCs w:val="22"/>
              </w:rPr>
              <w:t>青岛北辰端拱地产顾问有限公司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1,498,813.16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2.25%</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销售佣金</w:t>
            </w:r>
          </w:p>
        </w:tc>
      </w:tr>
      <w:tr>
        <w:trPr>
          <w:trHeight w:val="552"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0"/>
              <w:ind w:left="122" w:right="0"/>
              <w:jc w:val="left"/>
              <w:rPr>
                <w:rFonts w:ascii="宋体" w:hAnsi="宋体" w:cs="宋体" w:eastAsia="宋体" w:hint="default"/>
                <w:sz w:val="22"/>
                <w:szCs w:val="22"/>
              </w:rPr>
            </w:pPr>
            <w:r>
              <w:rPr>
                <w:rFonts w:ascii="宋体" w:hAnsi="宋体" w:cs="宋体" w:eastAsia="宋体" w:hint="default"/>
                <w:sz w:val="22"/>
                <w:szCs w:val="22"/>
              </w:rPr>
              <w:t>兖州市永华建筑安装工程有限公司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0.75%</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工程质保金</w:t>
            </w:r>
          </w:p>
        </w:tc>
      </w:tr>
      <w:tr>
        <w:trPr>
          <w:trHeight w:val="55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tabs>
                <w:tab w:pos="1296" w:val="left" w:leader="none"/>
              </w:tabs>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37,748,237.93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56.64%</w:t>
            </w:r>
          </w:p>
        </w:tc>
        <w:tc>
          <w:tcPr>
            <w:tcW w:w="153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）长期借款分类</w:t>
      </w:r>
    </w:p>
    <w:p>
      <w:pPr>
        <w:spacing w:line="240" w:lineRule="auto" w:before="9"/>
        <w:rPr>
          <w:rFonts w:ascii="宋体" w:hAnsi="宋体" w:cs="宋体" w:eastAsia="宋体" w:hint="default"/>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87" w:type="dxa"/>
        <w:tblLayout w:type="fixed"/>
        <w:tblCellMar>
          <w:top w:w="0" w:type="dxa"/>
          <w:left w:w="0" w:type="dxa"/>
          <w:bottom w:w="0" w:type="dxa"/>
          <w:right w:w="0" w:type="dxa"/>
        </w:tblCellMar>
        <w:tblLook w:val="01E0"/>
      </w:tblPr>
      <w:tblGrid>
        <w:gridCol w:w="3248"/>
        <w:gridCol w:w="3233"/>
        <w:gridCol w:w="3233"/>
      </w:tblGrid>
      <w:tr>
        <w:trPr>
          <w:trHeight w:val="55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0" w:footer="956" w:top="1260" w:bottom="1140" w:left="900" w:right="0"/>
        </w:sectPr>
      </w:pPr>
    </w:p>
    <w:p>
      <w:pPr>
        <w:spacing w:line="240" w:lineRule="auto" w:before="9"/>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3248"/>
        <w:gridCol w:w="3233"/>
        <w:gridCol w:w="3233"/>
      </w:tblGrid>
      <w:tr>
        <w:trPr>
          <w:trHeight w:val="55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抵押</w:t>
            </w:r>
            <w:r>
              <w:rPr>
                <w:rFonts w:ascii="Times New Roman" w:hAnsi="Times New Roman" w:cs="Times New Roman" w:eastAsia="Times New Roman" w:hint="default"/>
                <w:sz w:val="18"/>
                <w:szCs w:val="18"/>
              </w:rPr>
              <w:t>+</w:t>
            </w:r>
            <w:r>
              <w:rPr>
                <w:rFonts w:ascii="宋体" w:hAnsi="宋体" w:cs="宋体" w:eastAsia="宋体" w:hint="default"/>
                <w:sz w:val="18"/>
                <w:szCs w:val="18"/>
              </w:rPr>
              <w:t>保证借款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55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抵押</w:t>
            </w:r>
            <w:r>
              <w:rPr>
                <w:rFonts w:ascii="Times New Roman" w:hAnsi="Times New Roman" w:cs="Times New Roman" w:eastAsia="Times New Roman" w:hint="default"/>
                <w:sz w:val="18"/>
                <w:szCs w:val="18"/>
              </w:rPr>
              <w:t>+</w:t>
            </w:r>
            <w:r>
              <w:rPr>
                <w:rFonts w:ascii="宋体" w:hAnsi="宋体" w:cs="宋体" w:eastAsia="宋体" w:hint="default"/>
                <w:sz w:val="18"/>
                <w:szCs w:val="18"/>
              </w:rPr>
              <w:t>保证借款</w:t>
            </w:r>
            <w:r>
              <w:rPr>
                <w:rFonts w:ascii="Times New Roman" w:hAnsi="Times New Roman" w:cs="Times New Roman" w:eastAsia="Times New Roman" w:hint="default"/>
                <w:sz w:val="18"/>
                <w:szCs w:val="18"/>
              </w:rPr>
              <w:t>*</w:t>
            </w:r>
            <w:r>
              <w:rPr>
                <w:rFonts w:ascii="宋体" w:hAnsi="宋体" w:cs="宋体" w:eastAsia="宋体" w:hint="default"/>
                <w:sz w:val="18"/>
                <w:szCs w:val="18"/>
              </w:rPr>
              <w:t>注释一</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69,000,000.00</w:t>
            </w:r>
          </w:p>
        </w:tc>
      </w:tr>
      <w:tr>
        <w:trPr>
          <w:trHeight w:val="55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26,370,842.28</w:t>
            </w:r>
          </w:p>
        </w:tc>
      </w:tr>
      <w:tr>
        <w:trPr>
          <w:trHeight w:val="55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118,370,842.28</w:t>
            </w:r>
          </w:p>
        </w:tc>
      </w:tr>
    </w:tbl>
    <w:p>
      <w:pPr>
        <w:spacing w:line="240" w:lineRule="auto" w:before="10"/>
        <w:rPr>
          <w:rFonts w:ascii="宋体" w:hAnsi="宋体" w:cs="宋体" w:eastAsia="宋体" w:hint="default"/>
          <w:sz w:val="17"/>
          <w:szCs w:val="17"/>
        </w:rPr>
      </w:pPr>
    </w:p>
    <w:p>
      <w:pPr>
        <w:spacing w:line="508" w:lineRule="auto" w:before="44"/>
        <w:ind w:left="232" w:right="1131" w:firstLine="360"/>
        <w:jc w:val="right"/>
        <w:rPr>
          <w:rFonts w:ascii="宋体" w:hAnsi="宋体" w:cs="宋体" w:eastAsia="宋体" w:hint="default"/>
          <w:sz w:val="18"/>
          <w:szCs w:val="18"/>
        </w:rPr>
      </w:pPr>
      <w:r>
        <w:rPr>
          <w:rFonts w:ascii="宋体" w:hAnsi="宋体" w:cs="宋体" w:eastAsia="宋体" w:hint="default"/>
          <w:spacing w:val="-2"/>
          <w:sz w:val="18"/>
          <w:szCs w:val="18"/>
        </w:rPr>
        <w:t>注释一：该笔借款系本公司之子公司青岛广顺房地产有限公司向中国工商银行股份有限公司青岛李沧第二支行所借，借</w:t>
      </w:r>
      <w:r>
        <w:rPr>
          <w:rFonts w:ascii="宋体" w:hAnsi="宋体" w:cs="宋体" w:eastAsia="宋体" w:hint="default"/>
          <w:sz w:val="18"/>
          <w:szCs w:val="18"/>
        </w:rPr>
        <w:t> 款用途为房地产开发，抵押物为在建石雀滩项目以及编号为青房地权产字第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20083671</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号、青房地权产字第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20083672</w:t>
      </w:r>
      <w:r>
        <w:rPr>
          <w:rFonts w:ascii="Times New Roman" w:hAnsi="Times New Roman" w:cs="Times New Roman" w:eastAsia="Times New Roman" w:hint="default"/>
          <w:spacing w:val="-5"/>
          <w:sz w:val="18"/>
          <w:szCs w:val="18"/>
        </w:rPr>
        <w:t> </w:t>
      </w:r>
      <w:r>
        <w:rPr>
          <w:rFonts w:ascii="宋体" w:hAnsi="宋体" w:cs="宋体" w:eastAsia="宋体" w:hint="default"/>
          <w:spacing w:val="-11"/>
          <w:sz w:val="18"/>
          <w:szCs w:val="18"/>
        </w:rPr>
        <w:t>号、青</w:t>
      </w:r>
    </w:p>
    <w:p>
      <w:pPr>
        <w:spacing w:before="29"/>
        <w:ind w:left="232" w:right="1128" w:firstLine="0"/>
        <w:jc w:val="left"/>
        <w:rPr>
          <w:rFonts w:ascii="宋体" w:hAnsi="宋体" w:cs="宋体" w:eastAsia="宋体" w:hint="default"/>
          <w:sz w:val="18"/>
          <w:szCs w:val="18"/>
        </w:rPr>
      </w:pPr>
      <w:r>
        <w:rPr>
          <w:rFonts w:ascii="宋体" w:hAnsi="宋体" w:cs="宋体" w:eastAsia="宋体" w:hint="default"/>
          <w:sz w:val="18"/>
          <w:szCs w:val="18"/>
        </w:rPr>
        <w:t>房地权产字第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20083673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号的土地使用权。该笔借款同时由青岛亚星实业有限公司提供保证担保，并承担连带责任；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spacing w:before="0"/>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7"/>
        <w:rPr>
          <w:rFonts w:ascii="宋体" w:hAnsi="宋体" w:cs="宋体" w:eastAsia="宋体" w:hint="default"/>
          <w:b/>
          <w:bCs/>
          <w:sz w:val="17"/>
          <w:szCs w:val="17"/>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894"/>
        <w:gridCol w:w="1412"/>
        <w:gridCol w:w="1097"/>
        <w:gridCol w:w="696"/>
        <w:gridCol w:w="1404"/>
        <w:gridCol w:w="828"/>
        <w:gridCol w:w="1162"/>
        <w:gridCol w:w="1351"/>
      </w:tblGrid>
      <w:tr>
        <w:trPr>
          <w:trHeight w:val="528" w:hRule="exact"/>
        </w:trPr>
        <w:tc>
          <w:tcPr>
            <w:tcW w:w="18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4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1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636"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p>
        </w:tc>
        <w:tc>
          <w:tcPr>
            <w:tcW w:w="135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30" w:hRule="exact"/>
        </w:trPr>
        <w:tc>
          <w:tcPr>
            <w:tcW w:w="1894" w:type="dxa"/>
            <w:vMerge/>
            <w:tcBorders>
              <w:left w:val="nil" w:sz="6" w:space="0" w:color="auto"/>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51" w:type="dxa"/>
            <w:vMerge/>
            <w:tcBorders>
              <w:left w:val="single" w:sz="4" w:space="0" w:color="000000"/>
              <w:bottom w:val="single" w:sz="4" w:space="0" w:color="000000"/>
              <w:right w:val="nil" w:sz="6" w:space="0" w:color="auto"/>
            </w:tcBorders>
          </w:tcPr>
          <w:p>
            <w:pPr/>
          </w:p>
        </w:tc>
      </w:tr>
      <w:tr>
        <w:trPr>
          <w:trHeight w:val="53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1"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71,346,000.00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71,346,000.00</w:t>
            </w:r>
          </w:p>
        </w:tc>
      </w:tr>
      <w:tr>
        <w:trPr>
          <w:trHeight w:val="528"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71,346,000.00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71,346,000.00</w:t>
            </w:r>
          </w:p>
        </w:tc>
      </w:tr>
      <w:tr>
        <w:trPr>
          <w:trHeight w:val="53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1"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28"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24,881,998.00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24,881,998.00</w:t>
            </w:r>
          </w:p>
        </w:tc>
      </w:tr>
      <w:tr>
        <w:trPr>
          <w:trHeight w:val="53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、境内上市外资股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、境外上市外资股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040" w:bottom="1140" w:left="900" w:right="0"/>
        </w:sectPr>
      </w:pPr>
    </w:p>
    <w:p>
      <w:pPr>
        <w:spacing w:line="240" w:lineRule="auto" w:before="9"/>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880"/>
        <w:gridCol w:w="1412"/>
        <w:gridCol w:w="1097"/>
        <w:gridCol w:w="696"/>
        <w:gridCol w:w="1404"/>
        <w:gridCol w:w="828"/>
        <w:gridCol w:w="1162"/>
        <w:gridCol w:w="1351"/>
      </w:tblGrid>
      <w:tr>
        <w:trPr>
          <w:trHeight w:val="530" w:hRule="exact"/>
        </w:trPr>
        <w:tc>
          <w:tcPr>
            <w:tcW w:w="1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96,227,998.00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96,227,998.00</w:t>
            </w:r>
          </w:p>
        </w:tc>
      </w:tr>
    </w:tbl>
    <w:p>
      <w:pPr>
        <w:spacing w:line="240" w:lineRule="auto" w:before="10"/>
        <w:rPr>
          <w:rFonts w:ascii="宋体" w:hAnsi="宋体" w:cs="宋体" w:eastAsia="宋体" w:hint="default"/>
          <w:sz w:val="17"/>
          <w:szCs w:val="17"/>
        </w:rPr>
      </w:pPr>
    </w:p>
    <w:p>
      <w:pPr>
        <w:spacing w:line="482" w:lineRule="auto" w:before="44"/>
        <w:ind w:left="212" w:right="1123" w:firstLine="451"/>
        <w:jc w:val="left"/>
        <w:rPr>
          <w:rFonts w:ascii="宋体" w:hAnsi="宋体" w:cs="宋体" w:eastAsia="宋体" w:hint="default"/>
          <w:sz w:val="18"/>
          <w:szCs w:val="18"/>
        </w:rPr>
      </w:pPr>
      <w:r>
        <w:rPr>
          <w:rFonts w:ascii="宋体" w:hAnsi="宋体" w:cs="宋体" w:eastAsia="宋体" w:hint="default"/>
          <w:sz w:val="18"/>
          <w:szCs w:val="18"/>
        </w:rPr>
        <w:t>据本公司</w:t>
      </w:r>
      <w:r>
        <w:rPr>
          <w:rFonts w:ascii="Times New Roman" w:hAnsi="Times New Roman" w:cs="Times New Roman" w:eastAsia="Times New Roman" w:hint="default"/>
          <w:sz w:val="18"/>
          <w:szCs w:val="18"/>
        </w:rPr>
        <w:t>2008</w:t>
      </w:r>
      <w:r>
        <w:rPr>
          <w:rFonts w:ascii="宋体" w:hAnsi="宋体" w:cs="宋体" w:eastAsia="宋体" w:hint="default"/>
          <w:sz w:val="18"/>
          <w:szCs w:val="18"/>
        </w:rPr>
        <w:t>年第一次临时股东大会通过的《资产赠与、资本公积金定向转增股本暨股权分置改革方案的议案》和修 </w:t>
      </w:r>
      <w:r>
        <w:rPr>
          <w:rFonts w:ascii="宋体" w:hAnsi="宋体" w:cs="宋体" w:eastAsia="宋体" w:hint="default"/>
          <w:spacing w:val="-2"/>
          <w:sz w:val="18"/>
          <w:szCs w:val="18"/>
        </w:rPr>
        <w:t>改后的章程规定，本公司以现有总股本</w:t>
      </w:r>
      <w:r>
        <w:rPr>
          <w:rFonts w:ascii="Times New Roman" w:hAnsi="Times New Roman" w:cs="Times New Roman" w:eastAsia="Times New Roman" w:hint="default"/>
          <w:spacing w:val="-2"/>
          <w:sz w:val="18"/>
          <w:szCs w:val="18"/>
        </w:rPr>
        <w:t>90,486,000</w:t>
      </w:r>
      <w:r>
        <w:rPr>
          <w:rFonts w:ascii="宋体" w:hAnsi="宋体" w:cs="宋体" w:eastAsia="宋体" w:hint="default"/>
          <w:spacing w:val="-2"/>
          <w:sz w:val="18"/>
          <w:szCs w:val="18"/>
        </w:rPr>
        <w:t>股中</w:t>
      </w:r>
      <w:r>
        <w:rPr>
          <w:rFonts w:ascii="Times New Roman" w:hAnsi="Times New Roman" w:cs="Times New Roman" w:eastAsia="Times New Roman" w:hint="default"/>
          <w:spacing w:val="-2"/>
          <w:sz w:val="18"/>
          <w:szCs w:val="18"/>
        </w:rPr>
        <w:t>19,140,000</w:t>
      </w:r>
      <w:r>
        <w:rPr>
          <w:rFonts w:ascii="宋体" w:hAnsi="宋体" w:cs="宋体" w:eastAsia="宋体" w:hint="default"/>
          <w:spacing w:val="-2"/>
          <w:sz w:val="18"/>
          <w:szCs w:val="18"/>
        </w:rPr>
        <w:t>股的流通股为基数，以截止</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日经审计的资本公</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积金，向股改实施股份变更登记日登记在册的公司全体流通股股东每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股定向转增</w:t>
      </w:r>
      <w:r>
        <w:rPr>
          <w:rFonts w:ascii="Times New Roman" w:hAnsi="Times New Roman" w:cs="Times New Roman" w:eastAsia="Times New Roman" w:hint="default"/>
          <w:sz w:val="18"/>
          <w:szCs w:val="18"/>
        </w:rPr>
        <w:t>3</w:t>
      </w:r>
      <w:r>
        <w:rPr>
          <w:rFonts w:ascii="宋体" w:hAnsi="宋体" w:cs="宋体" w:eastAsia="宋体" w:hint="default"/>
          <w:sz w:val="18"/>
          <w:szCs w:val="18"/>
        </w:rPr>
        <w:t>股；本公司申请增加注册资本人民币 </w:t>
      </w:r>
      <w:r>
        <w:rPr>
          <w:rFonts w:ascii="Times New Roman" w:hAnsi="Times New Roman" w:cs="Times New Roman" w:eastAsia="Times New Roman" w:hint="default"/>
          <w:sz w:val="18"/>
          <w:szCs w:val="18"/>
        </w:rPr>
        <w:t>5,741,998</w:t>
      </w:r>
      <w:r>
        <w:rPr>
          <w:rFonts w:ascii="宋体" w:hAnsi="宋体" w:cs="宋体" w:eastAsia="宋体" w:hint="default"/>
          <w:sz w:val="18"/>
          <w:szCs w:val="18"/>
        </w:rPr>
        <w:t>元，由资本公积转增股本。本年注册资本增加已经深圳市鹏城会计师事务所有限公司以深鹏所验字</w:t>
      </w:r>
      <w:r>
        <w:rPr>
          <w:rFonts w:ascii="Times New Roman" w:hAnsi="Times New Roman" w:cs="Times New Roman" w:eastAsia="Times New Roman" w:hint="default"/>
          <w:sz w:val="18"/>
          <w:szCs w:val="18"/>
        </w:rPr>
        <w:t>[2010]055</w:t>
      </w:r>
      <w:r>
        <w:rPr>
          <w:rFonts w:ascii="宋体" w:hAnsi="宋体" w:cs="宋体" w:eastAsia="宋体" w:hint="default"/>
          <w:sz w:val="18"/>
          <w:szCs w:val="18"/>
        </w:rPr>
        <w:t>号验 资报告验证，并办理股本增资工商变更。</w:t>
      </w:r>
    </w:p>
    <w:p>
      <w:pPr>
        <w:spacing w:before="61"/>
        <w:ind w:left="212" w:right="10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3"/>
        <w:rPr>
          <w:rFonts w:ascii="宋体" w:hAnsi="宋体" w:cs="宋体" w:eastAsia="宋体" w:hint="default"/>
          <w:b/>
          <w:bCs/>
          <w:sz w:val="17"/>
          <w:szCs w:val="1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2679"/>
        <w:gridCol w:w="1760"/>
        <w:gridCol w:w="1760"/>
        <w:gridCol w:w="1757"/>
        <w:gridCol w:w="1759"/>
      </w:tblGrid>
      <w:tr>
        <w:trPr>
          <w:trHeight w:val="569"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71"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20,857,045.81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903,520.00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21,760,565.81</w:t>
            </w:r>
          </w:p>
        </w:tc>
      </w:tr>
      <w:tr>
        <w:trPr>
          <w:trHeight w:val="569"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20,857,045.81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903,520.00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21,760,565.81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460" w:lineRule="auto" w:before="44"/>
        <w:ind w:left="212"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日本公司与控股股东青岛亚星实业有限公司签订股权转让协议，以</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903.52 </w:t>
      </w:r>
      <w:r>
        <w:rPr>
          <w:rFonts w:ascii="宋体" w:hAnsi="宋体" w:cs="宋体" w:eastAsia="宋体" w:hint="default"/>
          <w:sz w:val="18"/>
          <w:szCs w:val="18"/>
        </w:rPr>
        <w:t>万元受让其持有的绵阳亿嘉合 投资有限公司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的股权，因上述股权转让所附条件未达到，青岛亚星实业有限公司按照合同约定支付给本公司的股权转 让补偿款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903,520.00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spacing w:before="0"/>
        <w:ind w:left="212" w:right="10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81" w:type="dxa"/>
        <w:tblLayout w:type="fixed"/>
        <w:tblCellMar>
          <w:top w:w="0" w:type="dxa"/>
          <w:left w:w="0" w:type="dxa"/>
          <w:bottom w:w="0" w:type="dxa"/>
          <w:right w:w="0" w:type="dxa"/>
        </w:tblCellMar>
        <w:tblLook w:val="01E0"/>
      </w:tblPr>
      <w:tblGrid>
        <w:gridCol w:w="1940"/>
        <w:gridCol w:w="1940"/>
        <w:gridCol w:w="1942"/>
        <w:gridCol w:w="1940"/>
        <w:gridCol w:w="1939"/>
      </w:tblGrid>
      <w:tr>
        <w:trPr>
          <w:trHeight w:val="569"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82"/>
              <w:jc w:val="right"/>
              <w:rPr>
                <w:rFonts w:ascii="宋体" w:hAnsi="宋体" w:cs="宋体" w:eastAsia="宋体" w:hint="default"/>
                <w:sz w:val="18"/>
                <w:szCs w:val="18"/>
              </w:rPr>
            </w:pPr>
            <w:r>
              <w:rPr>
                <w:rFonts w:ascii="宋体" w:hAnsi="宋体" w:cs="宋体" w:eastAsia="宋体" w:hint="default"/>
                <w:sz w:val="18"/>
                <w:szCs w:val="18"/>
              </w:rPr>
              <w:t>项目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71" w:hRule="exact"/>
        </w:trPr>
        <w:tc>
          <w:tcPr>
            <w:tcW w:w="1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821"/>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960" w:right="0"/>
              <w:jc w:val="left"/>
              <w:rPr>
                <w:rFonts w:ascii="Times New Roman" w:hAnsi="Times New Roman" w:cs="Times New Roman" w:eastAsia="Times New Roman" w:hint="default"/>
                <w:sz w:val="18"/>
                <w:szCs w:val="18"/>
              </w:rPr>
            </w:pPr>
            <w:r>
              <w:rPr>
                <w:rFonts w:ascii="Times New Roman"/>
                <w:sz w:val="18"/>
              </w:rPr>
              <w:t>5,887,067.95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959" w:right="0"/>
              <w:jc w:val="left"/>
              <w:rPr>
                <w:rFonts w:ascii="Times New Roman" w:hAnsi="Times New Roman" w:cs="Times New Roman" w:eastAsia="Times New Roman" w:hint="default"/>
                <w:sz w:val="18"/>
                <w:szCs w:val="18"/>
              </w:rPr>
            </w:pPr>
            <w:r>
              <w:rPr>
                <w:rFonts w:ascii="Times New Roman"/>
                <w:sz w:val="18"/>
              </w:rPr>
              <w:t>5,887,067.95</w:t>
            </w:r>
          </w:p>
        </w:tc>
      </w:tr>
    </w:tbl>
    <w:p>
      <w:pPr>
        <w:spacing w:line="240" w:lineRule="auto" w:before="2"/>
        <w:rPr>
          <w:rFonts w:ascii="宋体" w:hAnsi="宋体" w:cs="宋体" w:eastAsia="宋体" w:hint="default"/>
          <w:sz w:val="16"/>
          <w:szCs w:val="16"/>
        </w:rPr>
      </w:pPr>
    </w:p>
    <w:p>
      <w:pPr>
        <w:spacing w:before="44"/>
        <w:ind w:left="212" w:right="1034" w:firstLine="0"/>
        <w:jc w:val="left"/>
        <w:rPr>
          <w:rFonts w:ascii="宋体" w:hAnsi="宋体" w:cs="宋体" w:eastAsia="宋体" w:hint="default"/>
          <w:sz w:val="18"/>
          <w:szCs w:val="18"/>
        </w:rPr>
      </w:pPr>
      <w:r>
        <w:rPr>
          <w:rFonts w:ascii="宋体" w:hAnsi="宋体" w:cs="宋体" w:eastAsia="宋体" w:hint="default"/>
          <w:sz w:val="18"/>
          <w:szCs w:val="18"/>
        </w:rPr>
        <w:t>法定盈余公积增加数是按当期净利润的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6"/>
        <w:ind w:left="212" w:right="10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3"/>
        <w:rPr>
          <w:rFonts w:ascii="宋体" w:hAnsi="宋体" w:cs="宋体" w:eastAsia="宋体" w:hint="default"/>
          <w:b/>
          <w:bCs/>
          <w:sz w:val="17"/>
          <w:szCs w:val="1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5387"/>
        <w:gridCol w:w="2160"/>
        <w:gridCol w:w="2170"/>
      </w:tblGrid>
      <w:tr>
        <w:trPr>
          <w:trHeight w:val="569"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571"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1"/>
                <w:sz w:val="18"/>
                <w:szCs w:val="18"/>
              </w:rPr>
              <w:t> </w:t>
            </w:r>
            <w:r>
              <w:rPr>
                <w:rFonts w:ascii="宋体" w:hAnsi="宋体" w:cs="宋体" w:eastAsia="宋体" w:hint="default"/>
                <w:sz w:val="18"/>
                <w:szCs w:val="18"/>
              </w:rPr>
              <w:t>上年末未分配利润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1,829,373.65</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9"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调整 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56" w:top="1040" w:bottom="1140" w:left="920" w:right="0"/>
        </w:sectPr>
      </w:pPr>
    </w:p>
    <w:p>
      <w:pPr>
        <w:spacing w:line="240" w:lineRule="auto" w:before="9"/>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5387"/>
        <w:gridCol w:w="2160"/>
        <w:gridCol w:w="2170"/>
      </w:tblGrid>
      <w:tr>
        <w:trPr>
          <w:trHeight w:val="571"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1"/>
                <w:sz w:val="18"/>
                <w:szCs w:val="18"/>
              </w:rPr>
              <w:t> </w:t>
            </w:r>
            <w:r>
              <w:rPr>
                <w:rFonts w:ascii="宋体" w:hAnsi="宋体" w:cs="宋体" w:eastAsia="宋体" w:hint="default"/>
                <w:sz w:val="18"/>
                <w:szCs w:val="18"/>
              </w:rPr>
              <w:t>年初未分配利润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1,829,373.65</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9"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26,716,195.17</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1"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r>
      <w:tr>
        <w:trPr>
          <w:trHeight w:val="569"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1"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9"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1"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2"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28,545,568.82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
        <w:rPr>
          <w:rFonts w:ascii="宋体" w:hAnsi="宋体" w:cs="宋体" w:eastAsia="宋体" w:hint="default"/>
          <w:sz w:val="12"/>
          <w:szCs w:val="12"/>
        </w:rPr>
      </w:pPr>
    </w:p>
    <w:p>
      <w:pPr>
        <w:spacing w:before="36"/>
        <w:ind w:left="152" w:right="36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、少数股东权益</w:t>
      </w:r>
      <w:r>
        <w:rPr>
          <w:rFonts w:ascii="宋体" w:hAnsi="宋体" w:cs="宋体" w:eastAsia="宋体" w:hint="default"/>
          <w:sz w:val="21"/>
          <w:szCs w:val="21"/>
        </w:rPr>
      </w:r>
    </w:p>
    <w:p>
      <w:pPr>
        <w:spacing w:line="240" w:lineRule="auto" w:before="5"/>
        <w:rPr>
          <w:rFonts w:ascii="宋体" w:hAnsi="宋体" w:cs="宋体" w:eastAsia="宋体" w:hint="default"/>
          <w:b/>
          <w:bCs/>
          <w:sz w:val="20"/>
          <w:szCs w:val="2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5387"/>
        <w:gridCol w:w="2160"/>
        <w:gridCol w:w="2170"/>
      </w:tblGrid>
      <w:tr>
        <w:trPr>
          <w:trHeight w:val="61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1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青岛广顺房地产有限公司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10,241,650.75</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10,249,299.60</w:t>
            </w:r>
          </w:p>
        </w:tc>
      </w:tr>
      <w:tr>
        <w:trPr>
          <w:trHeight w:val="61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济宁海情置业有限公司</w:t>
            </w:r>
            <w:r>
              <w:rPr>
                <w:rFonts w:ascii="Times New Roman" w:hAnsi="Times New Roman" w:cs="Times New Roman" w:eastAsia="Times New Roman" w:hint="default"/>
                <w:sz w:val="18"/>
                <w:szCs w:val="18"/>
              </w:rPr>
              <w:t>*1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22,541,948.77</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19,238,640.48</w:t>
            </w:r>
          </w:p>
        </w:tc>
      </w:tr>
      <w:tr>
        <w:trPr>
          <w:trHeight w:val="612"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32,783,599.52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29,487,940.08</w:t>
            </w:r>
          </w:p>
        </w:tc>
      </w:tr>
    </w:tbl>
    <w:p>
      <w:pPr>
        <w:spacing w:line="240" w:lineRule="auto" w:before="3"/>
        <w:rPr>
          <w:rFonts w:ascii="宋体" w:hAnsi="宋体" w:cs="宋体" w:eastAsia="宋体" w:hint="default"/>
          <w:sz w:val="19"/>
          <w:szCs w:val="19"/>
        </w:rPr>
      </w:pPr>
    </w:p>
    <w:p>
      <w:pPr>
        <w:spacing w:line="499" w:lineRule="auto" w:before="44"/>
        <w:ind w:left="152" w:right="0" w:firstLine="360"/>
        <w:jc w:val="left"/>
        <w:rPr>
          <w:rFonts w:ascii="宋体" w:hAnsi="宋体" w:cs="宋体" w:eastAsia="宋体"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济宁海情置业有限公司本期新成立了全资子公司泗水海情置业有限公司；济宁海情置业有限公司的少数股东 权益中包含全资子公司中归属少数股东享有的权益份额。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6"/>
        <w:ind w:left="152" w:right="36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0"/>
        <w:ind w:left="152" w:right="36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）营业收入</w:t>
      </w:r>
    </w:p>
    <w:p>
      <w:pPr>
        <w:spacing w:line="240" w:lineRule="auto" w:before="10"/>
        <w:rPr>
          <w:rFonts w:ascii="宋体" w:hAnsi="宋体" w:cs="宋体" w:eastAsia="宋体" w:hint="default"/>
          <w:sz w:val="23"/>
          <w:szCs w:val="23"/>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61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1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301,265,234.88</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110,043,571.90</w:t>
            </w:r>
          </w:p>
        </w:tc>
      </w:tr>
      <w:tr>
        <w:trPr>
          <w:trHeight w:val="61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28,901.61</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主营营业成本</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208,534,416.74</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70,124,034.22</w:t>
            </w:r>
          </w:p>
        </w:tc>
      </w:tr>
      <w:tr>
        <w:trPr>
          <w:trHeight w:val="61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1,604.04</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040" w:bottom="1140" w:left="980" w:right="0"/>
        </w:sectPr>
      </w:pPr>
    </w:p>
    <w:p>
      <w:pPr>
        <w:spacing w:line="240" w:lineRule="auto" w:before="6"/>
        <w:rPr>
          <w:rFonts w:ascii="宋体" w:hAnsi="宋体" w:cs="宋体" w:eastAsia="宋体" w:hint="default"/>
          <w:sz w:val="23"/>
          <w:szCs w:val="23"/>
        </w:rPr>
      </w:pPr>
    </w:p>
    <w:p>
      <w:pPr>
        <w:spacing w:before="44"/>
        <w:ind w:left="152" w:right="36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）主营业务（分行业）</w:t>
      </w:r>
    </w:p>
    <w:p>
      <w:pPr>
        <w:spacing w:line="240" w:lineRule="auto" w:before="4"/>
        <w:rPr>
          <w:rFonts w:ascii="宋体" w:hAnsi="宋体" w:cs="宋体" w:eastAsia="宋体" w:hint="default"/>
          <w:sz w:val="20"/>
          <w:szCs w:val="2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954"/>
        <w:gridCol w:w="1779"/>
        <w:gridCol w:w="2103"/>
        <w:gridCol w:w="1940"/>
        <w:gridCol w:w="1942"/>
      </w:tblGrid>
      <w:tr>
        <w:trPr>
          <w:trHeight w:val="612" w:hRule="exact"/>
        </w:trPr>
        <w:tc>
          <w:tcPr>
            <w:tcW w:w="19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624"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10" w:hRule="exact"/>
        </w:trPr>
        <w:tc>
          <w:tcPr>
            <w:tcW w:w="1954" w:type="dxa"/>
            <w:vMerge/>
            <w:tcBorders>
              <w:left w:val="nil" w:sz="6" w:space="0" w:color="auto"/>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68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61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301,265,234.88</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940" w:right="0"/>
              <w:jc w:val="left"/>
              <w:rPr>
                <w:rFonts w:ascii="Times New Roman" w:hAnsi="Times New Roman" w:cs="Times New Roman" w:eastAsia="Times New Roman" w:hint="default"/>
                <w:sz w:val="18"/>
                <w:szCs w:val="18"/>
              </w:rPr>
            </w:pPr>
            <w:r>
              <w:rPr>
                <w:rFonts w:ascii="Times New Roman"/>
                <w:sz w:val="18"/>
              </w:rPr>
              <w:t>208,534,416.74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784" w:right="0"/>
              <w:jc w:val="left"/>
              <w:rPr>
                <w:rFonts w:ascii="Times New Roman" w:hAnsi="Times New Roman" w:cs="Times New Roman" w:eastAsia="Times New Roman" w:hint="default"/>
                <w:sz w:val="18"/>
                <w:szCs w:val="18"/>
              </w:rPr>
            </w:pPr>
            <w:r>
              <w:rPr>
                <w:rFonts w:ascii="Times New Roman"/>
                <w:sz w:val="18"/>
              </w:rPr>
              <w:t>110,043,571.90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70,124,034.22</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56" w:top="1580" w:bottom="1140" w:left="980" w:right="0"/>
        </w:sectPr>
      </w:pPr>
    </w:p>
    <w:p>
      <w:pPr>
        <w:spacing w:before="30"/>
        <w:ind w:left="152" w:right="36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）主营业务（分地区）</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954"/>
        <w:gridCol w:w="1942"/>
        <w:gridCol w:w="1940"/>
        <w:gridCol w:w="1940"/>
        <w:gridCol w:w="1913"/>
      </w:tblGrid>
      <w:tr>
        <w:trPr>
          <w:trHeight w:val="590" w:hRule="exact"/>
        </w:trPr>
        <w:tc>
          <w:tcPr>
            <w:tcW w:w="19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5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1954" w:type="dxa"/>
            <w:vMerge/>
            <w:tcBorders>
              <w:left w:val="nil" w:sz="6" w:space="0" w:color="auto"/>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9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青岛地区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70,062,740.06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57,290,652.27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33,337,290.90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22,806,598.01</w:t>
            </w:r>
          </w:p>
        </w:tc>
      </w:tr>
      <w:tr>
        <w:trPr>
          <w:trHeight w:val="59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济宁地区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231,202,494.82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151,243,764.47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76,706,281.00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47,317,436.21</w:t>
            </w:r>
          </w:p>
        </w:tc>
      </w:tr>
      <w:tr>
        <w:trPr>
          <w:trHeight w:val="59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301,265,234.88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208,534,416.74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110,043,571.90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70,124,034.22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44"/>
        <w:ind w:left="152" w:right="36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45"/>
          <w:sz w:val="18"/>
          <w:szCs w:val="18"/>
          <w:u w:val="single" w:color="000000"/>
        </w:rPr>
        <w:t> </w:t>
      </w:r>
      <w:r>
        <w:rPr>
          <w:rFonts w:ascii="宋体" w:hAnsi="宋体" w:cs="宋体" w:eastAsia="宋体" w:hint="default"/>
          <w:sz w:val="18"/>
          <w:szCs w:val="18"/>
          <w:u w:val="single" w:color="000000"/>
        </w:rPr>
        <w:t>（</w:t>
      </w:r>
      <w:r>
        <w:rPr>
          <w:rFonts w:ascii="Times New Roman" w:hAnsi="Times New Roman" w:cs="Times New Roman" w:eastAsia="Times New Roman" w:hint="default"/>
          <w:sz w:val="18"/>
          <w:szCs w:val="18"/>
          <w:u w:val="single" w:color="000000"/>
        </w:rPr>
        <w:t>4</w:t>
      </w:r>
      <w:r>
        <w:rPr>
          <w:rFonts w:ascii="宋体" w:hAnsi="宋体" w:cs="宋体" w:eastAsia="宋体" w:hint="default"/>
          <w:sz w:val="18"/>
          <w:szCs w:val="18"/>
          <w:u w:val="single" w:color="000000"/>
        </w:rPr>
        <w:t>）公司前五名客户的营业收入情况</w:t>
      </w:r>
      <w:r>
        <w:rPr>
          <w:rFonts w:ascii="宋体" w:hAnsi="宋体" w:cs="宋体" w:eastAsia="宋体" w:hint="default"/>
          <w:sz w:val="18"/>
          <w:szCs w:val="18"/>
        </w:rPr>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229"/>
        <w:gridCol w:w="3212"/>
        <w:gridCol w:w="3214"/>
      </w:tblGrid>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7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占收入总额的比例</w:t>
            </w:r>
            <w:r>
              <w:rPr>
                <w:rFonts w:ascii="Times New Roman" w:hAnsi="Times New Roman" w:cs="Times New Roman" w:eastAsia="Times New Roman" w:hint="default"/>
                <w:sz w:val="18"/>
                <w:szCs w:val="18"/>
              </w:rPr>
              <w:t>(%)</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佳艺顺达</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企业管理有限公司</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21,300,000.00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7.07%</w:t>
            </w:r>
          </w:p>
        </w:tc>
      </w:tr>
      <w:tr>
        <w:trPr>
          <w:trHeight w:val="59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北京朗华恒信科技有限公司</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19,500,000.00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6.47%</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朱有德</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9,081,266.88</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3.01%</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王玓</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8,111,438.72</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2.69%</w:t>
            </w:r>
          </w:p>
        </w:tc>
      </w:tr>
      <w:tr>
        <w:trPr>
          <w:trHeight w:val="550"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李春玲</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8,097,969.34</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2.69%</w:t>
            </w:r>
          </w:p>
        </w:tc>
      </w:tr>
      <w:tr>
        <w:trPr>
          <w:trHeight w:val="55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66,090,674.94</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21.93%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36"/>
        <w:ind w:left="152" w:right="36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843"/>
        <w:gridCol w:w="2290"/>
        <w:gridCol w:w="2290"/>
        <w:gridCol w:w="2264"/>
      </w:tblGrid>
      <w:tr>
        <w:trPr>
          <w:trHeight w:val="550"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9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550"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15,079,600.39</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5,502,178.60</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按营业额的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552"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6,099,050.51</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1,100,435.72</w:t>
            </w:r>
          </w:p>
        </w:tc>
        <w:tc>
          <w:tcPr>
            <w:tcW w:w="2264"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931,182.97</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385,152.50</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按流转税的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r>
      <w:tr>
        <w:trPr>
          <w:trHeight w:val="550"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451,963.05</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165,065.36</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按流转税的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550"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176,029.77</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16,668.64</w:t>
            </w:r>
          </w:p>
        </w:tc>
        <w:tc>
          <w:tcPr>
            <w:tcW w:w="226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56" w:top="1320" w:bottom="1140" w:left="980" w:right="0"/>
        </w:sectPr>
      </w:pPr>
    </w:p>
    <w:p>
      <w:pPr>
        <w:spacing w:line="240" w:lineRule="auto" w:before="5"/>
        <w:rPr>
          <w:rFonts w:ascii="Times New Roman" w:hAnsi="Times New Roman" w:cs="Times New Roman" w:eastAsia="Times New Roman"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2843"/>
        <w:gridCol w:w="2290"/>
        <w:gridCol w:w="2290"/>
        <w:gridCol w:w="2264"/>
      </w:tblGrid>
      <w:tr>
        <w:trPr>
          <w:trHeight w:val="552" w:hRule="exact"/>
        </w:trPr>
        <w:tc>
          <w:tcPr>
            <w:tcW w:w="2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221" w:right="0"/>
              <w:jc w:val="left"/>
              <w:rPr>
                <w:rFonts w:ascii="Times New Roman" w:hAnsi="Times New Roman" w:cs="Times New Roman" w:eastAsia="Times New Roman" w:hint="default"/>
                <w:sz w:val="18"/>
                <w:szCs w:val="18"/>
              </w:rPr>
            </w:pPr>
            <w:r>
              <w:rPr>
                <w:rFonts w:ascii="Times New Roman"/>
                <w:sz w:val="18"/>
              </w:rPr>
              <w:t>22,737,826.69</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310" w:right="0"/>
              <w:jc w:val="left"/>
              <w:rPr>
                <w:rFonts w:ascii="Times New Roman" w:hAnsi="Times New Roman" w:cs="Times New Roman" w:eastAsia="Times New Roman" w:hint="default"/>
                <w:sz w:val="18"/>
                <w:szCs w:val="18"/>
              </w:rPr>
            </w:pPr>
            <w:r>
              <w:rPr>
                <w:rFonts w:ascii="Times New Roman"/>
                <w:sz w:val="18"/>
              </w:rPr>
              <w:t>7,169,500.82</w:t>
            </w:r>
          </w:p>
        </w:tc>
        <w:tc>
          <w:tcPr>
            <w:tcW w:w="2264"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31"/>
          <w:pgSz w:w="11910" w:h="16840"/>
          <w:pgMar w:footer="818" w:header="0" w:top="1040" w:bottom="1000" w:left="980" w:right="0"/>
          <w:pgNumType w:start="110"/>
        </w:sectPr>
      </w:pPr>
    </w:p>
    <w:p>
      <w:pPr>
        <w:spacing w:before="7"/>
        <w:ind w:left="152" w:right="36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3"/>
        <w:rPr>
          <w:rFonts w:ascii="宋体" w:hAnsi="宋体" w:cs="宋体" w:eastAsia="宋体" w:hint="default"/>
          <w:b/>
          <w:bCs/>
          <w:sz w:val="15"/>
          <w:szCs w:val="15"/>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179"/>
        <w:gridCol w:w="3219"/>
        <w:gridCol w:w="3216"/>
      </w:tblGrid>
      <w:tr>
        <w:trPr>
          <w:trHeight w:val="55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代理费及佣金</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4,386,408.21</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394,735.92</w:t>
            </w:r>
          </w:p>
        </w:tc>
      </w:tr>
      <w:tr>
        <w:trPr>
          <w:trHeight w:val="552"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839,455.85</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396,556.00</w:t>
            </w:r>
          </w:p>
        </w:tc>
      </w:tr>
      <w:tr>
        <w:trPr>
          <w:trHeight w:val="55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围挡喷绘安装及夜间亮化</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523,447.80</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309,357.00</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222,726.51</w:t>
            </w:r>
          </w:p>
        </w:tc>
      </w:tr>
      <w:tr>
        <w:trPr>
          <w:trHeight w:val="55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策划与咨询费</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257,000.00</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宣传物料及礼品费</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128,527.00</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46,185.50</w:t>
            </w:r>
          </w:p>
        </w:tc>
      </w:tr>
      <w:tr>
        <w:trPr>
          <w:trHeight w:val="55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34,002.01</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3,122.00</w:t>
            </w:r>
          </w:p>
        </w:tc>
      </w:tr>
      <w:tr>
        <w:trPr>
          <w:trHeight w:val="552"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预订开盘活动费</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20,000.00</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23,410.80</w:t>
            </w:r>
          </w:p>
        </w:tc>
      </w:tr>
      <w:tr>
        <w:trPr>
          <w:trHeight w:val="55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13,592.50</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93,001.00</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73,435.00</w:t>
            </w:r>
          </w:p>
        </w:tc>
      </w:tr>
      <w:tr>
        <w:trPr>
          <w:trHeight w:val="550"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6,604,791.37</w:t>
            </w:r>
          </w:p>
        </w:tc>
        <w:tc>
          <w:tcPr>
            <w:tcW w:w="32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1,160,171.73</w:t>
            </w:r>
          </w:p>
        </w:tc>
      </w:tr>
    </w:tbl>
    <w:p>
      <w:pPr>
        <w:spacing w:line="240" w:lineRule="auto" w:before="10"/>
        <w:rPr>
          <w:rFonts w:ascii="宋体" w:hAnsi="宋体" w:cs="宋体" w:eastAsia="宋体" w:hint="default"/>
          <w:sz w:val="17"/>
          <w:szCs w:val="17"/>
        </w:rPr>
      </w:pPr>
    </w:p>
    <w:p>
      <w:pPr>
        <w:spacing w:line="480" w:lineRule="auto" w:before="44"/>
        <w:ind w:left="152" w:right="1205" w:firstLine="360"/>
        <w:jc w:val="left"/>
        <w:rPr>
          <w:rFonts w:ascii="宋体" w:hAnsi="宋体" w:cs="宋体" w:eastAsia="宋体" w:hint="default"/>
          <w:sz w:val="18"/>
          <w:szCs w:val="18"/>
        </w:rPr>
      </w:pPr>
      <w:r>
        <w:rPr>
          <w:rFonts w:ascii="宋体" w:hAnsi="宋体" w:cs="宋体" w:eastAsia="宋体" w:hint="default"/>
          <w:sz w:val="18"/>
          <w:szCs w:val="18"/>
        </w:rPr>
        <w:t>销售费用本期较上期增长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468.29%</w:t>
      </w:r>
      <w:r>
        <w:rPr>
          <w:rFonts w:ascii="宋体" w:hAnsi="宋体" w:cs="宋体" w:eastAsia="宋体" w:hint="default"/>
          <w:sz w:val="18"/>
          <w:szCs w:val="18"/>
        </w:rPr>
        <w:t>，主要是销售代理佣金、广告费、销售配套等项目增加所致，</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年公司主要项目 销售在兖州地区，为了加快销售进度，公司本年加大了项目的推广和宣传力度。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1"/>
        <w:ind w:left="152" w:right="36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3229"/>
        <w:gridCol w:w="3214"/>
        <w:gridCol w:w="3212"/>
      </w:tblGrid>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6"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2,060,188.53</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1,486,463.28</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1,451,723.18</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246,731.64</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807,863.58</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220.00</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754,320.16</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477,945.40</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审计和律师费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833,431.10</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590,401.74</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105,074.93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18" w:top="1260" w:bottom="1000" w:left="980" w:right="0"/>
        </w:sectPr>
      </w:pPr>
    </w:p>
    <w:p>
      <w:pPr>
        <w:spacing w:line="240" w:lineRule="auto" w:before="9"/>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3229"/>
        <w:gridCol w:w="3214"/>
        <w:gridCol w:w="3212"/>
      </w:tblGrid>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6"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452,880.90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20,728.70</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社保费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171,222.60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63,935.32</w:t>
            </w:r>
          </w:p>
        </w:tc>
      </w:tr>
      <w:tr>
        <w:trPr>
          <w:trHeight w:val="59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162,296.65</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80,794.27</w:t>
            </w:r>
          </w:p>
        </w:tc>
      </w:tr>
      <w:tr>
        <w:trPr>
          <w:trHeight w:val="576"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149,756.00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615,837.00</w:t>
            </w:r>
          </w:p>
        </w:tc>
      </w:tr>
      <w:tr>
        <w:trPr>
          <w:trHeight w:val="574"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145,948.85</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27,837.30</w:t>
            </w:r>
          </w:p>
        </w:tc>
      </w:tr>
      <w:tr>
        <w:trPr>
          <w:trHeight w:val="576"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143,591.50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110.00</w:t>
            </w:r>
          </w:p>
        </w:tc>
      </w:tr>
      <w:tr>
        <w:trPr>
          <w:trHeight w:val="574"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102,841.90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107,442.56</w:t>
            </w:r>
          </w:p>
        </w:tc>
      </w:tr>
      <w:tr>
        <w:trPr>
          <w:trHeight w:val="576"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93,643.90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1,100.00</w:t>
            </w:r>
          </w:p>
        </w:tc>
      </w:tr>
      <w:tr>
        <w:trPr>
          <w:trHeight w:val="576"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维修及装修费用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65,189.50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4,881.00</w:t>
            </w:r>
          </w:p>
        </w:tc>
      </w:tr>
      <w:tr>
        <w:trPr>
          <w:trHeight w:val="574"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26,380.56</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6,617.30</w:t>
            </w:r>
          </w:p>
        </w:tc>
      </w:tr>
      <w:tr>
        <w:trPr>
          <w:trHeight w:val="576"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8,995.20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4,274.00</w:t>
            </w:r>
          </w:p>
        </w:tc>
      </w:tr>
      <w:tr>
        <w:trPr>
          <w:trHeight w:val="574"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473,871.34</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110,613.65</w:t>
            </w:r>
          </w:p>
        </w:tc>
      </w:tr>
      <w:tr>
        <w:trPr>
          <w:trHeight w:val="576"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8,161,116.09</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4,194,037.45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460" w:lineRule="auto" w:before="44"/>
        <w:ind w:left="132" w:right="1122" w:firstLine="360"/>
        <w:jc w:val="left"/>
        <w:rPr>
          <w:rFonts w:ascii="宋体" w:hAnsi="宋体" w:cs="宋体" w:eastAsia="宋体" w:hint="default"/>
          <w:sz w:val="18"/>
          <w:szCs w:val="18"/>
        </w:rPr>
      </w:pPr>
      <w:r>
        <w:rPr>
          <w:rFonts w:ascii="宋体" w:hAnsi="宋体" w:cs="宋体" w:eastAsia="宋体" w:hint="default"/>
          <w:sz w:val="18"/>
          <w:szCs w:val="18"/>
        </w:rPr>
        <w:t>管理费用本期较上期增加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396.71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94.59%</w:t>
      </w:r>
      <w:r>
        <w:rPr>
          <w:rFonts w:ascii="宋体" w:hAnsi="宋体" w:cs="宋体" w:eastAsia="宋体" w:hint="default"/>
          <w:sz w:val="18"/>
          <w:szCs w:val="18"/>
        </w:rPr>
        <w:t>，主要是新设孙公司泗水海情置业有限公司人员费用和运营费用增 加所致。</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4"/>
          <w:szCs w:val="24"/>
        </w:rPr>
      </w:pPr>
    </w:p>
    <w:p>
      <w:pPr>
        <w:spacing w:before="0"/>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3188"/>
        <w:gridCol w:w="3173"/>
        <w:gridCol w:w="3435"/>
      </w:tblGrid>
      <w:tr>
        <w:trPr>
          <w:trHeight w:val="574" w:hRule="exact"/>
        </w:trPr>
        <w:tc>
          <w:tcPr>
            <w:tcW w:w="31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76" w:hRule="exact"/>
        </w:trPr>
        <w:tc>
          <w:tcPr>
            <w:tcW w:w="31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6,359,884.80</w:t>
            </w:r>
          </w:p>
        </w:tc>
        <w:tc>
          <w:tcPr>
            <w:tcW w:w="3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2,708,077.74</w:t>
            </w:r>
          </w:p>
        </w:tc>
      </w:tr>
      <w:tr>
        <w:trPr>
          <w:trHeight w:val="574" w:hRule="exact"/>
        </w:trPr>
        <w:tc>
          <w:tcPr>
            <w:tcW w:w="31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836,803.74</w:t>
            </w:r>
          </w:p>
        </w:tc>
        <w:tc>
          <w:tcPr>
            <w:tcW w:w="3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218,169.48</w:t>
            </w:r>
          </w:p>
        </w:tc>
      </w:tr>
      <w:tr>
        <w:trPr>
          <w:trHeight w:val="576" w:hRule="exact"/>
        </w:trPr>
        <w:tc>
          <w:tcPr>
            <w:tcW w:w="31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59,961.51</w:t>
            </w:r>
          </w:p>
        </w:tc>
        <w:tc>
          <w:tcPr>
            <w:tcW w:w="3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34,539.46</w:t>
            </w:r>
          </w:p>
        </w:tc>
      </w:tr>
      <w:tr>
        <w:trPr>
          <w:trHeight w:val="576" w:hRule="exact"/>
        </w:trPr>
        <w:tc>
          <w:tcPr>
            <w:tcW w:w="31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352"/>
              <w:jc w:val="right"/>
              <w:rPr>
                <w:rFonts w:ascii="宋体" w:hAnsi="宋体" w:cs="宋体" w:eastAsia="宋体" w:hint="default"/>
                <w:sz w:val="18"/>
                <w:szCs w:val="18"/>
              </w:rPr>
            </w:pPr>
            <w:r>
              <w:rPr>
                <w:rFonts w:ascii="宋体" w:hAnsi="宋体" w:cs="宋体" w:eastAsia="宋体" w:hint="default"/>
                <w:sz w:val="18"/>
                <w:szCs w:val="18"/>
              </w:rPr>
              <w:t>合计</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5,583,042.57</w:t>
            </w:r>
          </w:p>
        </w:tc>
        <w:tc>
          <w:tcPr>
            <w:tcW w:w="34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2,524,447.72</w:t>
            </w:r>
          </w:p>
        </w:tc>
      </w:tr>
    </w:tbl>
    <w:p>
      <w:pPr>
        <w:spacing w:after="0" w:line="240" w:lineRule="auto"/>
        <w:jc w:val="right"/>
        <w:rPr>
          <w:rFonts w:ascii="Times New Roman" w:hAnsi="Times New Roman" w:cs="Times New Roman" w:eastAsia="Times New Roman" w:hint="default"/>
          <w:sz w:val="18"/>
          <w:szCs w:val="18"/>
        </w:rPr>
        <w:sectPr>
          <w:footerReference w:type="default" r:id="rId32"/>
          <w:pgSz w:w="11910" w:h="16840"/>
          <w:pgMar w:footer="956" w:header="0" w:top="1040" w:bottom="1140" w:left="1000" w:right="0"/>
          <w:pgNumType w:start="112"/>
        </w:sectPr>
      </w:pPr>
    </w:p>
    <w:p>
      <w:pPr>
        <w:spacing w:before="31"/>
        <w:ind w:left="152" w:right="3673" w:firstLine="0"/>
        <w:jc w:val="left"/>
        <w:rPr>
          <w:rFonts w:ascii="宋体" w:hAnsi="宋体" w:cs="宋体" w:eastAsia="宋体" w:hint="default"/>
          <w:sz w:val="18"/>
          <w:szCs w:val="18"/>
        </w:rPr>
      </w:pPr>
      <w:r>
        <w:rPr>
          <w:rFonts w:ascii="宋体" w:hAnsi="宋体" w:cs="宋体" w:eastAsia="宋体" w:hint="default"/>
          <w:sz w:val="18"/>
          <w:szCs w:val="18"/>
        </w:rPr>
        <w:t>财务费用中利息支出本期较上期大大增加系房产开发项目贷款费用化所致。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9"/>
          <w:szCs w:val="19"/>
        </w:rPr>
      </w:pPr>
    </w:p>
    <w:p>
      <w:pPr>
        <w:spacing w:before="0"/>
        <w:ind w:left="152" w:right="36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3"/>
        <w:rPr>
          <w:rFonts w:ascii="宋体" w:hAnsi="宋体" w:cs="宋体" w:eastAsia="宋体" w:hint="default"/>
          <w:b/>
          <w:bCs/>
          <w:sz w:val="17"/>
          <w:szCs w:val="17"/>
        </w:rPr>
      </w:pPr>
    </w:p>
    <w:p>
      <w:pPr>
        <w:spacing w:before="44"/>
        <w:ind w:left="0" w:right="989"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263"/>
        <w:gridCol w:w="3250"/>
        <w:gridCol w:w="3250"/>
      </w:tblGrid>
      <w:tr>
        <w:trPr>
          <w:trHeight w:val="571"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438"/>
              <w:jc w:val="right"/>
              <w:rPr>
                <w:rFonts w:ascii="宋体" w:hAnsi="宋体" w:cs="宋体" w:eastAsia="宋体" w:hint="default"/>
                <w:sz w:val="18"/>
                <w:szCs w:val="18"/>
              </w:rPr>
            </w:pPr>
            <w:r>
              <w:rPr>
                <w:rFonts w:ascii="宋体" w:hAnsi="宋体" w:cs="宋体" w:eastAsia="宋体" w:hint="default"/>
                <w:sz w:val="18"/>
                <w:szCs w:val="18"/>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69"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-88,002.04</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98,352.04</w:t>
            </w:r>
          </w:p>
        </w:tc>
      </w:tr>
      <w:tr>
        <w:trPr>
          <w:trHeight w:val="571"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438"/>
              <w:jc w:val="right"/>
              <w:rPr>
                <w:rFonts w:ascii="宋体" w:hAnsi="宋体" w:cs="宋体" w:eastAsia="宋体" w:hint="default"/>
                <w:sz w:val="18"/>
                <w:szCs w:val="18"/>
              </w:rPr>
            </w:pPr>
            <w:r>
              <w:rPr>
                <w:rFonts w:ascii="宋体" w:hAnsi="宋体" w:cs="宋体" w:eastAsia="宋体" w:hint="default"/>
                <w:sz w:val="18"/>
                <w:szCs w:val="18"/>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-88,002.04</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98,352.04</w:t>
            </w:r>
          </w:p>
        </w:tc>
      </w:tr>
    </w:tbl>
    <w:p>
      <w:pPr>
        <w:spacing w:line="240" w:lineRule="auto" w:before="7"/>
        <w:rPr>
          <w:rFonts w:ascii="宋体" w:hAnsi="宋体" w:cs="宋体" w:eastAsia="宋体" w:hint="default"/>
          <w:sz w:val="13"/>
          <w:szCs w:val="13"/>
        </w:rPr>
      </w:pPr>
    </w:p>
    <w:p>
      <w:pPr>
        <w:spacing w:before="36"/>
        <w:ind w:left="152" w:right="36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0"/>
        <w:ind w:left="152" w:right="36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）营业外收入情况</w:t>
      </w:r>
    </w:p>
    <w:p>
      <w:pPr>
        <w:spacing w:line="240" w:lineRule="auto" w:before="4"/>
        <w:rPr>
          <w:rFonts w:ascii="宋体" w:hAnsi="宋体" w:cs="宋体" w:eastAsia="宋体" w:hint="default"/>
          <w:sz w:val="20"/>
          <w:szCs w:val="20"/>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275"/>
        <w:gridCol w:w="3262"/>
        <w:gridCol w:w="3260"/>
      </w:tblGrid>
      <w:tr>
        <w:trPr>
          <w:trHeight w:val="61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1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债务重组收入</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10,566,266.22</w:t>
            </w:r>
          </w:p>
        </w:tc>
      </w:tr>
      <w:tr>
        <w:trPr>
          <w:trHeight w:val="612"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493,452.44</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280.22</w:t>
            </w:r>
          </w:p>
        </w:tc>
      </w:tr>
      <w:tr>
        <w:trPr>
          <w:trHeight w:val="61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493,452.44</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10,566,546.44</w:t>
            </w:r>
          </w:p>
        </w:tc>
      </w:tr>
    </w:tbl>
    <w:p>
      <w:pPr>
        <w:spacing w:line="240" w:lineRule="auto" w:before="3"/>
        <w:rPr>
          <w:rFonts w:ascii="宋体" w:hAnsi="宋体" w:cs="宋体" w:eastAsia="宋体" w:hint="default"/>
          <w:sz w:val="19"/>
          <w:szCs w:val="19"/>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本期发生的营业外收入其他中有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415,902.54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元为收到深圳市中级人员法院退回的农业银行深圳罗湖支行贷款诉讼执行</w:t>
      </w:r>
    </w:p>
    <w:p>
      <w:pPr>
        <w:spacing w:line="240" w:lineRule="auto" w:before="2"/>
        <w:rPr>
          <w:rFonts w:ascii="宋体" w:hAnsi="宋体" w:cs="宋体" w:eastAsia="宋体" w:hint="default"/>
          <w:sz w:val="17"/>
          <w:szCs w:val="17"/>
        </w:rPr>
      </w:pPr>
    </w:p>
    <w:p>
      <w:pPr>
        <w:spacing w:before="44"/>
        <w:ind w:left="152" w:right="3673" w:firstLine="0"/>
        <w:jc w:val="left"/>
        <w:rPr>
          <w:rFonts w:ascii="宋体" w:hAnsi="宋体" w:cs="宋体" w:eastAsia="宋体" w:hint="default"/>
          <w:sz w:val="18"/>
          <w:szCs w:val="18"/>
        </w:rPr>
      </w:pPr>
      <w:r>
        <w:rPr>
          <w:rFonts w:ascii="宋体" w:hAnsi="宋体" w:cs="宋体" w:eastAsia="宋体" w:hint="default"/>
          <w:sz w:val="18"/>
          <w:szCs w:val="18"/>
        </w:rPr>
        <w:t>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before="0"/>
        <w:ind w:left="152" w:right="36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007"/>
        <w:gridCol w:w="2854"/>
        <w:gridCol w:w="2856"/>
      </w:tblGrid>
      <w:tr>
        <w:trPr>
          <w:trHeight w:val="588" w:hRule="exact"/>
        </w:trPr>
        <w:tc>
          <w:tcPr>
            <w:tcW w:w="4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1" w:hRule="exact"/>
        </w:trPr>
        <w:tc>
          <w:tcPr>
            <w:tcW w:w="4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19,832,646.36</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12,032,647.90</w:t>
            </w:r>
          </w:p>
        </w:tc>
      </w:tr>
      <w:tr>
        <w:trPr>
          <w:trHeight w:val="590" w:hRule="exact"/>
        </w:trPr>
        <w:tc>
          <w:tcPr>
            <w:tcW w:w="4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408,292.50</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-507,127.85</w:t>
            </w:r>
          </w:p>
        </w:tc>
      </w:tr>
      <w:tr>
        <w:trPr>
          <w:trHeight w:val="590" w:hRule="exact"/>
        </w:trPr>
        <w:tc>
          <w:tcPr>
            <w:tcW w:w="4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20,240,938.86</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11,525,520.05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36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after="0"/>
        <w:jc w:val="right"/>
        <w:rPr>
          <w:rFonts w:ascii="宋体" w:hAnsi="宋体" w:cs="宋体" w:eastAsia="宋体" w:hint="default"/>
          <w:sz w:val="18"/>
          <w:szCs w:val="18"/>
        </w:rPr>
        <w:sectPr>
          <w:pgSz w:w="11910" w:h="16840"/>
          <w:pgMar w:header="0" w:footer="956" w:top="1300" w:bottom="1140" w:left="980" w:right="0"/>
        </w:sectPr>
      </w:pPr>
    </w:p>
    <w:p>
      <w:pPr>
        <w:spacing w:line="240" w:lineRule="auto" w:before="5"/>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5476"/>
        <w:gridCol w:w="1582"/>
        <w:gridCol w:w="1366"/>
        <w:gridCol w:w="1368"/>
      </w:tblGrid>
      <w:tr>
        <w:trPr>
          <w:trHeight w:val="595" w:hRule="exact"/>
        </w:trPr>
        <w:tc>
          <w:tcPr>
            <w:tcW w:w="5476"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6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本期发生额</w:t>
            </w:r>
          </w:p>
        </w:tc>
        <w:tc>
          <w:tcPr>
            <w:tcW w:w="1368"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1"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P0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26,716,195.17</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6"/>
              <w:jc w:val="right"/>
              <w:rPr>
                <w:rFonts w:ascii="Times New Roman" w:hAnsi="Times New Roman" w:cs="Times New Roman" w:eastAsia="Times New Roman" w:hint="default"/>
                <w:sz w:val="18"/>
                <w:szCs w:val="18"/>
              </w:rPr>
            </w:pPr>
            <w:r>
              <w:rPr>
                <w:rFonts w:ascii="Times New Roman"/>
                <w:spacing w:val="-1"/>
                <w:sz w:val="18"/>
              </w:rPr>
              <w:t>21,564,136.77</w:t>
            </w:r>
          </w:p>
        </w:tc>
      </w:tr>
      <w:tr>
        <w:trPr>
          <w:trHeight w:val="59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474,064.96</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5"/>
              <w:jc w:val="right"/>
              <w:rPr>
                <w:rFonts w:ascii="Times New Roman" w:hAnsi="Times New Roman" w:cs="Times New Roman" w:eastAsia="Times New Roman" w:hint="default"/>
                <w:sz w:val="18"/>
                <w:szCs w:val="18"/>
              </w:rPr>
            </w:pPr>
            <w:r>
              <w:rPr>
                <w:rFonts w:ascii="Times New Roman"/>
                <w:spacing w:val="-1"/>
                <w:sz w:val="18"/>
              </w:rPr>
              <w:t>8,453,199.06</w:t>
            </w:r>
          </w:p>
        </w:tc>
      </w:tr>
      <w:tr>
        <w:trPr>
          <w:trHeight w:val="59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448" w:right="0"/>
              <w:jc w:val="left"/>
              <w:rPr>
                <w:rFonts w:ascii="Times New Roman" w:hAnsi="Times New Roman" w:cs="Times New Roman" w:eastAsia="Times New Roman" w:hint="default"/>
                <w:sz w:val="18"/>
                <w:szCs w:val="18"/>
              </w:rPr>
            </w:pPr>
            <w:r>
              <w:rPr>
                <w:rFonts w:ascii="Times New Roman"/>
                <w:sz w:val="18"/>
              </w:rPr>
              <w:t>P0'=P0-F</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26,242,130.21</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7"/>
              <w:jc w:val="right"/>
              <w:rPr>
                <w:rFonts w:ascii="Times New Roman" w:hAnsi="Times New Roman" w:cs="Times New Roman" w:eastAsia="Times New Roman" w:hint="default"/>
                <w:sz w:val="18"/>
                <w:szCs w:val="18"/>
              </w:rPr>
            </w:pPr>
            <w:r>
              <w:rPr>
                <w:rFonts w:ascii="Times New Roman"/>
                <w:spacing w:val="-1"/>
                <w:sz w:val="18"/>
              </w:rPr>
              <w:t>13,110,937.71</w:t>
            </w:r>
          </w:p>
        </w:tc>
      </w:tr>
      <w:tr>
        <w:trPr>
          <w:trHeight w:val="59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w w:val="99"/>
                <w:sz w:val="18"/>
              </w:rPr>
              <w:t>V</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6"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30" w:lineRule="exact" w:before="116"/>
              <w:ind w:left="122" w:right="15"/>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归属于公司普通股股东的净利润，并考虑稀释性潜在普通股对其影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P1=P0+V</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26,242,130.21</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21,564,136.77</w:t>
            </w:r>
          </w:p>
        </w:tc>
      </w:tr>
      <w:tr>
        <w:trPr>
          <w:trHeight w:val="639"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5"/>
              <w:jc w:val="left"/>
              <w:rPr>
                <w:rFonts w:ascii="宋体" w:hAnsi="宋体" w:cs="宋体" w:eastAsia="宋体" w:hint="default"/>
                <w:sz w:val="18"/>
                <w:szCs w:val="18"/>
              </w:rPr>
            </w:pPr>
            <w:r>
              <w:rPr>
                <w:rFonts w:ascii="宋体" w:hAnsi="宋体" w:cs="宋体" w:eastAsia="宋体" w:hint="default"/>
                <w:spacing w:val="3"/>
                <w:sz w:val="18"/>
                <w:szCs w:val="18"/>
              </w:rPr>
              <w:t>稀释事项对扣除非经常性损益后归属于公司普通股股东的净利润的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6"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30" w:lineRule="exact" w:before="116"/>
              <w:ind w:left="122" w:right="11"/>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扣除非经常性损益后归属于公司普通股股东的净利润，并考虑稀释性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潜在普通股对其影响，按《企业会计准则》及有关规定进行调整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379"/>
              <w:jc w:val="right"/>
              <w:rPr>
                <w:rFonts w:ascii="Times New Roman" w:hAnsi="Times New Roman" w:cs="Times New Roman" w:eastAsia="Times New Roman" w:hint="default"/>
                <w:sz w:val="18"/>
                <w:szCs w:val="18"/>
              </w:rPr>
            </w:pPr>
            <w:r>
              <w:rPr>
                <w:rFonts w:ascii="Times New Roman"/>
                <w:spacing w:val="-1"/>
                <w:sz w:val="18"/>
              </w:rPr>
              <w:t>P1'=P0'+V'</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26,242,130.21</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13,110,937.71</w:t>
            </w:r>
          </w:p>
        </w:tc>
      </w:tr>
      <w:tr>
        <w:trPr>
          <w:trHeight w:val="59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 w:right="0"/>
              <w:jc w:val="center"/>
              <w:rPr>
                <w:rFonts w:ascii="Times New Roman" w:hAnsi="Times New Roman" w:cs="Times New Roman" w:eastAsia="Times New Roman" w:hint="default"/>
                <w:sz w:val="18"/>
                <w:szCs w:val="18"/>
              </w:rPr>
            </w:pPr>
            <w:r>
              <w:rPr>
                <w:rFonts w:ascii="Times New Roman"/>
                <w:sz w:val="18"/>
              </w:rPr>
              <w:t>S0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96,227,998.00</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spacing w:val="-1"/>
                <w:sz w:val="18"/>
              </w:rPr>
              <w:t>90,486,000.00</w:t>
            </w:r>
          </w:p>
        </w:tc>
      </w:tr>
      <w:tr>
        <w:trPr>
          <w:trHeight w:val="59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 w:right="0"/>
              <w:jc w:val="center"/>
              <w:rPr>
                <w:rFonts w:ascii="Times New Roman" w:hAnsi="Times New Roman" w:cs="Times New Roman" w:eastAsia="Times New Roman" w:hint="default"/>
                <w:sz w:val="18"/>
                <w:szCs w:val="18"/>
              </w:rPr>
            </w:pPr>
            <w:r>
              <w:rPr>
                <w:rFonts w:ascii="Times New Roman"/>
                <w:sz w:val="18"/>
              </w:rPr>
              <w:t>S1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5"/>
              <w:jc w:val="right"/>
              <w:rPr>
                <w:rFonts w:ascii="Times New Roman" w:hAnsi="Times New Roman" w:cs="Times New Roman" w:eastAsia="Times New Roman" w:hint="default"/>
                <w:sz w:val="18"/>
                <w:szCs w:val="18"/>
              </w:rPr>
            </w:pPr>
            <w:r>
              <w:rPr>
                <w:rFonts w:ascii="Times New Roman"/>
                <w:spacing w:val="-1"/>
                <w:sz w:val="18"/>
              </w:rPr>
              <w:t>5,741,998.00</w:t>
            </w:r>
          </w:p>
        </w:tc>
      </w:tr>
      <w:tr>
        <w:trPr>
          <w:trHeight w:val="588"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Si</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Sj</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1"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 w:right="0"/>
              <w:jc w:val="center"/>
              <w:rPr>
                <w:rFonts w:ascii="Times New Roman" w:hAnsi="Times New Roman" w:cs="Times New Roman" w:eastAsia="Times New Roman" w:hint="default"/>
                <w:sz w:val="18"/>
                <w:szCs w:val="18"/>
              </w:rPr>
            </w:pPr>
            <w:r>
              <w:rPr>
                <w:rFonts w:ascii="Times New Roman"/>
                <w:sz w:val="18"/>
              </w:rPr>
              <w:t>Sk</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M0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7"/>
              <w:jc w:val="right"/>
              <w:rPr>
                <w:rFonts w:ascii="Times New Roman" w:hAnsi="Times New Roman" w:cs="Times New Roman" w:eastAsia="Times New Roman" w:hint="default"/>
                <w:sz w:val="18"/>
                <w:szCs w:val="18"/>
              </w:rPr>
            </w:pPr>
            <w:r>
              <w:rPr>
                <w:rFonts w:ascii="Times New Roman"/>
                <w:sz w:val="18"/>
              </w:rPr>
              <w:t>12.00</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5"/>
              <w:jc w:val="right"/>
              <w:rPr>
                <w:rFonts w:ascii="Times New Roman" w:hAnsi="Times New Roman" w:cs="Times New Roman" w:eastAsia="Times New Roman" w:hint="default"/>
                <w:sz w:val="18"/>
                <w:szCs w:val="18"/>
              </w:rPr>
            </w:pPr>
            <w:r>
              <w:rPr>
                <w:rFonts w:ascii="Times New Roman"/>
                <w:sz w:val="18"/>
              </w:rPr>
              <w:t>12.00</w:t>
            </w:r>
          </w:p>
        </w:tc>
      </w:tr>
      <w:tr>
        <w:trPr>
          <w:trHeight w:val="59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Mi</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Mj</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3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w:t>
            </w:r>
            <w:r>
              <w:rPr>
                <w:rFonts w:ascii="Times New Roman" w:hAnsi="Times New Roman" w:cs="Times New Roman" w:eastAsia="Times New Roman" w:hint="default"/>
                <w:sz w:val="18"/>
                <w:szCs w:val="18"/>
              </w:rPr>
              <w:t>Si×Mi</w:t>
            </w:r>
          </w:p>
          <w:p>
            <w:pPr>
              <w:pStyle w:val="TableParagraph"/>
              <w:spacing w:line="240" w:lineRule="auto" w:before="131"/>
              <w:ind w:left="3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Sj×Mj÷M0-Sk</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96,227,998.00</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636"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30" w:lineRule="exact" w:before="116"/>
              <w:ind w:left="122" w:right="11"/>
              <w:jc w:val="left"/>
              <w:rPr>
                <w:rFonts w:ascii="宋体" w:hAnsi="宋体" w:cs="宋体" w:eastAsia="宋体" w:hint="default"/>
                <w:sz w:val="18"/>
                <w:szCs w:val="18"/>
              </w:rPr>
            </w:pPr>
            <w:r>
              <w:rPr>
                <w:rFonts w:ascii="宋体" w:hAnsi="宋体" w:cs="宋体" w:eastAsia="宋体" w:hint="default"/>
                <w:spacing w:val="-3"/>
                <w:sz w:val="18"/>
                <w:szCs w:val="18"/>
              </w:rPr>
              <w:t>加：假定稀释性潜在普通股转换为已发行普通股而增加的普通股加权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X1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1"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412" w:right="0"/>
              <w:jc w:val="left"/>
              <w:rPr>
                <w:rFonts w:ascii="Times New Roman" w:hAnsi="Times New Roman" w:cs="Times New Roman" w:eastAsia="Times New Roman" w:hint="default"/>
                <w:sz w:val="18"/>
                <w:szCs w:val="18"/>
              </w:rPr>
            </w:pPr>
            <w:r>
              <w:rPr>
                <w:rFonts w:ascii="Times New Roman"/>
                <w:sz w:val="18"/>
              </w:rPr>
              <w:t>X2=S+X1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96,227,998.00</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06"/>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59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88"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33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EPS0=P0÷S</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0.2776</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5"/>
              <w:jc w:val="right"/>
              <w:rPr>
                <w:rFonts w:ascii="Times New Roman" w:hAnsi="Times New Roman" w:cs="Times New Roman" w:eastAsia="Times New Roman" w:hint="default"/>
                <w:sz w:val="18"/>
                <w:szCs w:val="18"/>
              </w:rPr>
            </w:pPr>
            <w:r>
              <w:rPr>
                <w:rFonts w:ascii="Times New Roman"/>
                <w:spacing w:val="-1"/>
                <w:sz w:val="18"/>
              </w:rPr>
              <w:t>0.22</w:t>
            </w:r>
          </w:p>
        </w:tc>
      </w:tr>
      <w:tr>
        <w:trPr>
          <w:trHeight w:val="59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30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EPS0'=P0'÷S</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0.2727</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0.14</w:t>
            </w:r>
          </w:p>
        </w:tc>
      </w:tr>
    </w:tbl>
    <w:p>
      <w:pPr>
        <w:spacing w:after="0" w:line="240" w:lineRule="auto"/>
        <w:jc w:val="right"/>
        <w:rPr>
          <w:rFonts w:ascii="Times New Roman" w:hAnsi="Times New Roman" w:cs="Times New Roman" w:eastAsia="Times New Roman" w:hint="default"/>
          <w:sz w:val="18"/>
          <w:szCs w:val="18"/>
        </w:rPr>
        <w:sectPr>
          <w:footerReference w:type="default" r:id="rId33"/>
          <w:pgSz w:w="11910" w:h="16840"/>
          <w:pgMar w:footer="818" w:header="0" w:top="1040" w:bottom="1000" w:left="900" w:right="0"/>
          <w:pgNumType w:start="114"/>
        </w:sectPr>
      </w:pPr>
    </w:p>
    <w:p>
      <w:pPr>
        <w:spacing w:line="240" w:lineRule="auto" w:before="5"/>
        <w:rPr>
          <w:rFonts w:ascii="Times New Roman" w:hAnsi="Times New Roman" w:cs="Times New Roman" w:eastAsia="Times New Roman"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5476"/>
        <w:gridCol w:w="1582"/>
        <w:gridCol w:w="1366"/>
        <w:gridCol w:w="1368"/>
      </w:tblGrid>
      <w:tr>
        <w:trPr>
          <w:trHeight w:val="595" w:hRule="exact"/>
        </w:trPr>
        <w:tc>
          <w:tcPr>
            <w:tcW w:w="5476"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36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本期发生额</w:t>
            </w:r>
          </w:p>
        </w:tc>
        <w:tc>
          <w:tcPr>
            <w:tcW w:w="1368"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1"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0.2776</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0.22</w:t>
            </w:r>
          </w:p>
        </w:tc>
      </w:tr>
      <w:tr>
        <w:trPr>
          <w:trHeight w:val="595" w:hRule="exact"/>
        </w:trPr>
        <w:tc>
          <w:tcPr>
            <w:tcW w:w="5476"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5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36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0.2727</w:t>
            </w:r>
          </w:p>
        </w:tc>
        <w:tc>
          <w:tcPr>
            <w:tcW w:w="1368" w:type="dxa"/>
            <w:tcBorders>
              <w:top w:val="single" w:sz="4" w:space="0" w:color="000000"/>
              <w:left w:val="single" w:sz="4"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05"/>
              <w:jc w:val="right"/>
              <w:rPr>
                <w:rFonts w:ascii="Times New Roman" w:hAnsi="Times New Roman" w:cs="Times New Roman" w:eastAsia="Times New Roman" w:hint="default"/>
                <w:sz w:val="18"/>
                <w:szCs w:val="18"/>
              </w:rPr>
            </w:pPr>
            <w:r>
              <w:rPr>
                <w:rFonts w:ascii="Times New Roman"/>
                <w:spacing w:val="-1"/>
                <w:sz w:val="18"/>
              </w:rPr>
              <w:t>0.14</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spacing w:before="36"/>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5795"/>
        <w:gridCol w:w="1982"/>
        <w:gridCol w:w="1985"/>
      </w:tblGrid>
      <w:tr>
        <w:trPr>
          <w:trHeight w:val="59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89"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可供出售金融资产产生的利得（损失）金额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按照权益法核算的在被投资单位其他综合收益中所享有的份额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64"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78" w:lineRule="auto"/>
              <w:ind w:left="754" w:right="173" w:hanging="358"/>
              <w:jc w:val="left"/>
              <w:rPr>
                <w:rFonts w:ascii="宋体" w:hAnsi="宋体" w:cs="宋体" w:eastAsia="宋体" w:hint="default"/>
                <w:sz w:val="18"/>
                <w:szCs w:val="18"/>
              </w:rPr>
            </w:pPr>
            <w:r>
              <w:rPr>
                <w:rFonts w:ascii="宋体" w:hAnsi="宋体" w:cs="宋体" w:eastAsia="宋体" w:hint="default"/>
                <w:sz w:val="18"/>
                <w:szCs w:val="18"/>
              </w:rPr>
              <w:t>减：按照权益法核算的在被投资单位其他综合收益中所享有的份额 产生的所得税影响</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756"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现金流量套期工具产生的利得（或损失）金额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减：现金流量套期工具产生的所得税影响</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3"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转为被套期项目初始确认金额的调整</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2"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18" w:top="1040" w:bottom="1000" w:left="900" w:right="0"/>
        </w:sectPr>
      </w:pP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5795"/>
        <w:gridCol w:w="1982"/>
        <w:gridCol w:w="1985"/>
      </w:tblGrid>
      <w:tr>
        <w:trPr>
          <w:trHeight w:val="59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1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2"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756" w:right="0"/>
              <w:jc w:val="lef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5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36"/>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）收到的其他与经营活动有关的现金</w:t>
      </w:r>
    </w:p>
    <w:p>
      <w:pPr>
        <w:spacing w:line="240" w:lineRule="auto" w:before="11"/>
        <w:rPr>
          <w:rFonts w:ascii="宋体" w:hAnsi="宋体" w:cs="宋体" w:eastAsia="宋体" w:hint="default"/>
          <w:sz w:val="18"/>
          <w:szCs w:val="18"/>
        </w:rPr>
      </w:pPr>
    </w:p>
    <w:p>
      <w:pPr>
        <w:spacing w:before="44"/>
        <w:ind w:left="6625" w:right="1128" w:firstLine="0"/>
        <w:jc w:val="lef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3275"/>
        <w:gridCol w:w="3260"/>
        <w:gridCol w:w="3260"/>
      </w:tblGrid>
      <w:tr>
        <w:trPr>
          <w:trHeight w:val="59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836,803.74</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218,062.36</w:t>
            </w:r>
          </w:p>
        </w:tc>
      </w:tr>
      <w:tr>
        <w:trPr>
          <w:trHeight w:val="59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3,270,758.21</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447,264.51</w:t>
            </w:r>
          </w:p>
        </w:tc>
      </w:tr>
      <w:tr>
        <w:trPr>
          <w:trHeight w:val="59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77,549.90</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1"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4,185,111.85</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665,326.87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232" w:right="1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）支付的其他与经营活动有关的现金</w:t>
      </w:r>
    </w:p>
    <w:p>
      <w:pPr>
        <w:spacing w:line="240" w:lineRule="auto" w:before="11"/>
        <w:rPr>
          <w:rFonts w:ascii="宋体" w:hAnsi="宋体" w:cs="宋体" w:eastAsia="宋体" w:hint="default"/>
          <w:sz w:val="18"/>
          <w:szCs w:val="18"/>
        </w:rPr>
      </w:pPr>
    </w:p>
    <w:p>
      <w:pPr>
        <w:spacing w:before="44"/>
        <w:ind w:left="6625" w:right="1128" w:firstLine="0"/>
        <w:jc w:val="lef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3275"/>
        <w:gridCol w:w="3260"/>
        <w:gridCol w:w="3260"/>
      </w:tblGrid>
      <w:tr>
        <w:trPr>
          <w:trHeight w:val="59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43"/>
              <w:jc w:val="right"/>
              <w:rPr>
                <w:rFonts w:ascii="宋体" w:hAnsi="宋体" w:cs="宋体" w:eastAsia="宋体" w:hint="default"/>
                <w:sz w:val="18"/>
                <w:szCs w:val="18"/>
              </w:rPr>
            </w:pPr>
            <w:r>
              <w:rPr>
                <w:rFonts w:ascii="宋体" w:hAnsi="宋体" w:cs="宋体" w:eastAsia="宋体" w:hint="default"/>
                <w:sz w:val="18"/>
                <w:szCs w:val="18"/>
              </w:rPr>
              <w:t>项目</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5,044,021.30</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1,160,171.73</w:t>
            </w:r>
          </w:p>
        </w:tc>
      </w:tr>
      <w:tr>
        <w:trPr>
          <w:trHeight w:val="591"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管理费用付现</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4,180,010.24</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1,939,746.02</w:t>
            </w:r>
          </w:p>
        </w:tc>
      </w:tr>
      <w:tr>
        <w:trPr>
          <w:trHeight w:val="59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3,667,125.00</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3,766,682.53</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44,173,867.79</w:t>
            </w:r>
          </w:p>
        </w:tc>
      </w:tr>
      <w:tr>
        <w:trPr>
          <w:trHeight w:val="59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16,657,839.07</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47,273,785.54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tabs>
          <w:tab w:pos="6598" w:val="left" w:leader="none"/>
        </w:tabs>
        <w:spacing w:before="44"/>
        <w:ind w:left="232" w:right="112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）收到的其他与投资活动有关的现金</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footerReference w:type="default" r:id="rId34"/>
          <w:pgSz w:w="11910" w:h="16840"/>
          <w:pgMar w:footer="956" w:header="0" w:top="1040" w:bottom="1140" w:left="900" w:right="0"/>
          <w:pgNumType w:start="116"/>
        </w:sectPr>
      </w:pPr>
    </w:p>
    <w:p>
      <w:pPr>
        <w:spacing w:line="240" w:lineRule="auto" w:before="9"/>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275"/>
        <w:gridCol w:w="3260"/>
        <w:gridCol w:w="3260"/>
      </w:tblGrid>
      <w:tr>
        <w:trPr>
          <w:trHeight w:val="59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1"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投资补偿款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903,520.00</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3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903,520.00</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tabs>
          <w:tab w:pos="6458"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）收到的其他与筹资活动有关的现金</w:t>
        <w:tab/>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2"/>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3263"/>
        <w:gridCol w:w="3248"/>
        <w:gridCol w:w="3250"/>
      </w:tblGrid>
      <w:tr>
        <w:trPr>
          <w:trHeight w:val="5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347"/>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88"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大股东暂借款</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4,208,340.61</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1"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394"/>
              <w:jc w:val="right"/>
              <w:rPr>
                <w:rFonts w:ascii="宋体" w:hAnsi="宋体" w:cs="宋体" w:eastAsia="宋体" w:hint="default"/>
                <w:sz w:val="18"/>
                <w:szCs w:val="18"/>
              </w:rPr>
            </w:pPr>
            <w:r>
              <w:rPr>
                <w:rFonts w:ascii="宋体" w:hAnsi="宋体" w:cs="宋体" w:eastAsia="宋体" w:hint="default"/>
                <w:sz w:val="18"/>
                <w:szCs w:val="18"/>
              </w:rPr>
              <w:t>合计</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4,208,340.61</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6"/>
        <w:ind w:left="152" w:right="36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152" w:right="36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）现金流量表补充资料</w:t>
      </w:r>
    </w:p>
    <w:p>
      <w:pPr>
        <w:spacing w:line="240" w:lineRule="auto" w:before="6"/>
        <w:rPr>
          <w:rFonts w:ascii="宋体" w:hAnsi="宋体" w:cs="宋体" w:eastAsia="宋体" w:hint="default"/>
          <w:sz w:val="20"/>
          <w:szCs w:val="2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6256"/>
        <w:gridCol w:w="1702"/>
        <w:gridCol w:w="1697"/>
      </w:tblGrid>
      <w:tr>
        <w:trPr>
          <w:trHeight w:val="612"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30,011,854.61</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23,814,049.78</w:t>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-88,002.04</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98,352.04</w:t>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129,810.88</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117,230.87</w:t>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2"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1,846,474.80</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2,708,077.74</w:t>
            </w:r>
          </w:p>
        </w:tc>
      </w:tr>
      <w:tr>
        <w:trPr>
          <w:trHeight w:val="612"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6" w:top="1040" w:bottom="1140" w:left="980" w:right="0"/>
        </w:sectPr>
      </w:pPr>
    </w:p>
    <w:p>
      <w:pPr>
        <w:spacing w:line="240" w:lineRule="auto" w:before="5"/>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6256"/>
        <w:gridCol w:w="1702"/>
        <w:gridCol w:w="1697"/>
      </w:tblGrid>
      <w:tr>
        <w:trPr>
          <w:trHeight w:val="612"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408,292.50</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spacing w:val="-1"/>
                <w:sz w:val="18"/>
              </w:rPr>
              <w:t>666,244.31</w:t>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2"/>
              <w:jc w:val="right"/>
              <w:rPr>
                <w:rFonts w:ascii="Times New Roman" w:hAnsi="Times New Roman" w:cs="Times New Roman" w:eastAsia="Times New Roman" w:hint="default"/>
                <w:sz w:val="18"/>
                <w:szCs w:val="18"/>
              </w:rPr>
            </w:pPr>
            <w:r>
              <w:rPr>
                <w:rFonts w:ascii="Times New Roman"/>
                <w:spacing w:val="-1"/>
                <w:sz w:val="18"/>
              </w:rPr>
              <w:t>-134,736,969.68</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spacing w:val="-1"/>
                <w:sz w:val="18"/>
              </w:rPr>
              <w:t>-69,102,899.22</w:t>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2187"/>
              <w:jc w:val="righ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-27,944,496.27</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spacing w:val="-1"/>
                <w:sz w:val="18"/>
              </w:rPr>
              <w:t>-7,540,461.09</w:t>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2187"/>
              <w:jc w:val="righ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60,300,554.45</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spacing w:val="-1"/>
                <w:sz w:val="18"/>
              </w:rPr>
              <w:t>69,571,600.78</w:t>
            </w:r>
          </w:p>
        </w:tc>
      </w:tr>
      <w:tr>
        <w:trPr>
          <w:trHeight w:val="613"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pacing w:val="-1"/>
                <w:sz w:val="18"/>
              </w:rPr>
              <w:t>-415,902.54</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-70,488,383.29</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spacing w:val="-1"/>
                <w:sz w:val="18"/>
              </w:rPr>
              <w:t>20,332,195.21</w:t>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2"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23,125,978.79</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spacing w:val="-1"/>
                <w:sz w:val="18"/>
              </w:rPr>
              <w:t>144,800,392.95</w:t>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144,800,392.95</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spacing w:val="-1"/>
                <w:sz w:val="18"/>
              </w:rPr>
              <w:t>32,530,614.74</w:t>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2"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2"/>
              <w:jc w:val="right"/>
              <w:rPr>
                <w:rFonts w:ascii="Times New Roman" w:hAnsi="Times New Roman" w:cs="Times New Roman" w:eastAsia="Times New Roman" w:hint="default"/>
                <w:sz w:val="18"/>
                <w:szCs w:val="18"/>
              </w:rPr>
            </w:pPr>
            <w:r>
              <w:rPr>
                <w:rFonts w:ascii="Times New Roman"/>
                <w:spacing w:val="-1"/>
                <w:sz w:val="18"/>
              </w:rPr>
              <w:t>-121,674,414.16</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3"/>
              <w:jc w:val="right"/>
              <w:rPr>
                <w:rFonts w:ascii="Times New Roman" w:hAnsi="Times New Roman" w:cs="Times New Roman" w:eastAsia="Times New Roman" w:hint="default"/>
                <w:sz w:val="18"/>
                <w:szCs w:val="18"/>
              </w:rPr>
            </w:pPr>
            <w:r>
              <w:rPr>
                <w:rFonts w:ascii="Times New Roman"/>
                <w:spacing w:val="-1"/>
                <w:sz w:val="18"/>
              </w:rPr>
              <w:t>112,269,778.21</w:t>
            </w:r>
          </w:p>
        </w:tc>
      </w:tr>
    </w:tbl>
    <w:p>
      <w:pPr>
        <w:spacing w:after="0" w:line="240" w:lineRule="auto"/>
        <w:jc w:val="right"/>
        <w:rPr>
          <w:rFonts w:ascii="Times New Roman" w:hAnsi="Times New Roman" w:cs="Times New Roman" w:eastAsia="Times New Roman" w:hint="default"/>
          <w:sz w:val="18"/>
          <w:szCs w:val="18"/>
        </w:rPr>
        <w:sectPr>
          <w:footerReference w:type="default" r:id="rId35"/>
          <w:pgSz w:w="11910" w:h="16840"/>
          <w:pgMar w:footer="818" w:header="0" w:top="1040" w:bottom="1000" w:left="1000" w:right="0"/>
          <w:pgNumType w:start="118"/>
        </w:sectPr>
      </w:pPr>
    </w:p>
    <w:p>
      <w:pPr>
        <w:spacing w:before="30"/>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）现金和现金等价物的构成</w:t>
      </w:r>
    </w:p>
    <w:p>
      <w:pPr>
        <w:spacing w:line="240" w:lineRule="auto" w:before="11"/>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938"/>
        <w:gridCol w:w="2360"/>
        <w:gridCol w:w="2357"/>
      </w:tblGrid>
      <w:tr>
        <w:trPr>
          <w:trHeight w:val="57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项目</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69"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23,125,978.79</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144,800,392.95</w:t>
            </w:r>
          </w:p>
        </w:tc>
      </w:tr>
      <w:tr>
        <w:trPr>
          <w:trHeight w:val="57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807,305.84</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368,919.62</w:t>
            </w:r>
          </w:p>
        </w:tc>
      </w:tr>
      <w:tr>
        <w:trPr>
          <w:trHeight w:val="569"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22,318,672.95</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144,431,473.33</w:t>
            </w:r>
          </w:p>
        </w:tc>
      </w:tr>
      <w:tr>
        <w:trPr>
          <w:trHeight w:val="57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28"/>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9"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28"/>
              <w:jc w:val="right"/>
              <w:rPr>
                <w:rFonts w:ascii="宋体" w:hAnsi="宋体" w:cs="宋体" w:eastAsia="宋体" w:hint="default"/>
                <w:sz w:val="18"/>
                <w:szCs w:val="18"/>
              </w:rPr>
            </w:pPr>
            <w:r>
              <w:rPr>
                <w:rFonts w:ascii="宋体" w:hAnsi="宋体" w:cs="宋体" w:eastAsia="宋体" w:hint="default"/>
                <w:spacing w:val="-1"/>
                <w:sz w:val="18"/>
                <w:szCs w:val="18"/>
              </w:rPr>
              <w:t>可用于支付的存放中央银行款项</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9"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9"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23,125,978.79</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144,800,392.95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18" w:top="1320" w:bottom="1000" w:left="1000" w:right="0"/>
        </w:sectPr>
      </w:pPr>
    </w:p>
    <w:p>
      <w:pPr>
        <w:spacing w:line="240" w:lineRule="auto" w:before="7"/>
        <w:rPr>
          <w:rFonts w:ascii="宋体" w:hAnsi="宋体" w:cs="宋体" w:eastAsia="宋体" w:hint="default"/>
          <w:sz w:val="15"/>
          <w:szCs w:val="15"/>
        </w:rPr>
      </w:pPr>
    </w:p>
    <w:p>
      <w:pPr>
        <w:spacing w:before="36"/>
        <w:ind w:left="132" w:right="0" w:firstLine="0"/>
        <w:jc w:val="left"/>
        <w:rPr>
          <w:rFonts w:ascii="黑体" w:hAnsi="黑体" w:cs="黑体" w:eastAsia="黑体" w:hint="default"/>
          <w:sz w:val="21"/>
          <w:szCs w:val="21"/>
        </w:rPr>
      </w:pPr>
      <w:r>
        <w:rPr>
          <w:rFonts w:ascii="黑体" w:hAnsi="黑体" w:cs="黑体" w:eastAsia="黑体" w:hint="default"/>
          <w:b/>
          <w:bCs/>
          <w:sz w:val="21"/>
          <w:szCs w:val="21"/>
        </w:rPr>
        <w:t>六、关联方及关联交易</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8"/>
          <w:szCs w:val="18"/>
        </w:rPr>
      </w:pPr>
    </w:p>
    <w:p>
      <w:pPr>
        <w:spacing w:before="0"/>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z w:val="21"/>
          <w:szCs w:val="21"/>
        </w:rPr>
        <w:t>存在控制关系的关联方</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716"/>
        <w:gridCol w:w="1678"/>
        <w:gridCol w:w="982"/>
        <w:gridCol w:w="838"/>
        <w:gridCol w:w="982"/>
        <w:gridCol w:w="982"/>
        <w:gridCol w:w="984"/>
        <w:gridCol w:w="1687"/>
        <w:gridCol w:w="1973"/>
        <w:gridCol w:w="1406"/>
        <w:gridCol w:w="1411"/>
      </w:tblGrid>
      <w:tr>
        <w:trPr>
          <w:trHeight w:val="757"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30" w:lineRule="exact"/>
              <w:ind w:left="343" w:right="119"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母公司对本企业的 持股比例</w:t>
            </w:r>
            <w:r>
              <w:rPr>
                <w:rFonts w:ascii="Times New Roman" w:hAnsi="Times New Roman" w:cs="Times New Roman" w:eastAsia="Times New Roman" w:hint="default"/>
                <w:sz w:val="18"/>
                <w:szCs w:val="18"/>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30" w:lineRule="exact"/>
              <w:ind w:left="487" w:right="171"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母公司对本企业的表 决权比例</w:t>
            </w:r>
            <w:r>
              <w:rPr>
                <w:rFonts w:ascii="Times New Roman" w:hAnsi="Times New Roman" w:cs="Times New Roman" w:eastAsia="Times New Roman" w:hint="default"/>
                <w:sz w:val="18"/>
                <w:szCs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87"/>
              <w:ind w:left="249" w:right="245" w:firstLine="180"/>
              <w:jc w:val="left"/>
              <w:rPr>
                <w:rFonts w:ascii="宋体" w:hAnsi="宋体" w:cs="宋体" w:eastAsia="宋体" w:hint="default"/>
                <w:sz w:val="18"/>
                <w:szCs w:val="18"/>
              </w:rPr>
            </w:pPr>
            <w:r>
              <w:rPr>
                <w:rFonts w:ascii="宋体" w:hAnsi="宋体" w:cs="宋体" w:eastAsia="宋体" w:hint="default"/>
                <w:sz w:val="18"/>
                <w:szCs w:val="18"/>
              </w:rPr>
              <w:t>本企业 最终控制方</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638"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00"/>
              <w:jc w:val="left"/>
              <w:rPr>
                <w:rFonts w:ascii="宋体" w:hAnsi="宋体" w:cs="宋体" w:eastAsia="宋体" w:hint="default"/>
                <w:sz w:val="18"/>
                <w:szCs w:val="18"/>
              </w:rPr>
            </w:pPr>
            <w:r>
              <w:rPr>
                <w:rFonts w:ascii="宋体" w:hAnsi="宋体" w:cs="宋体" w:eastAsia="宋体" w:hint="default"/>
                <w:spacing w:val="5"/>
                <w:sz w:val="18"/>
                <w:szCs w:val="18"/>
              </w:rPr>
              <w:t>青岛亚星实业有限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本公司之控股公司</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有限责任</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姜剑</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批发零售</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 </w:t>
            </w:r>
            <w:r>
              <w:rPr>
                <w:rFonts w:ascii="宋体" w:hAnsi="宋体" w:cs="宋体" w:eastAsia="宋体" w:hint="default"/>
                <w:sz w:val="18"/>
                <w:szCs w:val="18"/>
              </w:rPr>
              <w:t>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38.71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38.71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姜剑</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26459132-6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6"/>
          <w:pgSz w:w="16840" w:h="11910" w:orient="landscape"/>
          <w:pgMar w:footer="0" w:header="0" w:top="1100" w:bottom="0" w:left="1000" w:right="0"/>
        </w:sectPr>
      </w:pPr>
    </w:p>
    <w:p>
      <w:pPr>
        <w:spacing w:before="169"/>
        <w:ind w:left="132" w:right="-7"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、本企业的子公司情况</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18"/>
          <w:szCs w:val="18"/>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单位：万元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type w:val="continuous"/>
          <w:pgSz w:w="16840" w:h="11910" w:orient="landscape"/>
          <w:pgMar w:top="1580" w:bottom="1140" w:left="1000" w:right="0"/>
          <w:cols w:num="2" w:equalWidth="0">
            <w:col w:w="2349" w:space="10153"/>
            <w:col w:w="3338"/>
          </w:cols>
        </w:sectPr>
      </w:pP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235"/>
        <w:gridCol w:w="1524"/>
        <w:gridCol w:w="1088"/>
        <w:gridCol w:w="1231"/>
        <w:gridCol w:w="1166"/>
        <w:gridCol w:w="1702"/>
        <w:gridCol w:w="1066"/>
        <w:gridCol w:w="1563"/>
        <w:gridCol w:w="1483"/>
        <w:gridCol w:w="1582"/>
      </w:tblGrid>
      <w:tr>
        <w:trPr>
          <w:trHeight w:val="591"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90"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青岛广顺房地产有限公司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朱兰英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1000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83.00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83.00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72559132-X</w:t>
            </w:r>
          </w:p>
        </w:tc>
      </w:tr>
      <w:tr>
        <w:trPr>
          <w:trHeight w:val="590"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济宁海情置业有限公司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兖州</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姜剑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2000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90.00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69967797-0</w:t>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9"/>
        <w:ind w:left="5291" w:right="6282" w:firstLine="0"/>
        <w:jc w:val="center"/>
        <w:rPr>
          <w:rFonts w:ascii="Times New Roman" w:hAnsi="Times New Roman" w:cs="Times New Roman" w:eastAsia="Times New Roman" w:hint="default"/>
          <w:sz w:val="18"/>
          <w:szCs w:val="18"/>
        </w:rPr>
      </w:pPr>
      <w:r>
        <w:rPr/>
        <w:pict>
          <v:shape style="position:absolute;margin-left:740.650024pt;margin-top:2.696094pt;width:101.25pt;height:57.75pt;mso-position-horizontal-relative:page;mso-position-vertical-relative:paragraph;z-index:2152" type="#_x0000_t75" stroked="false">
            <v:imagedata r:id="rId15" o:title=""/>
          </v:shape>
        </w:pict>
      </w:r>
      <w:r>
        <w:rPr>
          <w:rFonts w:ascii="Times New Roman"/>
          <w:sz w:val="18"/>
        </w:rPr>
        <w:t>120</w:t>
      </w:r>
    </w:p>
    <w:p>
      <w:pPr>
        <w:spacing w:after="0"/>
        <w:jc w:val="center"/>
        <w:rPr>
          <w:rFonts w:ascii="Times New Roman" w:hAnsi="Times New Roman" w:cs="Times New Roman" w:eastAsia="Times New Roman" w:hint="default"/>
          <w:sz w:val="18"/>
          <w:szCs w:val="18"/>
        </w:rPr>
        <w:sectPr>
          <w:type w:val="continuous"/>
          <w:pgSz w:w="16840" w:h="11910" w:orient="landscape"/>
          <w:pgMar w:top="1580" w:bottom="1140" w:left="1000" w:right="0"/>
        </w:sectPr>
      </w:pPr>
    </w:p>
    <w:p>
      <w:pPr>
        <w:spacing w:before="8"/>
        <w:ind w:left="152" w:right="36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tbl>
      <w:tblPr>
        <w:tblW w:w="0" w:type="auto"/>
        <w:jc w:val="left"/>
        <w:tblInd w:w="133" w:type="dxa"/>
        <w:tblLayout w:type="fixed"/>
        <w:tblCellMar>
          <w:top w:w="0" w:type="dxa"/>
          <w:left w:w="0" w:type="dxa"/>
          <w:bottom w:w="0" w:type="dxa"/>
          <w:right w:w="0" w:type="dxa"/>
        </w:tblCellMar>
        <w:tblLook w:val="01E0"/>
      </w:tblPr>
      <w:tblGrid>
        <w:gridCol w:w="3135"/>
        <w:gridCol w:w="4976"/>
        <w:gridCol w:w="1543"/>
      </w:tblGrid>
      <w:tr>
        <w:trPr>
          <w:trHeight w:val="53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943"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28"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控股股东</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26459132-6</w:t>
            </w:r>
          </w:p>
        </w:tc>
      </w:tr>
      <w:tr>
        <w:trPr>
          <w:trHeight w:val="53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青岛亚星投资有限公司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受同一控股股东控制</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74036022-0</w:t>
            </w:r>
          </w:p>
        </w:tc>
      </w:tr>
      <w:tr>
        <w:trPr>
          <w:trHeight w:val="53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青岛美丰置业有限公司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受同一控股股东控制</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79080041-5</w:t>
            </w:r>
          </w:p>
        </w:tc>
      </w:tr>
      <w:tr>
        <w:trPr>
          <w:trHeight w:val="53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青岛嘉合福远置业有限公司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受同一控股股东控制</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68675275-9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spacing w:before="36"/>
        <w:ind w:left="152" w:right="36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p>
      <w:pPr>
        <w:spacing w:before="0"/>
        <w:ind w:left="152" w:right="3673" w:firstLine="0"/>
        <w:jc w:val="left"/>
        <w:rPr>
          <w:rFonts w:ascii="宋体" w:hAnsi="宋体" w:cs="宋体" w:eastAsia="宋体" w:hint="default"/>
          <w:sz w:val="18"/>
          <w:szCs w:val="18"/>
        </w:rPr>
      </w:pPr>
      <w:r>
        <w:rPr>
          <w:rFonts w:ascii="宋体" w:hAnsi="宋体" w:cs="宋体" w:eastAsia="宋体" w:hint="default"/>
          <w:sz w:val="18"/>
          <w:szCs w:val="18"/>
        </w:rPr>
        <w:t>关联担保情况</w:t>
      </w:r>
    </w:p>
    <w:p>
      <w:pPr>
        <w:spacing w:line="240" w:lineRule="auto" w:before="1"/>
        <w:rPr>
          <w:rFonts w:ascii="宋体" w:hAnsi="宋体" w:cs="宋体" w:eastAsia="宋体" w:hint="default"/>
          <w:sz w:val="20"/>
          <w:szCs w:val="2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172"/>
        <w:gridCol w:w="2410"/>
        <w:gridCol w:w="1277"/>
        <w:gridCol w:w="1135"/>
        <w:gridCol w:w="1558"/>
        <w:gridCol w:w="1162"/>
      </w:tblGrid>
      <w:tr>
        <w:trPr>
          <w:trHeight w:val="638"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0"/>
              <w:jc w:val="right"/>
              <w:rPr>
                <w:rFonts w:ascii="宋体" w:hAnsi="宋体" w:cs="宋体" w:eastAsia="宋体" w:hint="default"/>
                <w:sz w:val="18"/>
                <w:szCs w:val="18"/>
              </w:rPr>
            </w:pPr>
            <w:r>
              <w:rPr>
                <w:rFonts w:ascii="宋体" w:hAnsi="宋体" w:cs="宋体" w:eastAsia="宋体" w:hint="default"/>
                <w:sz w:val="18"/>
                <w:szCs w:val="18"/>
              </w:rPr>
              <w:t>担保起始日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4"/>
              <w:ind w:left="215" w:right="38" w:hanging="180"/>
              <w:jc w:val="left"/>
              <w:rPr>
                <w:rFonts w:ascii="宋体" w:hAnsi="宋体" w:cs="宋体" w:eastAsia="宋体" w:hint="default"/>
                <w:sz w:val="18"/>
                <w:szCs w:val="18"/>
              </w:rPr>
            </w:pPr>
            <w:r>
              <w:rPr>
                <w:rFonts w:ascii="宋体" w:hAnsi="宋体" w:cs="宋体" w:eastAsia="宋体" w:hint="default"/>
                <w:sz w:val="18"/>
                <w:szCs w:val="18"/>
              </w:rPr>
              <w:t>担保是否已经 履行完毕</w:t>
            </w:r>
          </w:p>
        </w:tc>
      </w:tr>
      <w:tr>
        <w:trPr>
          <w:trHeight w:val="550"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25,956,482.60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53"/>
              <w:jc w:val="right"/>
              <w:rPr>
                <w:rFonts w:ascii="Times New Roman" w:hAnsi="Times New Roman" w:cs="Times New Roman" w:eastAsia="Times New Roman" w:hint="default"/>
                <w:sz w:val="18"/>
                <w:szCs w:val="18"/>
              </w:rPr>
            </w:pPr>
            <w:r>
              <w:rPr>
                <w:rFonts w:ascii="Times New Roman"/>
                <w:w w:val="95"/>
                <w:sz w:val="18"/>
              </w:rPr>
              <w:t>2009.12.31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贷款方结清贷款日</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0"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青岛广顺房地产有限公司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49,000,000.00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2009.3.31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2012.3.23</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6"/>
        <w:ind w:left="152" w:right="36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0"/>
        <w:rPr>
          <w:rFonts w:ascii="宋体" w:hAnsi="宋体" w:cs="宋体" w:eastAsia="宋体" w:hint="default"/>
          <w:b/>
          <w:bCs/>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314"/>
        <w:gridCol w:w="2696"/>
        <w:gridCol w:w="2268"/>
        <w:gridCol w:w="2436"/>
      </w:tblGrid>
      <w:tr>
        <w:trPr>
          <w:trHeight w:val="552"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方正延中传媒有限公司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27,198.72</w:t>
            </w:r>
          </w:p>
        </w:tc>
        <w:tc>
          <w:tcPr>
            <w:tcW w:w="24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27,198.72</w:t>
            </w:r>
          </w:p>
        </w:tc>
      </w:tr>
      <w:tr>
        <w:trPr>
          <w:trHeight w:val="55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青岛亚星投资有限公司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4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青岛嘉合福远置业有限公司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24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20,058,900.80</w:t>
            </w:r>
          </w:p>
        </w:tc>
      </w:tr>
      <w:tr>
        <w:trPr>
          <w:trHeight w:val="55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12,749,424.77</w:t>
            </w:r>
          </w:p>
        </w:tc>
        <w:tc>
          <w:tcPr>
            <w:tcW w:w="24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5,822,542.91</w:t>
            </w:r>
          </w:p>
        </w:tc>
      </w:tr>
      <w:tr>
        <w:trPr>
          <w:trHeight w:val="550"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青岛美丰置业有限公司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5,718,541.25</w:t>
            </w:r>
          </w:p>
        </w:tc>
      </w:tr>
      <w:tr>
        <w:trPr>
          <w:trHeight w:val="552"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方正延中传媒有限公司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422,122.00</w:t>
            </w:r>
          </w:p>
        </w:tc>
        <w:tc>
          <w:tcPr>
            <w:tcW w:w="2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422,122.00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3673" w:firstLine="0"/>
        <w:jc w:val="left"/>
        <w:rPr>
          <w:rFonts w:ascii="黑体" w:hAnsi="黑体" w:cs="黑体" w:eastAsia="黑体" w:hint="default"/>
          <w:sz w:val="21"/>
          <w:szCs w:val="21"/>
        </w:rPr>
      </w:pPr>
      <w:r>
        <w:rPr>
          <w:rFonts w:ascii="黑体" w:hAnsi="黑体" w:cs="黑体" w:eastAsia="黑体" w:hint="default"/>
          <w:b/>
          <w:bCs/>
          <w:sz w:val="21"/>
          <w:szCs w:val="21"/>
        </w:rPr>
        <w:t>七、或有事项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24"/>
          <w:szCs w:val="24"/>
        </w:rPr>
      </w:pPr>
    </w:p>
    <w:p>
      <w:pPr>
        <w:spacing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、深大通为深圳益生堂在上海浦东发展银行深圳红荔路支行</w:t>
      </w:r>
      <w:r>
        <w:rPr>
          <w:rFonts w:ascii="Times New Roman" w:hAnsi="Times New Roman" w:cs="Times New Roman" w:eastAsia="Times New Roman" w:hint="default"/>
          <w:sz w:val="18"/>
          <w:szCs w:val="18"/>
        </w:rPr>
        <w:t>(</w:t>
      </w:r>
      <w:r>
        <w:rPr>
          <w:rFonts w:ascii="宋体" w:hAnsi="宋体" w:cs="宋体" w:eastAsia="宋体" w:hint="default"/>
          <w:sz w:val="18"/>
          <w:szCs w:val="18"/>
        </w:rPr>
        <w:t>现更名为上海浦东发展银行股份有限公司深圳凤凰大厦支</w:t>
      </w:r>
    </w:p>
    <w:p>
      <w:pPr>
        <w:spacing w:after="0"/>
        <w:jc w:val="left"/>
        <w:rPr>
          <w:rFonts w:ascii="宋体" w:hAnsi="宋体" w:cs="宋体" w:eastAsia="宋体" w:hint="default"/>
          <w:sz w:val="18"/>
          <w:szCs w:val="18"/>
        </w:rPr>
        <w:sectPr>
          <w:footerReference w:type="default" r:id="rId37"/>
          <w:pgSz w:w="11910" w:h="16840"/>
          <w:pgMar w:footer="956" w:header="0" w:top="1240" w:bottom="1140" w:left="980" w:right="0"/>
          <w:pgNumType w:start="121"/>
        </w:sectPr>
      </w:pPr>
    </w:p>
    <w:p>
      <w:pPr>
        <w:spacing w:before="30"/>
        <w:ind w:left="112" w:right="0" w:firstLine="0"/>
        <w:jc w:val="left"/>
        <w:rPr>
          <w:rFonts w:ascii="宋体" w:hAnsi="宋体" w:cs="宋体" w:eastAsia="宋体" w:hint="default"/>
          <w:sz w:val="18"/>
          <w:szCs w:val="18"/>
        </w:rPr>
      </w:pPr>
      <w:r>
        <w:rPr>
          <w:rFonts w:ascii="宋体" w:hAnsi="宋体" w:cs="宋体" w:eastAsia="宋体" w:hint="default"/>
          <w:sz w:val="18"/>
          <w:szCs w:val="18"/>
        </w:rPr>
        <w:t>行</w:t>
      </w:r>
      <w:r>
        <w:rPr>
          <w:rFonts w:ascii="Times New Roman" w:hAnsi="Times New Roman" w:cs="Times New Roman" w:eastAsia="Times New Roman" w:hint="default"/>
          <w:sz w:val="18"/>
          <w:szCs w:val="18"/>
        </w:rPr>
        <w:t>)</w:t>
      </w:r>
      <w:r>
        <w:rPr>
          <w:rFonts w:ascii="宋体" w:hAnsi="宋体" w:cs="宋体" w:eastAsia="宋体" w:hint="default"/>
          <w:sz w:val="18"/>
          <w:szCs w:val="18"/>
        </w:rPr>
        <w:t>贷款</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万元提供担保，上海浦东发展银行深圳红荔路支行在深圳市中级人民法院诉益生堂、深大通借款担保合同纠纷</w:t>
      </w:r>
    </w:p>
    <w:p>
      <w:pPr>
        <w:spacing w:line="240" w:lineRule="auto" w:before="4"/>
        <w:rPr>
          <w:rFonts w:ascii="宋体" w:hAnsi="宋体" w:cs="宋体" w:eastAsia="宋体" w:hint="default"/>
          <w:sz w:val="19"/>
          <w:szCs w:val="1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案涉及本金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万元，已经法院立案并正在审理中。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16" w:lineRule="auto" w:before="143"/>
        <w:ind w:left="112" w:right="113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日，青岛亚星实业有限公司、深圳大通实业股份有限公司、上海浦东发展银行股份有限公司深圳凤凰 </w:t>
      </w:r>
      <w:r>
        <w:rPr>
          <w:rFonts w:ascii="宋体" w:hAnsi="宋体" w:cs="宋体" w:eastAsia="宋体" w:hint="default"/>
          <w:spacing w:val="-2"/>
          <w:sz w:val="18"/>
          <w:szCs w:val="18"/>
        </w:rPr>
        <w:t>大厦支行、上海文慧投资有限公司、上海港银投资管理有限公司及其他相关各方包括河南方正信息技术有限公司、深圳市益</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生堂药业有限公司和创益生物科技有限公司签署了浦银深保字（</w:t>
      </w:r>
      <w:r>
        <w:rPr>
          <w:rFonts w:ascii="Times New Roman" w:hAnsi="Times New Roman" w:cs="Times New Roman" w:eastAsia="Times New Roman" w:hint="default"/>
          <w:sz w:val="18"/>
          <w:szCs w:val="18"/>
        </w:rPr>
        <w:t>2008</w:t>
      </w:r>
      <w:r>
        <w:rPr>
          <w:rFonts w:ascii="宋体" w:hAnsi="宋体" w:cs="宋体" w:eastAsia="宋体" w:hint="default"/>
          <w:sz w:val="18"/>
          <w:szCs w:val="18"/>
        </w:rPr>
        <w:t>）第 </w:t>
      </w:r>
      <w:r>
        <w:rPr>
          <w:rFonts w:ascii="Times New Roman" w:hAnsi="Times New Roman" w:cs="Times New Roman" w:eastAsia="Times New Roman" w:hint="default"/>
          <w:spacing w:val="-1"/>
          <w:sz w:val="18"/>
          <w:szCs w:val="18"/>
        </w:rPr>
        <w:t>001</w:t>
      </w:r>
      <w:r>
        <w:rPr>
          <w:rFonts w:ascii="Times New Roman" w:hAnsi="Times New Roman" w:cs="Times New Roman" w:eastAsia="Times New Roman" w:hint="default"/>
          <w:spacing w:val="-26"/>
          <w:sz w:val="18"/>
          <w:szCs w:val="18"/>
        </w:rPr>
        <w:t> </w:t>
      </w:r>
      <w:r>
        <w:rPr>
          <w:rFonts w:ascii="宋体" w:hAnsi="宋体" w:cs="宋体" w:eastAsia="宋体" w:hint="default"/>
          <w:spacing w:val="-5"/>
          <w:sz w:val="18"/>
          <w:szCs w:val="18"/>
        </w:rPr>
        <w:t>号《协议书》，在满足约定条件下，上海浦东</w:t>
      </w:r>
    </w:p>
    <w:p>
      <w:pPr>
        <w:spacing w:line="499" w:lineRule="auto" w:before="42"/>
        <w:ind w:left="112" w:right="1117" w:firstLine="0"/>
        <w:jc w:val="left"/>
        <w:rPr>
          <w:rFonts w:ascii="宋体" w:hAnsi="宋体" w:cs="宋体" w:eastAsia="宋体" w:hint="default"/>
          <w:sz w:val="18"/>
          <w:szCs w:val="18"/>
        </w:rPr>
      </w:pPr>
      <w:r>
        <w:rPr>
          <w:rFonts w:ascii="宋体" w:hAnsi="宋体" w:cs="宋体" w:eastAsia="宋体" w:hint="default"/>
          <w:sz w:val="18"/>
          <w:szCs w:val="18"/>
        </w:rPr>
        <w:t>发展银行股份有限公司深圳凤凰大厦支行同意免除深圳大通实业股份有限公司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万元的担保责任，并撤回相关诉讼。报 告期内，浦发银行已撤回相关诉讼。</w:t>
      </w:r>
    </w:p>
    <w:p>
      <w:pPr>
        <w:spacing w:line="501" w:lineRule="auto" w:before="132"/>
        <w:ind w:left="112" w:right="1129"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、中联实业股份有限公司诉</w:t>
      </w:r>
      <w:r>
        <w:rPr>
          <w:rFonts w:ascii="宋体" w:hAnsi="宋体" w:cs="宋体" w:eastAsia="宋体" w:hint="default"/>
          <w:spacing w:val="-3"/>
          <w:sz w:val="18"/>
          <w:szCs w:val="18"/>
        </w:rPr>
        <w:t>深</w:t>
      </w:r>
      <w:r>
        <w:rPr>
          <w:rFonts w:ascii="宋体" w:hAnsi="宋体" w:cs="宋体" w:eastAsia="宋体" w:hint="default"/>
          <w:sz w:val="18"/>
          <w:szCs w:val="18"/>
        </w:rPr>
        <w:t>大通、深圳益生堂生物企业有限公司</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以下简称</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益生堂</w:t>
      </w:r>
      <w:r>
        <w:rPr>
          <w:rFonts w:ascii="Times New Roman" w:hAnsi="Times New Roman" w:cs="Times New Roman" w:eastAsia="Times New Roman" w:hint="default"/>
          <w:spacing w:val="-1"/>
          <w:w w:val="126"/>
          <w:sz w:val="18"/>
          <w:szCs w:val="18"/>
        </w:rPr>
        <w:t>‖</w:t>
      </w:r>
      <w:r>
        <w:rPr>
          <w:rFonts w:ascii="Times New Roman" w:hAnsi="Times New Roman" w:cs="Times New Roman" w:eastAsia="Times New Roman" w:hint="default"/>
          <w:w w:val="126"/>
          <w:sz w:val="18"/>
          <w:szCs w:val="18"/>
        </w:rPr>
        <w:t>)</w:t>
      </w:r>
      <w:r>
        <w:rPr>
          <w:rFonts w:ascii="宋体" w:hAnsi="宋体" w:cs="宋体" w:eastAsia="宋体" w:hint="default"/>
          <w:sz w:val="18"/>
          <w:szCs w:val="18"/>
        </w:rPr>
        <w:t>反担保合同纠纷上诉案（民生 银行深圳分</w:t>
      </w:r>
      <w:r>
        <w:rPr>
          <w:rFonts w:ascii="宋体" w:hAnsi="宋体" w:cs="宋体" w:eastAsia="宋体" w:hint="default"/>
          <w:spacing w:val="-5"/>
          <w:sz w:val="18"/>
          <w:szCs w:val="18"/>
        </w:rPr>
        <w:t>行</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04</w:t>
      </w:r>
      <w:r>
        <w:rPr>
          <w:rFonts w:ascii="宋体" w:hAnsi="宋体" w:cs="宋体" w:eastAsia="宋体" w:hint="default"/>
          <w:spacing w:val="-5"/>
          <w:sz w:val="18"/>
          <w:szCs w:val="18"/>
        </w:rPr>
        <w:t>）</w:t>
      </w:r>
      <w:r>
        <w:rPr>
          <w:rFonts w:ascii="宋体" w:hAnsi="宋体" w:cs="宋体" w:eastAsia="宋体" w:hint="default"/>
          <w:sz w:val="18"/>
          <w:szCs w:val="18"/>
        </w:rPr>
        <w:t>年深</w:t>
      </w:r>
      <w:r>
        <w:rPr>
          <w:rFonts w:ascii="宋体" w:hAnsi="宋体" w:cs="宋体" w:eastAsia="宋体" w:hint="default"/>
          <w:spacing w:val="-3"/>
          <w:sz w:val="18"/>
          <w:szCs w:val="18"/>
        </w:rPr>
        <w:t>振</w:t>
      </w:r>
      <w:r>
        <w:rPr>
          <w:rFonts w:ascii="宋体" w:hAnsi="宋体" w:cs="宋体" w:eastAsia="宋体" w:hint="default"/>
          <w:sz w:val="18"/>
          <w:szCs w:val="18"/>
        </w:rPr>
        <w:t>业贷</w:t>
      </w:r>
      <w:r>
        <w:rPr>
          <w:rFonts w:ascii="宋体" w:hAnsi="宋体" w:cs="宋体" w:eastAsia="宋体" w:hint="default"/>
          <w:spacing w:val="-5"/>
          <w:sz w:val="18"/>
          <w:szCs w:val="18"/>
        </w:rPr>
        <w:t>字</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96"/>
          <w:sz w:val="18"/>
          <w:szCs w:val="18"/>
        </w:rPr>
        <w:t>）</w:t>
      </w:r>
      <w:r>
        <w:rPr>
          <w:rFonts w:ascii="宋体" w:hAnsi="宋体" w:cs="宋体" w:eastAsia="宋体" w:hint="default"/>
          <w:sz w:val="18"/>
          <w:szCs w:val="18"/>
        </w:rPr>
        <w:t>《保证</w:t>
      </w:r>
      <w:r>
        <w:rPr>
          <w:rFonts w:ascii="宋体" w:hAnsi="宋体" w:cs="宋体" w:eastAsia="宋体" w:hint="default"/>
          <w:spacing w:val="-3"/>
          <w:sz w:val="18"/>
          <w:szCs w:val="18"/>
        </w:rPr>
        <w:t>合</w:t>
      </w:r>
      <w:r>
        <w:rPr>
          <w:rFonts w:ascii="宋体" w:hAnsi="宋体" w:cs="宋体" w:eastAsia="宋体" w:hint="default"/>
          <w:sz w:val="18"/>
          <w:szCs w:val="18"/>
        </w:rPr>
        <w:t>同</w:t>
      </w:r>
      <w:r>
        <w:rPr>
          <w:rFonts w:ascii="宋体" w:hAnsi="宋体" w:cs="宋体" w:eastAsia="宋体" w:hint="default"/>
          <w:spacing w:val="-5"/>
          <w:sz w:val="18"/>
          <w:szCs w:val="18"/>
        </w:rPr>
        <w:t>》</w:t>
      </w:r>
      <w:r>
        <w:rPr>
          <w:rFonts w:ascii="宋体" w:hAnsi="宋体" w:cs="宋体" w:eastAsia="宋体" w:hint="default"/>
          <w:sz w:val="18"/>
          <w:szCs w:val="18"/>
        </w:rPr>
        <w:t>和光大银行深南支行</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号</w:t>
      </w:r>
      <w:r>
        <w:rPr>
          <w:rFonts w:ascii="宋体" w:hAnsi="宋体" w:cs="宋体" w:eastAsia="宋体" w:hint="default"/>
          <w:sz w:val="18"/>
          <w:szCs w:val="18"/>
        </w:rPr>
        <w:t>《最高额保证合同</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涉及担</w:t>
      </w:r>
      <w:r>
        <w:rPr>
          <w:rFonts w:ascii="宋体" w:hAnsi="宋体" w:cs="宋体" w:eastAsia="宋体" w:hint="default"/>
          <w:sz w:val="18"/>
          <w:szCs w:val="18"/>
        </w:rPr>
        <w:t> 保金额为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元，已经</w:t>
      </w:r>
      <w:r>
        <w:rPr>
          <w:rFonts w:ascii="宋体" w:hAnsi="宋体" w:cs="宋体" w:eastAsia="宋体" w:hint="default"/>
          <w:spacing w:val="-3"/>
          <w:sz w:val="18"/>
          <w:szCs w:val="18"/>
        </w:rPr>
        <w:t>深</w:t>
      </w:r>
      <w:r>
        <w:rPr>
          <w:rFonts w:ascii="宋体" w:hAnsi="宋体" w:cs="宋体" w:eastAsia="宋体" w:hint="default"/>
          <w:sz w:val="18"/>
          <w:szCs w:val="18"/>
        </w:rPr>
        <w:t>圳市中级人民法院立案受理（案号为</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2007</w:t>
      </w:r>
      <w:r>
        <w:rPr>
          <w:rFonts w:ascii="宋体" w:hAnsi="宋体" w:cs="宋体" w:eastAsia="宋体" w:hint="default"/>
          <w:sz w:val="18"/>
          <w:szCs w:val="18"/>
        </w:rPr>
        <w:t>）深中法民二</w:t>
      </w:r>
      <w:r>
        <w:rPr>
          <w:rFonts w:ascii="宋体" w:hAnsi="宋体" w:cs="宋体" w:eastAsia="宋体" w:hint="default"/>
          <w:spacing w:val="-3"/>
          <w:sz w:val="18"/>
          <w:szCs w:val="18"/>
        </w:rPr>
        <w:t>终</w:t>
      </w:r>
      <w:r>
        <w:rPr>
          <w:rFonts w:ascii="宋体" w:hAnsi="宋体" w:cs="宋体" w:eastAsia="宋体" w:hint="default"/>
          <w:sz w:val="18"/>
          <w:szCs w:val="18"/>
        </w:rPr>
        <w:t>字第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501" w:lineRule="auto" w:before="92"/>
        <w:ind w:left="112" w:right="1128" w:firstLine="360"/>
        <w:jc w:val="both"/>
        <w:rPr>
          <w:rFonts w:ascii="宋体" w:hAnsi="宋体" w:cs="宋体" w:eastAsia="宋体" w:hint="default"/>
          <w:sz w:val="18"/>
          <w:szCs w:val="18"/>
        </w:rPr>
      </w:pPr>
      <w:r>
        <w:rPr>
          <w:rFonts w:ascii="宋体" w:hAnsi="宋体" w:cs="宋体" w:eastAsia="宋体" w:hint="default"/>
          <w:sz w:val="18"/>
          <w:szCs w:val="18"/>
        </w:rPr>
        <w:t>中联实业股份有限公司诉深大通</w:t>
      </w:r>
      <w:r>
        <w:rPr>
          <w:rFonts w:ascii="宋体" w:hAnsi="宋体" w:cs="宋体" w:eastAsia="宋体" w:hint="default"/>
          <w:spacing w:val="-36"/>
          <w:sz w:val="18"/>
          <w:szCs w:val="18"/>
        </w:rPr>
        <w:t>、</w:t>
      </w:r>
      <w:r>
        <w:rPr>
          <w:rFonts w:ascii="宋体" w:hAnsi="宋体" w:cs="宋体" w:eastAsia="宋体" w:hint="default"/>
          <w:sz w:val="18"/>
          <w:szCs w:val="18"/>
        </w:rPr>
        <w:t>益生堂反担保合同纠纷</w:t>
      </w:r>
      <w:r>
        <w:rPr>
          <w:rFonts w:ascii="宋体" w:hAnsi="宋体" w:cs="宋体" w:eastAsia="宋体" w:hint="default"/>
          <w:spacing w:val="-36"/>
          <w:sz w:val="18"/>
          <w:szCs w:val="18"/>
        </w:rPr>
        <w:t>案</w:t>
      </w:r>
      <w:r>
        <w:rPr>
          <w:rFonts w:ascii="宋体" w:hAnsi="宋体" w:cs="宋体" w:eastAsia="宋体" w:hint="default"/>
          <w:sz w:val="18"/>
          <w:szCs w:val="18"/>
        </w:rPr>
        <w:t>（民生银行深圳分</w:t>
      </w:r>
      <w:r>
        <w:rPr>
          <w:rFonts w:ascii="宋体" w:hAnsi="宋体" w:cs="宋体" w:eastAsia="宋体" w:hint="default"/>
          <w:spacing w:val="-36"/>
          <w:sz w:val="18"/>
          <w:szCs w:val="18"/>
        </w:rPr>
        <w:t>行</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04</w:t>
      </w:r>
      <w:r>
        <w:rPr>
          <w:rFonts w:ascii="宋体" w:hAnsi="宋体" w:cs="宋体" w:eastAsia="宋体" w:hint="default"/>
          <w:spacing w:val="-36"/>
          <w:sz w:val="18"/>
          <w:szCs w:val="18"/>
        </w:rPr>
        <w:t>）</w:t>
      </w:r>
      <w:r>
        <w:rPr>
          <w:rFonts w:ascii="宋体" w:hAnsi="宋体" w:cs="宋体" w:eastAsia="宋体" w:hint="default"/>
          <w:sz w:val="18"/>
          <w:szCs w:val="18"/>
        </w:rPr>
        <w:t>年</w:t>
      </w:r>
      <w:r>
        <w:rPr>
          <w:rFonts w:ascii="宋体" w:hAnsi="宋体" w:cs="宋体" w:eastAsia="宋体" w:hint="default"/>
          <w:spacing w:val="-3"/>
          <w:sz w:val="18"/>
          <w:szCs w:val="18"/>
        </w:rPr>
        <w:t>深</w:t>
      </w:r>
      <w:r>
        <w:rPr>
          <w:rFonts w:ascii="宋体" w:hAnsi="宋体" w:cs="宋体" w:eastAsia="宋体" w:hint="default"/>
          <w:sz w:val="18"/>
          <w:szCs w:val="18"/>
        </w:rPr>
        <w:t>振业贷</w:t>
      </w:r>
      <w:r>
        <w:rPr>
          <w:rFonts w:ascii="宋体" w:hAnsi="宋体" w:cs="宋体" w:eastAsia="宋体" w:hint="default"/>
          <w:spacing w:val="-36"/>
          <w:sz w:val="18"/>
          <w:szCs w:val="18"/>
        </w:rPr>
        <w:t>字</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28"/>
          <w:sz w:val="18"/>
          <w:szCs w:val="18"/>
        </w:rPr>
        <w:t>）</w:t>
      </w:r>
      <w:r>
        <w:rPr>
          <w:rFonts w:ascii="宋体" w:hAnsi="宋体" w:cs="宋体" w:eastAsia="宋体" w:hint="default"/>
          <w:sz w:val="18"/>
          <w:szCs w:val="18"/>
        </w:rPr>
        <w:t>《保</w:t>
      </w:r>
      <w:r>
        <w:rPr>
          <w:rFonts w:ascii="宋体" w:hAnsi="宋体" w:cs="宋体" w:eastAsia="宋体" w:hint="default"/>
          <w:sz w:val="18"/>
          <w:szCs w:val="18"/>
        </w:rPr>
        <w:t> 证合同》和光大银行深南支行</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03</w:t>
      </w:r>
      <w:r>
        <w:rPr>
          <w:rFonts w:ascii="Times New Roman" w:hAnsi="Times New Roman" w:cs="Times New Roman" w:eastAsia="Times New Roman" w:hint="default"/>
          <w:spacing w:val="-2"/>
          <w:sz w:val="18"/>
          <w:szCs w:val="18"/>
        </w:rPr>
        <w:t>02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号《最高额保证合同</w:t>
      </w:r>
      <w:r>
        <w:rPr>
          <w:rFonts w:ascii="宋体" w:hAnsi="宋体" w:cs="宋体" w:eastAsia="宋体" w:hint="default"/>
          <w:spacing w:val="-92"/>
          <w:sz w:val="18"/>
          <w:szCs w:val="18"/>
        </w:rPr>
        <w:t>》）</w:t>
      </w:r>
      <w:r>
        <w:rPr>
          <w:rFonts w:ascii="宋体" w:hAnsi="宋体" w:cs="宋体" w:eastAsia="宋体" w:hint="default"/>
          <w:sz w:val="18"/>
          <w:szCs w:val="18"/>
        </w:rPr>
        <w:t>，涉及担保金额为</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t>，已经深圳市福田区人民法院立</w:t>
      </w:r>
    </w:p>
    <w:p>
      <w:pPr>
        <w:spacing w:before="54"/>
        <w:ind w:left="112" w:right="0" w:firstLine="0"/>
        <w:jc w:val="left"/>
        <w:rPr>
          <w:rFonts w:ascii="宋体" w:hAnsi="宋体" w:cs="宋体" w:eastAsia="宋体" w:hint="default"/>
          <w:sz w:val="18"/>
          <w:szCs w:val="18"/>
        </w:rPr>
      </w:pPr>
      <w:r>
        <w:rPr>
          <w:rFonts w:ascii="宋体" w:hAnsi="宋体" w:cs="宋体" w:eastAsia="宋体" w:hint="default"/>
          <w:sz w:val="18"/>
          <w:szCs w:val="18"/>
        </w:rPr>
        <w:t>案受理（案号为</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2007</w:t>
      </w:r>
      <w:r>
        <w:rPr>
          <w:rFonts w:ascii="宋体" w:hAnsi="宋体" w:cs="宋体" w:eastAsia="宋体" w:hint="default"/>
          <w:sz w:val="18"/>
          <w:szCs w:val="18"/>
        </w:rPr>
        <w:t>）深</w:t>
      </w:r>
      <w:r>
        <w:rPr>
          <w:rFonts w:ascii="宋体" w:hAnsi="宋体" w:cs="宋体" w:eastAsia="宋体" w:hint="default"/>
          <w:spacing w:val="-3"/>
          <w:sz w:val="18"/>
          <w:szCs w:val="18"/>
        </w:rPr>
        <w:t>福</w:t>
      </w:r>
      <w:r>
        <w:rPr>
          <w:rFonts w:ascii="宋体" w:hAnsi="宋体" w:cs="宋体" w:eastAsia="宋体" w:hint="default"/>
          <w:sz w:val="18"/>
          <w:szCs w:val="18"/>
        </w:rPr>
        <w:t>法民二初字第</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250</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，尚</w:t>
      </w:r>
      <w:r>
        <w:rPr>
          <w:rFonts w:ascii="宋体" w:hAnsi="宋体" w:cs="宋体" w:eastAsia="宋体" w:hint="default"/>
          <w:spacing w:val="-3"/>
          <w:sz w:val="18"/>
          <w:szCs w:val="18"/>
        </w:rPr>
        <w:t>未</w:t>
      </w:r>
      <w:r>
        <w:rPr>
          <w:rFonts w:ascii="宋体" w:hAnsi="宋体" w:cs="宋体" w:eastAsia="宋体" w:hint="default"/>
          <w:sz w:val="18"/>
          <w:szCs w:val="18"/>
        </w:rPr>
        <w:t>起诉的金额人民币</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元以及执行费，上述三项金额</w:t>
      </w:r>
    </w:p>
    <w:p>
      <w:pPr>
        <w:spacing w:line="240" w:lineRule="auto" w:before="8"/>
        <w:rPr>
          <w:rFonts w:ascii="宋体" w:hAnsi="宋体" w:cs="宋体" w:eastAsia="宋体" w:hint="default"/>
          <w:sz w:val="20"/>
          <w:szCs w:val="20"/>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合计中联实业股份有限公司代深圳益生堂生物企业有限公司偿还款项为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9,365,510 </w:t>
      </w:r>
      <w:r>
        <w:rPr>
          <w:rFonts w:ascii="宋体" w:hAnsi="宋体" w:cs="宋体" w:eastAsia="宋体" w:hint="default"/>
          <w:sz w:val="18"/>
          <w:szCs w:val="18"/>
        </w:rPr>
        <w:t>元。</w:t>
      </w:r>
    </w:p>
    <w:p>
      <w:pPr>
        <w:spacing w:line="240" w:lineRule="auto" w:before="11"/>
        <w:rPr>
          <w:rFonts w:ascii="宋体" w:hAnsi="宋体" w:cs="宋体" w:eastAsia="宋体" w:hint="default"/>
          <w:sz w:val="23"/>
          <w:szCs w:val="23"/>
        </w:rPr>
      </w:pPr>
    </w:p>
    <w:p>
      <w:pPr>
        <w:spacing w:line="516" w:lineRule="auto" w:before="0"/>
        <w:ind w:left="112" w:right="113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日，本公司与中联实业股份有限公司、青岛亚星实业有限公司、益生堂四方签订和解协议书，深大通 潜在股东青岛亚星实业公司承诺在其通过重组取得深大通股份后按照和解协议书约定条件向中联实业股份有限公司承担债</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z w:val="18"/>
          <w:szCs w:val="18"/>
        </w:rPr>
        <w:t>务清偿责任，解除深大通反担保责任及相应的连带清偿责任。</w:t>
      </w:r>
    </w:p>
    <w:p>
      <w:pPr>
        <w:spacing w:before="116"/>
        <w:ind w:left="4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日亚星实业已按约定将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万股深大通股份质押给中联实业。</w:t>
      </w:r>
    </w:p>
    <w:p>
      <w:pPr>
        <w:spacing w:line="240" w:lineRule="auto" w:before="11"/>
        <w:rPr>
          <w:rFonts w:ascii="宋体" w:hAnsi="宋体" w:cs="宋体" w:eastAsia="宋体" w:hint="default"/>
          <w:sz w:val="23"/>
          <w:szCs w:val="23"/>
        </w:rPr>
      </w:pPr>
    </w:p>
    <w:p>
      <w:pPr>
        <w:spacing w:line="508" w:lineRule="auto" w:before="0"/>
        <w:ind w:left="112" w:right="1049" w:firstLine="360"/>
        <w:jc w:val="left"/>
        <w:rPr>
          <w:rFonts w:ascii="宋体" w:hAnsi="宋体" w:cs="宋体" w:eastAsia="宋体" w:hint="default"/>
          <w:sz w:val="18"/>
          <w:szCs w:val="18"/>
        </w:rPr>
      </w:pPr>
      <w:r>
        <w:rPr>
          <w:rFonts w:ascii="Times New Roman" w:hAnsi="Times New Roman" w:cs="Times New Roman" w:eastAsia="Times New Roman" w:hint="default"/>
          <w:w w:val="100"/>
          <w:sz w:val="18"/>
          <w:szCs w:val="18"/>
        </w:rPr>
        <w:t>3</w:t>
      </w:r>
      <w:r>
        <w:rPr>
          <w:rFonts w:ascii="宋体" w:hAnsi="宋体" w:cs="宋体" w:eastAsia="宋体" w:hint="default"/>
          <w:w w:val="100"/>
          <w:sz w:val="18"/>
          <w:szCs w:val="18"/>
        </w:rPr>
        <w:t>、本公司就深圳市益田集团股份有限公司（下称</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益田集团公司</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）为深圳市益生堂生物企业有限公司向上海浦东发展</w:t>
      </w:r>
      <w:r>
        <w:rPr>
          <w:rFonts w:ascii="宋体" w:hAnsi="宋体" w:cs="宋体" w:eastAsia="宋体" w:hint="default"/>
          <w:sz w:val="18"/>
          <w:szCs w:val="18"/>
        </w:rPr>
        <w:t> 银行深圳红荔路支行</w:t>
      </w:r>
      <w:r>
        <w:rPr>
          <w:rFonts w:ascii="Times New Roman" w:hAnsi="Times New Roman" w:cs="Times New Roman" w:eastAsia="Times New Roman" w:hint="default"/>
          <w:sz w:val="18"/>
          <w:szCs w:val="18"/>
        </w:rPr>
        <w:t>(</w:t>
      </w:r>
      <w:r>
        <w:rPr>
          <w:rFonts w:ascii="宋体" w:hAnsi="宋体" w:cs="宋体" w:eastAsia="宋体" w:hint="default"/>
          <w:sz w:val="18"/>
          <w:szCs w:val="18"/>
        </w:rPr>
        <w:t>现更名为上海浦东发展银行股份有限公司深圳凤凰路支行</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万元贷款（借款合同为浦银深（红荔） </w:t>
      </w:r>
      <w:r>
        <w:rPr>
          <w:rFonts w:ascii="宋体" w:hAnsi="宋体" w:cs="宋体" w:eastAsia="宋体" w:hint="default"/>
          <w:spacing w:val="-4"/>
          <w:sz w:val="18"/>
          <w:szCs w:val="18"/>
        </w:rPr>
        <w:t>借字第（</w:t>
      </w:r>
      <w:r>
        <w:rPr>
          <w:rFonts w:ascii="Times New Roman" w:hAnsi="Times New Roman" w:cs="Times New Roman" w:eastAsia="Times New Roman" w:hint="default"/>
          <w:spacing w:val="-4"/>
          <w:sz w:val="18"/>
          <w:szCs w:val="18"/>
        </w:rPr>
        <w:t>2005</w:t>
      </w:r>
      <w:r>
        <w:rPr>
          <w:rFonts w:ascii="宋体" w:hAnsi="宋体" w:cs="宋体" w:eastAsia="宋体" w:hint="default"/>
          <w:spacing w:val="-4"/>
          <w:sz w:val="18"/>
          <w:szCs w:val="18"/>
        </w:rPr>
        <w:t>）第</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号《借款合同》）提供担保而向益田集团公司提供连带保证的反担保，并于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日向益田集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团公司出具了《不可撤销反担保函》。益田集团公司已经履行担保责任，代深圳市益生堂生物企业有限公司偿付上海浦东发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展银行贷款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3"/>
          <w:sz w:val="18"/>
          <w:szCs w:val="18"/>
        </w:rPr>
        <w:t> </w:t>
      </w:r>
      <w:r>
        <w:rPr>
          <w:rFonts w:ascii="宋体" w:hAnsi="宋体" w:cs="宋体" w:eastAsia="宋体" w:hint="default"/>
          <w:spacing w:val="-4"/>
          <w:sz w:val="18"/>
          <w:szCs w:val="18"/>
        </w:rPr>
        <w:t>万元。益田集团公司诉深大通担保合同纠纷一案已经深圳市中级人民法院立案受理（案号为：（</w:t>
      </w:r>
      <w:r>
        <w:rPr>
          <w:rFonts w:ascii="Times New Roman" w:hAnsi="Times New Roman" w:cs="Times New Roman" w:eastAsia="Times New Roman" w:hint="default"/>
          <w:spacing w:val="-4"/>
          <w:sz w:val="18"/>
          <w:szCs w:val="18"/>
        </w:rPr>
        <w:t>2007</w:t>
      </w:r>
      <w:r>
        <w:rPr>
          <w:rFonts w:ascii="宋体" w:hAnsi="宋体" w:cs="宋体" w:eastAsia="宋体" w:hint="default"/>
          <w:spacing w:val="-4"/>
          <w:sz w:val="18"/>
          <w:szCs w:val="18"/>
        </w:rPr>
        <w:t>）深中</w:t>
      </w:r>
    </w:p>
    <w:p>
      <w:pPr>
        <w:spacing w:before="48"/>
        <w:ind w:left="112" w:right="0" w:firstLine="0"/>
        <w:jc w:val="left"/>
        <w:rPr>
          <w:rFonts w:ascii="宋体" w:hAnsi="宋体" w:cs="宋体" w:eastAsia="宋体" w:hint="default"/>
          <w:sz w:val="18"/>
          <w:szCs w:val="18"/>
        </w:rPr>
      </w:pPr>
      <w:r>
        <w:rPr>
          <w:rFonts w:ascii="宋体" w:hAnsi="宋体" w:cs="宋体" w:eastAsia="宋体" w:hint="default"/>
          <w:sz w:val="18"/>
          <w:szCs w:val="18"/>
        </w:rPr>
        <w:t>法民四初字第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号）并正在审理过程中。益田房地产要求深大通承担反担保责任并向其支付本金及利息</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48,078,715.36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6"/>
        <w:ind w:left="473"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年</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月</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日，青岛亚星</w:t>
      </w:r>
      <w:r>
        <w:rPr>
          <w:rFonts w:ascii="宋体" w:hAnsi="宋体" w:cs="宋体" w:eastAsia="宋体" w:hint="default"/>
          <w:spacing w:val="-3"/>
          <w:sz w:val="18"/>
          <w:szCs w:val="18"/>
        </w:rPr>
        <w:t>实</w:t>
      </w:r>
      <w:r>
        <w:rPr>
          <w:rFonts w:ascii="宋体" w:hAnsi="宋体" w:cs="宋体" w:eastAsia="宋体" w:hint="default"/>
          <w:sz w:val="18"/>
          <w:szCs w:val="18"/>
        </w:rPr>
        <w:t>业有限公司、深大通、益田集团公司三方签订《和解协议书</w:t>
      </w:r>
      <w:r>
        <w:rPr>
          <w:rFonts w:ascii="宋体" w:hAnsi="宋体" w:cs="宋体" w:eastAsia="宋体" w:hint="default"/>
          <w:spacing w:val="-89"/>
          <w:sz w:val="18"/>
          <w:szCs w:val="18"/>
        </w:rPr>
        <w:t>》</w:t>
      </w:r>
      <w:r>
        <w:rPr>
          <w:rFonts w:ascii="宋体" w:hAnsi="宋体" w:cs="宋体" w:eastAsia="宋体" w:hint="default"/>
          <w:sz w:val="18"/>
          <w:szCs w:val="18"/>
        </w:rPr>
        <w:t>，青岛亚星实业有限公司承</w:t>
      </w:r>
    </w:p>
    <w:p>
      <w:pPr>
        <w:spacing w:after="0"/>
        <w:jc w:val="left"/>
        <w:rPr>
          <w:rFonts w:ascii="宋体" w:hAnsi="宋体" w:cs="宋体" w:eastAsia="宋体" w:hint="default"/>
          <w:sz w:val="18"/>
          <w:szCs w:val="18"/>
        </w:rPr>
        <w:sectPr>
          <w:pgSz w:w="11910" w:h="16840"/>
          <w:pgMar w:header="0" w:footer="956" w:top="1320" w:bottom="1140" w:left="1020" w:right="0"/>
        </w:sectPr>
      </w:pPr>
    </w:p>
    <w:p>
      <w:pPr>
        <w:spacing w:line="475" w:lineRule="auto" w:before="31"/>
        <w:ind w:left="232" w:right="1131" w:firstLine="0"/>
        <w:jc w:val="both"/>
        <w:rPr>
          <w:rFonts w:ascii="宋体" w:hAnsi="宋体" w:cs="宋体" w:eastAsia="宋体" w:hint="default"/>
          <w:sz w:val="18"/>
          <w:szCs w:val="18"/>
        </w:rPr>
      </w:pPr>
      <w:r>
        <w:rPr>
          <w:rFonts w:ascii="宋体" w:hAnsi="宋体" w:cs="宋体" w:eastAsia="宋体" w:hint="default"/>
          <w:spacing w:val="-2"/>
          <w:sz w:val="18"/>
          <w:szCs w:val="18"/>
        </w:rPr>
        <w:t>诺在其通过重组取得深大通股份后按照和解协议书约定条件向益田房地产支付约定对价，益田集团公司解除深大通对其的反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担保责任并放弃就代偿的</w:t>
      </w:r>
      <w:r>
        <w:rPr>
          <w:rFonts w:ascii="Times New Roman" w:hAnsi="Times New Roman" w:cs="Times New Roman" w:eastAsia="Times New Roman" w:hint="default"/>
          <w:sz w:val="18"/>
          <w:szCs w:val="18"/>
        </w:rPr>
        <w:t>5000</w:t>
      </w:r>
      <w:r>
        <w:rPr>
          <w:rFonts w:ascii="宋体" w:hAnsi="宋体" w:cs="宋体" w:eastAsia="宋体" w:hint="default"/>
          <w:sz w:val="18"/>
          <w:szCs w:val="18"/>
        </w:rPr>
        <w:t>万元借款向深大通追偿的权利。按和解协议约定益田集团公司已向法院申请撤诉。</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r>
        <w:rPr>
          <w:rFonts w:ascii="宋体" w:hAnsi="宋体" w:cs="宋体" w:eastAsia="宋体" w:hint="default"/>
          <w:sz w:val="18"/>
          <w:szCs w:val="18"/>
        </w:rPr>
        <w:t>日，深圳市中级人民法院出具了（</w:t>
      </w:r>
      <w:r>
        <w:rPr>
          <w:rFonts w:ascii="Times New Roman" w:hAnsi="Times New Roman" w:cs="Times New Roman" w:eastAsia="Times New Roman" w:hint="default"/>
          <w:sz w:val="18"/>
          <w:szCs w:val="18"/>
        </w:rPr>
        <w:t>2007</w:t>
      </w:r>
      <w:r>
        <w:rPr>
          <w:rFonts w:ascii="宋体" w:hAnsi="宋体" w:cs="宋体" w:eastAsia="宋体" w:hint="default"/>
          <w:sz w:val="18"/>
          <w:szCs w:val="18"/>
        </w:rPr>
        <w:t>）深中法民四初字第</w:t>
      </w:r>
      <w:r>
        <w:rPr>
          <w:rFonts w:ascii="Times New Roman" w:hAnsi="Times New Roman" w:cs="Times New Roman" w:eastAsia="Times New Roman" w:hint="default"/>
          <w:sz w:val="18"/>
          <w:szCs w:val="18"/>
        </w:rPr>
        <w:t>162</w:t>
      </w:r>
      <w:r>
        <w:rPr>
          <w:rFonts w:ascii="宋体" w:hAnsi="宋体" w:cs="宋体" w:eastAsia="宋体" w:hint="default"/>
          <w:sz w:val="18"/>
          <w:szCs w:val="18"/>
        </w:rPr>
        <w:t>号，准许益田集团公司撤诉。</w:t>
      </w:r>
    </w:p>
    <w:p>
      <w:pPr>
        <w:spacing w:before="76"/>
        <w:ind w:left="593" w:right="112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日亚星实业已按约定将</w:t>
      </w:r>
      <w:r>
        <w:rPr>
          <w:rFonts w:ascii="Times New Roman" w:hAnsi="Times New Roman" w:cs="Times New Roman" w:eastAsia="Times New Roman" w:hint="default"/>
          <w:sz w:val="18"/>
          <w:szCs w:val="18"/>
        </w:rPr>
        <w:t>200</w:t>
      </w:r>
      <w:r>
        <w:rPr>
          <w:rFonts w:ascii="宋体" w:hAnsi="宋体" w:cs="宋体" w:eastAsia="宋体" w:hint="default"/>
          <w:sz w:val="18"/>
          <w:szCs w:val="18"/>
        </w:rPr>
        <w:t>万股深大通股份质押给益田集团实业。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232" w:right="0" w:firstLine="0"/>
        <w:jc w:val="both"/>
        <w:rPr>
          <w:rFonts w:ascii="黑体" w:hAnsi="黑体" w:cs="黑体" w:eastAsia="黑体" w:hint="default"/>
          <w:sz w:val="21"/>
          <w:szCs w:val="21"/>
        </w:rPr>
      </w:pPr>
      <w:r>
        <w:rPr>
          <w:rFonts w:ascii="黑体" w:hAnsi="黑体" w:cs="黑体" w:eastAsia="黑体" w:hint="default"/>
          <w:b/>
          <w:bCs/>
          <w:sz w:val="21"/>
          <w:szCs w:val="21"/>
        </w:rPr>
        <w:t>七、股份支付</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21"/>
          <w:szCs w:val="21"/>
        </w:rPr>
      </w:pPr>
    </w:p>
    <w:p>
      <w:pPr>
        <w:spacing w:before="0"/>
        <w:ind w:left="593" w:right="1128"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日，本公司无股份支付。</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232" w:right="0" w:firstLine="0"/>
        <w:jc w:val="both"/>
        <w:rPr>
          <w:rFonts w:ascii="黑体" w:hAnsi="黑体" w:cs="黑体" w:eastAsia="黑体" w:hint="default"/>
          <w:sz w:val="21"/>
          <w:szCs w:val="21"/>
        </w:rPr>
      </w:pPr>
      <w:r>
        <w:rPr>
          <w:rFonts w:ascii="黑体" w:hAnsi="黑体" w:cs="黑体" w:eastAsia="黑体" w:hint="default"/>
          <w:b/>
          <w:bCs/>
          <w:sz w:val="21"/>
          <w:szCs w:val="21"/>
        </w:rPr>
        <w:t>八、或有事项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1"/>
          <w:szCs w:val="21"/>
        </w:rPr>
      </w:pPr>
    </w:p>
    <w:p>
      <w:pPr>
        <w:spacing w:before="0"/>
        <w:ind w:left="593" w:right="1128"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日，本公司无需披露的重大或有事项。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232" w:right="0" w:firstLine="0"/>
        <w:jc w:val="both"/>
        <w:rPr>
          <w:rFonts w:ascii="黑体" w:hAnsi="黑体" w:cs="黑体" w:eastAsia="黑体" w:hint="default"/>
          <w:sz w:val="21"/>
          <w:szCs w:val="21"/>
        </w:rPr>
      </w:pPr>
      <w:r>
        <w:rPr>
          <w:rFonts w:ascii="黑体" w:hAnsi="黑体" w:cs="黑体" w:eastAsia="黑体" w:hint="default"/>
          <w:b/>
          <w:bCs/>
          <w:sz w:val="21"/>
          <w:szCs w:val="21"/>
        </w:rPr>
        <w:t>九、承诺事项</w:t>
      </w:r>
      <w:r>
        <w:rPr>
          <w:rFonts w:ascii="黑体" w:hAnsi="黑体" w:cs="黑体" w:eastAsia="黑体" w:hint="default"/>
          <w:sz w:val="21"/>
          <w:szCs w:val="21"/>
        </w:rPr>
      </w:r>
    </w:p>
    <w:p>
      <w:pPr>
        <w:spacing w:line="240" w:lineRule="auto" w:before="11"/>
        <w:rPr>
          <w:rFonts w:ascii="黑体" w:hAnsi="黑体" w:cs="黑体" w:eastAsia="黑体" w:hint="default"/>
          <w:b/>
          <w:bCs/>
          <w:sz w:val="21"/>
          <w:szCs w:val="21"/>
        </w:rPr>
      </w:pPr>
    </w:p>
    <w:p>
      <w:pPr>
        <w:spacing w:before="0"/>
        <w:ind w:left="593" w:right="1128"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日，本公司无需披露的承诺事项。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232" w:right="0" w:firstLine="0"/>
        <w:jc w:val="both"/>
        <w:rPr>
          <w:rFonts w:ascii="黑体" w:hAnsi="黑体" w:cs="黑体" w:eastAsia="黑体" w:hint="default"/>
          <w:sz w:val="21"/>
          <w:szCs w:val="21"/>
        </w:rPr>
      </w:pPr>
      <w:r>
        <w:rPr>
          <w:rFonts w:ascii="黑体" w:hAnsi="黑体" w:cs="黑体" w:eastAsia="黑体" w:hint="default"/>
          <w:b/>
          <w:bCs/>
          <w:sz w:val="21"/>
          <w:szCs w:val="21"/>
        </w:rPr>
        <w:t>十、资产负债表日后事项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8"/>
          <w:szCs w:val="18"/>
        </w:rPr>
      </w:pPr>
    </w:p>
    <w:p>
      <w:pPr>
        <w:spacing w:before="0"/>
        <w:ind w:left="23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、重要的资产负债表日后事项说明</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923"/>
        <w:gridCol w:w="1621"/>
        <w:gridCol w:w="3336"/>
        <w:gridCol w:w="2964"/>
      </w:tblGrid>
      <w:tr>
        <w:trPr>
          <w:trHeight w:val="571"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对财务状况和经营成果的影响数</w:t>
            </w:r>
          </w:p>
        </w:tc>
        <w:tc>
          <w:tcPr>
            <w:tcW w:w="2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572"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593" w:right="1128" w:firstLine="0"/>
        <w:jc w:val="left"/>
        <w:rPr>
          <w:rFonts w:ascii="宋体" w:hAnsi="宋体" w:cs="宋体" w:eastAsia="宋体" w:hint="default"/>
          <w:sz w:val="18"/>
          <w:szCs w:val="18"/>
        </w:rPr>
      </w:pPr>
      <w:r>
        <w:rPr>
          <w:rFonts w:ascii="宋体" w:hAnsi="宋体" w:cs="宋体" w:eastAsia="宋体" w:hint="default"/>
          <w:sz w:val="18"/>
          <w:szCs w:val="18"/>
        </w:rPr>
        <w:t>公司无资产负责表日后利润分配安排事项。</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spacing w:before="0"/>
        <w:ind w:left="232" w:right="11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593" w:right="1128" w:firstLine="0"/>
        <w:jc w:val="left"/>
        <w:rPr>
          <w:rFonts w:ascii="宋体" w:hAnsi="宋体" w:cs="宋体" w:eastAsia="宋体" w:hint="default"/>
          <w:sz w:val="18"/>
          <w:szCs w:val="18"/>
        </w:rPr>
      </w:pPr>
      <w:r>
        <w:rPr>
          <w:rFonts w:ascii="宋体" w:hAnsi="宋体" w:cs="宋体" w:eastAsia="宋体" w:hint="default"/>
          <w:sz w:val="18"/>
          <w:szCs w:val="18"/>
        </w:rPr>
        <w:t>本公司不存在其他需要披露的资产负债表日后事项。</w:t>
      </w:r>
    </w:p>
    <w:p>
      <w:pPr>
        <w:spacing w:after="0"/>
        <w:jc w:val="left"/>
        <w:rPr>
          <w:rFonts w:ascii="宋体" w:hAnsi="宋体" w:cs="宋体" w:eastAsia="宋体" w:hint="default"/>
          <w:sz w:val="18"/>
          <w:szCs w:val="18"/>
        </w:rPr>
        <w:sectPr>
          <w:pgSz w:w="11910" w:h="16840"/>
          <w:pgMar w:header="0" w:footer="956" w:top="1300" w:bottom="1140" w:left="900" w:right="0"/>
        </w:sectPr>
      </w:pPr>
    </w:p>
    <w:p>
      <w:pPr>
        <w:spacing w:before="18"/>
        <w:ind w:left="112" w:right="0" w:firstLine="0"/>
        <w:jc w:val="left"/>
        <w:rPr>
          <w:rFonts w:ascii="黑体" w:hAnsi="黑体" w:cs="黑体" w:eastAsia="黑体" w:hint="default"/>
          <w:sz w:val="21"/>
          <w:szCs w:val="21"/>
        </w:rPr>
      </w:pPr>
      <w:r>
        <w:rPr>
          <w:rFonts w:ascii="黑体" w:hAnsi="黑体" w:cs="黑体" w:eastAsia="黑体" w:hint="default"/>
          <w:b/>
          <w:bCs/>
          <w:sz w:val="21"/>
          <w:szCs w:val="21"/>
        </w:rPr>
        <w:t>十一、其他重大事项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20"/>
          <w:szCs w:val="20"/>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5"/>
        <w:rPr>
          <w:rFonts w:ascii="宋体" w:hAnsi="宋体" w:cs="宋体" w:eastAsia="宋体" w:hint="default"/>
          <w:b/>
          <w:bCs/>
          <w:sz w:val="21"/>
          <w:szCs w:val="21"/>
        </w:rPr>
      </w:pPr>
    </w:p>
    <w:p>
      <w:pPr>
        <w:spacing w:before="0"/>
        <w:ind w:left="384" w:right="0" w:firstLine="0"/>
        <w:jc w:val="left"/>
        <w:rPr>
          <w:rFonts w:ascii="宋体" w:hAnsi="宋体" w:cs="宋体" w:eastAsia="宋体" w:hint="default"/>
          <w:sz w:val="18"/>
          <w:szCs w:val="18"/>
        </w:rPr>
      </w:pPr>
      <w:r>
        <w:rPr>
          <w:rFonts w:ascii="宋体" w:hAnsi="宋体" w:cs="宋体" w:eastAsia="宋体" w:hint="default"/>
          <w:sz w:val="18"/>
          <w:szCs w:val="18"/>
        </w:rPr>
        <w:t>本报告期内，公司无非货币性资产交换事项。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5"/>
        <w:rPr>
          <w:rFonts w:ascii="宋体" w:hAnsi="宋体" w:cs="宋体" w:eastAsia="宋体" w:hint="default"/>
          <w:b/>
          <w:bCs/>
          <w:sz w:val="21"/>
          <w:szCs w:val="21"/>
        </w:rPr>
      </w:pPr>
    </w:p>
    <w:p>
      <w:pPr>
        <w:spacing w:before="0"/>
        <w:ind w:left="384" w:right="0" w:firstLine="0"/>
        <w:jc w:val="left"/>
        <w:rPr>
          <w:rFonts w:ascii="宋体" w:hAnsi="宋体" w:cs="宋体" w:eastAsia="宋体" w:hint="default"/>
          <w:sz w:val="18"/>
          <w:szCs w:val="18"/>
        </w:rPr>
      </w:pPr>
      <w:r>
        <w:rPr>
          <w:rFonts w:ascii="宋体" w:hAnsi="宋体" w:cs="宋体" w:eastAsia="宋体" w:hint="default"/>
          <w:sz w:val="18"/>
          <w:szCs w:val="18"/>
        </w:rPr>
        <w:t>本报告期内，公司无债务重组事项。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7"/>
          <w:szCs w:val="27"/>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384" w:right="0" w:firstLine="0"/>
        <w:jc w:val="left"/>
        <w:rPr>
          <w:rFonts w:ascii="宋体" w:hAnsi="宋体" w:cs="宋体" w:eastAsia="宋体" w:hint="default"/>
          <w:sz w:val="18"/>
          <w:szCs w:val="18"/>
        </w:rPr>
      </w:pPr>
      <w:r>
        <w:rPr>
          <w:rFonts w:ascii="宋体" w:hAnsi="宋体" w:cs="宋体" w:eastAsia="宋体" w:hint="default"/>
          <w:sz w:val="18"/>
          <w:szCs w:val="18"/>
        </w:rPr>
        <w:t>本报告期内，公司无企业合并事项。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5"/>
        <w:rPr>
          <w:rFonts w:ascii="宋体" w:hAnsi="宋体" w:cs="宋体" w:eastAsia="宋体" w:hint="default"/>
          <w:b/>
          <w:bCs/>
          <w:sz w:val="21"/>
          <w:szCs w:val="21"/>
        </w:rPr>
      </w:pPr>
    </w:p>
    <w:p>
      <w:pPr>
        <w:spacing w:before="0"/>
        <w:ind w:left="384" w:right="0" w:firstLine="0"/>
        <w:jc w:val="left"/>
        <w:rPr>
          <w:rFonts w:ascii="宋体" w:hAnsi="宋体" w:cs="宋体" w:eastAsia="宋体" w:hint="default"/>
          <w:sz w:val="18"/>
          <w:szCs w:val="18"/>
        </w:rPr>
      </w:pPr>
      <w:r>
        <w:rPr>
          <w:rFonts w:ascii="宋体" w:hAnsi="宋体" w:cs="宋体" w:eastAsia="宋体" w:hint="default"/>
          <w:sz w:val="18"/>
          <w:szCs w:val="18"/>
        </w:rPr>
        <w:t>本报告期内，公司不存在需要披露的重大租赁事项。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、期末发行在外的、可转换为股份的金融工具</w:t>
      </w:r>
      <w:r>
        <w:rPr>
          <w:rFonts w:ascii="宋体" w:hAnsi="宋体" w:cs="宋体" w:eastAsia="宋体" w:hint="default"/>
          <w:sz w:val="21"/>
          <w:szCs w:val="21"/>
        </w:rPr>
      </w:r>
    </w:p>
    <w:p>
      <w:pPr>
        <w:spacing w:line="240" w:lineRule="auto" w:before="5"/>
        <w:rPr>
          <w:rFonts w:ascii="宋体" w:hAnsi="宋体" w:cs="宋体" w:eastAsia="宋体" w:hint="default"/>
          <w:b/>
          <w:bCs/>
          <w:sz w:val="21"/>
          <w:szCs w:val="21"/>
        </w:rPr>
      </w:pPr>
    </w:p>
    <w:p>
      <w:pPr>
        <w:spacing w:before="0"/>
        <w:ind w:left="384" w:right="0" w:firstLine="0"/>
        <w:jc w:val="left"/>
        <w:rPr>
          <w:rFonts w:ascii="宋体" w:hAnsi="宋体" w:cs="宋体" w:eastAsia="宋体" w:hint="default"/>
          <w:sz w:val="18"/>
          <w:szCs w:val="18"/>
        </w:rPr>
      </w:pPr>
      <w:r>
        <w:rPr>
          <w:rFonts w:ascii="宋体" w:hAnsi="宋体" w:cs="宋体" w:eastAsia="宋体" w:hint="default"/>
          <w:sz w:val="18"/>
          <w:szCs w:val="18"/>
        </w:rPr>
        <w:t>本报告期末，公司无发行在外的、可转换为股份的金融工具。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spacing w:before="0"/>
        <w:ind w:left="112" w:right="0" w:firstLine="0"/>
        <w:jc w:val="left"/>
        <w:rPr>
          <w:rFonts w:ascii="黑体" w:hAnsi="黑体" w:cs="黑体" w:eastAsia="黑体" w:hint="default"/>
          <w:sz w:val="21"/>
          <w:szCs w:val="21"/>
        </w:rPr>
      </w:pPr>
      <w:r>
        <w:rPr>
          <w:rFonts w:ascii="黑体" w:hAnsi="黑体" w:cs="黑体" w:eastAsia="黑体" w:hint="default"/>
          <w:b/>
          <w:bCs/>
          <w:sz w:val="21"/>
          <w:szCs w:val="21"/>
        </w:rPr>
        <w:t>十二、母公司财务报表主要项目注释</w:t>
      </w:r>
      <w:r>
        <w:rPr>
          <w:rFonts w:ascii="黑体" w:hAnsi="黑体" w:cs="黑体" w:eastAsia="黑体" w:hint="default"/>
          <w:sz w:val="21"/>
          <w:szCs w:val="21"/>
        </w:rPr>
      </w:r>
    </w:p>
    <w:p>
      <w:pPr>
        <w:spacing w:after="0"/>
        <w:jc w:val="left"/>
        <w:rPr>
          <w:rFonts w:ascii="黑体" w:hAnsi="黑体" w:cs="黑体" w:eastAsia="黑体" w:hint="default"/>
          <w:sz w:val="21"/>
          <w:szCs w:val="21"/>
        </w:rPr>
        <w:sectPr>
          <w:pgSz w:w="11910" w:h="16840"/>
          <w:pgMar w:header="0" w:footer="956" w:top="1280" w:bottom="1140" w:left="1020" w:right="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5"/>
          <w:szCs w:val="15"/>
        </w:rPr>
      </w:pPr>
    </w:p>
    <w:p>
      <w:pPr>
        <w:spacing w:before="36"/>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spacing w:before="44"/>
        <w:ind w:left="0" w:right="110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141"/>
        <w:gridCol w:w="994"/>
        <w:gridCol w:w="1558"/>
        <w:gridCol w:w="1277"/>
        <w:gridCol w:w="991"/>
        <w:gridCol w:w="1059"/>
        <w:gridCol w:w="1099"/>
        <w:gridCol w:w="1104"/>
        <w:gridCol w:w="1417"/>
        <w:gridCol w:w="797"/>
        <w:gridCol w:w="1126"/>
        <w:gridCol w:w="1128"/>
      </w:tblGrid>
      <w:tr>
        <w:trPr>
          <w:trHeight w:val="991"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核算方法</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3" w:right="0"/>
              <w:jc w:val="left"/>
              <w:rPr>
                <w:rFonts w:ascii="宋体" w:hAnsi="宋体" w:cs="宋体" w:eastAsia="宋体" w:hint="default"/>
                <w:sz w:val="15"/>
                <w:szCs w:val="15"/>
              </w:rPr>
            </w:pPr>
            <w:r>
              <w:rPr>
                <w:rFonts w:ascii="宋体" w:hAnsi="宋体" w:cs="宋体" w:eastAsia="宋体" w:hint="default"/>
                <w:sz w:val="15"/>
                <w:szCs w:val="15"/>
              </w:rPr>
              <w:t>初始投资成本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0"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122"/>
              <w:ind w:left="170" w:right="163"/>
              <w:jc w:val="center"/>
              <w:rPr>
                <w:rFonts w:ascii="宋体" w:hAnsi="宋体" w:cs="宋体" w:eastAsia="宋体" w:hint="default"/>
                <w:sz w:val="15"/>
                <w:szCs w:val="15"/>
              </w:rPr>
            </w:pPr>
            <w:r>
              <w:rPr>
                <w:rFonts w:ascii="宋体" w:hAnsi="宋体" w:cs="宋体" w:eastAsia="宋体" w:hint="default"/>
                <w:sz w:val="15"/>
                <w:szCs w:val="15"/>
              </w:rPr>
              <w:t>在被投资单</w:t>
            </w:r>
            <w:r>
              <w:rPr>
                <w:rFonts w:ascii="宋体" w:hAnsi="宋体" w:cs="宋体" w:eastAsia="宋体" w:hint="default"/>
                <w:w w:val="100"/>
                <w:sz w:val="15"/>
                <w:szCs w:val="15"/>
              </w:rPr>
              <w:t> </w:t>
            </w:r>
            <w:r>
              <w:rPr>
                <w:rFonts w:ascii="宋体" w:hAnsi="宋体" w:cs="宋体" w:eastAsia="宋体" w:hint="default"/>
                <w:sz w:val="15"/>
                <w:szCs w:val="15"/>
              </w:rPr>
              <w:t>位持股比例</w:t>
            </w:r>
          </w:p>
          <w:p>
            <w:pPr>
              <w:pStyle w:val="TableParagraph"/>
              <w:spacing w:line="240" w:lineRule="auto" w:before="64"/>
              <w:ind w:right="0"/>
              <w:jc w:val="center"/>
              <w:rPr>
                <w:rFonts w:ascii="Times New Roman" w:hAnsi="Times New Roman" w:cs="Times New Roman" w:eastAsia="Times New Roman" w:hint="default"/>
                <w:sz w:val="15"/>
                <w:szCs w:val="15"/>
              </w:rPr>
            </w:pPr>
            <w:r>
              <w:rPr>
                <w:rFonts w:ascii="Times New Roman"/>
                <w:sz w:val="15"/>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122"/>
              <w:ind w:left="172" w:right="166"/>
              <w:jc w:val="center"/>
              <w:rPr>
                <w:rFonts w:ascii="Times New Roman" w:hAnsi="Times New Roman" w:cs="Times New Roman" w:eastAsia="Times New Roman" w:hint="default"/>
                <w:sz w:val="15"/>
                <w:szCs w:val="15"/>
              </w:rPr>
            </w:pPr>
            <w:r>
              <w:rPr>
                <w:rFonts w:ascii="宋体" w:hAnsi="宋体" w:cs="宋体" w:eastAsia="宋体" w:hint="default"/>
                <w:sz w:val="15"/>
                <w:szCs w:val="15"/>
              </w:rPr>
              <w:t>在被投资单</w:t>
            </w:r>
            <w:r>
              <w:rPr>
                <w:rFonts w:ascii="宋体" w:hAnsi="宋体" w:cs="宋体" w:eastAsia="宋体" w:hint="default"/>
                <w:w w:val="100"/>
                <w:sz w:val="15"/>
                <w:szCs w:val="15"/>
              </w:rPr>
              <w:t> </w:t>
            </w:r>
            <w:r>
              <w:rPr>
                <w:rFonts w:ascii="宋体" w:hAnsi="宋体" w:cs="宋体" w:eastAsia="宋体" w:hint="default"/>
                <w:sz w:val="15"/>
                <w:szCs w:val="15"/>
              </w:rPr>
              <w:t>位表决权比</w:t>
            </w:r>
            <w:r>
              <w:rPr>
                <w:rFonts w:ascii="宋体" w:hAnsi="宋体" w:cs="宋体" w:eastAsia="宋体" w:hint="default"/>
                <w:w w:val="100"/>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122"/>
              <w:ind w:left="103" w:right="99"/>
              <w:jc w:val="center"/>
              <w:rPr>
                <w:rFonts w:ascii="宋体" w:hAnsi="宋体" w:cs="宋体" w:eastAsia="宋体" w:hint="default"/>
                <w:sz w:val="15"/>
                <w:szCs w:val="15"/>
              </w:rPr>
            </w:pPr>
            <w:r>
              <w:rPr>
                <w:rFonts w:ascii="宋体" w:hAnsi="宋体" w:cs="宋体" w:eastAsia="宋体" w:hint="default"/>
                <w:spacing w:val="-2"/>
                <w:sz w:val="15"/>
                <w:szCs w:val="15"/>
              </w:rPr>
              <w:t>在被投资单位持股</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pacing w:val="-2"/>
                <w:sz w:val="15"/>
                <w:szCs w:val="15"/>
              </w:rPr>
              <w:t>比例与表决权比例</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不一致的说明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367" w:lineRule="auto"/>
              <w:ind w:left="319" w:right="161" w:hanging="149"/>
              <w:jc w:val="left"/>
              <w:rPr>
                <w:rFonts w:ascii="宋体" w:hAnsi="宋体" w:cs="宋体" w:eastAsia="宋体" w:hint="default"/>
                <w:sz w:val="15"/>
                <w:szCs w:val="15"/>
              </w:rPr>
            </w:pPr>
            <w:r>
              <w:rPr>
                <w:rFonts w:ascii="宋体" w:hAnsi="宋体" w:cs="宋体" w:eastAsia="宋体" w:hint="default"/>
                <w:sz w:val="15"/>
                <w:szCs w:val="15"/>
              </w:rPr>
              <w:t>减值准</w:t>
            </w:r>
            <w:r>
              <w:rPr>
                <w:rFonts w:ascii="宋体" w:hAnsi="宋体" w:cs="宋体" w:eastAsia="宋体" w:hint="default"/>
                <w:spacing w:val="-72"/>
                <w:sz w:val="15"/>
                <w:szCs w:val="15"/>
              </w:rPr>
              <w:t> </w:t>
            </w:r>
            <w:r>
              <w:rPr>
                <w:rFonts w:ascii="宋体" w:hAnsi="宋体" w:cs="宋体" w:eastAsia="宋体" w:hint="default"/>
                <w:sz w:val="15"/>
                <w:szCs w:val="15"/>
              </w:rPr>
              <w:t>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412" w:lineRule="auto"/>
              <w:ind w:left="256" w:right="254"/>
              <w:jc w:val="left"/>
              <w:rPr>
                <w:rFonts w:ascii="宋体" w:hAnsi="宋体" w:cs="宋体" w:eastAsia="宋体" w:hint="default"/>
                <w:sz w:val="15"/>
                <w:szCs w:val="15"/>
              </w:rPr>
            </w:pPr>
            <w:r>
              <w:rPr>
                <w:rFonts w:ascii="宋体" w:hAnsi="宋体" w:cs="宋体" w:eastAsia="宋体" w:hint="default"/>
                <w:sz w:val="15"/>
                <w:szCs w:val="15"/>
              </w:rPr>
              <w:t>本期计提</w:t>
            </w:r>
            <w:r>
              <w:rPr>
                <w:rFonts w:ascii="宋体" w:hAnsi="宋体" w:cs="宋体" w:eastAsia="宋体" w:hint="default"/>
                <w:w w:val="100"/>
                <w:sz w:val="15"/>
                <w:szCs w:val="15"/>
              </w:rPr>
              <w:t> </w:t>
            </w:r>
            <w:r>
              <w:rPr>
                <w:rFonts w:ascii="宋体" w:hAnsi="宋体" w:cs="宋体" w:eastAsia="宋体" w:hint="default"/>
                <w:sz w:val="15"/>
                <w:szCs w:val="15"/>
              </w:rPr>
              <w:t>减值准备</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现金红利</w:t>
            </w:r>
          </w:p>
        </w:tc>
      </w:tr>
      <w:tr>
        <w:trPr>
          <w:trHeight w:val="591"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青岛广顺房地产有限公司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46,384,740.35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46,384,740.35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83.00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83.00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59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济宁海情置业有限公司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162,177,496.65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162,177,496.65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90.00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59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208,562,237.00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208,562,237.00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spacing w:before="0"/>
        <w:ind w:left="5291" w:right="6282" w:firstLine="0"/>
        <w:jc w:val="center"/>
        <w:rPr>
          <w:rFonts w:ascii="Times New Roman" w:hAnsi="Times New Roman" w:cs="Times New Roman" w:eastAsia="Times New Roman" w:hint="default"/>
          <w:sz w:val="18"/>
          <w:szCs w:val="18"/>
        </w:rPr>
      </w:pPr>
      <w:r>
        <w:rPr/>
        <w:pict>
          <v:shape style="position:absolute;margin-left:740.650024pt;margin-top:2.326092pt;width:101.25pt;height:57.75pt;mso-position-horizontal-relative:page;mso-position-vertical-relative:paragraph;z-index:2176" type="#_x0000_t75" stroked="false">
            <v:imagedata r:id="rId15" o:title=""/>
          </v:shape>
        </w:pict>
      </w:r>
      <w:r>
        <w:rPr>
          <w:rFonts w:ascii="Times New Roman"/>
          <w:sz w:val="18"/>
        </w:rPr>
        <w:t>125</w:t>
      </w:r>
    </w:p>
    <w:p>
      <w:pPr>
        <w:spacing w:after="0"/>
        <w:jc w:val="center"/>
        <w:rPr>
          <w:rFonts w:ascii="Times New Roman" w:hAnsi="Times New Roman" w:cs="Times New Roman" w:eastAsia="Times New Roman" w:hint="default"/>
          <w:sz w:val="18"/>
          <w:szCs w:val="18"/>
        </w:rPr>
        <w:sectPr>
          <w:footerReference w:type="default" r:id="rId38"/>
          <w:pgSz w:w="16840" w:h="11910" w:orient="landscape"/>
          <w:pgMar w:footer="0" w:header="0" w:top="1100" w:bottom="0" w:left="1000" w:right="0"/>
        </w:sectPr>
      </w:pPr>
    </w:p>
    <w:p>
      <w:pPr>
        <w:tabs>
          <w:tab w:pos="8569" w:val="left" w:leader="none"/>
        </w:tabs>
        <w:spacing w:before="23"/>
        <w:ind w:left="283" w:right="0" w:firstLine="0"/>
        <w:jc w:val="left"/>
        <w:rPr>
          <w:rFonts w:ascii="宋体" w:hAnsi="宋体" w:cs="宋体" w:eastAsia="宋体" w:hint="default"/>
          <w:sz w:val="18"/>
          <w:szCs w:val="18"/>
        </w:rPr>
      </w:pPr>
      <w:r>
        <w:rPr>
          <w:rFonts w:ascii="宋体" w:hAnsi="宋体" w:cs="宋体" w:eastAsia="宋体" w:hint="default"/>
          <w:sz w:val="18"/>
          <w:szCs w:val="18"/>
        </w:rPr>
        <w:t>深圳大通实业股份有限公司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6"/>
        <w:ind w:left="2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6647"/>
        <w:gridCol w:w="1611"/>
        <w:gridCol w:w="1613"/>
      </w:tblGrid>
      <w:tr>
        <w:trPr>
          <w:trHeight w:val="511"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09"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611"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-2,976,235.03</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4,693,488.65</w:t>
            </w:r>
          </w:p>
        </w:tc>
      </w:tr>
      <w:tr>
        <w:trPr>
          <w:trHeight w:val="509"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9,958.13</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71,607.07</w:t>
            </w:r>
          </w:p>
        </w:tc>
      </w:tr>
      <w:tr>
        <w:trPr>
          <w:trHeight w:val="509"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1,846,474.80</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2,708,077.74</w:t>
            </w:r>
          </w:p>
        </w:tc>
      </w:tr>
      <w:tr>
        <w:trPr>
          <w:trHeight w:val="509"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2"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1,173,372.16</w:t>
            </w:r>
          </w:p>
        </w:tc>
      </w:tr>
      <w:tr>
        <w:trPr>
          <w:trHeight w:val="509"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2,321.34</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48,884.18</w:t>
            </w:r>
          </w:p>
        </w:tc>
      </w:tr>
      <w:tr>
        <w:trPr>
          <w:trHeight w:val="511"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1,062,181.18</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-8,731,923.77</w:t>
            </w:r>
          </w:p>
        </w:tc>
      </w:tr>
      <w:tr>
        <w:trPr>
          <w:trHeight w:val="509"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-415,902.54</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-471,202.12</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-36,493.97</w:t>
            </w:r>
          </w:p>
        </w:tc>
      </w:tr>
      <w:tr>
        <w:trPr>
          <w:trHeight w:val="509"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37,677.79</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19,719.59</w:t>
            </w:r>
          </w:p>
        </w:tc>
      </w:tr>
    </w:tbl>
    <w:p>
      <w:pPr>
        <w:spacing w:after="0" w:line="240" w:lineRule="auto"/>
        <w:jc w:val="right"/>
        <w:rPr>
          <w:rFonts w:ascii="Times New Roman" w:hAnsi="Times New Roman" w:cs="Times New Roman" w:eastAsia="Times New Roman" w:hint="default"/>
          <w:sz w:val="18"/>
          <w:szCs w:val="18"/>
        </w:rPr>
        <w:sectPr>
          <w:footerReference w:type="default" r:id="rId39"/>
          <w:pgSz w:w="11910" w:h="16840"/>
          <w:pgMar w:footer="939" w:header="0" w:top="780" w:bottom="1120" w:left="900" w:right="900"/>
          <w:pgNumType w:start="126"/>
        </w:sectPr>
      </w:pPr>
    </w:p>
    <w:p>
      <w:pPr>
        <w:tabs>
          <w:tab w:pos="8569" w:val="left" w:leader="none"/>
        </w:tabs>
        <w:spacing w:before="23"/>
        <w:ind w:left="283" w:right="0" w:firstLine="0"/>
        <w:jc w:val="left"/>
        <w:rPr>
          <w:rFonts w:ascii="宋体" w:hAnsi="宋体" w:cs="宋体" w:eastAsia="宋体" w:hint="default"/>
          <w:sz w:val="18"/>
          <w:szCs w:val="18"/>
        </w:rPr>
      </w:pPr>
      <w:r>
        <w:rPr>
          <w:rFonts w:ascii="宋体" w:hAnsi="宋体" w:cs="宋体" w:eastAsia="宋体" w:hint="default"/>
          <w:sz w:val="18"/>
          <w:szCs w:val="18"/>
        </w:rPr>
        <w:t>深圳大通实业股份有限公司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6647"/>
        <w:gridCol w:w="1611"/>
        <w:gridCol w:w="1613"/>
      </w:tblGrid>
      <w:tr>
        <w:trPr>
          <w:trHeight w:val="512"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09"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19,719.59</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56,213.56</w:t>
            </w:r>
          </w:p>
        </w:tc>
      </w:tr>
      <w:tr>
        <w:trPr>
          <w:trHeight w:val="511"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6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17,958.20</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-36,493.97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6"/>
        <w:ind w:left="232" w:right="0" w:firstLine="0"/>
        <w:jc w:val="left"/>
        <w:rPr>
          <w:rFonts w:ascii="黑体" w:hAnsi="黑体" w:cs="黑体" w:eastAsia="黑体" w:hint="default"/>
          <w:sz w:val="21"/>
          <w:szCs w:val="21"/>
        </w:rPr>
      </w:pPr>
      <w:r>
        <w:rPr>
          <w:rFonts w:ascii="黑体" w:hAnsi="黑体" w:cs="黑体" w:eastAsia="黑体" w:hint="default"/>
          <w:b/>
          <w:bCs/>
          <w:sz w:val="21"/>
          <w:szCs w:val="21"/>
        </w:rPr>
        <w:t>十二、补充资料</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21"/>
          <w:szCs w:val="21"/>
        </w:rPr>
      </w:pPr>
    </w:p>
    <w:p>
      <w:pPr>
        <w:spacing w:before="0"/>
        <w:ind w:left="2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1"/>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6961"/>
        <w:gridCol w:w="1561"/>
        <w:gridCol w:w="1214"/>
      </w:tblGrid>
      <w:tr>
        <w:trPr>
          <w:trHeight w:val="53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3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28"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30" w:lineRule="exact"/>
              <w:ind w:left="122" w:right="95"/>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计入当期损益的政府补助（与企业业务密切相关，按照国家统一标准定额或定量享受</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的政府补助除外）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28"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30" w:lineRule="exact"/>
              <w:ind w:left="122" w:right="95"/>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企业取得子公司、联营企业及合营企业的投资成本小于取得投资时应享有被投资单位</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可辨认净资产公允价值产生的收益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1"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28"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9"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除同公司正常经营业务相关的有效套期保值业务外，持有交易性金融资产、交易性金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39" w:top="780" w:bottom="1120" w:left="900" w:right="900"/>
        </w:sectPr>
      </w:pPr>
    </w:p>
    <w:p>
      <w:pPr>
        <w:tabs>
          <w:tab w:pos="8489" w:val="left" w:leader="none"/>
        </w:tabs>
        <w:spacing w:before="23"/>
        <w:ind w:left="203" w:right="0" w:firstLine="0"/>
        <w:jc w:val="left"/>
        <w:rPr>
          <w:rFonts w:ascii="宋体" w:hAnsi="宋体" w:cs="宋体" w:eastAsia="宋体" w:hint="default"/>
          <w:sz w:val="18"/>
          <w:szCs w:val="18"/>
        </w:rPr>
      </w:pPr>
      <w:r>
        <w:rPr>
          <w:rFonts w:ascii="宋体" w:hAnsi="宋体" w:cs="宋体" w:eastAsia="宋体" w:hint="default"/>
          <w:sz w:val="18"/>
          <w:szCs w:val="18"/>
        </w:rPr>
        <w:t>深圳大通实业股份有限公司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6961"/>
        <w:gridCol w:w="1561"/>
        <w:gridCol w:w="1214"/>
      </w:tblGrid>
      <w:tr>
        <w:trPr>
          <w:trHeight w:val="531"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9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16"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融负债产生的公允价值变动损益，以及处置交易性金融资产、交易性金融负债和可供</w:t>
            </w:r>
          </w:p>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出售金融资产取得的投资收益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根据税收、会计等法律、法规的要求对当期损益进行一次性调整对当期损益的影响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28"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1"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493,452.44</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2"/>
                <w:szCs w:val="22"/>
              </w:rPr>
            </w:pPr>
            <w:r>
              <w:rPr>
                <w:rFonts w:ascii="Times New Roman"/>
                <w:w w:val="100"/>
                <w:sz w:val="22"/>
              </w:rPr>
              <w:t>-</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2"/>
                <w:szCs w:val="22"/>
              </w:rPr>
            </w:pPr>
            <w:r>
              <w:rPr>
                <w:rFonts w:ascii="Times New Roman"/>
                <w:sz w:val="22"/>
              </w:rPr>
              <w:t>19,387.48</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6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474,064.96</w:t>
            </w:r>
          </w:p>
        </w:tc>
        <w:tc>
          <w:tcPr>
            <w:tcW w:w="1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3"/>
        <w:rPr>
          <w:rFonts w:ascii="宋体" w:hAnsi="宋体" w:cs="宋体" w:eastAsia="宋体" w:hint="default"/>
          <w:b/>
          <w:bCs/>
          <w:sz w:val="17"/>
          <w:szCs w:val="17"/>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5"/>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702"/>
        <w:gridCol w:w="2074"/>
        <w:gridCol w:w="1957"/>
        <w:gridCol w:w="1980"/>
      </w:tblGrid>
      <w:tr>
        <w:trPr>
          <w:trHeight w:val="588" w:hRule="exact"/>
        </w:trPr>
        <w:tc>
          <w:tcPr>
            <w:tcW w:w="370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07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9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90" w:hRule="exact"/>
        </w:trPr>
        <w:tc>
          <w:tcPr>
            <w:tcW w:w="3702" w:type="dxa"/>
            <w:vMerge/>
            <w:tcBorders>
              <w:left w:val="nil" w:sz="6" w:space="0" w:color="auto"/>
              <w:bottom w:val="single" w:sz="4" w:space="0" w:color="000000"/>
              <w:right w:val="single" w:sz="4" w:space="0" w:color="000000"/>
            </w:tcBorders>
          </w:tcPr>
          <w:p>
            <w:pPr/>
          </w:p>
        </w:tc>
        <w:tc>
          <w:tcPr>
            <w:tcW w:w="2074" w:type="dxa"/>
            <w:vMerge/>
            <w:tcBorders>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9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751"/>
              <w:jc w:val="right"/>
              <w:rPr>
                <w:rFonts w:ascii="Times New Roman" w:hAnsi="Times New Roman" w:cs="Times New Roman" w:eastAsia="Times New Roman" w:hint="default"/>
                <w:sz w:val="18"/>
                <w:szCs w:val="18"/>
              </w:rPr>
            </w:pPr>
            <w:r>
              <w:rPr>
                <w:rFonts w:ascii="Times New Roman"/>
                <w:sz w:val="18"/>
              </w:rPr>
              <w:t>19.34%</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0.2776</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0.2776</w:t>
            </w:r>
          </w:p>
        </w:tc>
      </w:tr>
      <w:tr>
        <w:trPr>
          <w:trHeight w:val="83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30" w:lineRule="exact"/>
              <w:ind w:left="122" w:right="152"/>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51"/>
              <w:jc w:val="right"/>
              <w:rPr>
                <w:rFonts w:ascii="Times New Roman" w:hAnsi="Times New Roman" w:cs="Times New Roman" w:eastAsia="Times New Roman" w:hint="default"/>
                <w:sz w:val="18"/>
                <w:szCs w:val="18"/>
              </w:rPr>
            </w:pPr>
            <w:r>
              <w:rPr>
                <w:rFonts w:ascii="Times New Roman"/>
                <w:sz w:val="18"/>
              </w:rPr>
              <w:t>18.99%</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0.2727</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0.2727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比较合并财务报表各科目金额变动幅度超过</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的主要项目列示如下：</w:t>
      </w:r>
    </w:p>
    <w:p>
      <w:pPr>
        <w:spacing w:line="240" w:lineRule="auto" w:before="11"/>
        <w:rPr>
          <w:rFonts w:ascii="宋体" w:hAnsi="宋体" w:cs="宋体" w:eastAsia="宋体" w:hint="default"/>
          <w:sz w:val="18"/>
          <w:szCs w:val="18"/>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z w:val="18"/>
          <w:szCs w:val="18"/>
        </w:rPr>
        <w:t>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323"/>
        <w:gridCol w:w="1561"/>
        <w:gridCol w:w="1560"/>
        <w:gridCol w:w="1275"/>
        <w:gridCol w:w="1133"/>
        <w:gridCol w:w="2864"/>
      </w:tblGrid>
      <w:tr>
        <w:trPr>
          <w:trHeight w:val="590" w:hRule="exact"/>
        </w:trPr>
        <w:tc>
          <w:tcPr>
            <w:tcW w:w="132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15"/>
                <w:szCs w:val="15"/>
              </w:rPr>
            </w:pPr>
            <w:r>
              <w:rPr>
                <w:rFonts w:ascii="宋体" w:hAnsi="宋体" w:cs="宋体" w:eastAsia="宋体" w:hint="default"/>
                <w:sz w:val="15"/>
                <w:szCs w:val="15"/>
              </w:rPr>
              <w:t>期末余额</w:t>
            </w:r>
            <w:r>
              <w:rPr>
                <w:rFonts w:ascii="Times New Roman" w:hAnsi="Times New Roman" w:cs="Times New Roman" w:eastAsia="Times New Roman" w:hint="default"/>
                <w:sz w:val="15"/>
                <w:szCs w:val="15"/>
              </w:rPr>
              <w:t>/</w:t>
            </w:r>
            <w:r>
              <w:rPr>
                <w:rFonts w:ascii="宋体" w:hAnsi="宋体" w:cs="宋体" w:eastAsia="宋体" w:hint="default"/>
                <w:sz w:val="15"/>
                <w:szCs w:val="15"/>
              </w:rPr>
              <w:t>本期发生额</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15"/>
                <w:szCs w:val="15"/>
              </w:rPr>
            </w:pPr>
            <w:r>
              <w:rPr>
                <w:rFonts w:ascii="宋体" w:hAnsi="宋体" w:cs="宋体" w:eastAsia="宋体" w:hint="default"/>
                <w:sz w:val="15"/>
                <w:szCs w:val="15"/>
              </w:rPr>
              <w:t>期末余额</w:t>
            </w:r>
            <w:r>
              <w:rPr>
                <w:rFonts w:ascii="Times New Roman" w:hAnsi="Times New Roman" w:cs="Times New Roman" w:eastAsia="Times New Roman" w:hint="default"/>
                <w:sz w:val="15"/>
                <w:szCs w:val="15"/>
              </w:rPr>
              <w:t>/</w:t>
            </w:r>
            <w:r>
              <w:rPr>
                <w:rFonts w:ascii="宋体" w:hAnsi="宋体" w:cs="宋体" w:eastAsia="宋体" w:hint="default"/>
                <w:sz w:val="15"/>
                <w:szCs w:val="15"/>
              </w:rPr>
              <w:t>上期发生额</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523" w:right="0"/>
              <w:jc w:val="left"/>
              <w:rPr>
                <w:rFonts w:ascii="宋体" w:hAnsi="宋体" w:cs="宋体" w:eastAsia="宋体" w:hint="default"/>
                <w:sz w:val="15"/>
                <w:szCs w:val="15"/>
              </w:rPr>
            </w:pPr>
            <w:r>
              <w:rPr>
                <w:rFonts w:ascii="宋体" w:hAnsi="宋体" w:cs="宋体" w:eastAsia="宋体" w:hint="default"/>
                <w:sz w:val="15"/>
                <w:szCs w:val="15"/>
              </w:rPr>
              <w:t>变动金额、变动幅度</w:t>
            </w:r>
          </w:p>
        </w:tc>
        <w:tc>
          <w:tcPr>
            <w:tcW w:w="286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说明</w:t>
            </w:r>
          </w:p>
        </w:tc>
      </w:tr>
      <w:tr>
        <w:trPr>
          <w:trHeight w:val="590" w:hRule="exact"/>
        </w:trPr>
        <w:tc>
          <w:tcPr>
            <w:tcW w:w="1323" w:type="dxa"/>
            <w:vMerge/>
            <w:tcBorders>
              <w:left w:val="nil" w:sz="6" w:space="0" w:color="auto"/>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变动金额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变动幅度</w:t>
            </w:r>
          </w:p>
        </w:tc>
        <w:tc>
          <w:tcPr>
            <w:tcW w:w="2864" w:type="dxa"/>
            <w:vMerge/>
            <w:tcBorders>
              <w:left w:val="single" w:sz="4" w:space="0" w:color="000000"/>
              <w:bottom w:val="single" w:sz="4" w:space="0" w:color="000000"/>
              <w:right w:val="nil" w:sz="6" w:space="0" w:color="auto"/>
            </w:tcBorders>
          </w:tcPr>
          <w:p>
            <w:pPr/>
          </w:p>
        </w:tc>
      </w:tr>
      <w:tr>
        <w:trPr>
          <w:trHeight w:val="631"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64" w:right="0"/>
              <w:jc w:val="left"/>
              <w:rPr>
                <w:rFonts w:ascii="Times New Roman" w:hAnsi="Times New Roman" w:cs="Times New Roman" w:eastAsia="Times New Roman" w:hint="default"/>
                <w:sz w:val="15"/>
                <w:szCs w:val="15"/>
              </w:rPr>
            </w:pPr>
            <w:r>
              <w:rPr>
                <w:rFonts w:ascii="Times New Roman"/>
                <w:sz w:val="15"/>
              </w:rPr>
              <w:t>23,125,978.79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87" w:right="0"/>
              <w:jc w:val="left"/>
              <w:rPr>
                <w:rFonts w:ascii="Times New Roman" w:hAnsi="Times New Roman" w:cs="Times New Roman" w:eastAsia="Times New Roman" w:hint="default"/>
                <w:sz w:val="15"/>
                <w:szCs w:val="15"/>
              </w:rPr>
            </w:pPr>
            <w:r>
              <w:rPr>
                <w:rFonts w:ascii="Times New Roman"/>
                <w:sz w:val="15"/>
              </w:rPr>
              <w:t>144,800,392.95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54" w:right="0"/>
              <w:jc w:val="left"/>
              <w:rPr>
                <w:rFonts w:ascii="Times New Roman" w:hAnsi="Times New Roman" w:cs="Times New Roman" w:eastAsia="Times New Roman" w:hint="default"/>
                <w:sz w:val="15"/>
                <w:szCs w:val="15"/>
              </w:rPr>
            </w:pPr>
            <w:r>
              <w:rPr>
                <w:rFonts w:ascii="Times New Roman"/>
                <w:sz w:val="15"/>
              </w:rPr>
              <w:t>-121,674,414.16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83" w:right="0"/>
              <w:jc w:val="left"/>
              <w:rPr>
                <w:rFonts w:ascii="Times New Roman" w:hAnsi="Times New Roman" w:cs="Times New Roman" w:eastAsia="Times New Roman" w:hint="default"/>
                <w:sz w:val="15"/>
                <w:szCs w:val="15"/>
              </w:rPr>
            </w:pPr>
            <w:r>
              <w:rPr>
                <w:rFonts w:ascii="Times New Roman"/>
                <w:sz w:val="15"/>
              </w:rPr>
              <w:t>-84.03%</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6"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详见附注五</w:t>
            </w:r>
            <w:r>
              <w:rPr>
                <w:rFonts w:ascii="Times New Roman" w:hAnsi="Times New Roman" w:cs="Times New Roman" w:eastAsia="Times New Roman" w:hint="default"/>
                <w:sz w:val="15"/>
                <w:szCs w:val="15"/>
              </w:rPr>
              <w:t>.1</w:t>
            </w:r>
          </w:p>
        </w:tc>
      </w:tr>
    </w:tbl>
    <w:p>
      <w:pPr>
        <w:spacing w:after="0" w:line="240" w:lineRule="auto"/>
        <w:jc w:val="left"/>
        <w:rPr>
          <w:rFonts w:ascii="Times New Roman" w:hAnsi="Times New Roman" w:cs="Times New Roman" w:eastAsia="Times New Roman" w:hint="default"/>
          <w:sz w:val="15"/>
          <w:szCs w:val="15"/>
        </w:rPr>
        <w:sectPr>
          <w:pgSz w:w="11910" w:h="16840"/>
          <w:pgMar w:header="0" w:footer="939" w:top="780" w:bottom="1120" w:left="980" w:right="940"/>
        </w:sectPr>
      </w:pPr>
    </w:p>
    <w:p>
      <w:pPr>
        <w:tabs>
          <w:tab w:pos="8489" w:val="left" w:leader="none"/>
        </w:tabs>
        <w:spacing w:before="23"/>
        <w:ind w:left="203" w:right="0" w:firstLine="0"/>
        <w:jc w:val="left"/>
        <w:rPr>
          <w:rFonts w:ascii="宋体" w:hAnsi="宋体" w:cs="宋体" w:eastAsia="宋体" w:hint="default"/>
          <w:sz w:val="18"/>
          <w:szCs w:val="18"/>
        </w:rPr>
      </w:pPr>
      <w:r>
        <w:rPr>
          <w:rFonts w:ascii="宋体" w:hAnsi="宋体" w:cs="宋体" w:eastAsia="宋体" w:hint="default"/>
          <w:sz w:val="18"/>
          <w:szCs w:val="18"/>
        </w:rPr>
        <w:t>深圳大通实业股份有限公司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1323"/>
        <w:gridCol w:w="1561"/>
        <w:gridCol w:w="1560"/>
        <w:gridCol w:w="1275"/>
        <w:gridCol w:w="1133"/>
        <w:gridCol w:w="2864"/>
      </w:tblGrid>
      <w:tr>
        <w:trPr>
          <w:trHeight w:val="591" w:hRule="exact"/>
        </w:trPr>
        <w:tc>
          <w:tcPr>
            <w:tcW w:w="132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15"/>
                <w:szCs w:val="15"/>
              </w:rPr>
            </w:pPr>
            <w:r>
              <w:rPr>
                <w:rFonts w:ascii="宋体" w:hAnsi="宋体" w:cs="宋体" w:eastAsia="宋体" w:hint="default"/>
                <w:sz w:val="15"/>
                <w:szCs w:val="15"/>
              </w:rPr>
              <w:t>期末余额</w:t>
            </w:r>
            <w:r>
              <w:rPr>
                <w:rFonts w:ascii="Times New Roman" w:hAnsi="Times New Roman" w:cs="Times New Roman" w:eastAsia="Times New Roman" w:hint="default"/>
                <w:sz w:val="15"/>
                <w:szCs w:val="15"/>
              </w:rPr>
              <w:t>/</w:t>
            </w:r>
            <w:r>
              <w:rPr>
                <w:rFonts w:ascii="宋体" w:hAnsi="宋体" w:cs="宋体" w:eastAsia="宋体" w:hint="default"/>
                <w:sz w:val="15"/>
                <w:szCs w:val="15"/>
              </w:rPr>
              <w:t>本期发生额</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15"/>
                <w:szCs w:val="15"/>
              </w:rPr>
            </w:pPr>
            <w:r>
              <w:rPr>
                <w:rFonts w:ascii="宋体" w:hAnsi="宋体" w:cs="宋体" w:eastAsia="宋体" w:hint="default"/>
                <w:sz w:val="15"/>
                <w:szCs w:val="15"/>
              </w:rPr>
              <w:t>期末余额</w:t>
            </w:r>
            <w:r>
              <w:rPr>
                <w:rFonts w:ascii="Times New Roman" w:hAnsi="Times New Roman" w:cs="Times New Roman" w:eastAsia="Times New Roman" w:hint="default"/>
                <w:sz w:val="15"/>
                <w:szCs w:val="15"/>
              </w:rPr>
              <w:t>/</w:t>
            </w:r>
            <w:r>
              <w:rPr>
                <w:rFonts w:ascii="宋体" w:hAnsi="宋体" w:cs="宋体" w:eastAsia="宋体" w:hint="default"/>
                <w:sz w:val="15"/>
                <w:szCs w:val="15"/>
              </w:rPr>
              <w:t>上期发生额</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523" w:right="0"/>
              <w:jc w:val="left"/>
              <w:rPr>
                <w:rFonts w:ascii="宋体" w:hAnsi="宋体" w:cs="宋体" w:eastAsia="宋体" w:hint="default"/>
                <w:sz w:val="15"/>
                <w:szCs w:val="15"/>
              </w:rPr>
            </w:pPr>
            <w:r>
              <w:rPr>
                <w:rFonts w:ascii="宋体" w:hAnsi="宋体" w:cs="宋体" w:eastAsia="宋体" w:hint="default"/>
                <w:sz w:val="15"/>
                <w:szCs w:val="15"/>
              </w:rPr>
              <w:t>变动金额、变动幅度</w:t>
            </w:r>
          </w:p>
        </w:tc>
        <w:tc>
          <w:tcPr>
            <w:tcW w:w="286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说明</w:t>
            </w:r>
          </w:p>
        </w:tc>
      </w:tr>
      <w:tr>
        <w:trPr>
          <w:trHeight w:val="590" w:hRule="exact"/>
        </w:trPr>
        <w:tc>
          <w:tcPr>
            <w:tcW w:w="1323" w:type="dxa"/>
            <w:vMerge/>
            <w:tcBorders>
              <w:left w:val="nil" w:sz="6" w:space="0" w:color="auto"/>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变动金额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变动幅度</w:t>
            </w:r>
          </w:p>
        </w:tc>
        <w:tc>
          <w:tcPr>
            <w:tcW w:w="2864" w:type="dxa"/>
            <w:vMerge/>
            <w:tcBorders>
              <w:left w:val="single" w:sz="4" w:space="0" w:color="000000"/>
              <w:bottom w:val="single" w:sz="4" w:space="0" w:color="000000"/>
              <w:right w:val="nil" w:sz="6" w:space="0" w:color="auto"/>
            </w:tcBorders>
          </w:tcPr>
          <w:p>
            <w:pPr/>
          </w:p>
        </w:tc>
      </w:tr>
      <w:tr>
        <w:trPr>
          <w:trHeight w:val="62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20,094,288.00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20,094,288.00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6"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详见附注五</w:t>
            </w:r>
            <w:r>
              <w:rPr>
                <w:rFonts w:ascii="Times New Roman" w:hAnsi="Times New Roman" w:cs="Times New Roman" w:eastAsia="Times New Roman" w:hint="default"/>
                <w:sz w:val="15"/>
                <w:szCs w:val="15"/>
              </w:rPr>
              <w:t>.2</w:t>
            </w:r>
          </w:p>
        </w:tc>
      </w:tr>
      <w:tr>
        <w:trPr>
          <w:trHeight w:val="595"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5,458,917.38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3,373,668.80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2,085,248.58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61.81%</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192" w:lineRule="exact"/>
              <w:ind w:left="26" w:right="24"/>
              <w:jc w:val="left"/>
              <w:rPr>
                <w:rFonts w:ascii="宋体" w:hAnsi="宋体" w:cs="宋体" w:eastAsia="宋体" w:hint="default"/>
                <w:sz w:val="15"/>
                <w:szCs w:val="15"/>
              </w:rPr>
            </w:pPr>
            <w:r>
              <w:rPr>
                <w:rFonts w:ascii="宋体" w:hAnsi="宋体" w:cs="宋体" w:eastAsia="宋体" w:hint="default"/>
                <w:spacing w:val="-4"/>
                <w:sz w:val="15"/>
                <w:szCs w:val="15"/>
              </w:rPr>
              <w:t>开工建设项目增加，各项工程质量保证金增</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加</w:t>
            </w:r>
          </w:p>
        </w:tc>
      </w:tr>
      <w:tr>
        <w:trPr>
          <w:trHeight w:val="590"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预付帐款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5,824,259.69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59,300.00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5,764,959.69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9721.69%</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开工建设项目增加，预付工程款增加</w:t>
            </w:r>
          </w:p>
        </w:tc>
      </w:tr>
      <w:tr>
        <w:trPr>
          <w:trHeight w:val="595"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存货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461,877,673.37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327,140,703.69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134,736,969.68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41.19%</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192" w:lineRule="exact"/>
              <w:ind w:left="26" w:right="24"/>
              <w:jc w:val="left"/>
              <w:rPr>
                <w:rFonts w:ascii="宋体" w:hAnsi="宋体" w:cs="宋体" w:eastAsia="宋体" w:hint="default"/>
                <w:sz w:val="15"/>
                <w:szCs w:val="15"/>
              </w:rPr>
            </w:pPr>
            <w:r>
              <w:rPr>
                <w:rFonts w:ascii="宋体" w:hAnsi="宋体" w:cs="宋体" w:eastAsia="宋体" w:hint="default"/>
                <w:spacing w:val="-4"/>
                <w:sz w:val="15"/>
                <w:szCs w:val="15"/>
              </w:rPr>
              <w:t>营业额增加，土地储备和开发项目在建规模</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增大，完工产品增加</w:t>
            </w:r>
          </w:p>
        </w:tc>
      </w:tr>
      <w:tr>
        <w:trPr>
          <w:trHeight w:val="62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98,835.35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507,127.85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-408,292.50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-80.51%</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预收房款减少</w:t>
            </w:r>
          </w:p>
        </w:tc>
      </w:tr>
      <w:tr>
        <w:trPr>
          <w:trHeight w:val="631"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应付帐款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159,144,089.52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77,876,431.31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81,267,658.21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104.35%</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竣工项目增加</w:t>
            </w:r>
          </w:p>
        </w:tc>
      </w:tr>
      <w:tr>
        <w:trPr>
          <w:trHeight w:val="595"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预收账款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3,869,403.15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29,743,802.05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-25,874,398.90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-86.99%</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192" w:lineRule="exact"/>
              <w:ind w:left="26" w:right="24"/>
              <w:jc w:val="left"/>
              <w:rPr>
                <w:rFonts w:ascii="宋体" w:hAnsi="宋体" w:cs="宋体" w:eastAsia="宋体" w:hint="default"/>
                <w:sz w:val="15"/>
                <w:szCs w:val="15"/>
              </w:rPr>
            </w:pPr>
            <w:r>
              <w:rPr>
                <w:rFonts w:ascii="宋体" w:hAnsi="宋体" w:cs="宋体" w:eastAsia="宋体" w:hint="default"/>
                <w:spacing w:val="-4"/>
                <w:sz w:val="15"/>
                <w:szCs w:val="15"/>
              </w:rPr>
              <w:t>国家政策导致客户观望增加，预收购房客户</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的房款减少</w:t>
            </w:r>
          </w:p>
        </w:tc>
      </w:tr>
      <w:tr>
        <w:trPr>
          <w:trHeight w:val="62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49,000,000.00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2"/>
                <w:sz w:val="15"/>
              </w:rPr>
              <w:t>118,370,842.28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-69,370,842.28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-58.60%</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归还借款所致</w:t>
            </w:r>
          </w:p>
        </w:tc>
      </w:tr>
      <w:tr>
        <w:trPr>
          <w:trHeight w:val="631"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301,294,136.49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2"/>
                <w:sz w:val="15"/>
              </w:rPr>
              <w:t>110,043,571.90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191,250,564.59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173.80%</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可售项目增加，销售量增长</w:t>
            </w:r>
          </w:p>
        </w:tc>
      </w:tr>
      <w:tr>
        <w:trPr>
          <w:trHeight w:val="62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208,536,020.78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70,124,034.22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2"/>
                <w:sz w:val="15"/>
              </w:rPr>
              <w:t>138,411,986.56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197.38%</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可售项目增加，成本增长</w:t>
            </w:r>
          </w:p>
        </w:tc>
      </w:tr>
      <w:tr>
        <w:trPr>
          <w:trHeight w:val="632"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营业税金及附加</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22,737,826.69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7,169,500.82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15,568,325.87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217.15%</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营业收入增加所致</w:t>
            </w:r>
          </w:p>
        </w:tc>
      </w:tr>
      <w:tr>
        <w:trPr>
          <w:trHeight w:val="62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销售费用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6,604,791.37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1,160,171.73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5,444,619.64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469.29%</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本期销售规模扩大所致</w:t>
            </w:r>
          </w:p>
        </w:tc>
      </w:tr>
      <w:tr>
        <w:trPr>
          <w:trHeight w:val="631"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管理费用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2"/>
                <w:sz w:val="15"/>
              </w:rPr>
              <w:t>8,161,116.09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4,194,037.45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3,967,078.64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94.59%</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经营规模扩大所致</w:t>
            </w:r>
          </w:p>
        </w:tc>
      </w:tr>
      <w:tr>
        <w:trPr>
          <w:trHeight w:val="62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财务费用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5,583,042.57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2,524,447.72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3,058,594.85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121.16%</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本期项目贷款利息需费用化</w:t>
            </w:r>
          </w:p>
        </w:tc>
      </w:tr>
      <w:tr>
        <w:trPr>
          <w:trHeight w:val="631"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资产减值损失</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-88,002.04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98,352.04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-186,354.08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-189.48%</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资产质量提高</w:t>
            </w:r>
          </w:p>
        </w:tc>
      </w:tr>
      <w:tr>
        <w:trPr>
          <w:trHeight w:val="591"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493,452.44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10,566,546.44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-10,073,094.00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-95.33%</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上期重组收益较大</w:t>
            </w:r>
          </w:p>
        </w:tc>
      </w:tr>
      <w:tr>
        <w:trPr>
          <w:trHeight w:val="590"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所得税费用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20,240,938.86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2"/>
                <w:sz w:val="15"/>
              </w:rPr>
              <w:t>11,525,520.05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8,715,418.81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75.62%</w:t>
            </w:r>
          </w:p>
        </w:tc>
        <w:tc>
          <w:tcPr>
            <w:tcW w:w="28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营业利润增长所致</w:t>
            </w:r>
          </w:p>
        </w:tc>
      </w:tr>
    </w:tbl>
    <w:p>
      <w:pPr>
        <w:spacing w:after="0" w:line="240" w:lineRule="auto"/>
        <w:jc w:val="left"/>
        <w:rPr>
          <w:rFonts w:ascii="宋体" w:hAnsi="宋体" w:cs="宋体" w:eastAsia="宋体" w:hint="default"/>
          <w:sz w:val="15"/>
          <w:szCs w:val="15"/>
        </w:rPr>
        <w:sectPr>
          <w:pgSz w:w="11910" w:h="16840"/>
          <w:pgMar w:header="0" w:footer="939" w:top="780" w:bottom="1120" w:left="980" w:right="980"/>
        </w:sectPr>
      </w:pPr>
    </w:p>
    <w:p>
      <w:pPr>
        <w:tabs>
          <w:tab w:pos="8489" w:val="left" w:leader="none"/>
        </w:tabs>
        <w:spacing w:before="23"/>
        <w:ind w:left="203" w:right="0" w:firstLine="0"/>
        <w:jc w:val="left"/>
        <w:rPr>
          <w:rFonts w:ascii="宋体" w:hAnsi="宋体" w:cs="宋体" w:eastAsia="宋体" w:hint="default"/>
          <w:sz w:val="18"/>
          <w:szCs w:val="18"/>
        </w:rPr>
      </w:pPr>
      <w:r>
        <w:rPr>
          <w:rFonts w:ascii="宋体" w:hAnsi="宋体" w:cs="宋体" w:eastAsia="宋体" w:hint="default"/>
          <w:sz w:val="18"/>
          <w:szCs w:val="18"/>
        </w:rPr>
        <w:t>深圳大通实业股份有限公司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tabs>
          <w:tab w:pos="2584" w:val="left" w:leader="none"/>
          <w:tab w:pos="5558"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tabs>
          <w:tab w:pos="4380" w:val="left" w:leader="none"/>
          <w:tab w:pos="6991" w:val="left" w:leader="none"/>
        </w:tabs>
        <w:spacing w:line="20" w:lineRule="exact"/>
        <w:ind w:left="1228" w:right="0" w:firstLine="0"/>
        <w:rPr>
          <w:rFonts w:ascii="宋体" w:hAnsi="宋体" w:cs="宋体" w:eastAsia="宋体" w:hint="default"/>
          <w:sz w:val="2"/>
          <w:szCs w:val="2"/>
        </w:rPr>
      </w:pPr>
      <w:r>
        <w:rPr>
          <w:rFonts w:ascii="宋体"/>
          <w:sz w:val="2"/>
        </w:rPr>
        <w:pict>
          <v:group style="width:59.05pt;height:.5pt;mso-position-horizontal-relative:char;mso-position-vertical-relative:line" coordorigin="0,0" coordsize="1181,10">
            <v:group style="position:absolute;left:5;top:5;width:1172;height:2" coordorigin="5,5" coordsize="1172,2">
              <v:shape style="position:absolute;left:5;top:5;width:1172;height:2" coordorigin="5,5" coordsize="1172,0" path="m5,5l1176,5e" filled="false" stroked="true" strokeweight=".48001pt" strokecolor="#000000">
                <v:path arrowok="t"/>
              </v:shape>
            </v:group>
          </v:group>
        </w:pict>
      </w:r>
      <w:r>
        <w:rPr>
          <w:rFonts w:ascii="宋体"/>
          <w:sz w:val="2"/>
        </w:rPr>
      </w:r>
      <w:r>
        <w:rPr>
          <w:rFonts w:ascii="宋体"/>
          <w:sz w:val="2"/>
        </w:rPr>
        <w:tab/>
      </w:r>
      <w:r>
        <w:rPr>
          <w:rFonts w:ascii="宋体"/>
          <w:sz w:val="2"/>
        </w:rPr>
        <w:pict>
          <v:group style="width:50.1pt;height:.5pt;mso-position-horizontal-relative:char;mso-position-vertical-relative:line" coordorigin="0,0" coordsize="1002,10">
            <v:group style="position:absolute;left:5;top:5;width:992;height:2" coordorigin="5,5" coordsize="992,2">
              <v:shape style="position:absolute;left:5;top:5;width:992;height:2" coordorigin="5,5" coordsize="992,0" path="m5,5l996,5e" filled="false" stroked="true" strokeweight=".48001pt" strokecolor="#000000">
                <v:path arrowok="t"/>
              </v:shape>
            </v:group>
          </v:group>
        </w:pict>
      </w:r>
      <w:r>
        <w:rPr>
          <w:rFonts w:ascii="宋体"/>
          <w:sz w:val="2"/>
        </w:rPr>
      </w:r>
      <w:r>
        <w:rPr>
          <w:rFonts w:ascii="宋体"/>
          <w:sz w:val="2"/>
        </w:rPr>
        <w:tab/>
      </w:r>
      <w:r>
        <w:rPr>
          <w:rFonts w:ascii="宋体"/>
          <w:sz w:val="2"/>
        </w:rPr>
        <w:pict>
          <v:group style="width:54.55pt;height:.5pt;mso-position-horizontal-relative:char;mso-position-vertical-relative:line" coordorigin="0,0" coordsize="1091,10">
            <v:group style="position:absolute;left:5;top:5;width:1081;height:2" coordorigin="5,5" coordsize="1081,2">
              <v:shape style="position:absolute;left:5;top:5;width:1081;height:2" coordorigin="5,5" coordsize="1081,0" path="m5,5l1085,5e" filled="false" stroked="true" strokeweight=".48001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tabs>
          <w:tab w:pos="875" w:val="left" w:leader="none"/>
          <w:tab w:pos="2675" w:val="left" w:leader="none"/>
          <w:tab w:pos="4027" w:val="left" w:leader="none"/>
          <w:tab w:pos="5650" w:val="left" w:leader="none"/>
          <w:tab w:pos="6638"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日</w:t>
        <w:tab/>
        <w:t>期：</w:t>
        <w:tab/>
        <w:t>日</w:t>
        <w:tab/>
        <w:t>期：</w:t>
        <w:tab/>
        <w:t>日</w:t>
        <w:tab/>
        <w:t>期：</w:t>
      </w:r>
    </w:p>
    <w:p>
      <w:pPr>
        <w:tabs>
          <w:tab w:pos="4382" w:val="left" w:leader="none"/>
          <w:tab w:pos="6994" w:val="left" w:leader="none"/>
        </w:tabs>
        <w:spacing w:line="20" w:lineRule="exact"/>
        <w:ind w:left="1230" w:right="0" w:firstLine="0"/>
        <w:rPr>
          <w:rFonts w:ascii="宋体" w:hAnsi="宋体" w:cs="宋体" w:eastAsia="宋体" w:hint="default"/>
          <w:sz w:val="2"/>
          <w:szCs w:val="2"/>
        </w:rPr>
      </w:pPr>
      <w:r>
        <w:rPr>
          <w:rFonts w:ascii="宋体"/>
          <w:sz w:val="2"/>
        </w:rPr>
        <w:pict>
          <v:group style="width:67.95pt;height:.5pt;mso-position-horizontal-relative:char;mso-position-vertical-relative:line" coordorigin="0,0" coordsize="1359,10">
            <v:group style="position:absolute;left:5;top:5;width:1349;height:2" coordorigin="5,5" coordsize="1349,2">
              <v:shape style="position:absolute;left:5;top:5;width:1349;height:2" coordorigin="5,5" coordsize="1349,0" path="m5,5l1354,5e" filled="false" stroked="true" strokeweight=".48001pt" strokecolor="#000000">
                <v:path arrowok="t"/>
              </v:shape>
            </v:group>
          </v:group>
        </w:pict>
      </w:r>
      <w:r>
        <w:rPr>
          <w:rFonts w:ascii="宋体"/>
          <w:sz w:val="2"/>
        </w:rPr>
      </w:r>
      <w:r>
        <w:rPr>
          <w:rFonts w:ascii="宋体"/>
          <w:sz w:val="2"/>
        </w:rPr>
        <w:tab/>
      </w:r>
      <w:r>
        <w:rPr>
          <w:rFonts w:ascii="宋体"/>
          <w:sz w:val="2"/>
        </w:rPr>
        <w:pict>
          <v:group style="width:54.55pt;height:.5pt;mso-position-horizontal-relative:char;mso-position-vertical-relative:line" coordorigin="0,0" coordsize="1091,10">
            <v:group style="position:absolute;left:5;top:5;width:1081;height:2" coordorigin="5,5" coordsize="1081,2">
              <v:shape style="position:absolute;left:5;top:5;width:1081;height:2" coordorigin="5,5" coordsize="1081,0" path="m5,5l1085,5e" filled="false" stroked="true" strokeweight=".48001pt" strokecolor="#000000">
                <v:path arrowok="t"/>
              </v:shape>
            </v:group>
          </v:group>
        </w:pict>
      </w:r>
      <w:r>
        <w:rPr>
          <w:rFonts w:ascii="宋体"/>
          <w:sz w:val="2"/>
        </w:rPr>
      </w:r>
      <w:r>
        <w:rPr>
          <w:rFonts w:ascii="宋体"/>
          <w:sz w:val="2"/>
        </w:rPr>
        <w:tab/>
      </w:r>
      <w:r>
        <w:rPr>
          <w:rFonts w:ascii="宋体"/>
          <w:sz w:val="2"/>
        </w:rPr>
        <w:pict>
          <v:group style="width:58.95pt;height:.5pt;mso-position-horizontal-relative:char;mso-position-vertical-relative:line" coordorigin="0,0" coordsize="1179,10">
            <v:group style="position:absolute;left:5;top:5;width:1170;height:2" coordorigin="5,5" coordsize="1170,2">
              <v:shape style="position:absolute;left:5;top:5;width:1170;height:2" coordorigin="5,5" coordsize="1170,0" path="m5,5l1174,5e" filled="false" stroked="true" strokeweight=".48001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0" w:footer="939" w:top="780" w:bottom="1120" w:left="980" w:right="980"/>
        </w:sectPr>
      </w:pPr>
    </w:p>
    <w:p>
      <w:pPr>
        <w:tabs>
          <w:tab w:pos="8489" w:val="left" w:leader="none"/>
        </w:tabs>
        <w:spacing w:before="23"/>
        <w:ind w:left="203" w:right="0" w:firstLine="0"/>
        <w:jc w:val="left"/>
        <w:rPr>
          <w:rFonts w:ascii="宋体" w:hAnsi="宋体" w:cs="宋体" w:eastAsia="宋体" w:hint="default"/>
          <w:sz w:val="18"/>
          <w:szCs w:val="18"/>
        </w:rPr>
      </w:pPr>
      <w:r>
        <w:rPr>
          <w:rFonts w:ascii="宋体" w:hAnsi="宋体" w:cs="宋体" w:eastAsia="宋体" w:hint="default"/>
          <w:sz w:val="18"/>
          <w:szCs w:val="18"/>
        </w:rPr>
        <w:t>深圳大通实业股份有限公司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8"/>
          <w:szCs w:val="28"/>
        </w:rPr>
      </w:pPr>
    </w:p>
    <w:p>
      <w:pPr>
        <w:pStyle w:val="Heading1"/>
        <w:spacing w:line="240" w:lineRule="auto"/>
        <w:ind w:left="3285" w:right="0"/>
        <w:jc w:val="left"/>
        <w:rPr>
          <w:b w:val="0"/>
          <w:bCs w:val="0"/>
        </w:rPr>
      </w:pPr>
      <w:bookmarkStart w:name="_TOC_250000" w:id="12"/>
      <w:r>
        <w:rPr/>
        <w:t>第十二章</w:t>
      </w:r>
      <w:r>
        <w:rPr>
          <w:spacing w:val="-6"/>
        </w:rPr>
        <w:t> </w:t>
      </w:r>
      <w:r>
        <w:rPr/>
        <w:t>备查文件目录</w:t>
      </w:r>
      <w:bookmarkEnd w:id="12"/>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1"/>
        <w:ind w:left="633" w:right="0"/>
        <w:jc w:val="left"/>
      </w:pPr>
      <w:r>
        <w:rPr/>
        <w:t>（一）载有法定代表人、主管会计工作负责人、会计主管人员签名并盖章的财务报表。</w:t>
      </w:r>
    </w:p>
    <w:p>
      <w:pPr>
        <w:pStyle w:val="BodyText"/>
        <w:spacing w:line="240" w:lineRule="auto" w:before="154"/>
        <w:ind w:left="633" w:right="0"/>
        <w:jc w:val="left"/>
      </w:pPr>
      <w:r>
        <w:rPr/>
        <w:t>（二）载有会计师事务所盖章、注册会计师签名并盖章的审计报告原件。</w:t>
      </w:r>
    </w:p>
    <w:p>
      <w:pPr>
        <w:pStyle w:val="BodyText"/>
        <w:spacing w:line="240" w:lineRule="auto" w:before="154"/>
        <w:ind w:left="633" w:right="0"/>
        <w:jc w:val="left"/>
      </w:pPr>
      <w:r>
        <w:rPr/>
        <w:t>（三）报告期内在中国证监会指定报纸上公开披露过的所有公司文件的正本及公告的原</w:t>
      </w:r>
    </w:p>
    <w:p>
      <w:pPr>
        <w:pStyle w:val="BodyText"/>
        <w:spacing w:line="240" w:lineRule="auto" w:before="154"/>
        <w:ind w:left="152" w:right="0"/>
        <w:jc w:val="left"/>
      </w:pPr>
      <w:r>
        <w:rPr/>
        <w:t>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57" w:lineRule="auto" w:before="26"/>
        <w:ind w:left="6874" w:right="892" w:hanging="720"/>
        <w:jc w:val="left"/>
      </w:pPr>
      <w:r>
        <w:rPr/>
        <w:t>深圳大通实业股份有限公司 </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16</w:t>
      </w:r>
      <w:r>
        <w:rPr/>
        <w:t>日</w:t>
      </w:r>
    </w:p>
    <w:sectPr>
      <w:pgSz w:w="11910" w:h="16840"/>
      <w:pgMar w:header="0" w:footer="939" w:top="780" w:bottom="112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24088" type="#_x0000_t75" stroked="false">
          <v:imagedata r:id="rId1" o:title=""/>
        </v:shape>
      </w:pict>
    </w:r>
    <w:r>
      <w:rPr/>
      <w:pict>
        <v:shapetype id="_x0000_t202" o:spt="202" coordsize="21600,21600" path="m,l,21600r21600,l21600,xe">
          <v:stroke joinstyle="miter"/>
          <v:path gradientshapeok="t" o:connecttype="rect"/>
        </v:shapetype>
        <v:shape style="position:absolute;margin-left:293.489990pt;margin-top:791.893921pt;width:8.5pt;height:11pt;mso-position-horizontal-relative:page;mso-position-vertical-relative:page;z-index:-624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23680" type="#_x0000_t75" stroked="false">
          <v:imagedata r:id="rId1" o:title=""/>
        </v:shape>
      </w:pict>
    </w:r>
    <w:r>
      <w:rPr/>
      <w:pict>
        <v:shape style="position:absolute;margin-left:291.209991pt;margin-top:789.013916pt;width:13.15pt;height:11pt;mso-position-horizontal-relative:page;mso-position-vertical-relative:page;z-index:-623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23632" type="#_x0000_t75" stroked="false">
          <v:imagedata r:id="rId1" o:title=""/>
        </v:shape>
      </w:pict>
    </w:r>
    <w:r>
      <w:rPr/>
      <w:pict>
        <v:shape style="position:absolute;margin-left:291.209991pt;margin-top:789.013916pt;width:13.15pt;height:11pt;mso-position-horizontal-relative:page;mso-position-vertical-relative:page;z-index:-623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209991pt;margin-top:789.013916pt;width:13.15pt;height:11pt;mso-position-horizontal-relative:page;mso-position-vertical-relative:page;z-index:-623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23560" type="#_x0000_t75" stroked="false">
          <v:imagedata r:id="rId1" o:title=""/>
        </v:shape>
      </w:pict>
    </w:r>
    <w:r>
      <w:rPr/>
      <w:pict>
        <v:shape style="position:absolute;margin-left:414.450012pt;margin-top:542.41394pt;width:13.15pt;height:11pt;mso-position-horizontal-relative:page;mso-position-vertical-relative:page;z-index:-623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23512" type="#_x0000_t75" stroked="false">
          <v:imagedata r:id="rId1" o:title=""/>
        </v:shape>
      </w:pict>
    </w:r>
    <w:r>
      <w:rPr/>
      <w:pict>
        <v:shape style="position:absolute;margin-left:291.209991pt;margin-top:789.013916pt;width:13.15pt;height:11pt;mso-position-horizontal-relative:page;mso-position-vertical-relative:page;z-index:-623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23464" type="#_x0000_t75" stroked="false">
          <v:imagedata r:id="rId1" o:title=""/>
        </v:shape>
      </w:pict>
    </w:r>
    <w:r>
      <w:rPr/>
      <w:pict>
        <v:shape style="position:absolute;margin-left:289.929993pt;margin-top:789.013916pt;width:15.7pt;height:11pt;mso-position-horizontal-relative:page;mso-position-vertical-relative:page;z-index:-6234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23416" type="#_x0000_t75" stroked="false">
          <v:imagedata r:id="rId1" o:title=""/>
        </v:shape>
      </w:pict>
    </w:r>
    <w:r>
      <w:rPr/>
      <w:pict>
        <v:shape style="position:absolute;margin-left:288.929993pt;margin-top:789.013916pt;width:17.7pt;height:11pt;mso-position-horizontal-relative:page;mso-position-vertical-relative:page;z-index:-623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23368" type="#_x0000_t75" stroked="false">
          <v:imagedata r:id="rId1" o:title=""/>
        </v:shape>
      </w:pict>
    </w:r>
    <w:r>
      <w:rPr/>
      <w:pict>
        <v:shape style="position:absolute;margin-left:289.049988pt;margin-top:789.013916pt;width:17.3pt;height:11pt;mso-position-horizontal-relative:page;mso-position-vertical-relative:page;z-index:-623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23320" type="#_x0000_t75" stroked="false">
          <v:imagedata r:id="rId1" o:title=""/>
        </v:shape>
      </w:pict>
    </w:r>
    <w:r>
      <w:rPr/>
      <w:pict>
        <v:shape style="position:absolute;margin-left:289.049988pt;margin-top:789.013916pt;width:17.3pt;height:11pt;mso-position-horizontal-relative:page;mso-position-vertical-relative:page;z-index:-623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23272" type="#_x0000_t75" stroked="false">
          <v:imagedata r:id="rId1" o:title=""/>
        </v:shape>
      </w:pict>
    </w:r>
    <w:r>
      <w:rPr/>
      <w:pict>
        <v:shape style="position:absolute;margin-left:289.049988pt;margin-top:789.013916pt;width:17.3pt;height:11pt;mso-position-horizontal-relative:page;mso-position-vertical-relative:page;z-index:-623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24040" type="#_x0000_t75" stroked="false">
          <v:imagedata r:id="rId1" o:title=""/>
        </v:shape>
      </w:pict>
    </w:r>
    <w:r>
      <w:rPr/>
      <w:pict>
        <v:shape style="position:absolute;margin-left:293.489990pt;margin-top:791.893921pt;width:8.5pt;height:11pt;mso-position-horizontal-relative:page;mso-position-vertical-relative:page;z-index:-624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23224" type="#_x0000_t75" stroked="false">
          <v:imagedata r:id="rId1" o:title=""/>
        </v:shape>
      </w:pict>
    </w:r>
    <w:r>
      <w:rPr/>
      <w:pict>
        <v:shape style="position:absolute;margin-left:289.049988pt;margin-top:789.013916pt;width:17.3pt;height:11pt;mso-position-horizontal-relative:page;mso-position-vertical-relative:page;z-index:-623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23176" type="#_x0000_t75" stroked="false">
          <v:imagedata r:id="rId1" o:title=""/>
        </v:shape>
      </w:pict>
    </w:r>
    <w:r>
      <w:rPr/>
      <w:pict>
        <v:shape style="position:absolute;margin-left:289.049988pt;margin-top:789.013916pt;width:17.3pt;height:11pt;mso-position-horizontal-relative:page;mso-position-vertical-relative:page;z-index:-623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23128" type="#_x0000_t75" stroked="false">
          <v:imagedata r:id="rId1" o:title=""/>
        </v:shape>
      </w:pict>
    </w:r>
    <w:r>
      <w:rPr/>
      <w:pict>
        <v:shape style="position:absolute;margin-left:288.929993pt;margin-top:789.013916pt;width:17.7pt;height:11pt;mso-position-horizontal-relative:page;mso-position-vertical-relative:page;z-index:-623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121</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3.973938pt;width:17.7pt;height:11pt;mso-position-horizontal-relative:page;mso-position-vertical-relative:page;z-index:-623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126</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23992" type="#_x0000_t75" stroked="false">
          <v:imagedata r:id="rId1" o:title=""/>
        </v:shape>
      </w:pict>
    </w:r>
    <w:r>
      <w:rPr/>
      <w:pict>
        <v:shape style="position:absolute;margin-left:291.209991pt;margin-top:791.893921pt;width:13.15pt;height:11pt;mso-position-horizontal-relative:page;mso-position-vertical-relative:page;z-index:-623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91.893921pt;width:13.15pt;height:11pt;mso-position-horizontal-relative:page;mso-position-vertical-relative:page;z-index:-623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23920" type="#_x0000_t75" stroked="false">
          <v:imagedata r:id="rId1" o:title=""/>
        </v:shape>
      </w:pict>
    </w:r>
    <w:r>
      <w:rPr/>
      <w:pict>
        <v:shape style="position:absolute;margin-left:291.209991pt;margin-top:791.893921pt;width:13.15pt;height:11pt;mso-position-horizontal-relative:page;mso-position-vertical-relative:page;z-index:-623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23872" type="#_x0000_t75" stroked="false">
          <v:imagedata r:id="rId1" o:title=""/>
        </v:shape>
      </w:pict>
    </w:r>
    <w:r>
      <w:rPr/>
      <w:pict>
        <v:shape style="position:absolute;margin-left:291.209991pt;margin-top:791.893921pt;width:13.15pt;height:11pt;mso-position-horizontal-relative:page;mso-position-vertical-relative:page;z-index:-623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23824" type="#_x0000_t75" stroked="false">
          <v:imagedata r:id="rId1" o:title=""/>
        </v:shape>
      </w:pict>
    </w:r>
    <w:r>
      <w:rPr/>
      <w:pict>
        <v:shape style="position:absolute;margin-left:291.209991pt;margin-top:791.893921pt;width:13.15pt;height:11pt;mso-position-horizontal-relative:page;mso-position-vertical-relative:page;z-index:-623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23776" type="#_x0000_t75" stroked="false">
          <v:imagedata r:id="rId1" o:title=""/>
        </v:shape>
      </w:pict>
    </w:r>
    <w:r>
      <w:rPr/>
      <w:pict>
        <v:shape style="position:absolute;margin-left:291.209991pt;margin-top:791.893921pt;width:13.15pt;height:11pt;mso-position-horizontal-relative:page;mso-position-vertical-relative:page;z-index:-623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23728" type="#_x0000_t75" stroked="false">
          <v:imagedata r:id="rId1" o:title=""/>
        </v:shape>
      </w:pict>
    </w:r>
    <w:r>
      <w:rPr/>
      <w:pict>
        <v:shape style="position:absolute;margin-left:414.450012pt;margin-top:542.41394pt;width:13.15pt;height:11pt;mso-position-horizontal-relative:page;mso-position-vertical-relative:page;z-index:-623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r>
                  <w:rPr>
                    <w:rFonts w:ascii="Times New Roman"/>
                    <w:spacing w:val="1"/>
                    <w:sz w:val="18"/>
                  </w:rPr>
                </w:r>
                <w:r>
                  <w:rPr>
                    <w:rFonts w:ascii="Times New Roman"/>
                    <w:sz w:val="18"/>
                  </w:rPr>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7"/>
      <w:ind w:left="112"/>
    </w:pPr>
    <w:rPr>
      <w:rFonts w:ascii="宋体" w:hAnsi="宋体" w:eastAsia="宋体"/>
      <w:sz w:val="28"/>
      <w:szCs w:val="28"/>
    </w:rPr>
  </w:style>
  <w:style w:styleId="BodyText" w:type="paragraph">
    <w:name w:val="Body Text"/>
    <w:basedOn w:val="Normal"/>
    <w:uiPriority w:val="1"/>
    <w:qFormat/>
    <w:pPr>
      <w:spacing w:before="34"/>
      <w:ind w:left="112"/>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outlineLvl w:val="2"/>
    </w:pPr>
    <w:rPr>
      <w:rFonts w:ascii="黑体" w:hAnsi="黑体" w:eastAsia="黑体"/>
      <w:sz w:val="32"/>
      <w:szCs w:val="32"/>
    </w:rPr>
  </w:style>
  <w:style w:styleId="Heading3" w:type="paragraph">
    <w:name w:val="Heading 3"/>
    <w:basedOn w:val="Normal"/>
    <w:uiPriority w:val="1"/>
    <w:qFormat/>
    <w:pPr>
      <w:ind w:left="3152"/>
      <w:outlineLvl w:val="3"/>
    </w:pPr>
    <w:rPr>
      <w:rFonts w:ascii="黑体" w:hAnsi="黑体" w:eastAsia="黑体"/>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liushibao2002@163.com" TargetMode="External"/><Relationship Id="rId7" Type="http://schemas.openxmlformats.org/officeDocument/2006/relationships/hyperlink" Target="mailto:dtstock@yahoo.cn" TargetMode="External"/><Relationship Id="rId8" Type="http://schemas.openxmlformats.org/officeDocument/2006/relationships/hyperlink" Target="http://www.cninfo.com.cn/" TargetMode="Externa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4.xml"/><Relationship Id="rId15" Type="http://schemas.openxmlformats.org/officeDocument/2006/relationships/image" Target="media/image1.pn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 Id="rId37" Type="http://schemas.openxmlformats.org/officeDocument/2006/relationships/footer" Target="footer23.xml"/><Relationship Id="rId38" Type="http://schemas.openxmlformats.org/officeDocument/2006/relationships/footer" Target="footer24.xml"/><Relationship Id="rId39" Type="http://schemas.openxmlformats.org/officeDocument/2006/relationships/footer" Target="footer2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2020-04-28T22:54:48Z</dcterms:created>
  <dcterms:modified xsi:type="dcterms:W3CDTF">2020-04-28T22:54:48Z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2011-05-24T00:00:00Z</vt:filetime>
  </property>
  <property fmtid="{D5CDD505-2E9C-101B-9397-08002B2CF9AE}" pid="3" name="Creator">
    <vt:lpwstr>Microsoft® Office Word 2007</vt:lpwstr>
  </property>
  <property fmtid="{D5CDD505-2E9C-101B-9397-08002B2CF9AE}" pid="4" name="LastSaved">
    <vt:filetime>2020-04-28T00:00:00Z</vt:filetime>
  </property>
</Properties>
</file>