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397" w:lineRule="exact"/>
        <w:ind w:left="377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7"/>
          <w:sz w:val="20"/>
          <w:szCs w:val="20"/>
        </w:rPr>
        <w:drawing>
          <wp:inline distT="0" distB="0" distL="0" distR="0">
            <wp:extent cx="1522476" cy="152247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522476" cy="1522476"/>
                    </a:xfrm>
                    <a:prstGeom prst="rect">
                      <a:avLst/>
                    </a:prstGeom>
                  </pic:spPr>
                </pic:pic>
              </a:graphicData>
            </a:graphic>
          </wp:inline>
        </w:drawing>
      </w:r>
      <w:r>
        <w:rPr>
          <w:rFonts w:ascii="Times New Roman" w:hAnsi="Times New Roman" w:cs="Times New Roman" w:eastAsia="Times New Roman" w:hint="default"/>
          <w:position w:val="-47"/>
          <w:sz w:val="20"/>
          <w:szCs w:val="20"/>
        </w:rPr>
      </w:r>
    </w:p>
    <w:p>
      <w:pPr>
        <w:spacing w:line="240" w:lineRule="auto" w:before="8"/>
        <w:rPr>
          <w:rFonts w:ascii="Times New Roman" w:hAnsi="Times New Roman" w:cs="Times New Roman" w:eastAsia="Times New Roman" w:hint="default"/>
          <w:sz w:val="13"/>
          <w:szCs w:val="13"/>
        </w:rPr>
      </w:pPr>
    </w:p>
    <w:p>
      <w:pPr>
        <w:spacing w:line="460" w:lineRule="exact" w:before="0"/>
        <w:ind w:left="195" w:right="194" w:firstLine="0"/>
        <w:jc w:val="center"/>
        <w:rPr>
          <w:rFonts w:ascii="宋体" w:hAnsi="宋体" w:cs="宋体" w:eastAsia="宋体" w:hint="default"/>
          <w:sz w:val="36"/>
          <w:szCs w:val="36"/>
        </w:rPr>
      </w:pPr>
      <w:r>
        <w:rPr>
          <w:rFonts w:ascii="宋体" w:hAnsi="宋体" w:cs="宋体" w:eastAsia="宋体" w:hint="default"/>
          <w:b/>
          <w:bCs/>
          <w:sz w:val="36"/>
          <w:szCs w:val="36"/>
        </w:rPr>
        <w:t>深圳大通实业股份有限公司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95" w:right="19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195" w:right="19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0"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本公司董事会、监事会及董事、监事、高级管理人员保证本报告所载资料</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1"/>
        <w:ind w:left="153" w:right="1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公司负责人许亚楠、主管会计工作负责人易平良及会计机构负责人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陈璇声明：保证年度报告中财务报告的真实、准确、完整。</w:t>
      </w:r>
      <w:r>
        <w:rPr>
          <w:rFonts w:ascii="宋体" w:hAnsi="宋体" w:cs="宋体" w:eastAsia="宋体" w:hint="default"/>
          <w:sz w:val="28"/>
          <w:szCs w:val="28"/>
        </w:rPr>
      </w:r>
    </w:p>
    <w:p>
      <w:pPr>
        <w:spacing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肖勤福</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工作原因</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张世兴</w:t>
            </w:r>
          </w:p>
        </w:tc>
      </w:tr>
    </w:tbl>
    <w:p>
      <w:pPr>
        <w:spacing w:line="240" w:lineRule="auto" w:before="2"/>
        <w:rPr>
          <w:rFonts w:ascii="宋体" w:hAnsi="宋体" w:cs="宋体" w:eastAsia="宋体" w:hint="default"/>
          <w:b/>
          <w:bCs/>
          <w:sz w:val="13"/>
          <w:szCs w:val="13"/>
        </w:rPr>
      </w:pPr>
    </w:p>
    <w:p>
      <w:pPr>
        <w:spacing w:before="13"/>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95" w:right="19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0" w:val="right" w:leader="dot"/>
            </w:tabs>
            <w:spacing w:line="240" w:lineRule="auto" w:before="0"/>
            <w:ind w:left="154"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 重要提示、目录和释义</w:t>
            </w:r>
            <w:r>
              <w:rPr>
                <w:rFonts w:ascii="Times New Roman" w:hAnsi="Times New Roman" w:cs="Times New Roman" w:eastAsia="Times New Roman" w:hint="default"/>
              </w:rPr>
              <w:tab/>
              <w:t>2</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9">
            <w:r>
              <w:rPr/>
              <w:t>第二节 公司简介</w:t>
            </w:r>
            <w:r>
              <w:rPr>
                <w:rFonts w:ascii="Times New Roman" w:hAnsi="Times New Roman" w:cs="Times New Roman" w:eastAsia="Times New Roman" w:hint="default"/>
              </w:rPr>
              <w:tab/>
              <w:t>6</w:t>
            </w:r>
          </w:hyperlink>
        </w:p>
        <w:p>
          <w:pPr>
            <w:pStyle w:val="TOC1"/>
            <w:tabs>
              <w:tab w:pos="9780" w:val="right" w:leader="dot"/>
            </w:tabs>
            <w:spacing w:line="240" w:lineRule="auto" w:before="103"/>
            <w:ind w:right="0"/>
            <w:jc w:val="left"/>
            <w:rPr>
              <w:rFonts w:ascii="Times New Roman" w:hAnsi="Times New Roman" w:cs="Times New Roman" w:eastAsia="Times New Roman" w:hint="default"/>
            </w:rPr>
          </w:pPr>
          <w:hyperlink w:history="true" w:anchor="_TOC_250008">
            <w:r>
              <w:rPr/>
              <w:t>第三节 会计数据和财务指标摘要</w:t>
            </w:r>
            <w:r>
              <w:rPr>
                <w:rFonts w:ascii="Times New Roman" w:hAnsi="Times New Roman" w:cs="Times New Roman" w:eastAsia="Times New Roman" w:hint="default"/>
              </w:rPr>
              <w:tab/>
              <w:t>9</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7">
            <w:r>
              <w:rPr/>
              <w:t>第四节 董事会报告</w:t>
            </w:r>
            <w:r>
              <w:rPr>
                <w:rFonts w:ascii="Times New Roman" w:hAnsi="Times New Roman" w:cs="Times New Roman" w:eastAsia="Times New Roman" w:hint="default"/>
              </w:rPr>
              <w:tab/>
              <w:t>10</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6">
            <w:r>
              <w:rPr/>
              <w:t>第五节 重要事项</w:t>
            </w:r>
            <w:r>
              <w:rPr>
                <w:rFonts w:ascii="Times New Roman" w:hAnsi="Times New Roman" w:cs="Times New Roman" w:eastAsia="Times New Roman" w:hint="default"/>
              </w:rPr>
              <w:tab/>
              <w:t>21</w:t>
            </w:r>
          </w:hyperlink>
        </w:p>
        <w:p>
          <w:pPr>
            <w:pStyle w:val="TOC1"/>
            <w:tabs>
              <w:tab w:pos="9780" w:val="right" w:leader="dot"/>
            </w:tabs>
            <w:spacing w:line="240" w:lineRule="auto" w:before="103"/>
            <w:ind w:right="0"/>
            <w:jc w:val="left"/>
            <w:rPr>
              <w:rFonts w:ascii="Times New Roman" w:hAnsi="Times New Roman" w:cs="Times New Roman" w:eastAsia="Times New Roman" w:hint="default"/>
            </w:rPr>
          </w:pPr>
          <w:hyperlink w:history="true" w:anchor="_TOC_250005">
            <w:r>
              <w:rPr/>
              <w:t>第六节 股份变动及股东情况</w:t>
            </w:r>
            <w:r>
              <w:rPr>
                <w:rFonts w:ascii="Times New Roman" w:hAnsi="Times New Roman" w:cs="Times New Roman" w:eastAsia="Times New Roman" w:hint="default"/>
              </w:rPr>
              <w:tab/>
              <w:t>30</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4">
            <w:r>
              <w:rPr/>
              <w:t>第七节 董事、监事、高级管理人员和员工情况</w:t>
            </w:r>
            <w:r>
              <w:rPr>
                <w:rFonts w:ascii="Times New Roman" w:hAnsi="Times New Roman" w:cs="Times New Roman" w:eastAsia="Times New Roman" w:hint="default"/>
              </w:rPr>
              <w:tab/>
              <w:t>34</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3">
            <w:r>
              <w:rPr/>
              <w:t>第八节 公司治理</w:t>
            </w:r>
            <w:r>
              <w:rPr>
                <w:rFonts w:ascii="Times New Roman" w:hAnsi="Times New Roman" w:cs="Times New Roman" w:eastAsia="Times New Roman" w:hint="default"/>
              </w:rPr>
              <w:tab/>
              <w:t>39</w:t>
            </w:r>
          </w:hyperlink>
        </w:p>
        <w:p>
          <w:pPr>
            <w:pStyle w:val="TOC1"/>
            <w:tabs>
              <w:tab w:pos="9780" w:val="right" w:leader="dot"/>
            </w:tabs>
            <w:spacing w:line="240" w:lineRule="auto" w:before="103"/>
            <w:ind w:right="0"/>
            <w:jc w:val="left"/>
            <w:rPr>
              <w:rFonts w:ascii="Times New Roman" w:hAnsi="Times New Roman" w:cs="Times New Roman" w:eastAsia="Times New Roman" w:hint="default"/>
            </w:rPr>
          </w:pPr>
          <w:hyperlink w:history="true" w:anchor="_TOC_250002">
            <w:r>
              <w:rPr/>
              <w:t>第九节 内部控制</w:t>
            </w:r>
            <w:r>
              <w:rPr>
                <w:rFonts w:ascii="Times New Roman" w:hAnsi="Times New Roman" w:cs="Times New Roman" w:eastAsia="Times New Roman" w:hint="default"/>
              </w:rPr>
              <w:tab/>
              <w:t>43</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1">
            <w:r>
              <w:rPr/>
              <w:t>第十节 财务报告</w:t>
            </w:r>
            <w:r>
              <w:rPr>
                <w:rFonts w:ascii="Times New Roman" w:hAnsi="Times New Roman" w:cs="Times New Roman" w:eastAsia="Times New Roman" w:hint="default"/>
              </w:rPr>
              <w:tab/>
              <w:t>44</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0">
            <w:r>
              <w:rPr/>
              <w:t>第十一节 备查文件目录</w:t>
            </w:r>
            <w:r>
              <w:rPr>
                <w:rFonts w:ascii="Times New Roman" w:hAnsi="Times New Roman" w:cs="Times New Roman" w:eastAsia="Times New Roman" w:hint="default"/>
              </w:rPr>
              <w:tab/>
              <w:t>100</w:t>
            </w:r>
          </w:hyperlink>
        </w:p>
        <w:p>
          <w:pPr/>
          <w:r>
            <w:fldChar w:fldCharType="end"/>
          </w:r>
        </w:p>
      </w:sdtContent>
    </w:sdt>
    <w:p>
      <w:pPr>
        <w:spacing w:after="0"/>
        <w:sectPr>
          <w:pgSz w:w="11910" w:h="16840"/>
          <w:pgMar w:header="747" w:footer="982" w:top="1060" w:bottom="1180" w:left="980" w:right="980"/>
        </w:sectPr>
      </w:pPr>
    </w:p>
    <w:p>
      <w:pPr>
        <w:spacing w:before="946"/>
        <w:ind w:left="195" w:right="19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深大通、上市公司、公司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w:t>
            </w: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恢复上市</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16" w:lineRule="auto" w:before="51"/>
              <w:ind w:left="16" w:right="169"/>
              <w:jc w:val="left"/>
              <w:rPr>
                <w:rFonts w:ascii="宋体" w:hAnsi="宋体" w:cs="宋体" w:eastAsia="宋体" w:hint="default"/>
                <w:sz w:val="18"/>
                <w:szCs w:val="18"/>
              </w:rPr>
            </w:pPr>
            <w:r>
              <w:rPr>
                <w:rFonts w:ascii="宋体" w:hAnsi="宋体" w:cs="宋体" w:eastAsia="宋体" w:hint="default"/>
                <w:sz w:val="18"/>
                <w:szCs w:val="18"/>
              </w:rPr>
              <w:t>上市公司本次申请其人民币普通股股票恢复在深圳证券交易所上市 事宜</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保荐机构、世纪证券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世纪证券有限责任公司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国富浩华</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亚星实业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延中传媒</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方正延中传媒有限公司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上海港银</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上海港银投资管理有限公司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上海文慧</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上海文慧投资有限公司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兖州海情</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兖州海情置业有限公司（济宁海情前身）</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济宁海情</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济宁海情置业有限公司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泗水海情</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泗水海情置业有限公司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山东港基</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山东港基建设集团有限公司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天元集团</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天元建设集团有限公司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亚星置业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青岛亚星置业有限公司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《深圳证券交易所上市规则</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3991" w:right="4085"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00" w:lineRule="auto" w:before="0"/>
        <w:ind w:left="153" w:right="0" w:firstLine="561"/>
        <w:jc w:val="left"/>
        <w:rPr>
          <w:rFonts w:ascii="宋体" w:hAnsi="宋体" w:cs="宋体" w:eastAsia="宋体" w:hint="default"/>
          <w:sz w:val="28"/>
          <w:szCs w:val="28"/>
        </w:rPr>
      </w:pPr>
      <w:r>
        <w:rPr>
          <w:rFonts w:ascii="宋体" w:hAnsi="宋体" w:cs="宋体" w:eastAsia="宋体" w:hint="default"/>
          <w:b/>
          <w:bCs/>
          <w:spacing w:val="-17"/>
          <w:w w:val="99"/>
          <w:sz w:val="28"/>
          <w:szCs w:val="28"/>
        </w:rPr>
        <w:t>《证券时报》、《中国证券报》、和巨潮资讯网为本公司选定的信息披露媒体，</w:t>
      </w:r>
      <w:r>
        <w:rPr>
          <w:rFonts w:ascii="宋体" w:hAnsi="宋体" w:cs="宋体" w:eastAsia="宋体" w:hint="default"/>
          <w:b/>
          <w:bCs/>
          <w:spacing w:val="1"/>
          <w:w w:val="99"/>
          <w:sz w:val="28"/>
          <w:szCs w:val="28"/>
        </w:rPr>
        <w:t> </w:t>
      </w:r>
      <w:r>
        <w:rPr>
          <w:rFonts w:ascii="宋体" w:hAnsi="宋体" w:cs="宋体" w:eastAsia="宋体" w:hint="default"/>
          <w:b/>
          <w:bCs/>
          <w:spacing w:val="3"/>
          <w:sz w:val="28"/>
          <w:szCs w:val="28"/>
        </w:rPr>
        <w:t>本公司所有信息均以在上述选定媒体刊登的信息为准。公司已在本年度报告第</w:t>
      </w:r>
      <w:r>
        <w:rPr>
          <w:rFonts w:ascii="宋体" w:hAnsi="宋体" w:cs="宋体" w:eastAsia="宋体" w:hint="default"/>
          <w:b/>
          <w:bCs/>
          <w:spacing w:val="3"/>
          <w:w w:val="99"/>
          <w:sz w:val="28"/>
          <w:szCs w:val="28"/>
        </w:rPr>
        <w:t> </w:t>
      </w:r>
      <w:r>
        <w:rPr>
          <w:rFonts w:ascii="宋体" w:hAnsi="宋体" w:cs="宋体" w:eastAsia="宋体" w:hint="default"/>
          <w:b/>
          <w:bCs/>
          <w:spacing w:val="3"/>
          <w:sz w:val="28"/>
          <w:szCs w:val="28"/>
        </w:rPr>
        <w:t>四节</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董事会报告</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中具体分析了公司可能面对的风险以及公司根据实际情况已</w:t>
      </w:r>
      <w:r>
        <w:rPr>
          <w:rFonts w:ascii="宋体" w:hAnsi="宋体" w:cs="宋体" w:eastAsia="宋体" w:hint="default"/>
          <w:b/>
          <w:bCs/>
          <w:spacing w:val="3"/>
          <w:w w:val="99"/>
          <w:sz w:val="28"/>
          <w:szCs w:val="28"/>
        </w:rPr>
        <w:t> </w:t>
      </w:r>
      <w:r>
        <w:rPr>
          <w:rFonts w:ascii="宋体" w:hAnsi="宋体" w:cs="宋体" w:eastAsia="宋体" w:hint="default"/>
          <w:b/>
          <w:bCs/>
          <w:sz w:val="28"/>
          <w:szCs w:val="28"/>
        </w:rPr>
        <w:t>经或将要采取的措施，敬请投资者查阅。</w:t>
      </w:r>
      <w:r>
        <w:rPr>
          <w:rFonts w:ascii="宋体" w:hAnsi="宋体" w:cs="宋体" w:eastAsia="宋体" w:hint="default"/>
          <w:sz w:val="28"/>
          <w:szCs w:val="28"/>
        </w:rPr>
      </w:r>
    </w:p>
    <w:p>
      <w:pPr>
        <w:spacing w:after="0" w:line="400" w:lineRule="auto"/>
        <w:jc w:val="left"/>
        <w:rPr>
          <w:rFonts w:ascii="宋体" w:hAnsi="宋体" w:cs="宋体" w:eastAsia="宋体" w:hint="default"/>
          <w:sz w:val="28"/>
          <w:szCs w:val="28"/>
        </w:rPr>
        <w:sectPr>
          <w:pgSz w:w="11910" w:h="16840"/>
          <w:pgMar w:header="747" w:footer="982" w:top="1060" w:bottom="1180" w:left="980" w:right="880"/>
        </w:sectPr>
      </w:pPr>
    </w:p>
    <w:p>
      <w:pPr>
        <w:spacing w:line="240" w:lineRule="auto" w:before="0"/>
        <w:rPr>
          <w:rFonts w:ascii="宋体" w:hAnsi="宋体" w:cs="宋体" w:eastAsia="宋体" w:hint="default"/>
          <w:b/>
          <w:bCs/>
          <w:sz w:val="20"/>
          <w:szCs w:val="20"/>
        </w:rPr>
      </w:pPr>
      <w:r>
        <w:rPr/>
        <w:pict>
          <v:group style="position:absolute;margin-left:171.059998pt;margin-top:269.190002pt;width:362.7pt;height:20.7pt;mso-position-horizontal-relative:page;mso-position-vertical-relative:page;z-index:-684808" coordorigin="3421,5384" coordsize="7254,414">
            <v:group style="position:absolute;left:3433;top:5395;width:2;height:392" coordorigin="3433,5395" coordsize="2,392">
              <v:shape style="position:absolute;left:3433;top:5395;width:2;height:392" coordorigin="3433,5395" coordsize="0,392" path="m3433,5395l3433,5786e" filled="false" stroked="true" strokeweight="1.140pt" strokecolor="#ffffff">
                <v:path arrowok="t"/>
              </v:shape>
            </v:group>
            <v:group style="position:absolute;left:3444;top:5395;width:7232;height:392" coordorigin="3444,5395" coordsize="7232,392">
              <v:shape style="position:absolute;left:3444;top:5395;width:7232;height:392" coordorigin="3444,5395" coordsize="7232,392" path="m3444,5786l10675,5786,10675,5395,3444,5395,3444,5786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194"/>
        <w:jc w:val="center"/>
        <w:rPr>
          <w:b w:val="0"/>
          <w:bCs w:val="0"/>
        </w:rPr>
      </w:pPr>
      <w:bookmarkStart w:name="_TOC_250009" w:id="2"/>
      <w:r>
        <w:rPr/>
        <w:t>第二节</w:t>
      </w:r>
      <w:r>
        <w:rPr>
          <w:spacing w:val="-5"/>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0"/>
        <w:gridCol w:w="2977"/>
        <w:gridCol w:w="2134"/>
        <w:gridCol w:w="2188"/>
      </w:tblGrid>
      <w:tr>
        <w:trPr>
          <w:trHeight w:val="403"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大通</w:t>
            </w:r>
          </w:p>
        </w:tc>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000038</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深大通</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Shenzhen Capstone Industrial</w:t>
            </w:r>
            <w:r>
              <w:rPr>
                <w:rFonts w:ascii="Times New Roman"/>
                <w:spacing w:val="-19"/>
                <w:sz w:val="18"/>
              </w:rPr>
              <w:t> </w:t>
            </w:r>
            <w:r>
              <w:rPr>
                <w:rFonts w:ascii="Times New Roman"/>
                <w:sz w:val="18"/>
              </w:rPr>
              <w:t>Co.,Ltd.</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90" w:right="0"/>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w:t>
            </w:r>
            <w:r>
              <w:rPr>
                <w:rFonts w:ascii="Times New Roman" w:hAnsi="Times New Roman" w:cs="Times New Roman" w:eastAsia="Times New Roman" w:hint="default"/>
                <w:spacing w:val="-18"/>
                <w:sz w:val="18"/>
                <w:szCs w:val="18"/>
              </w:rPr>
              <w:t>CIC</w:t>
            </w:r>
            <w:r>
              <w:rPr>
                <w:rFonts w:ascii="Times New Roman" w:hAnsi="Times New Roman" w:cs="Times New Roman" w:eastAsia="Times New Roman" w:hint="default"/>
                <w:sz w:val="18"/>
                <w:szCs w:val="18"/>
              </w:rPr>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许亚楠</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深圳华侨城东部工业区</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518000</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深圳市福田区深南大通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6023 </w:t>
            </w:r>
            <w:r>
              <w:rPr>
                <w:rFonts w:ascii="宋体" w:hAnsi="宋体" w:cs="宋体" w:eastAsia="宋体" w:hint="default"/>
                <w:sz w:val="18"/>
                <w:szCs w:val="18"/>
              </w:rPr>
              <w:t>号耀华创建大厦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904-905</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518000</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9">
              <w:r>
                <w:rPr>
                  <w:rFonts w:ascii="Times New Roman"/>
                  <w:sz w:val="18"/>
                </w:rPr>
                <w:t>http://www.chinadatong.com/</w:t>
              </w:r>
            </w:hyperlink>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0">
              <w:r>
                <w:rPr>
                  <w:rFonts w:ascii="Times New Roman"/>
                  <w:sz w:val="18"/>
                </w:rPr>
                <w:t>datongstock@163.com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易平良（代）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王小连</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深圳市福田区耀华创建大厦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904-905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深圳市福田区耀华创建大厦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904-905</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0755-26921699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0755-26921699</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0755-26910599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0755-26910599</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0">
              <w:r>
                <w:rPr>
                  <w:rFonts w:ascii="Times New Roman"/>
                  <w:sz w:val="18"/>
                </w:rPr>
                <w:t>datongstock@163.com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datongstock@163.com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0"/>
      </w:tblGrid>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r>
        <w:rPr/>
        <w:pict>
          <v:shape style="position:absolute;margin-left:56.459999pt;margin-top:102.659958pt;width:479.05pt;height:662.6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8"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国税深字</w:t>
                        </w: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115" w:hRule="exact"/>
                    </w:trPr>
                    <w:tc>
                      <w:tcPr>
                        <w:tcW w:w="1596" w:type="dxa"/>
                        <w:vMerge/>
                        <w:tcBorders>
                          <w:left w:val="single" w:sz="4" w:space="0" w:color="000000"/>
                          <w:bottom w:val="nil" w:sz="6" w:space="0" w:color="auto"/>
                          <w:right w:val="single" w:sz="4" w:space="0" w:color="000000"/>
                        </w:tcBorders>
                        <w:shd w:val="clear" w:color="auto" w:fill="D3D3D3"/>
                      </w:tcPr>
                      <w:p>
                        <w:pPr/>
                      </w:p>
                    </w:tc>
                    <w:tc>
                      <w:tcPr>
                        <w:tcW w:w="1594" w:type="dxa"/>
                        <w:vMerge w:val="restart"/>
                        <w:tcBorders>
                          <w:top w:val="nil" w:sz="6" w:space="0" w:color="auto"/>
                          <w:left w:val="single" w:sz="13" w:space="0" w:color="D3D3D3"/>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nil" w:sz="6" w:space="0" w:color="auto"/>
                          <w:left w:val="single" w:sz="4" w:space="0" w:color="000000"/>
                          <w:right w:val="single" w:sz="4" w:space="0" w:color="000000"/>
                        </w:tcBorders>
                      </w:tcPr>
                      <w:p>
                        <w:pPr>
                          <w:pStyle w:val="TableParagraph"/>
                          <w:spacing w:line="319" w:lineRule="auto" w:before="10"/>
                          <w:ind w:left="23" w:right="119"/>
                          <w:jc w:val="left"/>
                          <w:rPr>
                            <w:rFonts w:ascii="宋体" w:hAnsi="宋体" w:cs="宋体" w:eastAsia="宋体" w:hint="default"/>
                            <w:sz w:val="18"/>
                            <w:szCs w:val="18"/>
                          </w:rPr>
                        </w:pPr>
                        <w:r>
                          <w:rPr>
                            <w:rFonts w:ascii="宋体" w:hAnsi="宋体" w:cs="宋体" w:eastAsia="宋体" w:hint="default"/>
                            <w:sz w:val="18"/>
                            <w:szCs w:val="18"/>
                          </w:rPr>
                          <w:t>深圳市华侨城东部 工业区</w:t>
                        </w:r>
                      </w:p>
                    </w:tc>
                    <w:tc>
                      <w:tcPr>
                        <w:tcW w:w="1594" w:type="dxa"/>
                        <w:vMerge w:val="restart"/>
                        <w:tcBorders>
                          <w:top w:val="nil" w:sz="6" w:space="0" w:color="auto"/>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101876</w:t>
                        </w:r>
                      </w:p>
                    </w:tc>
                    <w:tc>
                      <w:tcPr>
                        <w:tcW w:w="1594" w:type="dxa"/>
                        <w:vMerge w:val="restart"/>
                        <w:tcBorders>
                          <w:top w:val="nil" w:sz="6" w:space="0" w:color="auto"/>
                          <w:left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4403011618850293</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深地税登字</w:t>
                        </w:r>
                      </w:p>
                    </w:tc>
                    <w:tc>
                      <w:tcPr>
                        <w:tcW w:w="1595" w:type="dxa"/>
                        <w:vMerge w:val="restart"/>
                        <w:tcBorders>
                          <w:top w:val="nil" w:sz="6" w:space="0" w:color="auto"/>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61885029-3</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13"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21" w:hRule="exact"/>
                    </w:trPr>
                    <w:tc>
                      <w:tcPr>
                        <w:tcW w:w="1596" w:type="dxa"/>
                        <w:vMerge w:val="restart"/>
                        <w:tcBorders>
                          <w:top w:val="nil" w:sz="6" w:space="0" w:color="auto"/>
                          <w:left w:val="single" w:sz="4" w:space="0" w:color="000000"/>
                          <w:right w:val="single" w:sz="4" w:space="0" w:color="000000"/>
                        </w:tcBorders>
                        <w:shd w:val="clear" w:color="auto" w:fill="D3D3D3"/>
                      </w:tcPr>
                      <w:p>
                        <w:pPr/>
                      </w:p>
                    </w:tc>
                    <w:tc>
                      <w:tcPr>
                        <w:tcW w:w="1594" w:type="dxa"/>
                        <w:vMerge/>
                        <w:tcBorders>
                          <w:left w:val="single" w:sz="13" w:space="0" w:color="D3D3D3"/>
                          <w:bottom w:val="nil" w:sz="6" w:space="0" w:color="auto"/>
                          <w:right w:val="single" w:sz="4" w:space="0" w:color="000000"/>
                        </w:tcBorders>
                      </w:tcPr>
                      <w:p>
                        <w:pPr/>
                      </w:p>
                    </w:tc>
                    <w:tc>
                      <w:tcPr>
                        <w:tcW w:w="1595" w:type="dxa"/>
                        <w:vMerge/>
                        <w:tcBorders>
                          <w:left w:val="single" w:sz="4" w:space="0" w:color="000000"/>
                          <w:bottom w:val="nil" w:sz="6" w:space="0" w:color="auto"/>
                          <w:right w:val="single" w:sz="4" w:space="0" w:color="000000"/>
                        </w:tcBorders>
                      </w:tcPr>
                      <w:p>
                        <w:pPr/>
                      </w:p>
                    </w:tc>
                    <w:tc>
                      <w:tcPr>
                        <w:tcW w:w="1594" w:type="dxa"/>
                        <w:vMerge/>
                        <w:tcBorders>
                          <w:left w:val="single" w:sz="4" w:space="0" w:color="000000"/>
                          <w:bottom w:val="nil" w:sz="6" w:space="0" w:color="auto"/>
                          <w:right w:val="single" w:sz="4" w:space="0" w:color="000000"/>
                        </w:tcBorders>
                      </w:tcPr>
                      <w:p>
                        <w:pPr/>
                      </w:p>
                    </w:tc>
                    <w:tc>
                      <w:tcPr>
                        <w:tcW w:w="1594" w:type="dxa"/>
                        <w:vMerge/>
                        <w:tcBorders>
                          <w:left w:val="single" w:sz="4" w:space="0" w:color="000000"/>
                          <w:bottom w:val="nil" w:sz="6" w:space="0" w:color="auto"/>
                          <w:right w:val="single" w:sz="4" w:space="0" w:color="000000"/>
                        </w:tcBorders>
                      </w:tcPr>
                      <w:p>
                        <w:pPr/>
                      </w:p>
                    </w:tc>
                    <w:tc>
                      <w:tcPr>
                        <w:tcW w:w="1595" w:type="dxa"/>
                        <w:vMerge/>
                        <w:tcBorders>
                          <w:left w:val="single" w:sz="4" w:space="0" w:color="000000"/>
                          <w:bottom w:val="nil" w:sz="6" w:space="0" w:color="auto"/>
                          <w:right w:val="single" w:sz="4" w:space="0" w:color="000000"/>
                        </w:tcBorders>
                      </w:tcPr>
                      <w:p>
                        <w:pPr/>
                      </w:p>
                    </w:tc>
                  </w:tr>
                  <w:tr>
                    <w:trPr>
                      <w:trHeight w:val="351"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440305618850293</w:t>
                        </w:r>
                      </w:p>
                    </w:tc>
                    <w:tc>
                      <w:tcPr>
                        <w:tcW w:w="1595"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国税深字</w:t>
                        </w: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115" w:hRule="exact"/>
                    </w:trPr>
                    <w:tc>
                      <w:tcPr>
                        <w:tcW w:w="1596" w:type="dxa"/>
                        <w:vMerge/>
                        <w:tcBorders>
                          <w:left w:val="single" w:sz="4" w:space="0" w:color="000000"/>
                          <w:bottom w:val="nil" w:sz="6" w:space="0" w:color="auto"/>
                          <w:right w:val="single" w:sz="4" w:space="0" w:color="000000"/>
                        </w:tcBorders>
                        <w:shd w:val="clear" w:color="auto" w:fill="D3D3D3"/>
                      </w:tcPr>
                      <w:p>
                        <w:pPr/>
                      </w:p>
                    </w:tc>
                    <w:tc>
                      <w:tcPr>
                        <w:tcW w:w="1594" w:type="dxa"/>
                        <w:vMerge w:val="restart"/>
                        <w:tcBorders>
                          <w:top w:val="nil" w:sz="6" w:space="0" w:color="auto"/>
                          <w:left w:val="single" w:sz="13" w:space="0" w:color="D3D3D3"/>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nil" w:sz="6" w:space="0" w:color="auto"/>
                          <w:left w:val="single" w:sz="4" w:space="0" w:color="000000"/>
                          <w:right w:val="single" w:sz="4" w:space="0" w:color="000000"/>
                        </w:tcBorders>
                      </w:tcPr>
                      <w:p>
                        <w:pPr>
                          <w:pStyle w:val="TableParagraph"/>
                          <w:spacing w:line="319" w:lineRule="auto" w:before="10"/>
                          <w:ind w:left="23" w:right="119"/>
                          <w:jc w:val="left"/>
                          <w:rPr>
                            <w:rFonts w:ascii="宋体" w:hAnsi="宋体" w:cs="宋体" w:eastAsia="宋体" w:hint="default"/>
                            <w:sz w:val="18"/>
                            <w:szCs w:val="18"/>
                          </w:rPr>
                        </w:pPr>
                        <w:r>
                          <w:rPr>
                            <w:rFonts w:ascii="宋体" w:hAnsi="宋体" w:cs="宋体" w:eastAsia="宋体" w:hint="default"/>
                            <w:sz w:val="18"/>
                            <w:szCs w:val="18"/>
                          </w:rPr>
                          <w:t>深圳市华侨城东部 工业区</w:t>
                        </w:r>
                      </w:p>
                    </w:tc>
                    <w:tc>
                      <w:tcPr>
                        <w:tcW w:w="1594" w:type="dxa"/>
                        <w:vMerge w:val="restart"/>
                        <w:tcBorders>
                          <w:top w:val="nil" w:sz="6" w:space="0" w:color="auto"/>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440301104515702</w:t>
                        </w:r>
                      </w:p>
                    </w:tc>
                    <w:tc>
                      <w:tcPr>
                        <w:tcW w:w="1594" w:type="dxa"/>
                        <w:vMerge w:val="restart"/>
                        <w:tcBorders>
                          <w:top w:val="nil" w:sz="6" w:space="0" w:color="auto"/>
                          <w:left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4403011618850293</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深地税登字</w:t>
                        </w:r>
                      </w:p>
                    </w:tc>
                    <w:tc>
                      <w:tcPr>
                        <w:tcW w:w="1595" w:type="dxa"/>
                        <w:vMerge w:val="restart"/>
                        <w:tcBorders>
                          <w:top w:val="nil" w:sz="6" w:space="0" w:color="auto"/>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61885029-3</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13"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21" w:hRule="exact"/>
                    </w:trPr>
                    <w:tc>
                      <w:tcPr>
                        <w:tcW w:w="1596" w:type="dxa"/>
                        <w:vMerge w:val="restart"/>
                        <w:tcBorders>
                          <w:top w:val="nil" w:sz="6" w:space="0" w:color="auto"/>
                          <w:left w:val="single" w:sz="4" w:space="0" w:color="000000"/>
                          <w:right w:val="single" w:sz="4" w:space="0" w:color="000000"/>
                        </w:tcBorders>
                        <w:shd w:val="clear" w:color="auto" w:fill="D3D3D3"/>
                      </w:tcPr>
                      <w:p>
                        <w:pPr/>
                      </w:p>
                    </w:tc>
                    <w:tc>
                      <w:tcPr>
                        <w:tcW w:w="1594" w:type="dxa"/>
                        <w:vMerge/>
                        <w:tcBorders>
                          <w:left w:val="single" w:sz="13" w:space="0" w:color="D3D3D3"/>
                          <w:bottom w:val="nil" w:sz="6" w:space="0" w:color="auto"/>
                          <w:right w:val="single" w:sz="4" w:space="0" w:color="000000"/>
                        </w:tcBorders>
                      </w:tcPr>
                      <w:p>
                        <w:pPr/>
                      </w:p>
                    </w:tc>
                    <w:tc>
                      <w:tcPr>
                        <w:tcW w:w="1595" w:type="dxa"/>
                        <w:vMerge/>
                        <w:tcBorders>
                          <w:left w:val="single" w:sz="4" w:space="0" w:color="000000"/>
                          <w:bottom w:val="nil" w:sz="6" w:space="0" w:color="auto"/>
                          <w:right w:val="single" w:sz="4" w:space="0" w:color="000000"/>
                        </w:tcBorders>
                      </w:tcPr>
                      <w:p>
                        <w:pPr/>
                      </w:p>
                    </w:tc>
                    <w:tc>
                      <w:tcPr>
                        <w:tcW w:w="1594" w:type="dxa"/>
                        <w:vMerge/>
                        <w:tcBorders>
                          <w:left w:val="single" w:sz="4" w:space="0" w:color="000000"/>
                          <w:bottom w:val="nil" w:sz="6" w:space="0" w:color="auto"/>
                          <w:right w:val="single" w:sz="4" w:space="0" w:color="000000"/>
                        </w:tcBorders>
                      </w:tcPr>
                      <w:p>
                        <w:pPr/>
                      </w:p>
                    </w:tc>
                    <w:tc>
                      <w:tcPr>
                        <w:tcW w:w="1594" w:type="dxa"/>
                        <w:vMerge/>
                        <w:tcBorders>
                          <w:left w:val="single" w:sz="4" w:space="0" w:color="000000"/>
                          <w:bottom w:val="nil" w:sz="6" w:space="0" w:color="auto"/>
                          <w:right w:val="single" w:sz="4" w:space="0" w:color="000000"/>
                        </w:tcBorders>
                      </w:tcPr>
                      <w:p>
                        <w:pPr/>
                      </w:p>
                    </w:tc>
                    <w:tc>
                      <w:tcPr>
                        <w:tcW w:w="1595" w:type="dxa"/>
                        <w:vMerge/>
                        <w:tcBorders>
                          <w:left w:val="single" w:sz="4" w:space="0" w:color="000000"/>
                          <w:bottom w:val="nil" w:sz="6" w:space="0" w:color="auto"/>
                          <w:right w:val="single" w:sz="4" w:space="0" w:color="000000"/>
                        </w:tcBorders>
                      </w:tcPr>
                      <w:p>
                        <w:pPr/>
                      </w:p>
                    </w:tc>
                  </w:tr>
                  <w:tr>
                    <w:trPr>
                      <w:trHeight w:val="351"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440305618850293</w:t>
                        </w:r>
                      </w:p>
                    </w:tc>
                    <w:tc>
                      <w:tcPr>
                        <w:tcW w:w="1595"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3190" w:type="dxa"/>
                        <w:gridSpan w:val="2"/>
                        <w:vMerge w:val="restart"/>
                        <w:tcBorders>
                          <w:top w:val="single" w:sz="4" w:space="0" w:color="000000"/>
                          <w:left w:val="single" w:sz="4" w:space="0" w:color="000000"/>
                          <w:right w:val="single" w:sz="4" w:space="0" w:color="000000"/>
                        </w:tcBorders>
                        <w:shd w:val="clear" w:color="auto" w:fill="D3D3D3"/>
                      </w:tcPr>
                      <w:p>
                        <w:pPr/>
                      </w:p>
                    </w:tc>
                    <w:tc>
                      <w:tcPr>
                        <w:tcW w:w="6377" w:type="dxa"/>
                        <w:gridSpan w:val="4"/>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1994  </w:t>
                        </w:r>
                        <w:r>
                          <w:rPr>
                            <w:rFonts w:ascii="宋体" w:hAnsi="宋体" w:cs="宋体" w:eastAsia="宋体" w:hint="default"/>
                            <w:sz w:val="18"/>
                            <w:szCs w:val="18"/>
                          </w:rPr>
                          <w:t>年上市时的主营业务：生产经营积层陶瓷电容器、中高压陶瓷电容器、</w:t>
                        </w:r>
                      </w:p>
                    </w:tc>
                  </w:tr>
                  <w:tr>
                    <w:trPr>
                      <w:trHeight w:val="307"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管状陶瓷电容器、园片类陶瓷电容器、半导体陶瓷电容器及微型高温电解电容器</w:t>
                        </w:r>
                      </w:p>
                    </w:tc>
                  </w:tr>
                  <w:tr>
                    <w:trPr>
                      <w:trHeight w:val="312"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等电子元器件产品；生产电烫斗、电吹风、咖啡壶及电烫斗、电吹风、咖啡壶的</w:t>
                        </w:r>
                      </w:p>
                    </w:tc>
                  </w:tr>
                  <w:tr>
                    <w:trPr>
                      <w:trHeight w:val="312"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零配件、电解电容器用的铝壳、导针、胶塞以及电解电容器用的铝箔（作正、负</w:t>
                        </w:r>
                      </w:p>
                    </w:tc>
                  </w:tr>
                  <w:tr>
                    <w:trPr>
                      <w:trHeight w:val="317"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tabs>
                            <w:tab w:pos="926" w:val="left" w:leader="none"/>
                          </w:tabs>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极用</w:t>
                        </w:r>
                        <w:r>
                          <w:rPr>
                            <w:rFonts w:ascii="宋体" w:hAnsi="宋体" w:cs="宋体" w:eastAsia="宋体" w:hint="default"/>
                            <w:spacing w:val="-90"/>
                            <w:sz w:val="18"/>
                            <w:szCs w:val="18"/>
                          </w:rPr>
                          <w:t>）</w:t>
                        </w:r>
                        <w:r>
                          <w:rPr>
                            <w:rFonts w:ascii="宋体" w:hAnsi="宋体" w:cs="宋体" w:eastAsia="宋体" w:hint="default"/>
                            <w:sz w:val="18"/>
                            <w:szCs w:val="18"/>
                          </w:rPr>
                          <w:t>。</w:t>
                          <w:tab/>
                        </w:r>
                        <w:r>
                          <w:rPr>
                            <w:rFonts w:ascii="Times New Roman" w:hAnsi="Times New Roman" w:cs="Times New Roman" w:eastAsia="Times New Roman" w:hint="default"/>
                            <w:sz w:val="18"/>
                            <w:szCs w:val="18"/>
                          </w:rPr>
                          <w:t>2</w:t>
                        </w:r>
                        <w:r>
                          <w:rPr>
                            <w:rFonts w:ascii="宋体" w:hAnsi="宋体" w:cs="宋体" w:eastAsia="宋体" w:hint="default"/>
                            <w:spacing w:val="-10"/>
                            <w:sz w:val="18"/>
                            <w:szCs w:val="18"/>
                          </w:rPr>
                          <w:t>、</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主营业务变更为</w:t>
                        </w:r>
                        <w:r>
                          <w:rPr>
                            <w:rFonts w:ascii="宋体" w:hAnsi="宋体" w:cs="宋体" w:eastAsia="宋体" w:hint="default"/>
                            <w:spacing w:val="-9"/>
                            <w:sz w:val="18"/>
                            <w:szCs w:val="18"/>
                          </w:rPr>
                          <w:t>：</w:t>
                        </w:r>
                        <w:r>
                          <w:rPr>
                            <w:rFonts w:ascii="宋体" w:hAnsi="宋体" w:cs="宋体" w:eastAsia="宋体" w:hint="default"/>
                            <w:sz w:val="18"/>
                            <w:szCs w:val="18"/>
                          </w:rPr>
                          <w:t>生产经营积层陶瓷电容器</w:t>
                        </w:r>
                        <w:r>
                          <w:rPr>
                            <w:rFonts w:ascii="宋体" w:hAnsi="宋体" w:cs="宋体" w:eastAsia="宋体" w:hint="default"/>
                            <w:spacing w:val="-9"/>
                            <w:sz w:val="18"/>
                            <w:szCs w:val="18"/>
                          </w:rPr>
                          <w:t>、</w:t>
                        </w:r>
                        <w:r>
                          <w:rPr>
                            <w:rFonts w:ascii="宋体" w:hAnsi="宋体" w:cs="宋体" w:eastAsia="宋体" w:hint="default"/>
                            <w:sz w:val="18"/>
                            <w:szCs w:val="18"/>
                          </w:rPr>
                          <w:t>中高</w:t>
                        </w:r>
                      </w:p>
                    </w:tc>
                  </w:tr>
                  <w:tr>
                    <w:trPr>
                      <w:trHeight w:val="307"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压陶瓷电容器、管状陶瓷电容器、园片类陶瓷电容器、半导体陶瓷电容器及微型</w:t>
                        </w:r>
                      </w:p>
                    </w:tc>
                  </w:tr>
                  <w:tr>
                    <w:trPr>
                      <w:trHeight w:val="312"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高温电解电容器等电子元器件产品；生产电烫斗、电吹风、咖啡壶及电烫斗、电</w:t>
                        </w:r>
                      </w:p>
                    </w:tc>
                  </w:tr>
                  <w:tr>
                    <w:trPr>
                      <w:trHeight w:val="115" w:hRule="exact"/>
                    </w:trPr>
                    <w:tc>
                      <w:tcPr>
                        <w:tcW w:w="3190" w:type="dxa"/>
                        <w:gridSpan w:val="2"/>
                        <w:vMerge/>
                        <w:tcBorders>
                          <w:left w:val="single" w:sz="4" w:space="0" w:color="000000"/>
                          <w:bottom w:val="nil" w:sz="6" w:space="0" w:color="auto"/>
                          <w:right w:val="single" w:sz="4" w:space="0" w:color="000000"/>
                        </w:tcBorders>
                        <w:shd w:val="clear" w:color="auto" w:fill="D3D3D3"/>
                      </w:tcPr>
                      <w:p>
                        <w:pPr/>
                      </w:p>
                    </w:tc>
                    <w:tc>
                      <w:tcPr>
                        <w:tcW w:w="6377" w:type="dxa"/>
                        <w:gridSpan w:val="4"/>
                        <w:vMerge w:val="restart"/>
                        <w:tcBorders>
                          <w:top w:val="nil" w:sz="6" w:space="0" w:color="auto"/>
                          <w:left w:val="single" w:sz="13" w:space="0" w:color="D3D3D3"/>
                          <w:right w:val="single" w:sz="4" w:space="0" w:color="000000"/>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吹风、咖啡壶的零配件、电解电容器用的铝壳、导针、胶塞以及电解电容器用的</w:t>
                        </w:r>
                      </w:p>
                    </w:tc>
                  </w:tr>
                  <w:tr>
                    <w:trPr>
                      <w:trHeight w:val="197" w:hRule="exact"/>
                    </w:trPr>
                    <w:tc>
                      <w:tcPr>
                        <w:tcW w:w="319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vMerge/>
                        <w:tcBorders>
                          <w:left w:val="single" w:sz="13" w:space="0" w:color="D3D3D3"/>
                          <w:bottom w:val="nil" w:sz="6" w:space="0" w:color="auto"/>
                          <w:right w:val="single" w:sz="4" w:space="0" w:color="000000"/>
                        </w:tcBorders>
                      </w:tcPr>
                      <w:p>
                        <w:pPr/>
                      </w:p>
                    </w:tc>
                  </w:tr>
                  <w:tr>
                    <w:trPr>
                      <w:trHeight w:val="312"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13" w:space="0" w:color="D3D3D3"/>
                          <w:bottom w:val="nil" w:sz="6" w:space="0" w:color="auto"/>
                          <w:right w:val="single" w:sz="4" w:space="0" w:color="000000"/>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铝箔（作正、负极用</w:t>
                        </w:r>
                        <w:r>
                          <w:rPr>
                            <w:rFonts w:ascii="宋体" w:hAnsi="宋体" w:cs="宋体" w:eastAsia="宋体" w:hint="default"/>
                            <w:spacing w:val="-90"/>
                            <w:sz w:val="18"/>
                            <w:szCs w:val="18"/>
                          </w:rPr>
                          <w:t>）</w:t>
                        </w:r>
                        <w:r>
                          <w:rPr>
                            <w:rFonts w:ascii="宋体" w:hAnsi="宋体" w:cs="宋体" w:eastAsia="宋体" w:hint="default"/>
                            <w:sz w:val="18"/>
                            <w:szCs w:val="18"/>
                          </w:rPr>
                          <w:t>；国内商业、物资供销业（不含专营、专控、专卖商品</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196" w:hRule="exact"/>
                    </w:trPr>
                    <w:tc>
                      <w:tcPr>
                        <w:tcW w:w="3190" w:type="dxa"/>
                        <w:gridSpan w:val="2"/>
                        <w:vMerge/>
                        <w:tcBorders>
                          <w:left w:val="single" w:sz="4" w:space="0" w:color="000000"/>
                          <w:bottom w:val="nil" w:sz="6" w:space="0" w:color="auto"/>
                          <w:right w:val="single" w:sz="4" w:space="0" w:color="000000"/>
                        </w:tcBorders>
                        <w:shd w:val="clear" w:color="auto" w:fill="D3D3D3"/>
                      </w:tcPr>
                      <w:p>
                        <w:pPr/>
                      </w:p>
                    </w:tc>
                    <w:tc>
                      <w:tcPr>
                        <w:tcW w:w="6377" w:type="dxa"/>
                        <w:gridSpan w:val="4"/>
                        <w:vMerge w:val="restart"/>
                        <w:tcBorders>
                          <w:top w:val="nil" w:sz="6" w:space="0" w:color="auto"/>
                          <w:left w:val="single" w:sz="13" w:space="0" w:color="D3D3D3"/>
                          <w:right w:val="single" w:sz="4" w:space="0" w:color="000000"/>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兴办实</w:t>
                        </w:r>
                        <w:r>
                          <w:rPr>
                            <w:rFonts w:ascii="宋体" w:hAnsi="宋体" w:cs="宋体" w:eastAsia="宋体" w:hint="default"/>
                            <w:spacing w:val="-18"/>
                            <w:sz w:val="18"/>
                            <w:szCs w:val="18"/>
                          </w:rPr>
                          <w:t>业</w:t>
                        </w:r>
                        <w:r>
                          <w:rPr>
                            <w:rFonts w:ascii="宋体" w:hAnsi="宋体" w:cs="宋体" w:eastAsia="宋体" w:hint="default"/>
                            <w:sz w:val="18"/>
                            <w:szCs w:val="18"/>
                          </w:rPr>
                          <w:t>（具体项目另行申报</w:t>
                        </w:r>
                        <w:r>
                          <w:rPr>
                            <w:rFonts w:ascii="宋体" w:hAnsi="宋体" w:cs="宋体" w:eastAsia="宋体" w:hint="default"/>
                            <w:spacing w:val="-90"/>
                            <w:sz w:val="18"/>
                            <w:szCs w:val="18"/>
                          </w:rPr>
                          <w:t>）</w:t>
                        </w:r>
                        <w:r>
                          <w:rPr>
                            <w:rFonts w:ascii="宋体" w:hAnsi="宋体" w:cs="宋体" w:eastAsia="宋体" w:hint="default"/>
                            <w:spacing w:val="-18"/>
                            <w:sz w:val="18"/>
                            <w:szCs w:val="18"/>
                          </w:rPr>
                          <w:t>，</w:t>
                        </w:r>
                        <w:r>
                          <w:rPr>
                            <w:rFonts w:ascii="宋体" w:hAnsi="宋体" w:cs="宋体" w:eastAsia="宋体" w:hint="default"/>
                            <w:sz w:val="18"/>
                            <w:szCs w:val="18"/>
                          </w:rPr>
                          <w:t>计算机软硬件开发及销售</w:t>
                        </w:r>
                        <w:r>
                          <w:rPr>
                            <w:rFonts w:ascii="宋体" w:hAnsi="宋体" w:cs="宋体" w:eastAsia="宋体" w:hint="default"/>
                            <w:spacing w:val="-18"/>
                            <w:sz w:val="18"/>
                            <w:szCs w:val="18"/>
                          </w:rPr>
                          <w:t>；</w:t>
                        </w:r>
                        <w:r>
                          <w:rPr>
                            <w:rFonts w:ascii="宋体" w:hAnsi="宋体" w:cs="宋体" w:eastAsia="宋体" w:hint="default"/>
                            <w:sz w:val="18"/>
                            <w:szCs w:val="18"/>
                          </w:rPr>
                          <w:t>经营进出口业</w:t>
                        </w:r>
                        <w:r>
                          <w:rPr>
                            <w:rFonts w:ascii="宋体" w:hAnsi="宋体" w:cs="宋体" w:eastAsia="宋体" w:hint="default"/>
                            <w:spacing w:val="-18"/>
                            <w:sz w:val="18"/>
                            <w:szCs w:val="18"/>
                          </w:rPr>
                          <w:t>务</w:t>
                        </w:r>
                        <w:r>
                          <w:rPr>
                            <w:rFonts w:ascii="宋体" w:hAnsi="宋体" w:cs="宋体" w:eastAsia="宋体" w:hint="default"/>
                            <w:spacing w:val="1"/>
                            <w:sz w:val="18"/>
                            <w:szCs w:val="18"/>
                          </w:rPr>
                          <w:t>（</w:t>
                        </w:r>
                        <w:r>
                          <w:rPr>
                            <w:rFonts w:ascii="宋体" w:hAnsi="宋体" w:cs="宋体" w:eastAsia="宋体" w:hint="default"/>
                            <w:sz w:val="18"/>
                            <w:szCs w:val="18"/>
                          </w:rPr>
                          <w:t>具</w:t>
                        </w:r>
                      </w:p>
                    </w:tc>
                  </w:tr>
                  <w:tr>
                    <w:trPr>
                      <w:trHeight w:val="116" w:hRule="exact"/>
                    </w:trPr>
                    <w:tc>
                      <w:tcPr>
                        <w:tcW w:w="3190" w:type="dxa"/>
                        <w:gridSpan w:val="2"/>
                        <w:vMerge w:val="restart"/>
                        <w:tcBorders>
                          <w:top w:val="nil" w:sz="6" w:space="0" w:color="auto"/>
                          <w:left w:val="single" w:sz="4" w:space="0" w:color="000000"/>
                          <w:right w:val="single" w:sz="4" w:space="0" w:color="000000"/>
                        </w:tcBorders>
                        <w:shd w:val="clear" w:color="auto" w:fill="D3D3D3"/>
                      </w:tcPr>
                      <w:p>
                        <w:pPr/>
                      </w:p>
                    </w:tc>
                    <w:tc>
                      <w:tcPr>
                        <w:tcW w:w="6377" w:type="dxa"/>
                        <w:gridSpan w:val="4"/>
                        <w:vMerge/>
                        <w:tcBorders>
                          <w:left w:val="single" w:sz="13" w:space="0" w:color="D3D3D3"/>
                          <w:bottom w:val="nil" w:sz="6" w:space="0" w:color="auto"/>
                          <w:right w:val="single" w:sz="4" w:space="0" w:color="000000"/>
                        </w:tcBorders>
                      </w:tcPr>
                      <w:p>
                        <w:pPr/>
                      </w:p>
                    </w:tc>
                  </w:tr>
                  <w:tr>
                    <w:trPr>
                      <w:trHeight w:val="317"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tabs>
                            <w:tab w:pos="4503" w:val="left" w:leader="none"/>
                          </w:tabs>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体按照深贸管准证字第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2003-3670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号资格证书办理</w:t>
                        </w:r>
                        <w:r>
                          <w:rPr>
                            <w:rFonts w:ascii="宋体" w:hAnsi="宋体" w:cs="宋体" w:eastAsia="宋体" w:hint="default"/>
                            <w:spacing w:val="-90"/>
                            <w:sz w:val="18"/>
                            <w:szCs w:val="18"/>
                          </w:rPr>
                          <w:t>）</w:t>
                        </w:r>
                        <w:r>
                          <w:rPr>
                            <w:rFonts w:ascii="宋体" w:hAnsi="宋体" w:cs="宋体" w:eastAsia="宋体" w:hint="default"/>
                            <w:sz w:val="18"/>
                            <w:szCs w:val="18"/>
                          </w:rPr>
                          <w:t>。</w:t>
                          <w:tab/>
                        </w:r>
                        <w:r>
                          <w:rPr>
                            <w:rFonts w:ascii="Times New Roman" w:hAnsi="Times New Roman" w:cs="Times New Roman" w:eastAsia="Times New Roman" w:hint="default"/>
                            <w:spacing w:val="-2"/>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日主</w:t>
                        </w:r>
                      </w:p>
                    </w:tc>
                  </w:tr>
                  <w:tr>
                    <w:trPr>
                      <w:trHeight w:val="307"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营业务变更为</w:t>
                        </w:r>
                        <w:r>
                          <w:rPr>
                            <w:rFonts w:ascii="宋体" w:hAnsi="宋体" w:cs="宋体" w:eastAsia="宋体" w:hint="default"/>
                            <w:spacing w:val="-12"/>
                            <w:sz w:val="18"/>
                            <w:szCs w:val="18"/>
                          </w:rPr>
                          <w:t>：</w:t>
                        </w:r>
                        <w:r>
                          <w:rPr>
                            <w:rFonts w:ascii="宋体" w:hAnsi="宋体" w:cs="宋体" w:eastAsia="宋体" w:hint="default"/>
                            <w:sz w:val="18"/>
                            <w:szCs w:val="18"/>
                          </w:rPr>
                          <w:t>国内商业</w:t>
                        </w:r>
                        <w:r>
                          <w:rPr>
                            <w:rFonts w:ascii="宋体" w:hAnsi="宋体" w:cs="宋体" w:eastAsia="宋体" w:hint="default"/>
                            <w:spacing w:val="-11"/>
                            <w:sz w:val="18"/>
                            <w:szCs w:val="18"/>
                          </w:rPr>
                          <w:t>、</w:t>
                        </w:r>
                        <w:r>
                          <w:rPr>
                            <w:rFonts w:ascii="宋体" w:hAnsi="宋体" w:cs="宋体" w:eastAsia="宋体" w:hint="default"/>
                            <w:sz w:val="18"/>
                            <w:szCs w:val="18"/>
                          </w:rPr>
                          <w:t>物资供销</w:t>
                        </w:r>
                        <w:r>
                          <w:rPr>
                            <w:rFonts w:ascii="宋体" w:hAnsi="宋体" w:cs="宋体" w:eastAsia="宋体" w:hint="default"/>
                            <w:spacing w:val="-12"/>
                            <w:sz w:val="18"/>
                            <w:szCs w:val="18"/>
                          </w:rPr>
                          <w:t>业</w:t>
                        </w:r>
                        <w:r>
                          <w:rPr>
                            <w:rFonts w:ascii="宋体" w:hAnsi="宋体" w:cs="宋体" w:eastAsia="宋体" w:hint="default"/>
                            <w:sz w:val="18"/>
                            <w:szCs w:val="18"/>
                          </w:rPr>
                          <w:t>（不含专营</w:t>
                        </w:r>
                        <w:r>
                          <w:rPr>
                            <w:rFonts w:ascii="宋体" w:hAnsi="宋体" w:cs="宋体" w:eastAsia="宋体" w:hint="default"/>
                            <w:spacing w:val="-12"/>
                            <w:sz w:val="18"/>
                            <w:szCs w:val="18"/>
                          </w:rPr>
                          <w:t>、</w:t>
                        </w:r>
                        <w:r>
                          <w:rPr>
                            <w:rFonts w:ascii="宋体" w:hAnsi="宋体" w:cs="宋体" w:eastAsia="宋体" w:hint="default"/>
                            <w:sz w:val="18"/>
                            <w:szCs w:val="18"/>
                          </w:rPr>
                          <w:t>专控</w:t>
                        </w:r>
                        <w:r>
                          <w:rPr>
                            <w:rFonts w:ascii="宋体" w:hAnsi="宋体" w:cs="宋体" w:eastAsia="宋体" w:hint="default"/>
                            <w:spacing w:val="-12"/>
                            <w:sz w:val="18"/>
                            <w:szCs w:val="18"/>
                          </w:rPr>
                          <w:t>、</w:t>
                        </w:r>
                        <w:r>
                          <w:rPr>
                            <w:rFonts w:ascii="宋体" w:hAnsi="宋体" w:cs="宋体" w:eastAsia="宋体" w:hint="default"/>
                            <w:sz w:val="18"/>
                            <w:szCs w:val="18"/>
                          </w:rPr>
                          <w:t>专卖商品</w:t>
                        </w:r>
                        <w:r>
                          <w:rPr>
                            <w:rFonts w:ascii="宋体" w:hAnsi="宋体" w:cs="宋体" w:eastAsia="宋体" w:hint="default"/>
                            <w:spacing w:val="-90"/>
                            <w:sz w:val="18"/>
                            <w:szCs w:val="18"/>
                          </w:rPr>
                          <w:t>）</w:t>
                        </w:r>
                        <w:r>
                          <w:rPr>
                            <w:rFonts w:ascii="宋体" w:hAnsi="宋体" w:cs="宋体" w:eastAsia="宋体" w:hint="default"/>
                            <w:spacing w:val="-12"/>
                            <w:sz w:val="18"/>
                            <w:szCs w:val="18"/>
                          </w:rPr>
                          <w:t>；</w:t>
                        </w:r>
                        <w:r>
                          <w:rPr>
                            <w:rFonts w:ascii="宋体" w:hAnsi="宋体" w:cs="宋体" w:eastAsia="宋体" w:hint="default"/>
                            <w:sz w:val="18"/>
                            <w:szCs w:val="18"/>
                          </w:rPr>
                          <w:t>兴办实业</w:t>
                        </w:r>
                      </w:p>
                    </w:tc>
                  </w:tr>
                  <w:tr>
                    <w:trPr>
                      <w:trHeight w:val="312"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（具体项目另行申报</w:t>
                        </w:r>
                        <w:r>
                          <w:rPr>
                            <w:rFonts w:ascii="宋体" w:hAnsi="宋体" w:cs="宋体" w:eastAsia="宋体" w:hint="default"/>
                            <w:spacing w:val="-90"/>
                            <w:sz w:val="18"/>
                            <w:szCs w:val="18"/>
                          </w:rPr>
                          <w:t>）</w:t>
                        </w:r>
                        <w:r>
                          <w:rPr>
                            <w:rFonts w:ascii="宋体" w:hAnsi="宋体" w:cs="宋体" w:eastAsia="宋体" w:hint="default"/>
                            <w:spacing w:val="-23"/>
                            <w:sz w:val="18"/>
                            <w:szCs w:val="18"/>
                          </w:rPr>
                          <w:t>，</w:t>
                        </w:r>
                        <w:r>
                          <w:rPr>
                            <w:rFonts w:ascii="宋体" w:hAnsi="宋体" w:cs="宋体" w:eastAsia="宋体" w:hint="default"/>
                            <w:sz w:val="18"/>
                            <w:szCs w:val="18"/>
                          </w:rPr>
                          <w:t>计算机软硬件开发及销售</w:t>
                        </w:r>
                        <w:r>
                          <w:rPr>
                            <w:rFonts w:ascii="宋体" w:hAnsi="宋体" w:cs="宋体" w:eastAsia="宋体" w:hint="default"/>
                            <w:spacing w:val="-23"/>
                            <w:sz w:val="18"/>
                            <w:szCs w:val="18"/>
                          </w:rPr>
                          <w:t>；</w:t>
                        </w:r>
                        <w:r>
                          <w:rPr>
                            <w:rFonts w:ascii="宋体" w:hAnsi="宋体" w:cs="宋体" w:eastAsia="宋体" w:hint="default"/>
                            <w:sz w:val="18"/>
                            <w:szCs w:val="18"/>
                          </w:rPr>
                          <w:t>经营进出口业</w:t>
                        </w:r>
                        <w:r>
                          <w:rPr>
                            <w:rFonts w:ascii="宋体" w:hAnsi="宋体" w:cs="宋体" w:eastAsia="宋体" w:hint="default"/>
                            <w:spacing w:val="-23"/>
                            <w:sz w:val="18"/>
                            <w:szCs w:val="18"/>
                          </w:rPr>
                          <w:t>务</w:t>
                        </w:r>
                        <w:r>
                          <w:rPr>
                            <w:rFonts w:ascii="宋体" w:hAnsi="宋体" w:cs="宋体" w:eastAsia="宋体" w:hint="default"/>
                            <w:sz w:val="18"/>
                            <w:szCs w:val="18"/>
                          </w:rPr>
                          <w:t>（具体按照深</w:t>
                        </w:r>
                      </w:p>
                    </w:tc>
                  </w:tr>
                  <w:tr>
                    <w:trPr>
                      <w:trHeight w:val="317"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tabs>
                            <w:tab w:pos="3601" w:val="left" w:leader="none"/>
                          </w:tabs>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贸管准证字第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2003-3670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号资格证书办</w:t>
                        </w:r>
                        <w:r>
                          <w:rPr>
                            <w:rFonts w:ascii="宋体" w:hAnsi="宋体" w:cs="宋体" w:eastAsia="宋体" w:hint="default"/>
                            <w:spacing w:val="-90"/>
                            <w:sz w:val="18"/>
                            <w:szCs w:val="18"/>
                          </w:rPr>
                          <w:t>）</w:t>
                        </w:r>
                        <w:r>
                          <w:rPr>
                            <w:rFonts w:ascii="宋体" w:hAnsi="宋体" w:cs="宋体" w:eastAsia="宋体" w:hint="default"/>
                            <w:sz w:val="18"/>
                            <w:szCs w:val="18"/>
                          </w:rPr>
                          <w:t>。</w:t>
                          <w:tab/>
                        </w:r>
                        <w:r>
                          <w:rPr>
                            <w:rFonts w:ascii="Times New Roman" w:hAnsi="Times New Roman" w:cs="Times New Roman" w:eastAsia="Times New Roman" w:hint="default"/>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日主营</w:t>
                        </w:r>
                        <w:r>
                          <w:rPr>
                            <w:rFonts w:ascii="宋体" w:hAnsi="宋体" w:cs="宋体" w:eastAsia="宋体" w:hint="default"/>
                            <w:spacing w:val="1"/>
                            <w:sz w:val="18"/>
                            <w:szCs w:val="18"/>
                          </w:rPr>
                          <w:t>业</w:t>
                        </w:r>
                        <w:r>
                          <w:rPr>
                            <w:rFonts w:ascii="宋体" w:hAnsi="宋体" w:cs="宋体" w:eastAsia="宋体" w:hint="default"/>
                            <w:sz w:val="18"/>
                            <w:szCs w:val="18"/>
                          </w:rPr>
                          <w:t>务变更</w:t>
                        </w:r>
                      </w:p>
                    </w:tc>
                  </w:tr>
                  <w:tr>
                    <w:trPr>
                      <w:trHeight w:val="307"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9"/>
                            <w:sz w:val="18"/>
                            <w:szCs w:val="18"/>
                          </w:rPr>
                          <w:t>：</w:t>
                        </w:r>
                        <w:r>
                          <w:rPr>
                            <w:rFonts w:ascii="宋体" w:hAnsi="宋体" w:cs="宋体" w:eastAsia="宋体" w:hint="default"/>
                            <w:sz w:val="18"/>
                            <w:szCs w:val="18"/>
                          </w:rPr>
                          <w:t>房地产开发</w:t>
                        </w:r>
                        <w:r>
                          <w:rPr>
                            <w:rFonts w:ascii="宋体" w:hAnsi="宋体" w:cs="宋体" w:eastAsia="宋体" w:hint="default"/>
                            <w:spacing w:val="-9"/>
                            <w:sz w:val="18"/>
                            <w:szCs w:val="18"/>
                          </w:rPr>
                          <w:t>，</w:t>
                        </w:r>
                        <w:r>
                          <w:rPr>
                            <w:rFonts w:ascii="宋体" w:hAnsi="宋体" w:cs="宋体" w:eastAsia="宋体" w:hint="default"/>
                            <w:sz w:val="18"/>
                            <w:szCs w:val="18"/>
                          </w:rPr>
                          <w:t>经营</w:t>
                        </w:r>
                        <w:r>
                          <w:rPr>
                            <w:rFonts w:ascii="宋体" w:hAnsi="宋体" w:cs="宋体" w:eastAsia="宋体" w:hint="default"/>
                            <w:spacing w:val="-9"/>
                            <w:sz w:val="18"/>
                            <w:szCs w:val="18"/>
                          </w:rPr>
                          <w:t>；</w:t>
                        </w:r>
                        <w:r>
                          <w:rPr>
                            <w:rFonts w:ascii="宋体" w:hAnsi="宋体" w:cs="宋体" w:eastAsia="宋体" w:hint="default"/>
                            <w:spacing w:val="-2"/>
                            <w:sz w:val="18"/>
                            <w:szCs w:val="18"/>
                          </w:rPr>
                          <w:t>国</w:t>
                        </w:r>
                        <w:r>
                          <w:rPr>
                            <w:rFonts w:ascii="宋体" w:hAnsi="宋体" w:cs="宋体" w:eastAsia="宋体" w:hint="default"/>
                            <w:sz w:val="18"/>
                            <w:szCs w:val="18"/>
                          </w:rPr>
                          <w:t>内贸</w:t>
                        </w:r>
                        <w:r>
                          <w:rPr>
                            <w:rFonts w:ascii="宋体" w:hAnsi="宋体" w:cs="宋体" w:eastAsia="宋体" w:hint="default"/>
                            <w:spacing w:val="-9"/>
                            <w:sz w:val="18"/>
                            <w:szCs w:val="18"/>
                          </w:rPr>
                          <w:t>易</w:t>
                        </w:r>
                        <w:r>
                          <w:rPr>
                            <w:rFonts w:ascii="宋体" w:hAnsi="宋体" w:cs="宋体" w:eastAsia="宋体" w:hint="default"/>
                            <w:sz w:val="18"/>
                            <w:szCs w:val="18"/>
                          </w:rPr>
                          <w:t>（不含专营</w:t>
                        </w:r>
                        <w:r>
                          <w:rPr>
                            <w:rFonts w:ascii="宋体" w:hAnsi="宋体" w:cs="宋体" w:eastAsia="宋体" w:hint="default"/>
                            <w:spacing w:val="-9"/>
                            <w:sz w:val="18"/>
                            <w:szCs w:val="18"/>
                          </w:rPr>
                          <w:t>、</w:t>
                        </w:r>
                        <w:r>
                          <w:rPr>
                            <w:rFonts w:ascii="宋体" w:hAnsi="宋体" w:cs="宋体" w:eastAsia="宋体" w:hint="default"/>
                            <w:sz w:val="18"/>
                            <w:szCs w:val="18"/>
                          </w:rPr>
                          <w:t>专控</w:t>
                        </w:r>
                        <w:r>
                          <w:rPr>
                            <w:rFonts w:ascii="宋体" w:hAnsi="宋体" w:cs="宋体" w:eastAsia="宋体" w:hint="default"/>
                            <w:spacing w:val="-10"/>
                            <w:sz w:val="18"/>
                            <w:szCs w:val="18"/>
                          </w:rPr>
                          <w:t>、</w:t>
                        </w:r>
                        <w:r>
                          <w:rPr>
                            <w:rFonts w:ascii="宋体" w:hAnsi="宋体" w:cs="宋体" w:eastAsia="宋体" w:hint="default"/>
                            <w:sz w:val="18"/>
                            <w:szCs w:val="18"/>
                          </w:rPr>
                          <w:t>专卖商品</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z w:val="18"/>
                            <w:szCs w:val="18"/>
                          </w:rPr>
                          <w:t>兴办实</w:t>
                        </w:r>
                        <w:r>
                          <w:rPr>
                            <w:rFonts w:ascii="宋体" w:hAnsi="宋体" w:cs="宋体" w:eastAsia="宋体" w:hint="default"/>
                            <w:spacing w:val="-9"/>
                            <w:sz w:val="18"/>
                            <w:szCs w:val="18"/>
                          </w:rPr>
                          <w:t>业</w:t>
                        </w:r>
                        <w:r>
                          <w:rPr>
                            <w:rFonts w:ascii="宋体" w:hAnsi="宋体" w:cs="宋体" w:eastAsia="宋体" w:hint="default"/>
                            <w:sz w:val="18"/>
                            <w:szCs w:val="18"/>
                          </w:rPr>
                          <w:t>（具</w:t>
                        </w:r>
                      </w:p>
                    </w:tc>
                  </w:tr>
                  <w:tr>
                    <w:trPr>
                      <w:trHeight w:val="313"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体项目另行申报</w:t>
                        </w:r>
                        <w:r>
                          <w:rPr>
                            <w:rFonts w:ascii="宋体" w:hAnsi="宋体" w:cs="宋体" w:eastAsia="宋体" w:hint="default"/>
                            <w:spacing w:val="-90"/>
                            <w:sz w:val="18"/>
                            <w:szCs w:val="18"/>
                          </w:rPr>
                          <w:t>）</w:t>
                        </w:r>
                        <w:r>
                          <w:rPr>
                            <w:rFonts w:ascii="宋体" w:hAnsi="宋体" w:cs="宋体" w:eastAsia="宋体" w:hint="default"/>
                            <w:spacing w:val="-23"/>
                            <w:sz w:val="18"/>
                            <w:szCs w:val="18"/>
                          </w:rPr>
                          <w:t>，</w:t>
                        </w:r>
                        <w:r>
                          <w:rPr>
                            <w:rFonts w:ascii="宋体" w:hAnsi="宋体" w:cs="宋体" w:eastAsia="宋体" w:hint="default"/>
                            <w:sz w:val="18"/>
                            <w:szCs w:val="18"/>
                          </w:rPr>
                          <w:t>计算机软硬件开发及销售</w:t>
                        </w:r>
                        <w:r>
                          <w:rPr>
                            <w:rFonts w:ascii="宋体" w:hAnsi="宋体" w:cs="宋体" w:eastAsia="宋体" w:hint="default"/>
                            <w:spacing w:val="-23"/>
                            <w:sz w:val="18"/>
                            <w:szCs w:val="18"/>
                          </w:rPr>
                          <w:t>；</w:t>
                        </w:r>
                        <w:r>
                          <w:rPr>
                            <w:rFonts w:ascii="宋体" w:hAnsi="宋体" w:cs="宋体" w:eastAsia="宋体" w:hint="default"/>
                            <w:sz w:val="18"/>
                            <w:szCs w:val="18"/>
                          </w:rPr>
                          <w:t>经营进出口业</w:t>
                        </w:r>
                        <w:r>
                          <w:rPr>
                            <w:rFonts w:ascii="宋体" w:hAnsi="宋体" w:cs="宋体" w:eastAsia="宋体" w:hint="default"/>
                            <w:spacing w:val="-23"/>
                            <w:sz w:val="18"/>
                            <w:szCs w:val="18"/>
                          </w:rPr>
                          <w:t>务</w:t>
                        </w:r>
                        <w:r>
                          <w:rPr>
                            <w:rFonts w:ascii="宋体" w:hAnsi="宋体" w:cs="宋体" w:eastAsia="宋体" w:hint="default"/>
                            <w:sz w:val="18"/>
                            <w:szCs w:val="18"/>
                          </w:rPr>
                          <w:t>（具体按照深贸管</w:t>
                        </w:r>
                      </w:p>
                    </w:tc>
                  </w:tr>
                  <w:tr>
                    <w:trPr>
                      <w:trHeight w:val="356" w:hRule="exact"/>
                    </w:trPr>
                    <w:tc>
                      <w:tcPr>
                        <w:tcW w:w="3190" w:type="dxa"/>
                        <w:gridSpan w:val="2"/>
                        <w:vMerge/>
                        <w:tcBorders>
                          <w:left w:val="single" w:sz="4" w:space="0" w:color="000000"/>
                          <w:bottom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准证字第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2003-3670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号资格证书办理</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63" w:hRule="exact"/>
                    </w:trPr>
                    <w:tc>
                      <w:tcPr>
                        <w:tcW w:w="3190" w:type="dxa"/>
                        <w:gridSpan w:val="2"/>
                        <w:vMerge w:val="restart"/>
                        <w:tcBorders>
                          <w:top w:val="single" w:sz="4" w:space="0" w:color="000000"/>
                          <w:left w:val="single" w:sz="4" w:space="0" w:color="000000"/>
                          <w:right w:val="single" w:sz="4" w:space="0" w:color="000000"/>
                        </w:tcBorders>
                        <w:shd w:val="clear" w:color="auto" w:fill="D3D3D3"/>
                      </w:tcPr>
                      <w:p>
                        <w:pPr/>
                      </w:p>
                    </w:tc>
                    <w:tc>
                      <w:tcPr>
                        <w:tcW w:w="6377" w:type="dxa"/>
                        <w:gridSpan w:val="4"/>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1"/>
                            <w:sz w:val="18"/>
                            <w:szCs w:val="18"/>
                          </w:rPr>
                          <w:t>、</w:t>
                        </w:r>
                        <w:r>
                          <w:rPr>
                            <w:rFonts w:ascii="宋体" w:hAnsi="宋体" w:cs="宋体" w:eastAsia="宋体" w:hint="default"/>
                            <w:sz w:val="18"/>
                            <w:szCs w:val="18"/>
                          </w:rPr>
                          <w:t>公司成立时的控股股东为香港益通电子有限公司</w:t>
                        </w:r>
                        <w:r>
                          <w:rPr>
                            <w:rFonts w:ascii="宋体" w:hAnsi="宋体" w:cs="宋体" w:eastAsia="宋体" w:hint="default"/>
                            <w:spacing w:val="-81"/>
                            <w:sz w:val="18"/>
                            <w:szCs w:val="18"/>
                          </w:rPr>
                          <w:t>，</w:t>
                        </w:r>
                        <w:r>
                          <w:rPr>
                            <w:rFonts w:ascii="宋体" w:hAnsi="宋体" w:cs="宋体" w:eastAsia="宋体" w:hint="default"/>
                            <w:sz w:val="18"/>
                            <w:szCs w:val="18"/>
                          </w:rPr>
                          <w:t>后更名为益通投资有限公司</w:t>
                        </w:r>
                      </w:p>
                    </w:tc>
                  </w:tr>
                  <w:tr>
                    <w:trPr>
                      <w:trHeight w:val="312"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0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2001.7.24</w:t>
                        </w:r>
                        <w:r>
                          <w:rPr>
                            <w:rFonts w:ascii="Times New Roman" w:hAnsi="Times New Roman" w:cs="Times New Roman" w:eastAsia="Times New Roman" w:hint="default"/>
                            <w:spacing w:val="35"/>
                            <w:sz w:val="18"/>
                            <w:szCs w:val="18"/>
                          </w:rPr>
                          <w:t> </w:t>
                        </w:r>
                        <w:r>
                          <w:rPr>
                            <w:rFonts w:ascii="宋体" w:hAnsi="宋体" w:cs="宋体" w:eastAsia="宋体" w:hint="default"/>
                            <w:spacing w:val="-2"/>
                            <w:sz w:val="18"/>
                            <w:szCs w:val="18"/>
                          </w:rPr>
                          <w:t>益通投资有限公司与中国蓝星（集团）总公司签订《股权转让协</w:t>
                        </w:r>
                      </w:p>
                    </w:tc>
                  </w:tr>
                  <w:tr>
                    <w:trPr>
                      <w:trHeight w:val="312"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议</w:t>
                        </w:r>
                        <w:r>
                          <w:rPr>
                            <w:rFonts w:ascii="宋体" w:hAnsi="宋体" w:cs="宋体" w:eastAsia="宋体" w:hint="default"/>
                            <w:spacing w:val="-90"/>
                            <w:sz w:val="18"/>
                            <w:szCs w:val="18"/>
                          </w:rPr>
                          <w:t>》</w:t>
                        </w:r>
                        <w:r>
                          <w:rPr>
                            <w:rFonts w:ascii="宋体" w:hAnsi="宋体" w:cs="宋体" w:eastAsia="宋体" w:hint="default"/>
                            <w:sz w:val="18"/>
                            <w:szCs w:val="18"/>
                          </w:rPr>
                          <w:t>，益通将其持有的大通境外法人股中的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2"/>
                            <w:sz w:val="18"/>
                            <w:szCs w:val="18"/>
                          </w:rPr>
                          <w:t>以</w:t>
                        </w:r>
                        <w:r>
                          <w:rPr>
                            <w:rFonts w:ascii="宋体" w:hAnsi="宋体" w:cs="宋体" w:eastAsia="宋体" w:hint="default"/>
                            <w:sz w:val="18"/>
                            <w:szCs w:val="18"/>
                          </w:rPr>
                          <w:t>每股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元的价格转</w:t>
                        </w:r>
                      </w:p>
                    </w:tc>
                  </w:tr>
                  <w:tr>
                    <w:trPr>
                      <w:trHeight w:val="312"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tabs>
                            <w:tab w:pos="5044" w:val="left" w:leader="none"/>
                          </w:tabs>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让给蓝星，蓝星占有大通总股本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29.84%</w:t>
                        </w:r>
                        <w:r>
                          <w:rPr>
                            <w:rFonts w:ascii="宋体" w:hAnsi="宋体" w:cs="宋体" w:eastAsia="宋体" w:hint="default"/>
                            <w:sz w:val="18"/>
                            <w:szCs w:val="18"/>
                          </w:rPr>
                          <w:t>，成为第一大股东。</w:t>
                          <w:tab/>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2001.12.3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中</w:t>
                        </w:r>
                      </w:p>
                    </w:tc>
                  </w:tr>
                  <w:tr>
                    <w:trPr>
                      <w:trHeight w:val="312"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国蓝星与上海新延中文化传播有限公司签订</w:t>
                        </w:r>
                        <w:r>
                          <w:rPr>
                            <w:rFonts w:ascii="宋体" w:hAnsi="宋体" w:cs="宋体" w:eastAsia="宋体" w:hint="default"/>
                            <w:spacing w:val="-12"/>
                            <w:sz w:val="18"/>
                            <w:szCs w:val="18"/>
                          </w:rPr>
                          <w:t>了</w:t>
                        </w:r>
                        <w:r>
                          <w:rPr>
                            <w:rFonts w:ascii="宋体" w:hAnsi="宋体" w:cs="宋体" w:eastAsia="宋体" w:hint="default"/>
                            <w:sz w:val="18"/>
                            <w:szCs w:val="18"/>
                          </w:rPr>
                          <w:t>《股份托管协议</w:t>
                        </w:r>
                        <w:r>
                          <w:rPr>
                            <w:rFonts w:ascii="宋体" w:hAnsi="宋体" w:cs="宋体" w:eastAsia="宋体" w:hint="default"/>
                            <w:spacing w:val="-90"/>
                            <w:sz w:val="18"/>
                            <w:szCs w:val="18"/>
                          </w:rPr>
                          <w:t>》</w:t>
                        </w:r>
                        <w:r>
                          <w:rPr>
                            <w:rFonts w:ascii="宋体" w:hAnsi="宋体" w:cs="宋体" w:eastAsia="宋体" w:hint="default"/>
                            <w:spacing w:val="-12"/>
                            <w:sz w:val="18"/>
                            <w:szCs w:val="18"/>
                          </w:rPr>
                          <w:t>，</w:t>
                        </w:r>
                        <w:r>
                          <w:rPr>
                            <w:rFonts w:ascii="宋体" w:hAnsi="宋体" w:cs="宋体" w:eastAsia="宋体" w:hint="default"/>
                            <w:sz w:val="18"/>
                            <w:szCs w:val="18"/>
                          </w:rPr>
                          <w:t>每股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w:t>
                        </w:r>
                      </w:p>
                    </w:tc>
                  </w:tr>
                  <w:tr>
                    <w:trPr>
                      <w:trHeight w:val="312"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币。</w:t>
                        </w:r>
                        <w:r>
                          <w:rPr>
                            <w:rFonts w:ascii="Times New Roman" w:hAnsi="Times New Roman" w:cs="Times New Roman" w:eastAsia="Times New Roman" w:hint="default"/>
                            <w:spacing w:val="-4"/>
                            <w:sz w:val="18"/>
                            <w:szCs w:val="18"/>
                          </w:rPr>
                          <w:t>2002.12</w:t>
                        </w:r>
                        <w:r>
                          <w:rPr>
                            <w:rFonts w:ascii="Times New Roman" w:hAnsi="Times New Roman" w:cs="Times New Roman" w:eastAsia="Times New Roman" w:hint="default"/>
                            <w:spacing w:val="25"/>
                            <w:sz w:val="18"/>
                            <w:szCs w:val="18"/>
                          </w:rPr>
                          <w:t> </w:t>
                        </w:r>
                        <w:r>
                          <w:rPr>
                            <w:rFonts w:ascii="宋体" w:hAnsi="宋体" w:cs="宋体" w:eastAsia="宋体" w:hint="default"/>
                            <w:spacing w:val="-2"/>
                            <w:sz w:val="18"/>
                            <w:szCs w:val="18"/>
                          </w:rPr>
                          <w:t>中国蓝星与上海新延中文化传播有限公司股权转让，上海新延中文化</w:t>
                        </w:r>
                      </w:p>
                    </w:tc>
                  </w:tr>
                  <w:tr>
                    <w:trPr>
                      <w:trHeight w:val="110" w:hRule="exact"/>
                    </w:trPr>
                    <w:tc>
                      <w:tcPr>
                        <w:tcW w:w="3190" w:type="dxa"/>
                        <w:gridSpan w:val="2"/>
                        <w:vMerge/>
                        <w:tcBorders>
                          <w:left w:val="single" w:sz="4" w:space="0" w:color="000000"/>
                          <w:bottom w:val="nil" w:sz="6" w:space="0" w:color="auto"/>
                          <w:right w:val="single" w:sz="4" w:space="0" w:color="000000"/>
                        </w:tcBorders>
                        <w:shd w:val="clear" w:color="auto" w:fill="D3D3D3"/>
                      </w:tcPr>
                      <w:p>
                        <w:pPr/>
                      </w:p>
                    </w:tc>
                    <w:tc>
                      <w:tcPr>
                        <w:tcW w:w="6377" w:type="dxa"/>
                        <w:gridSpan w:val="4"/>
                        <w:vMerge w:val="restart"/>
                        <w:tcBorders>
                          <w:top w:val="nil" w:sz="6" w:space="0" w:color="auto"/>
                          <w:left w:val="single" w:sz="13" w:space="0" w:color="D3D3D3"/>
                          <w:right w:val="single" w:sz="4" w:space="0" w:color="000000"/>
                        </w:tcBorders>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传播有限公司占有大通总股本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29.84%</w:t>
                        </w:r>
                        <w:r>
                          <w:rPr>
                            <w:rFonts w:ascii="宋体" w:hAnsi="宋体" w:cs="宋体" w:eastAsia="宋体" w:hint="default"/>
                            <w:sz w:val="18"/>
                            <w:szCs w:val="18"/>
                          </w:rPr>
                          <w:t>，成为第一大股东。</w:t>
                        </w:r>
                        <w:r>
                          <w:rPr>
                            <w:rFonts w:ascii="Times New Roman" w:hAnsi="Times New Roman" w:cs="Times New Roman" w:eastAsia="Times New Roman" w:hint="default"/>
                            <w:sz w:val="18"/>
                            <w:szCs w:val="18"/>
                          </w:rPr>
                          <w:t>2003.1.24</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上海新延中</w:t>
                        </w:r>
                      </w:p>
                    </w:tc>
                  </w:tr>
                  <w:tr>
                    <w:trPr>
                      <w:trHeight w:val="202" w:hRule="exact"/>
                    </w:trPr>
                    <w:tc>
                      <w:tcPr>
                        <w:tcW w:w="319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vMerge/>
                        <w:tcBorders>
                          <w:left w:val="single" w:sz="13" w:space="0" w:color="D3D3D3"/>
                          <w:bottom w:val="nil" w:sz="6" w:space="0" w:color="auto"/>
                          <w:right w:val="single" w:sz="4" w:space="0" w:color="000000"/>
                        </w:tcBorders>
                      </w:tcPr>
                      <w:p>
                        <w:pPr/>
                      </w:p>
                    </w:tc>
                  </w:tr>
                  <w:tr>
                    <w:trPr>
                      <w:trHeight w:val="191" w:hRule="exact"/>
                    </w:trPr>
                    <w:tc>
                      <w:tcPr>
                        <w:tcW w:w="3190" w:type="dxa"/>
                        <w:gridSpan w:val="2"/>
                        <w:vMerge/>
                        <w:tcBorders>
                          <w:left w:val="single" w:sz="4" w:space="0" w:color="000000"/>
                          <w:bottom w:val="nil" w:sz="6" w:space="0" w:color="auto"/>
                          <w:right w:val="single" w:sz="4" w:space="0" w:color="000000"/>
                        </w:tcBorders>
                        <w:shd w:val="clear" w:color="auto" w:fill="D3D3D3"/>
                      </w:tcPr>
                      <w:p>
                        <w:pPr/>
                      </w:p>
                    </w:tc>
                    <w:tc>
                      <w:tcPr>
                        <w:tcW w:w="6377" w:type="dxa"/>
                        <w:gridSpan w:val="4"/>
                        <w:vMerge w:val="restart"/>
                        <w:tcBorders>
                          <w:top w:val="nil" w:sz="6" w:space="0" w:color="auto"/>
                          <w:left w:val="single" w:sz="13" w:space="0" w:color="D3D3D3"/>
                          <w:right w:val="single" w:sz="4" w:space="0" w:color="000000"/>
                        </w:tcBorders>
                      </w:tcPr>
                      <w:p>
                        <w:pPr>
                          <w:pStyle w:val="TableParagraph"/>
                          <w:tabs>
                            <w:tab w:pos="4492" w:val="left" w:leader="none"/>
                          </w:tabs>
                          <w:spacing w:line="240" w:lineRule="auto" w:before="5"/>
                          <w:ind w:left="12" w:right="0"/>
                          <w:jc w:val="left"/>
                          <w:rPr>
                            <w:rFonts w:ascii="宋体" w:hAnsi="宋体" w:cs="宋体" w:eastAsia="宋体" w:hint="default"/>
                            <w:sz w:val="18"/>
                            <w:szCs w:val="18"/>
                          </w:rPr>
                        </w:pPr>
                        <w:r>
                          <w:rPr>
                            <w:rFonts w:ascii="宋体" w:hAnsi="宋体" w:cs="宋体" w:eastAsia="宋体" w:hint="default"/>
                            <w:spacing w:val="-1"/>
                            <w:sz w:val="18"/>
                            <w:szCs w:val="18"/>
                          </w:rPr>
                          <w:t>文化传播有限公司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更名为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方正延中传媒有限公司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tab/>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21" w:hRule="exact"/>
                    </w:trPr>
                    <w:tc>
                      <w:tcPr>
                        <w:tcW w:w="3190" w:type="dxa"/>
                        <w:gridSpan w:val="2"/>
                        <w:vMerge w:val="restart"/>
                        <w:tcBorders>
                          <w:top w:val="nil" w:sz="6" w:space="0" w:color="auto"/>
                          <w:left w:val="single" w:sz="4" w:space="0" w:color="000000"/>
                          <w:right w:val="single" w:sz="4" w:space="0" w:color="000000"/>
                        </w:tcBorders>
                        <w:shd w:val="clear" w:color="auto" w:fill="D3D3D3"/>
                      </w:tcPr>
                      <w:p>
                        <w:pPr/>
                      </w:p>
                    </w:tc>
                    <w:tc>
                      <w:tcPr>
                        <w:tcW w:w="6377" w:type="dxa"/>
                        <w:gridSpan w:val="4"/>
                        <w:vMerge/>
                        <w:tcBorders>
                          <w:left w:val="single" w:sz="13" w:space="0" w:color="D3D3D3"/>
                          <w:bottom w:val="nil" w:sz="6" w:space="0" w:color="auto"/>
                          <w:right w:val="single" w:sz="4" w:space="0" w:color="000000"/>
                        </w:tcBorders>
                      </w:tcPr>
                      <w:p>
                        <w:pPr/>
                      </w:p>
                    </w:tc>
                  </w:tr>
                  <w:tr>
                    <w:trPr>
                      <w:trHeight w:val="307"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亚星实业与方正延中传媒有限公司签订</w:t>
                        </w:r>
                        <w:r>
                          <w:rPr>
                            <w:rFonts w:ascii="宋体" w:hAnsi="宋体" w:cs="宋体" w:eastAsia="宋体" w:hint="default"/>
                            <w:spacing w:val="-35"/>
                            <w:sz w:val="18"/>
                            <w:szCs w:val="18"/>
                          </w:rPr>
                          <w:t>了</w:t>
                        </w:r>
                        <w:r>
                          <w:rPr>
                            <w:rFonts w:ascii="宋体" w:hAnsi="宋体" w:cs="宋体" w:eastAsia="宋体" w:hint="default"/>
                            <w:sz w:val="18"/>
                            <w:szCs w:val="18"/>
                          </w:rPr>
                          <w:t>《股份转让协议书</w:t>
                        </w:r>
                        <w:r>
                          <w:rPr>
                            <w:rFonts w:ascii="宋体" w:hAnsi="宋体" w:cs="宋体" w:eastAsia="宋体" w:hint="default"/>
                            <w:spacing w:val="-90"/>
                            <w:sz w:val="18"/>
                            <w:szCs w:val="18"/>
                          </w:rPr>
                          <w:t>》</w:t>
                        </w:r>
                        <w:r>
                          <w:rPr>
                            <w:rFonts w:ascii="宋体" w:hAnsi="宋体" w:cs="宋体" w:eastAsia="宋体" w:hint="default"/>
                            <w:spacing w:val="-35"/>
                            <w:sz w:val="18"/>
                            <w:szCs w:val="18"/>
                          </w:rPr>
                          <w:t>，</w:t>
                        </w:r>
                        <w:r>
                          <w:rPr>
                            <w:rFonts w:ascii="宋体" w:hAnsi="宋体" w:cs="宋体" w:eastAsia="宋体" w:hint="default"/>
                            <w:sz w:val="18"/>
                            <w:szCs w:val="18"/>
                          </w:rPr>
                          <w:t>受让延中传媒所持</w:t>
                        </w:r>
                      </w:p>
                    </w:tc>
                  </w:tr>
                  <w:tr>
                    <w:trPr>
                      <w:trHeight w:val="317"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有的深大通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万股股份</w:t>
                        </w:r>
                        <w:r>
                          <w:rPr>
                            <w:rFonts w:ascii="Times New Roman" w:hAnsi="Times New Roman" w:cs="Times New Roman" w:eastAsia="Times New Roman" w:hint="default"/>
                            <w:sz w:val="18"/>
                            <w:szCs w:val="18"/>
                          </w:rPr>
                          <w:t>,</w:t>
                        </w:r>
                        <w:r>
                          <w:rPr>
                            <w:rFonts w:ascii="宋体" w:hAnsi="宋体" w:cs="宋体" w:eastAsia="宋体" w:hint="default"/>
                            <w:sz w:val="18"/>
                            <w:szCs w:val="18"/>
                          </w:rPr>
                          <w:t>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日在中国证券登记结算有限责任</w:t>
                        </w:r>
                      </w:p>
                    </w:tc>
                  </w:tr>
                  <w:tr>
                    <w:trPr>
                      <w:trHeight w:val="307"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公司深圳分公司完成过户手续。过户手续完成后，亚星实业实际持有公司股份</w:t>
                        </w:r>
                      </w:p>
                    </w:tc>
                  </w:tr>
                  <w:tr>
                    <w:trPr>
                      <w:trHeight w:val="317"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pacing w:val="-4"/>
                            <w:sz w:val="18"/>
                            <w:szCs w:val="18"/>
                          </w:rPr>
                          <w:t>万股，占股权分置改革前公司股本总额的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11.05%</w:t>
                        </w:r>
                        <w:r>
                          <w:rPr>
                            <w:rFonts w:ascii="宋体" w:hAnsi="宋体" w:cs="宋体" w:eastAsia="宋体" w:hint="default"/>
                            <w:spacing w:val="-8"/>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13"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亚星实业已通过股改垫付对价偿还方式获得公司股份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33,101,098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股，持股总数为</w:t>
                        </w:r>
                      </w:p>
                    </w:tc>
                  </w:tr>
                  <w:tr>
                    <w:trPr>
                      <w:trHeight w:val="351" w:hRule="exact"/>
                    </w:trPr>
                    <w:tc>
                      <w:tcPr>
                        <w:tcW w:w="3190" w:type="dxa"/>
                        <w:gridSpan w:val="2"/>
                        <w:vMerge/>
                        <w:tcBorders>
                          <w:left w:val="single" w:sz="4" w:space="0" w:color="000000"/>
                          <w:bottom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43,101,098 </w:t>
                        </w:r>
                        <w:r>
                          <w:rPr>
                            <w:rFonts w:ascii="宋体" w:hAnsi="宋体" w:cs="宋体" w:eastAsia="宋体" w:hint="default"/>
                            <w:sz w:val="18"/>
                            <w:szCs w:val="18"/>
                          </w:rPr>
                          <w:t>股，占公司总股本的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44.79%</w:t>
                        </w:r>
                        <w:r>
                          <w:rPr>
                            <w:rFonts w:ascii="宋体" w:hAnsi="宋体" w:cs="宋体" w:eastAsia="宋体" w:hint="default"/>
                            <w:sz w:val="18"/>
                            <w:szCs w:val="18"/>
                          </w:rPr>
                          <w:t>，成为第一大股东。</w:t>
                        </w:r>
                      </w:p>
                    </w:tc>
                  </w:tr>
                </w:tbl>
                <w:p>
                  <w:pPr/>
                </w:p>
              </w:txbxContent>
            </v:textbox>
            <w10:wrap type="none"/>
          </v:shape>
        </w:pict>
      </w:r>
    </w:p>
    <w:p>
      <w:pPr>
        <w:pStyle w:val="Heading2"/>
        <w:spacing w:line="240" w:lineRule="auto" w:before="26"/>
        <w:ind w:right="0"/>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pStyle w:val="BodyText"/>
        <w:spacing w:line="240" w:lineRule="auto" w:before="44"/>
        <w:ind w:left="0" w:right="16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44"/>
        <w:ind w:left="0" w:right="16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44"/>
        <w:ind w:left="0" w:right="161"/>
        <w:jc w:val="right"/>
      </w:pPr>
      <w:r>
        <w:rPr/>
        <w:t>，</w:t>
      </w:r>
    </w:p>
    <w:p>
      <w:pPr>
        <w:spacing w:after="0" w:line="240" w:lineRule="auto"/>
        <w:jc w:val="righ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34"/>
        <w:gridCol w:w="6934"/>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李泽浩、高萍</w:t>
            </w:r>
          </w:p>
        </w:tc>
      </w:tr>
    </w:tbl>
    <w:p>
      <w:pPr>
        <w:pStyle w:val="BodyText"/>
        <w:spacing w:line="240" w:lineRule="auto" w:before="51"/>
        <w:ind w:right="0"/>
        <w:jc w:val="left"/>
      </w:pPr>
      <w:r>
        <w:rPr/>
        <w:t>公司聘请的报告期内履行持续督导职责的保荐机构</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世纪证券有限责任公司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深圳市福田区深南大道招商 银行大厦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宁京涛、艾民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8"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6"/>
        <w:gridCol w:w="1750"/>
        <w:gridCol w:w="1738"/>
        <w:gridCol w:w="1739"/>
        <w:gridCol w:w="1735"/>
      </w:tblGrid>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206,236,809.33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99,039,893.86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301,294,136.49</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2,078,042.37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2,091,182.70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26,716,195.17</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2,521,733.51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2,019,858.63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26,242,130.21</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52,953,904.46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-89,610,183.17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-70,488,383.29</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0.0217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0.277</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0.0217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0.277</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19.34%</w:t>
            </w:r>
          </w:p>
        </w:tc>
      </w:tr>
      <w:tr>
        <w:trPr>
          <w:trHeight w:val="161" w:hRule="exact"/>
        </w:trPr>
        <w:tc>
          <w:tcPr>
            <w:tcW w:w="2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7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596" w:type="dxa"/>
            <w:tcBorders>
              <w:top w:val="nil" w:sz="6" w:space="0" w:color="auto"/>
              <w:left w:val="single" w:sz="4" w:space="0" w:color="000000"/>
              <w:bottom w:val="nil" w:sz="6" w:space="0" w:color="auto"/>
              <w:right w:val="single" w:sz="4" w:space="0" w:color="000000"/>
            </w:tcBorders>
            <w:shd w:val="clear" w:color="auto" w:fill="D3D3D3"/>
          </w:tcPr>
          <w:p>
            <w:pPr/>
          </w:p>
        </w:tc>
        <w:tc>
          <w:tcPr>
            <w:tcW w:w="17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739" w:type="dxa"/>
            <w:vMerge/>
            <w:tcBorders>
              <w:left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610,156,264.42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630,464,661.29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517,799,621.08</w:t>
            </w:r>
          </w:p>
        </w:tc>
      </w:tr>
      <w:tr>
        <w:trPr>
          <w:trHeight w:val="1026"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9" w:lineRule="auto" w:before="76"/>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5"/>
                <w:sz w:val="18"/>
                <w:szCs w:val="18"/>
              </w:rPr>
              <w:t>权益）（元）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156,590,425.65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154,512,383.28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152,421,200.58</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1"/>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-513,887.99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107,370.06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493,452.44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-33,859.50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28,698.52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19,387.48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-36,337.35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7,347.47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-443,691.14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71,324.07</w:t>
            </w:r>
          </w:p>
        </w:tc>
        <w:tc>
          <w:tcPr>
            <w:tcW w:w="1522"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474,064.96</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27"/>
        <w:jc w:val="center"/>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84"/>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left="153" w:right="191" w:firstLine="480"/>
        <w:jc w:val="both"/>
      </w:pPr>
      <w:r>
        <w:rPr>
          <w:rFonts w:ascii="Times New Roman" w:hAnsi="Times New Roman" w:cs="Times New Roman" w:eastAsia="Times New Roman" w:hint="default"/>
          <w:spacing w:val="-1"/>
        </w:rPr>
        <w:t>2012</w:t>
      </w:r>
      <w:r>
        <w:rPr>
          <w:spacing w:val="-1"/>
        </w:rPr>
        <w:t>年，公司主营业务房地产开发经营仍然受到房地产宏观调控政策的影响，其中子公司青岛广顺房地产开发公司所</w:t>
      </w:r>
      <w:r>
        <w:rPr/>
        <w:t> </w:t>
      </w:r>
      <w:r>
        <w:rPr>
          <w:spacing w:val="-2"/>
        </w:rPr>
        <w:t>开发项目还受青岛市限购政策的影响，公司开发项目所在地市场的整体购买力有所下降，在无法合理预期国家将放宽房地产</w:t>
      </w:r>
      <w:r>
        <w:rPr>
          <w:spacing w:val="-64"/>
        </w:rPr>
        <w:t> </w:t>
      </w:r>
      <w:r>
        <w:rPr>
          <w:spacing w:val="-64"/>
        </w:rPr>
      </w:r>
      <w:r>
        <w:rPr>
          <w:spacing w:val="-2"/>
        </w:rPr>
        <w:t>宏观调控政策的前提下，公司按照</w:t>
      </w:r>
      <w:r>
        <w:rPr>
          <w:rFonts w:ascii="Times New Roman" w:hAnsi="Times New Roman" w:cs="Times New Roman" w:eastAsia="Times New Roman" w:hint="default"/>
          <w:spacing w:val="-2"/>
        </w:rPr>
        <w:t>2012</w:t>
      </w:r>
      <w:r>
        <w:rPr>
          <w:spacing w:val="-2"/>
        </w:rPr>
        <w:t>年度经营计划，适度放缓了房地产在建项目、拟建项目以及市场销售的推进速度。为</w:t>
      </w:r>
      <w:r>
        <w:rPr>
          <w:spacing w:val="-62"/>
        </w:rPr>
        <w:t> </w:t>
      </w:r>
      <w:r>
        <w:rPr>
          <w:spacing w:val="-62"/>
        </w:rPr>
      </w:r>
      <w:r>
        <w:rPr>
          <w:spacing w:val="-2"/>
        </w:rPr>
        <w:t>保障公司的安全运营，公司适度采用</w:t>
      </w:r>
      <w:r>
        <w:rPr>
          <w:rFonts w:ascii="Times New Roman" w:hAnsi="Times New Roman" w:cs="Times New Roman" w:eastAsia="Times New Roman" w:hint="default"/>
          <w:spacing w:val="-2"/>
        </w:rPr>
        <w:t>“</w:t>
      </w:r>
      <w:r>
        <w:rPr>
          <w:spacing w:val="-2"/>
        </w:rPr>
        <w:t>降低利润预期以换取现金流</w:t>
      </w:r>
      <w:r>
        <w:rPr>
          <w:rFonts w:ascii="Times New Roman" w:hAnsi="Times New Roman" w:cs="Times New Roman" w:eastAsia="Times New Roman" w:hint="default"/>
          <w:spacing w:val="-2"/>
        </w:rPr>
        <w:t>”</w:t>
      </w:r>
      <w:r>
        <w:rPr>
          <w:spacing w:val="-2"/>
        </w:rPr>
        <w:t>的基本原则，采取组织团购、鼓励一次性付款、倡导包括</w:t>
      </w:r>
      <w:r>
        <w:rPr>
          <w:spacing w:val="-44"/>
        </w:rPr>
        <w:t> </w:t>
      </w:r>
      <w:r>
        <w:rPr>
          <w:spacing w:val="-44"/>
        </w:rPr>
      </w:r>
      <w:r>
        <w:rPr>
          <w:spacing w:val="-2"/>
        </w:rPr>
        <w:t>股东、董监高和公司员工在内的利益相关者以公开方式优先购买公司房源等多种方式，加速回款速度，减轻流动性压力和降</w:t>
      </w:r>
      <w:r>
        <w:rPr>
          <w:spacing w:val="-66"/>
        </w:rPr>
        <w:t> </w:t>
      </w:r>
      <w:r>
        <w:rPr>
          <w:spacing w:val="-66"/>
        </w:rPr>
      </w:r>
      <w:r>
        <w:rPr/>
        <w:t>低政策性风险。</w:t>
      </w:r>
    </w:p>
    <w:p>
      <w:pPr>
        <w:pStyle w:val="BodyText"/>
        <w:spacing w:line="300" w:lineRule="auto" w:before="26"/>
        <w:ind w:left="153" w:right="184" w:firstLine="480"/>
        <w:jc w:val="left"/>
      </w:pPr>
      <w:r>
        <w:rPr/>
        <w:t>报告期内，公司实现营业收入为</w:t>
      </w:r>
      <w:r>
        <w:rPr>
          <w:rFonts w:ascii="Times New Roman" w:hAnsi="Times New Roman" w:cs="Times New Roman" w:eastAsia="Times New Roman" w:hint="default"/>
        </w:rPr>
        <w:t>206,236,809.33</w:t>
      </w:r>
      <w:r>
        <w:rPr/>
        <w:t>元，同比增长</w:t>
      </w:r>
      <w:r>
        <w:rPr>
          <w:rFonts w:ascii="Times New Roman" w:hAnsi="Times New Roman" w:cs="Times New Roman" w:eastAsia="Times New Roman" w:hint="default"/>
        </w:rPr>
        <w:t>108%</w:t>
      </w:r>
      <w:r>
        <w:rPr/>
        <w:t>。主要原因是控股子公司济宁海情置业有限公司及 其子公司泗水海情置业有限公司实现的营业收入大幅上升所致。实现公司营业利润</w:t>
      </w:r>
      <w:r>
        <w:rPr>
          <w:rFonts w:ascii="Times New Roman" w:hAnsi="Times New Roman" w:cs="Times New Roman" w:eastAsia="Times New Roman" w:hint="default"/>
        </w:rPr>
        <w:t>11,443,593.07</w:t>
      </w:r>
      <w:r>
        <w:rPr/>
        <w:t>元，同比上升</w:t>
      </w:r>
      <w:r>
        <w:rPr>
          <w:rFonts w:ascii="Times New Roman" w:hAnsi="Times New Roman" w:cs="Times New Roman" w:eastAsia="Times New Roman" w:hint="default"/>
        </w:rPr>
        <w:t>106%</w:t>
      </w:r>
      <w:r>
        <w:rPr/>
        <w:t>，主要 原因是公司营业收入大幅度上升所致。实现公司利润总额</w:t>
      </w:r>
      <w:r>
        <w:rPr>
          <w:rFonts w:ascii="Times New Roman" w:hAnsi="Times New Roman" w:cs="Times New Roman" w:eastAsia="Times New Roman" w:hint="default"/>
        </w:rPr>
        <w:t>10,929,705.08</w:t>
      </w:r>
      <w:r>
        <w:rPr/>
        <w:t>元，同比上升</w:t>
      </w:r>
      <w:r>
        <w:rPr>
          <w:rFonts w:ascii="Times New Roman" w:hAnsi="Times New Roman" w:cs="Times New Roman" w:eastAsia="Times New Roman" w:hint="default"/>
        </w:rPr>
        <w:t>93%</w:t>
      </w:r>
      <w:r>
        <w:rPr/>
        <w:t>，归属于上市公司股东的净利润 </w:t>
      </w:r>
      <w:r>
        <w:rPr>
          <w:rFonts w:ascii="Times New Roman" w:hAnsi="Times New Roman" w:cs="Times New Roman" w:eastAsia="Times New Roman" w:hint="default"/>
          <w:spacing w:val="-1"/>
        </w:rPr>
        <w:t>2,078,042.37</w:t>
      </w:r>
      <w:r>
        <w:rPr>
          <w:spacing w:val="-1"/>
        </w:rPr>
        <w:t>元，同比下降</w:t>
      </w:r>
      <w:r>
        <w:rPr>
          <w:rFonts w:ascii="Times New Roman" w:hAnsi="Times New Roman" w:cs="Times New Roman" w:eastAsia="Times New Roman" w:hint="default"/>
          <w:spacing w:val="-1"/>
        </w:rPr>
        <w:t>0.63%</w:t>
      </w:r>
      <w:r>
        <w:rPr>
          <w:spacing w:val="-1"/>
        </w:rPr>
        <w:t>，主要原因是公司所得税费用等税负增加（评估增值土地成本不能算入计税成本）、管理费</w:t>
      </w:r>
      <w:r>
        <w:rPr>
          <w:spacing w:val="-85"/>
        </w:rPr>
        <w:t> </w:t>
      </w:r>
      <w:r>
        <w:rPr>
          <w:spacing w:val="-85"/>
        </w:rPr>
      </w:r>
      <w:r>
        <w:rPr/>
        <w:t>用大幅增加（公司恢复上市工作，中介费用增加）、本年销售并确认收入的商品房产品毛利率有所下降所致。</w:t>
      </w:r>
    </w:p>
    <w:p>
      <w:pPr>
        <w:pStyle w:val="BodyText"/>
        <w:spacing w:line="312" w:lineRule="auto" w:before="31"/>
        <w:ind w:left="153" w:right="91" w:firstLine="480"/>
        <w:jc w:val="left"/>
      </w:pPr>
      <w:r>
        <w:rPr/>
        <w:t>从中长期看，房地产行业健康、平稳、可持续的发展是国家宏观调控的总体目标，稳定供求、抑制投机以及建立中长 期市场调控机制是我国房地产市场建设的核心目标。房地产宏观调控有助于房地产上市公司调整发展战略、细分产品市场、 </w:t>
      </w:r>
      <w:r>
        <w:rPr>
          <w:spacing w:val="-2"/>
        </w:rPr>
        <w:t>优化开发经营，最强做实主业，最终顺应国家产业规划、增强企业自生能力。随着中国城市化进程特别是</w:t>
      </w:r>
      <w:r>
        <w:rPr>
          <w:rFonts w:ascii="Times New Roman" w:hAnsi="Times New Roman" w:cs="Times New Roman" w:eastAsia="Times New Roman" w:hint="default"/>
          <w:spacing w:val="-2"/>
        </w:rPr>
        <w:t>“</w:t>
      </w:r>
      <w:r>
        <w:rPr>
          <w:spacing w:val="-2"/>
        </w:rPr>
        <w:t>新型城镇化</w:t>
      </w:r>
      <w:r>
        <w:rPr>
          <w:rFonts w:ascii="Times New Roman" w:hAnsi="Times New Roman" w:cs="Times New Roman" w:eastAsia="Times New Roman" w:hint="default"/>
          <w:spacing w:val="-2"/>
        </w:rPr>
        <w:t>”</w:t>
      </w:r>
      <w:r>
        <w:rPr>
          <w:spacing w:val="-2"/>
        </w:rPr>
        <w:t>战略</w:t>
      </w:r>
      <w:r>
        <w:rPr>
          <w:spacing w:val="-44"/>
        </w:rPr>
        <w:t> </w:t>
      </w:r>
      <w:r>
        <w:rPr>
          <w:spacing w:val="-2"/>
        </w:rPr>
        <w:t>的推进，中国的房地产市场仍然会保持较大规模和较高质量的增长，这为房地产上市公司提供了良好的经济环境和最强做大</w:t>
      </w:r>
      <w:r>
        <w:rPr>
          <w:spacing w:val="-64"/>
        </w:rPr>
        <w:t> </w:t>
      </w:r>
      <w:r>
        <w:rPr>
          <w:spacing w:val="-64"/>
        </w:rPr>
      </w:r>
      <w:r>
        <w:rPr/>
        <w:t>的契机。</w:t>
      </w:r>
      <w:r>
        <w:rPr>
          <w:spacing w:val="-55"/>
        </w:rPr>
        <w:t> </w:t>
      </w:r>
      <w:r>
        <w:rPr/>
        <w:t>公司股票恢复上市申请获得深圳证券交易所上市委员会审议通过，是</w:t>
      </w:r>
      <w:r>
        <w:rPr>
          <w:rFonts w:ascii="Times New Roman" w:hAnsi="Times New Roman" w:cs="Times New Roman" w:eastAsia="Times New Roman" w:hint="default"/>
        </w:rPr>
        <w:t>2012</w:t>
      </w:r>
      <w:r>
        <w:rPr/>
        <w:t>年度公司管理层</w:t>
      </w:r>
      <w:r>
        <w:rPr>
          <w:rFonts w:ascii="Times New Roman" w:hAnsi="Times New Roman" w:cs="Times New Roman" w:eastAsia="Times New Roman" w:hint="default"/>
        </w:rPr>
        <w:t>“</w:t>
      </w:r>
      <w:r>
        <w:rPr/>
        <w:t>积极适应房地产宏观调 控政策，稳健经营、夯实基础、增强后劲</w:t>
      </w:r>
      <w:r>
        <w:rPr>
          <w:rFonts w:ascii="Times New Roman" w:hAnsi="Times New Roman" w:cs="Times New Roman" w:eastAsia="Times New Roman" w:hint="default"/>
        </w:rPr>
        <w:t>”</w:t>
      </w:r>
      <w:r>
        <w:rPr/>
        <w:t>经营计划的重要成果，也是股东和投资者、公司员工等利益相关者共同努力的结 </w:t>
      </w:r>
      <w:r>
        <w:rPr>
          <w:spacing w:val="-2"/>
        </w:rPr>
        <w:t>果。公司董事会、监事会和管理层成功换届后，公司管理层将继续密切关注政策动向，把握市场机会，通过采取进一步优化</w:t>
      </w:r>
      <w:r>
        <w:rPr>
          <w:spacing w:val="-66"/>
        </w:rPr>
        <w:t> </w:t>
      </w:r>
      <w:r>
        <w:rPr>
          <w:spacing w:val="-66"/>
        </w:rPr>
      </w:r>
      <w:r>
        <w:rPr>
          <w:spacing w:val="-2"/>
        </w:rPr>
        <w:t>开发模式、力争增加土地储备、完善公司治理、强化公司管理等一系列有效、得力的措施，确保公司立足资本市场、稳健持</w:t>
      </w:r>
      <w:r>
        <w:rPr>
          <w:spacing w:val="-68"/>
        </w:rPr>
        <w:t> </w:t>
      </w:r>
      <w:r>
        <w:rPr>
          <w:spacing w:val="-68"/>
        </w:rPr>
      </w:r>
      <w:r>
        <w:rPr/>
        <w:t>续经营，增强发展后劲。</w:t>
      </w:r>
    </w:p>
    <w:p>
      <w:pPr>
        <w:spacing w:line="240" w:lineRule="auto" w:before="0"/>
        <w:rPr>
          <w:rFonts w:ascii="宋体" w:hAnsi="宋体" w:cs="宋体" w:eastAsia="宋体" w:hint="default"/>
          <w:sz w:val="21"/>
          <w:szCs w:val="21"/>
        </w:rPr>
      </w:pPr>
    </w:p>
    <w:p>
      <w:pPr>
        <w:pStyle w:val="Heading2"/>
        <w:spacing w:line="240" w:lineRule="auto"/>
        <w:ind w:right="184"/>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4"/>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95"/>
        <w:jc w:val="left"/>
      </w:pPr>
      <w:r>
        <w:rPr>
          <w:spacing w:val="-3"/>
        </w:rPr>
        <w:t>报告期内，公司实现营业收入为</w:t>
      </w:r>
      <w:r>
        <w:rPr>
          <w:rFonts w:ascii="Times New Roman" w:hAnsi="Times New Roman" w:cs="Times New Roman" w:eastAsia="Times New Roman" w:hint="default"/>
          <w:spacing w:val="-3"/>
        </w:rPr>
        <w:t>206,236,809.33</w:t>
      </w:r>
      <w:r>
        <w:rPr>
          <w:spacing w:val="-3"/>
        </w:rPr>
        <w:t>元，同比增长</w:t>
      </w:r>
      <w:r>
        <w:rPr>
          <w:rFonts w:ascii="Times New Roman" w:hAnsi="Times New Roman" w:cs="Times New Roman" w:eastAsia="Times New Roman" w:hint="default"/>
          <w:spacing w:val="-3"/>
        </w:rPr>
        <w:t>108%</w:t>
      </w:r>
      <w:r>
        <w:rPr>
          <w:spacing w:val="-3"/>
        </w:rPr>
        <w:t>。其中房地产营业收入</w:t>
      </w:r>
      <w:r>
        <w:rPr>
          <w:rFonts w:ascii="Times New Roman" w:hAnsi="Times New Roman" w:cs="Times New Roman" w:eastAsia="Times New Roman" w:hint="default"/>
          <w:spacing w:val="-3"/>
        </w:rPr>
        <w:t>156,743,290.85</w:t>
      </w:r>
      <w:r>
        <w:rPr>
          <w:spacing w:val="-3"/>
        </w:rPr>
        <w:t>元，同比增长</w:t>
      </w:r>
      <w:r>
        <w:rPr>
          <w:rFonts w:ascii="Times New Roman" w:hAnsi="Times New Roman" w:cs="Times New Roman" w:eastAsia="Times New Roman" w:hint="default"/>
          <w:spacing w:val="-3"/>
        </w:rPr>
        <w:t>61.87%</w:t>
      </w:r>
      <w:r>
        <w:rPr>
          <w:spacing w:val="-3"/>
        </w:rPr>
        <w:t>。</w:t>
      </w:r>
      <w:r>
        <w:rPr>
          <w:spacing w:val="-30"/>
        </w:rPr>
        <w:t> </w:t>
      </w:r>
      <w:r>
        <w:rPr/>
        <w:t>主要原因是控股子公司济宁海情置业有限公司实现的营业收入大幅上升所致。公司营业成本</w:t>
      </w:r>
      <w:r>
        <w:rPr>
          <w:rFonts w:ascii="Times New Roman" w:hAnsi="Times New Roman" w:cs="Times New Roman" w:eastAsia="Times New Roman" w:hint="default"/>
        </w:rPr>
        <w:t>159,055,100.49</w:t>
      </w:r>
      <w:r>
        <w:rPr/>
        <w:t>元，其中房地产 成本同比上升</w:t>
      </w:r>
      <w:r>
        <w:rPr>
          <w:rFonts w:ascii="Times New Roman" w:hAnsi="Times New Roman" w:cs="Times New Roman" w:eastAsia="Times New Roman" w:hint="default"/>
        </w:rPr>
        <w:t>70.57%,</w:t>
      </w:r>
      <w:r>
        <w:rPr/>
        <w:t>主要原因是销售增长，成本相应增长。公司营业税金</w:t>
      </w:r>
      <w:r>
        <w:rPr>
          <w:rFonts w:ascii="Times New Roman" w:hAnsi="Times New Roman" w:cs="Times New Roman" w:eastAsia="Times New Roman" w:hint="default"/>
        </w:rPr>
        <w:t>13,534,958.84</w:t>
      </w:r>
      <w:r>
        <w:rPr/>
        <w:t>，同比上升</w:t>
      </w:r>
      <w:r>
        <w:rPr>
          <w:rFonts w:ascii="Times New Roman" w:hAnsi="Times New Roman" w:cs="Times New Roman" w:eastAsia="Times New Roman" w:hint="default"/>
        </w:rPr>
        <w:t>86.38%</w:t>
      </w:r>
      <w:r>
        <w:rPr/>
        <w:t>，主要原因是销 </w:t>
      </w:r>
      <w:r>
        <w:rPr>
          <w:spacing w:val="-1"/>
        </w:rPr>
        <w:t>售增长，税金相应增长。本期销售费用</w:t>
      </w:r>
      <w:r>
        <w:rPr>
          <w:rFonts w:ascii="Times New Roman" w:hAnsi="Times New Roman" w:cs="Times New Roman" w:eastAsia="Times New Roman" w:hint="default"/>
          <w:spacing w:val="-1"/>
        </w:rPr>
        <w:t>3,086,760.93</w:t>
      </w:r>
      <w:r>
        <w:rPr>
          <w:spacing w:val="-1"/>
        </w:rPr>
        <w:t>，同比下降</w:t>
      </w:r>
      <w:r>
        <w:rPr>
          <w:rFonts w:ascii="Times New Roman" w:hAnsi="Times New Roman" w:cs="Times New Roman" w:eastAsia="Times New Roman" w:hint="default"/>
          <w:spacing w:val="-1"/>
        </w:rPr>
        <w:t>33.70%</w:t>
      </w:r>
      <w:r>
        <w:rPr>
          <w:spacing w:val="-1"/>
        </w:rPr>
        <w:t>，原因在于受制于资金紧张，宣传推广费用大幅下降。</w:t>
      </w:r>
      <w:r>
        <w:rPr>
          <w:spacing w:val="-84"/>
        </w:rPr>
        <w:t> </w:t>
      </w:r>
      <w:r>
        <w:rPr>
          <w:spacing w:val="-84"/>
        </w:rPr>
      </w:r>
      <w:r>
        <w:rPr/>
        <w:t>本期所得税费用</w:t>
      </w:r>
      <w:r>
        <w:rPr>
          <w:rFonts w:ascii="Times New Roman" w:hAnsi="Times New Roman" w:cs="Times New Roman" w:eastAsia="Times New Roman" w:hint="default"/>
        </w:rPr>
        <w:t>8,141,723.90</w:t>
      </w:r>
      <w:r>
        <w:rPr/>
        <w:t>，同比上升</w:t>
      </w:r>
      <w:r>
        <w:rPr>
          <w:rFonts w:ascii="Times New Roman" w:hAnsi="Times New Roman" w:cs="Times New Roman" w:eastAsia="Times New Roman" w:hint="default"/>
        </w:rPr>
        <w:t>167.54%</w:t>
      </w:r>
      <w:r>
        <w:rPr/>
        <w:t>，原因在于销售增长，利润相应增长，所得税费用有所增加。</w:t>
      </w:r>
    </w:p>
    <w:p>
      <w:pPr>
        <w:pStyle w:val="BodyText"/>
        <w:spacing w:line="338" w:lineRule="auto" w:before="53"/>
        <w:ind w:left="153" w:right="184"/>
        <w:jc w:val="left"/>
      </w:pPr>
      <w:r>
        <w:rPr/>
        <w:t>公司回顾总结前期披露的发展战略和经营计划在报告期内的进展情况 </w:t>
      </w:r>
      <w:r>
        <w:rPr>
          <w:spacing w:val="-2"/>
        </w:rPr>
        <w:t>公司按照既定发展战略开展业务，适时推进普通住宅地产的开发建设，阶段性实施以利润换现金流的市场营销方针，确保公</w:t>
      </w:r>
      <w:r>
        <w:rPr>
          <w:spacing w:val="-66"/>
        </w:rPr>
        <w:t> </w:t>
      </w:r>
      <w:r>
        <w:rPr>
          <w:spacing w:val="-66"/>
        </w:rPr>
      </w:r>
      <w:r>
        <w:rPr>
          <w:spacing w:val="-2"/>
        </w:rPr>
        <w:t>司稳健经营。截至报告日，房地产开发经营中立项、施工、预售、竣工、交付等主要里程碑节点总体上达到了年度经营计划</w:t>
      </w:r>
    </w:p>
    <w:p>
      <w:pPr>
        <w:pStyle w:val="BodyText"/>
        <w:spacing w:line="240" w:lineRule="auto" w:before="2"/>
        <w:ind w:left="153" w:right="184"/>
        <w:jc w:val="left"/>
      </w:pPr>
      <w:r>
        <w:rPr/>
        <w:t>的预期。</w:t>
      </w:r>
    </w:p>
    <w:p>
      <w:pPr>
        <w:pStyle w:val="BodyText"/>
        <w:spacing w:line="240" w:lineRule="auto" w:before="117"/>
        <w:ind w:left="153" w:right="184"/>
        <w:jc w:val="left"/>
      </w:pPr>
      <w:r>
        <w:rPr/>
        <w:t>公司实际经营业绩较曾公开披露过的本年度盈利预测低于或高于</w:t>
      </w:r>
      <w:r>
        <w:rPr>
          <w:spacing w:val="-46"/>
        </w:rPr>
        <w:t> </w:t>
      </w:r>
      <w:r>
        <w:rPr>
          <w:rFonts w:ascii="Times New Roman" w:hAnsi="Times New Roman" w:cs="Times New Roman" w:eastAsia="Times New Roman" w:hint="default"/>
        </w:rPr>
        <w:t>20%</w:t>
      </w:r>
      <w:r>
        <w:rPr/>
        <w:t>以上的差异原因</w:t>
      </w:r>
    </w:p>
    <w:p>
      <w:pPr>
        <w:pStyle w:val="BodyText"/>
        <w:spacing w:line="240" w:lineRule="auto" w:before="103"/>
        <w:ind w:left="153"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0"/>
        <w:jc w:val="left"/>
      </w:pPr>
      <w:r>
        <w:rPr/>
        <w:t>说明 </w:t>
      </w:r>
      <w:r>
        <w:rPr>
          <w:spacing w:val="-2"/>
        </w:rPr>
        <w:t>控股子公司济宁海情置业有限公司商品房在本期达到交付条件，营业收入大幅上升，子公司济宁海情贸易有限公司本期钢材</w:t>
      </w:r>
      <w:r>
        <w:rPr>
          <w:spacing w:val="-64"/>
        </w:rPr>
        <w:t> </w:t>
      </w:r>
      <w:r>
        <w:rPr>
          <w:spacing w:val="-64"/>
        </w:rPr>
      </w:r>
      <w:r>
        <w:rPr/>
        <w:t>销售量增长。</w:t>
      </w:r>
    </w:p>
    <w:p>
      <w:pPr>
        <w:pStyle w:val="BodyText"/>
        <w:spacing w:line="240" w:lineRule="auto" w:before="43"/>
        <w:ind w:right="0"/>
        <w:jc w:val="left"/>
      </w:pPr>
      <w:r>
        <w:rPr/>
        <w:t>公司实物销售收入是否大于劳务收入</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4"/>
        <w:gridCol w:w="1903"/>
        <w:gridCol w:w="1925"/>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3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14"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房地产（套）</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24.8%</w:t>
            </w:r>
          </w:p>
        </w:tc>
      </w:tr>
      <w:tr>
        <w:trPr>
          <w:trHeight w:val="402" w:hRule="exact"/>
        </w:trPr>
        <w:tc>
          <w:tcPr>
            <w:tcW w:w="1914" w:type="dxa"/>
            <w:vMerge/>
            <w:tcBorders>
              <w:left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914" w:type="dxa"/>
            <w:vMerge/>
            <w:tcBorders>
              <w:left w:val="single" w:sz="4" w:space="0" w:color="000000"/>
              <w:bottom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29.77%</w:t>
            </w:r>
          </w:p>
        </w:tc>
      </w:tr>
      <w:tr>
        <w:trPr>
          <w:trHeight w:val="402" w:hRule="exact"/>
        </w:trPr>
        <w:tc>
          <w:tcPr>
            <w:tcW w:w="1914"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贸易（吨）</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10,569.206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2,244.16%</w:t>
            </w:r>
          </w:p>
        </w:tc>
      </w:tr>
      <w:tr>
        <w:trPr>
          <w:trHeight w:val="402" w:hRule="exact"/>
        </w:trPr>
        <w:tc>
          <w:tcPr>
            <w:tcW w:w="1914" w:type="dxa"/>
            <w:vMerge/>
            <w:tcBorders>
              <w:left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11,020.08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914" w:type="dxa"/>
            <w:vMerge/>
            <w:tcBorders>
              <w:left w:val="single" w:sz="4" w:space="0" w:color="000000"/>
              <w:bottom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10,569.206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19" w:lineRule="auto" w:before="102"/>
        <w:ind w:right="1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本期贸易销售量同比增长</w:t>
      </w:r>
      <w:r>
        <w:rPr>
          <w:rFonts w:ascii="Times New Roman" w:hAnsi="Times New Roman" w:cs="Times New Roman" w:eastAsia="Times New Roman" w:hint="default"/>
        </w:rPr>
        <w:t>22.44</w:t>
      </w:r>
      <w:r>
        <w:rPr/>
        <w:t>倍，主要原因是子公司济宁海情贸易有限公司扩大销路，与三家单位签订战略购销合同，本 期销售大幅增长。本期贸易生产量同比下降</w:t>
      </w:r>
      <w:r>
        <w:rPr>
          <w:rFonts w:ascii="Times New Roman" w:hAnsi="Times New Roman" w:cs="Times New Roman" w:eastAsia="Times New Roman" w:hint="default"/>
        </w:rPr>
        <w:t>100%</w:t>
      </w:r>
      <w:r>
        <w:rPr/>
        <w:t>，是由于本期子公司济宁海情贸易有限公司无采购业务所致。本期贸易库</w:t>
      </w:r>
    </w:p>
    <w:p>
      <w:pPr>
        <w:pStyle w:val="BodyText"/>
        <w:spacing w:line="340" w:lineRule="auto"/>
        <w:ind w:right="4670"/>
        <w:jc w:val="left"/>
      </w:pPr>
      <w:r>
        <w:rPr/>
        <w:t>存量同比下降</w:t>
      </w:r>
      <w:r>
        <w:rPr>
          <w:rFonts w:ascii="Times New Roman" w:hAnsi="Times New Roman" w:cs="Times New Roman" w:eastAsia="Times New Roman" w:hint="default"/>
        </w:rPr>
        <w:t>100%</w:t>
      </w:r>
      <w:r>
        <w:rPr/>
        <w:t>，是由于本期商品已全部销售，无库存所致。 公司重大的在手订单情况</w:t>
      </w:r>
    </w:p>
    <w:p>
      <w:pPr>
        <w:pStyle w:val="BodyText"/>
        <w:spacing w:line="340" w:lineRule="auto" w:before="40"/>
        <w:ind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38" w:lineRule="auto" w:before="40"/>
        <w:ind w:right="79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75,697,428.42</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91"/>
        <w:gridCol w:w="3301"/>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青岛亚星投资有限公司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30,993,915.51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青岛合生美亚园林工程有限公司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16,472,068.91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王军、张晓光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13,363,762.00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中国建设银行兖州市支行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12,837,682.00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马姗姗</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75,697,428.42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行业分类</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111,916,400.24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65,614,716.34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25,587,101.22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23,683,982.31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前期费用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8,580,647.05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3,540,771.94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142.34%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基础设施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10,924,782.00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4,975,346.18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119.58%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建安成本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65,679,356.32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32,810,873.20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100.18%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公共配套成本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开发间接费用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1,144,513.65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603,742.71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库存商品进价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47,138,700.25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1,947,061.22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2,321%</w:t>
            </w:r>
          </w:p>
        </w:tc>
      </w:tr>
    </w:tbl>
    <w:p>
      <w:pPr>
        <w:pStyle w:val="BodyText"/>
        <w:spacing w:line="240" w:lineRule="auto" w:before="51"/>
        <w:ind w:right="0"/>
        <w:jc w:val="left"/>
      </w:pPr>
      <w:r>
        <w:rPr/>
        <w:t>产品分类</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111,916,400.24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65,614,716.34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钢材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钢材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47,138,700.25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1,947,061.22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2,321%</w:t>
            </w:r>
          </w:p>
        </w:tc>
      </w:tr>
    </w:tbl>
    <w:p>
      <w:pPr>
        <w:pStyle w:val="BodyText"/>
        <w:spacing w:line="357" w:lineRule="auto" w:before="51"/>
        <w:ind w:right="9410"/>
        <w:jc w:val="left"/>
      </w:pPr>
      <w:r>
        <w:rPr/>
        <w:t>说明 无</w:t>
      </w:r>
    </w:p>
    <w:p>
      <w:pPr>
        <w:pStyle w:val="BodyText"/>
        <w:spacing w:line="240" w:lineRule="auto" w:before="29"/>
        <w:ind w:right="0"/>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36,207,539.92</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tabs>
                <w:tab w:pos="4723" w:val="left" w:leader="none"/>
              </w:tabs>
              <w:spacing w:line="240" w:lineRule="auto" w:before="51"/>
              <w:ind w:left="-125"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56.43%</w:t>
            </w:r>
          </w:p>
        </w:tc>
      </w:tr>
    </w:tbl>
    <w:p>
      <w:pPr>
        <w:pStyle w:val="BodyText"/>
        <w:spacing w:line="240" w:lineRule="auto" w:before="51"/>
        <w:ind w:right="0"/>
        <w:jc w:val="left"/>
      </w:pPr>
      <w:r>
        <w:rPr/>
        <w:pict>
          <v:group style="position:absolute;margin-left:269.820007pt;margin-top:-20.687981pt;width:263.9pt;height:20.8pt;mso-position-horizontal-relative:page;mso-position-vertical-relative:paragraph;z-index:-684760" coordorigin="5396,-414" coordsize="5278,416">
            <v:group style="position:absolute;left:5408;top:-402;width:2;height:393" coordorigin="5408,-402" coordsize="2,393">
              <v:shape style="position:absolute;left:5408;top:-402;width:2;height:393" coordorigin="5408,-402" coordsize="0,393" path="m5408,-402l5408,-10e" filled="false" stroked="true" strokeweight="1.140pt" strokecolor="#ffffff">
                <v:path arrowok="t"/>
              </v:shape>
            </v:group>
            <v:group style="position:absolute;left:5419;top:-402;width:5255;height:393" coordorigin="5419,-402" coordsize="5255,393">
              <v:shape style="position:absolute;left:5419;top:-402;width:5255;height:393" coordorigin="5419,-402" coordsize="5255,393" path="m5419,-10l10674,-10,10674,-402,5419,-402,5419,-10xe" filled="true" fillcolor="#ffffff" stroked="false">
                <v:path arrowok="t"/>
                <v:fill type="solid"/>
              </v:shape>
            </v:group>
            <w10:wrap type="none"/>
          </v:group>
        </w:pict>
      </w: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79"/>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山东菏建建筑集团有限公司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10,520,967.18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兖州市建筑安装工程总公司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9,883,378.17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青岛德泰建设工程有限公司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6,400,911.00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山东港基建设集团有限公司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5,378,335.70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天元建设集团有限公司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4,023,947.87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36,207,539.92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spacing w:line="547" w:lineRule="auto" w:before="35"/>
        <w:ind w:left="154" w:right="55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、费用</w:t>
      </w:r>
      <w:r>
        <w:rPr>
          <w:rFonts w:ascii="宋体" w:hAnsi="宋体" w:cs="宋体" w:eastAsia="宋体" w:hint="default"/>
          <w:b/>
          <w:bCs/>
          <w:spacing w:val="1"/>
          <w:w w:val="99"/>
          <w:sz w:val="21"/>
          <w:szCs w:val="21"/>
        </w:rPr>
        <w:t> </w:t>
      </w:r>
      <w:r>
        <w:rPr>
          <w:rFonts w:ascii="宋体" w:hAnsi="宋体" w:cs="宋体" w:eastAsia="宋体" w:hint="default"/>
          <w:sz w:val="18"/>
          <w:szCs w:val="18"/>
        </w:rPr>
        <w:t>销售费用本期减少</w:t>
      </w:r>
      <w:r>
        <w:rPr>
          <w:rFonts w:ascii="Times New Roman" w:hAnsi="Times New Roman" w:cs="Times New Roman" w:eastAsia="Times New Roman" w:hint="default"/>
          <w:sz w:val="18"/>
          <w:szCs w:val="18"/>
        </w:rPr>
        <w:t>33.8%</w:t>
      </w:r>
      <w:r>
        <w:rPr>
          <w:rFonts w:ascii="宋体" w:hAnsi="宋体" w:cs="宋体" w:eastAsia="宋体" w:hint="default"/>
          <w:sz w:val="18"/>
          <w:szCs w:val="18"/>
        </w:rPr>
        <w:t>主要系营销宣传费减少所致。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pStyle w:val="BodyText"/>
        <w:spacing w:line="240" w:lineRule="auto" w:before="50"/>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166,957,077.30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248,940,916.25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-32.93%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114,003,172.84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338,551,099.42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-66.33%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52,953,904.46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-89,610,183.17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-159.09%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45,990.00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-91.56%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-45,990.00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-91.56%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150,233,777.99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45,933,762.96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74,624,529.13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-38.45%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-45,933,762.96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75,609,248.86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-160.75%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7,016,261.50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-14,046,924.31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-149.95%</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19" w:lineRule="auto" w:before="102"/>
        <w:ind w:right="2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本期经营活动现金流入同比减少</w:t>
      </w:r>
      <w:r>
        <w:rPr>
          <w:rFonts w:ascii="Times New Roman" w:hAnsi="Times New Roman" w:cs="Times New Roman" w:eastAsia="Times New Roman" w:hint="default"/>
        </w:rPr>
        <w:t>32.93%</w:t>
      </w:r>
      <w:r>
        <w:rPr/>
        <w:t>，主要是因为国家宏观调控政策及项目工程进度较慢，致使子公司济宁海情置业有 限公司及孙公司泗水海情置业有限公司销售预收款出现较大幅度下降。</w:t>
      </w:r>
    </w:p>
    <w:p>
      <w:pPr>
        <w:pStyle w:val="BodyText"/>
        <w:spacing w:line="300" w:lineRule="auto" w:before="17"/>
        <w:ind w:right="395"/>
        <w:jc w:val="left"/>
      </w:pPr>
      <w:r>
        <w:rPr/>
        <w:t>本期经营活动现金流出小计同比减少</w:t>
      </w:r>
      <w:r>
        <w:rPr>
          <w:rFonts w:ascii="Times New Roman" w:hAnsi="Times New Roman" w:cs="Times New Roman" w:eastAsia="Times New Roman" w:hint="default"/>
        </w:rPr>
        <w:t>66.33%</w:t>
      </w:r>
      <w:r>
        <w:rPr/>
        <w:t>，主要是因为工程进度较慢，达不到付款节点，工程付款额大幅下降所致。 本期经营活动产生的现金流量净额同比下降</w:t>
      </w:r>
      <w:r>
        <w:rPr>
          <w:rFonts w:ascii="Times New Roman" w:hAnsi="Times New Roman" w:cs="Times New Roman" w:eastAsia="Times New Roman" w:hint="default"/>
        </w:rPr>
        <w:t>159.09%</w:t>
      </w:r>
      <w:r>
        <w:rPr/>
        <w:t>，是由于本期扭转上期负流量，实现现金流量正流量所致。 投资活动现金流出同比减少</w:t>
      </w:r>
      <w:r>
        <w:rPr>
          <w:rFonts w:ascii="Times New Roman" w:hAnsi="Times New Roman" w:cs="Times New Roman" w:eastAsia="Times New Roman" w:hint="default"/>
        </w:rPr>
        <w:t>91.56%</w:t>
      </w:r>
      <w:r>
        <w:rPr/>
        <w:t>，主要是采购固定资产有所减少所致。 投资活动产生的现金净额同比减少</w:t>
      </w:r>
      <w:r>
        <w:rPr>
          <w:rFonts w:ascii="Times New Roman" w:hAnsi="Times New Roman" w:cs="Times New Roman" w:eastAsia="Times New Roman" w:hint="default"/>
        </w:rPr>
        <w:t>91.56%</w:t>
      </w:r>
      <w:r>
        <w:rPr/>
        <w:t>，主要是采购固定资产有所减少所致。 筹资活动现金流入同比减少</w:t>
      </w:r>
      <w:r>
        <w:rPr>
          <w:rFonts w:ascii="Times New Roman" w:hAnsi="Times New Roman" w:cs="Times New Roman" w:eastAsia="Times New Roman" w:hint="default"/>
        </w:rPr>
        <w:t>100%</w:t>
      </w:r>
      <w:r>
        <w:rPr/>
        <w:t>，是因为本期未有任何筹集资金活动。 筹资活动现金流出同比减少</w:t>
      </w:r>
      <w:r>
        <w:rPr>
          <w:rFonts w:ascii="Times New Roman" w:hAnsi="Times New Roman" w:cs="Times New Roman" w:eastAsia="Times New Roman" w:hint="default"/>
        </w:rPr>
        <w:t>38.45%</w:t>
      </w:r>
      <w:r>
        <w:rPr/>
        <w:t>，主要本期归还本金较上期有所减少所致。</w:t>
      </w:r>
    </w:p>
    <w:p>
      <w:pPr>
        <w:pStyle w:val="BodyText"/>
        <w:spacing w:line="240" w:lineRule="auto" w:before="53"/>
        <w:ind w:right="0"/>
        <w:jc w:val="left"/>
      </w:pPr>
      <w:r>
        <w:rPr/>
        <w:t>报告期内公司经营活动的现金流量与本年度净利润存在重大差异的原因说明</w:t>
      </w:r>
    </w:p>
    <w:p>
      <w:pPr>
        <w:pStyle w:val="BodyText"/>
        <w:spacing w:line="340" w:lineRule="auto" w:before="116"/>
        <w:ind w:right="43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子公司济宁海情置业有限公司确认收入，结转成本，存货减少所致。</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三、主营业务构成情况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 w:right="47"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 w:right="47"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56" w:right="48" w:hanging="10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156,743,290.85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111,916,400.24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49,493,518.48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47,138,700.25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房地产（商品房</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156,743,290.85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111,916,400.24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贸易</w:t>
            </w:r>
            <w:r>
              <w:rPr>
                <w:rFonts w:ascii="Times New Roman" w:hAnsi="Times New Roman" w:cs="Times New Roman" w:eastAsia="Times New Roman" w:hint="default"/>
                <w:sz w:val="18"/>
                <w:szCs w:val="18"/>
              </w:rPr>
              <w:t>(</w:t>
            </w:r>
            <w:r>
              <w:rPr>
                <w:rFonts w:ascii="宋体" w:hAnsi="宋体" w:cs="宋体" w:eastAsia="宋体" w:hint="default"/>
                <w:sz w:val="18"/>
                <w:szCs w:val="18"/>
              </w:rPr>
              <w:t>钢材</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49,493,518.48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47,138,700.25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206,236,809.33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159,055,100.49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135.42%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-8.91%</w:t>
            </w:r>
          </w:p>
        </w:tc>
      </w:tr>
    </w:tbl>
    <w:p>
      <w:pPr>
        <w:pStyle w:val="BodyText"/>
        <w:spacing w:line="240" w:lineRule="auto" w:before="51"/>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5"/>
        <w:gridCol w:w="1063"/>
        <w:gridCol w:w="798"/>
        <w:gridCol w:w="2917"/>
      </w:tblGrid>
      <w:tr>
        <w:trPr>
          <w:trHeight w:val="207" w:hRule="exact"/>
        </w:trPr>
        <w:tc>
          <w:tcPr>
            <w:tcW w:w="1357"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7" w:type="dxa"/>
            <w:vMerge w:val="restart"/>
            <w:tcBorders>
              <w:top w:val="single" w:sz="4" w:space="0" w:color="000000"/>
              <w:left w:val="single" w:sz="4" w:space="0" w:color="000000"/>
              <w:right w:val="single" w:sz="4" w:space="0" w:color="000000"/>
            </w:tcBorders>
            <w:shd w:val="clear" w:color="auto" w:fill="D3D3D3"/>
          </w:tcPr>
          <w:p>
            <w:pPr/>
          </w:p>
        </w:tc>
      </w:tr>
      <w:tr>
        <w:trPr>
          <w:trHeight w:val="176"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2227" w:type="dxa"/>
            <w:gridSpan w:val="2"/>
            <w:vMerge/>
            <w:tcBorders>
              <w:left w:val="single" w:sz="4" w:space="0" w:color="000000"/>
              <w:bottom w:val="single" w:sz="4" w:space="0" w:color="000000"/>
              <w:right w:val="single" w:sz="4" w:space="0" w:color="000000"/>
            </w:tcBorders>
            <w:shd w:val="clear" w:color="auto" w:fill="D3D3D3"/>
          </w:tcPr>
          <w:p>
            <w:pPr/>
          </w:p>
        </w:tc>
        <w:tc>
          <w:tcPr>
            <w:tcW w:w="2258" w:type="dxa"/>
            <w:gridSpan w:val="2"/>
            <w:vMerge/>
            <w:tcBorders>
              <w:left w:val="single" w:sz="4" w:space="0" w:color="000000"/>
              <w:bottom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81" w:hRule="exact"/>
        </w:trPr>
        <w:tc>
          <w:tcPr>
            <w:tcW w:w="1357" w:type="dxa"/>
            <w:vMerge w:val="restart"/>
            <w:tcBorders>
              <w:top w:val="nil" w:sz="6" w:space="0" w:color="auto"/>
              <w:left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8" w:type="dxa"/>
            <w:vMerge/>
            <w:tcBorders>
              <w:left w:val="single" w:sz="4" w:space="0" w:color="000000"/>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1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11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78" w:hRule="exact"/>
        </w:trPr>
        <w:tc>
          <w:tcPr>
            <w:tcW w:w="1357" w:type="dxa"/>
            <w:vMerge w:val="restart"/>
            <w:tcBorders>
              <w:top w:val="nil" w:sz="6" w:space="0" w:color="auto"/>
              <w:left w:val="single" w:sz="4" w:space="0" w:color="000000"/>
              <w:right w:val="single" w:sz="4" w:space="0" w:color="000000"/>
            </w:tcBorders>
            <w:shd w:val="clear" w:color="auto" w:fill="D3D3D3"/>
          </w:tcPr>
          <w:p>
            <w:pPr/>
          </w:p>
        </w:tc>
        <w:tc>
          <w:tcPr>
            <w:tcW w:w="1164"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195"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
        </w:tc>
      </w:tr>
      <w:tr>
        <w:trPr>
          <w:trHeight w:val="172" w:hRule="exact"/>
        </w:trPr>
        <w:tc>
          <w:tcPr>
            <w:tcW w:w="1357"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18,448,741.58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9,079,054.48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4" w:type="dxa"/>
            <w:vMerge w:val="restart"/>
            <w:tcBorders>
              <w:top w:val="single" w:sz="4" w:space="0" w:color="000000"/>
              <w:left w:val="single" w:sz="9" w:space="0" w:color="D3D3D3"/>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511,920,367.2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83.9%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560,514,404.05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88.9%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4" w:right="0"/>
              <w:jc w:val="left"/>
              <w:rPr>
                <w:rFonts w:ascii="Times New Roman" w:hAnsi="Times New Roman" w:cs="Times New Roman" w:eastAsia="Times New Roman" w:hint="default"/>
                <w:sz w:val="18"/>
                <w:szCs w:val="18"/>
              </w:rPr>
            </w:pPr>
            <w:r>
              <w:rPr>
                <w:rFonts w:ascii="Times New Roman"/>
                <w:sz w:val="18"/>
              </w:rPr>
              <w:t>-5%</w:t>
            </w:r>
          </w:p>
        </w:tc>
        <w:tc>
          <w:tcPr>
            <w:tcW w:w="2917"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4"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151,018.06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368,207.68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-0.04%</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75"/>
        <w:gridCol w:w="1052"/>
        <w:gridCol w:w="1207"/>
        <w:gridCol w:w="1040"/>
        <w:gridCol w:w="810"/>
        <w:gridCol w:w="2917"/>
      </w:tblGrid>
      <w:tr>
        <w:trPr>
          <w:trHeight w:val="206" w:hRule="exact"/>
        </w:trPr>
        <w:tc>
          <w:tcPr>
            <w:tcW w:w="1357"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810"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7" w:type="dxa"/>
            <w:vMerge w:val="restart"/>
            <w:tcBorders>
              <w:top w:val="single" w:sz="4" w:space="0" w:color="000000"/>
              <w:left w:val="single" w:sz="4" w:space="0" w:color="000000"/>
              <w:right w:val="single" w:sz="4" w:space="0" w:color="000000"/>
            </w:tcBorders>
            <w:shd w:val="clear" w:color="auto" w:fill="D3D3D3"/>
          </w:tcPr>
          <w:p>
            <w:pPr/>
          </w:p>
        </w:tc>
      </w:tr>
      <w:tr>
        <w:trPr>
          <w:trHeight w:val="176"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2227" w:type="dxa"/>
            <w:gridSpan w:val="2"/>
            <w:vMerge/>
            <w:tcBorders>
              <w:left w:val="single" w:sz="4" w:space="0" w:color="000000"/>
              <w:bottom w:val="single" w:sz="4" w:space="0" w:color="000000"/>
              <w:right w:val="single" w:sz="4" w:space="0" w:color="000000"/>
            </w:tcBorders>
            <w:shd w:val="clear" w:color="auto" w:fill="D3D3D3"/>
          </w:tcPr>
          <w:p>
            <w:pPr/>
          </w:p>
        </w:tc>
        <w:tc>
          <w:tcPr>
            <w:tcW w:w="2246" w:type="dxa"/>
            <w:gridSpan w:val="2"/>
            <w:vMerge/>
            <w:tcBorders>
              <w:left w:val="single" w:sz="4" w:space="0" w:color="000000"/>
              <w:bottom w:val="single" w:sz="4" w:space="0" w:color="000000"/>
              <w:right w:val="single" w:sz="4" w:space="0" w:color="000000"/>
            </w:tcBorders>
            <w:shd w:val="clear" w:color="auto" w:fill="D3D3D3"/>
          </w:tcPr>
          <w:p>
            <w:pPr/>
          </w:p>
        </w:tc>
        <w:tc>
          <w:tcPr>
            <w:tcW w:w="81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82" w:hRule="exact"/>
        </w:trPr>
        <w:tc>
          <w:tcPr>
            <w:tcW w:w="1357" w:type="dxa"/>
            <w:vMerge w:val="restart"/>
            <w:tcBorders>
              <w:top w:val="nil" w:sz="6" w:space="0" w:color="auto"/>
              <w:left w:val="single" w:sz="4" w:space="0" w:color="000000"/>
              <w:right w:val="single" w:sz="4" w:space="0" w:color="000000"/>
            </w:tcBorders>
            <w:shd w:val="clear" w:color="auto" w:fill="D3D3D3"/>
          </w:tcPr>
          <w:p>
            <w:pPr/>
          </w:p>
        </w:tc>
        <w:tc>
          <w:tcPr>
            <w:tcW w:w="117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69"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c>
          <w:tcPr>
            <w:tcW w:w="104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69" w:right="6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10" w:type="dxa"/>
            <w:vMerge/>
            <w:tcBorders>
              <w:left w:val="single" w:sz="4" w:space="0" w:color="000000"/>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17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052" w:type="dxa"/>
            <w:vMerge/>
            <w:tcBorders>
              <w:left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0" w:type="dxa"/>
            <w:vMerge/>
            <w:tcBorders>
              <w:left w:val="single" w:sz="4" w:space="0" w:color="000000"/>
              <w:right w:val="single" w:sz="4" w:space="0" w:color="000000"/>
            </w:tcBorders>
            <w:shd w:val="clear" w:color="auto" w:fill="D3D3D3"/>
          </w:tcPr>
          <w:p>
            <w:pPr/>
          </w:p>
        </w:tc>
        <w:tc>
          <w:tcPr>
            <w:tcW w:w="810" w:type="dxa"/>
            <w:vMerge/>
            <w:tcBorders>
              <w:left w:val="single" w:sz="4" w:space="0" w:color="000000"/>
              <w:right w:val="single" w:sz="4" w:space="0" w:color="000000"/>
            </w:tcBorders>
            <w:shd w:val="clear" w:color="auto" w:fill="D3D3D3"/>
          </w:tcPr>
          <w:p>
            <w:pP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78" w:hRule="exact"/>
        </w:trPr>
        <w:tc>
          <w:tcPr>
            <w:tcW w:w="1357" w:type="dxa"/>
            <w:vMerge w:val="restart"/>
            <w:tcBorders>
              <w:top w:val="nil" w:sz="6" w:space="0" w:color="auto"/>
              <w:left w:val="single" w:sz="4" w:space="0" w:color="000000"/>
              <w:right w:val="single" w:sz="4" w:space="0" w:color="000000"/>
            </w:tcBorders>
            <w:shd w:val="clear" w:color="auto" w:fill="D3D3D3"/>
          </w:tcPr>
          <w:p>
            <w:pPr/>
          </w:p>
        </w:tc>
        <w:tc>
          <w:tcPr>
            <w:tcW w:w="1175" w:type="dxa"/>
            <w:vMerge/>
            <w:tcBorders>
              <w:left w:val="single" w:sz="4" w:space="0" w:color="000000"/>
              <w:bottom w:val="nil" w:sz="6" w:space="0" w:color="auto"/>
              <w:right w:val="single" w:sz="4" w:space="0" w:color="000000"/>
            </w:tcBorders>
            <w:shd w:val="clear" w:color="auto" w:fill="D3D3D3"/>
          </w:tcPr>
          <w:p>
            <w:pPr/>
          </w:p>
        </w:tc>
        <w:tc>
          <w:tcPr>
            <w:tcW w:w="1052" w:type="dxa"/>
            <w:vMerge/>
            <w:tcBorders>
              <w:left w:val="single" w:sz="4" w:space="0" w:color="000000"/>
              <w:right w:val="single" w:sz="4" w:space="0" w:color="000000"/>
            </w:tcBorders>
            <w:shd w:val="clear" w:color="auto" w:fill="D3D3D3"/>
          </w:tcPr>
          <w:p>
            <w:pPr/>
          </w:p>
        </w:tc>
        <w:tc>
          <w:tcPr>
            <w:tcW w:w="1207" w:type="dxa"/>
            <w:vMerge/>
            <w:tcBorders>
              <w:left w:val="single" w:sz="4" w:space="0" w:color="000000"/>
              <w:bottom w:val="nil" w:sz="6" w:space="0" w:color="auto"/>
              <w:right w:val="single" w:sz="4" w:space="0" w:color="000000"/>
            </w:tcBorders>
            <w:shd w:val="clear" w:color="auto" w:fill="D3D3D3"/>
          </w:tcPr>
          <w:p>
            <w:pPr/>
          </w:p>
        </w:tc>
        <w:tc>
          <w:tcPr>
            <w:tcW w:w="1040" w:type="dxa"/>
            <w:vMerge/>
            <w:tcBorders>
              <w:left w:val="single" w:sz="4" w:space="0" w:color="000000"/>
              <w:right w:val="single" w:sz="4" w:space="0" w:color="000000"/>
            </w:tcBorders>
            <w:shd w:val="clear" w:color="auto" w:fill="D3D3D3"/>
          </w:tcPr>
          <w:p>
            <w:pPr/>
          </w:p>
        </w:tc>
        <w:tc>
          <w:tcPr>
            <w:tcW w:w="810" w:type="dxa"/>
            <w:vMerge/>
            <w:tcBorders>
              <w:left w:val="single" w:sz="4" w:space="0" w:color="000000"/>
              <w:bottom w:val="nil" w:sz="6" w:space="0" w:color="auto"/>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
        </w:tc>
      </w:tr>
      <w:tr>
        <w:trPr>
          <w:trHeight w:val="172" w:hRule="exact"/>
        </w:trPr>
        <w:tc>
          <w:tcPr>
            <w:tcW w:w="1357" w:type="dxa"/>
            <w:vMerge/>
            <w:tcBorders>
              <w:left w:val="single" w:sz="4" w:space="0" w:color="000000"/>
              <w:bottom w:val="single" w:sz="4" w:space="0" w:color="000000"/>
              <w:right w:val="single" w:sz="4" w:space="0" w:color="000000"/>
            </w:tcBorders>
            <w:shd w:val="clear" w:color="auto" w:fill="D3D3D3"/>
          </w:tcPr>
          <w:p>
            <w:pPr/>
          </w:p>
        </w:tc>
        <w:tc>
          <w:tcPr>
            <w:tcW w:w="117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52"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c>
          <w:tcPr>
            <w:tcW w:w="1040" w:type="dxa"/>
            <w:vMerge/>
            <w:tcBorders>
              <w:left w:val="single" w:sz="4" w:space="0" w:color="000000"/>
              <w:bottom w:val="single" w:sz="4" w:space="0" w:color="000000"/>
              <w:right w:val="single" w:sz="4" w:space="0" w:color="000000"/>
            </w:tcBorders>
            <w:shd w:val="clear" w:color="auto" w:fill="D3D3D3"/>
          </w:tcPr>
          <w:p>
            <w:pPr/>
          </w:p>
        </w:tc>
        <w:tc>
          <w:tcPr>
            <w:tcW w:w="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tcBorders>
              <w:top w:val="single" w:sz="4" w:space="0" w:color="000000"/>
              <w:left w:val="single" w:sz="13" w:space="0" w:color="D3D3D3"/>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31,956,482.60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5.07%</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-5.07%</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tcBorders>
              <w:top w:val="single" w:sz="4" w:space="0" w:color="000000"/>
              <w:left w:val="single" w:sz="13" w:space="0" w:color="D3D3D3"/>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50,000,000.00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7.93%</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-7.93%</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spacing w:line="506" w:lineRule="auto" w:before="26"/>
        <w:ind w:left="154" w:right="6924" w:firstLine="0"/>
        <w:jc w:val="left"/>
        <w:rPr>
          <w:rFonts w:ascii="宋体" w:hAnsi="宋体" w:cs="宋体" w:eastAsia="宋体" w:hint="default"/>
          <w:sz w:val="18"/>
          <w:szCs w:val="18"/>
        </w:rPr>
      </w:pPr>
      <w:r>
        <w:rPr/>
        <w:pict>
          <v:shape style="position:absolute;margin-left:56.459999pt;margin-top:82.03595pt;width:479.05pt;height:36.2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2"/>
                    <w:gridCol w:w="1076"/>
                    <w:gridCol w:w="942"/>
                    <w:gridCol w:w="942"/>
                    <w:gridCol w:w="942"/>
                    <w:gridCol w:w="943"/>
                    <w:gridCol w:w="942"/>
                    <w:gridCol w:w="942"/>
                    <w:gridCol w:w="808"/>
                    <w:gridCol w:w="1078"/>
                  </w:tblGrid>
                  <w:tr>
                    <w:trPr>
                      <w:trHeight w:val="714" w:hRule="exact"/>
                    </w:trPr>
                    <w:tc>
                      <w:tcPr>
                        <w:tcW w:w="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95" w:right="104"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7"/>
                          <w:ind w:left="19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7"/>
                          <w:ind w:left="19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7"/>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7"/>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35"/>
                          <w:jc w:val="left"/>
                          <w:rPr>
                            <w:rFonts w:ascii="宋体" w:hAnsi="宋体" w:cs="宋体" w:eastAsia="宋体" w:hint="default"/>
                            <w:sz w:val="18"/>
                            <w:szCs w:val="18"/>
                          </w:rPr>
                        </w:pPr>
                        <w:r>
                          <w:rPr>
                            <w:rFonts w:ascii="宋体" w:hAnsi="宋体" w:cs="宋体" w:eastAsia="宋体" w:hint="default"/>
                            <w:sz w:val="18"/>
                            <w:szCs w:val="18"/>
                          </w:rPr>
                          <w:t>净利润（元）</w:t>
                        </w:r>
                      </w:p>
                    </w:tc>
                  </w:tr>
                </w:tbl>
                <w:p>
                  <w:pPr/>
                </w:p>
              </w:txbxContent>
            </v:textbox>
            <w10:wrap type="none"/>
          </v:shape>
        </w:pict>
      </w:r>
      <w:r>
        <w:rPr>
          <w:rFonts w:ascii="宋体" w:hAnsi="宋体" w:cs="宋体" w:eastAsia="宋体" w:hint="default"/>
          <w:b/>
          <w:bCs/>
          <w:sz w:val="24"/>
          <w:szCs w:val="24"/>
        </w:rPr>
        <w:t>五、投资状况分析</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、主要子公司、参股公司分析</w:t>
      </w:r>
      <w:r>
        <w:rPr>
          <w:rFonts w:ascii="宋体" w:hAnsi="宋体" w:cs="宋体" w:eastAsia="宋体" w:hint="default"/>
          <w:b/>
          <w:bCs/>
          <w:spacing w:val="1"/>
          <w:w w:val="99"/>
          <w:sz w:val="21"/>
          <w:szCs w:val="21"/>
        </w:rPr>
        <w:t> </w:t>
      </w:r>
      <w:r>
        <w:rPr>
          <w:rFonts w:ascii="宋体" w:hAnsi="宋体" w:cs="宋体" w:eastAsia="宋体" w:hint="default"/>
          <w:sz w:val="18"/>
          <w:szCs w:val="18"/>
        </w:rPr>
        <w:t>主要子公司、参股公司情况</w:t>
      </w:r>
    </w:p>
    <w:p>
      <w:pPr>
        <w:spacing w:after="0" w:line="50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2"/>
        <w:gridCol w:w="1076"/>
        <w:gridCol w:w="942"/>
        <w:gridCol w:w="942"/>
        <w:gridCol w:w="942"/>
        <w:gridCol w:w="943"/>
        <w:gridCol w:w="942"/>
        <w:gridCol w:w="942"/>
        <w:gridCol w:w="808"/>
        <w:gridCol w:w="1078"/>
      </w:tblGrid>
      <w:tr>
        <w:trPr>
          <w:trHeight w:val="1026"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青岛广顺 房地产有 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商品房</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180,140,84</w:t>
            </w:r>
          </w:p>
          <w:p>
            <w:pPr>
              <w:pStyle w:val="TableParagraph"/>
              <w:spacing w:line="240" w:lineRule="auto" w:before="106"/>
              <w:ind w:left="595" w:right="0"/>
              <w:jc w:val="left"/>
              <w:rPr>
                <w:rFonts w:ascii="Times New Roman" w:hAnsi="Times New Roman" w:cs="Times New Roman" w:eastAsia="Times New Roman" w:hint="default"/>
                <w:sz w:val="18"/>
                <w:szCs w:val="18"/>
              </w:rPr>
            </w:pPr>
            <w:r>
              <w:rPr>
                <w:rFonts w:ascii="Times New Roman"/>
                <w:sz w:val="18"/>
              </w:rPr>
              <w:t>0.58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24,968,801.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-1,056,03</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1.77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-854,088.62</w:t>
            </w:r>
          </w:p>
        </w:tc>
      </w:tr>
      <w:tr>
        <w:trPr>
          <w:trHeight w:val="1026"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济宁海情 置业有限 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商品房</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435,822,55</w:t>
            </w:r>
          </w:p>
          <w:p>
            <w:pPr>
              <w:pStyle w:val="TableParagraph"/>
              <w:spacing w:line="240" w:lineRule="auto" w:before="106"/>
              <w:ind w:left="595" w:right="0"/>
              <w:jc w:val="left"/>
              <w:rPr>
                <w:rFonts w:ascii="Times New Roman" w:hAnsi="Times New Roman" w:cs="Times New Roman" w:eastAsia="Times New Roman" w:hint="default"/>
                <w:sz w:val="18"/>
                <w:szCs w:val="18"/>
              </w:rPr>
            </w:pPr>
            <w:r>
              <w:rPr>
                <w:rFonts w:ascii="Times New Roman"/>
                <w:sz w:val="18"/>
              </w:rPr>
              <w:t>5.38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152,208,27</w:t>
            </w:r>
          </w:p>
          <w:p>
            <w:pPr>
              <w:pStyle w:val="TableParagraph"/>
              <w:spacing w:line="240" w:lineRule="auto" w:before="106"/>
              <w:ind w:left="593" w:right="0"/>
              <w:jc w:val="left"/>
              <w:rPr>
                <w:rFonts w:ascii="Times New Roman" w:hAnsi="Times New Roman" w:cs="Times New Roman" w:eastAsia="Times New Roman" w:hint="default"/>
                <w:sz w:val="18"/>
                <w:szCs w:val="18"/>
              </w:rPr>
            </w:pPr>
            <w:r>
              <w:rPr>
                <w:rFonts w:ascii="Times New Roman"/>
                <w:sz w:val="18"/>
              </w:rPr>
              <w:t>2.55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156,743,29</w:t>
            </w:r>
          </w:p>
          <w:p>
            <w:pPr>
              <w:pStyle w:val="TableParagraph"/>
              <w:spacing w:line="240" w:lineRule="auto" w:before="106"/>
              <w:ind w:left="594" w:right="0"/>
              <w:jc w:val="left"/>
              <w:rPr>
                <w:rFonts w:ascii="Times New Roman" w:hAnsi="Times New Roman" w:cs="Times New Roman" w:eastAsia="Times New Roman" w:hint="default"/>
                <w:sz w:val="18"/>
                <w:szCs w:val="18"/>
              </w:rPr>
            </w:pPr>
            <w:r>
              <w:rPr>
                <w:rFonts w:ascii="Times New Roman"/>
                <w:sz w:val="18"/>
              </w:rPr>
              <w:t>0.85</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15,585,87</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8.05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7,437,785.62</w:t>
            </w:r>
          </w:p>
        </w:tc>
      </w:tr>
      <w:tr>
        <w:trPr>
          <w:trHeight w:val="1026"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济宁海情 贸易有限 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钢材</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18,755,020.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11,878,942.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49,493,518.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48</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2,326,825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1,744,520.72</w:t>
            </w:r>
          </w:p>
        </w:tc>
      </w:tr>
      <w:tr>
        <w:trPr>
          <w:trHeight w:val="1026"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潍坊亚通 置业有限 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87"/>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商品房</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20,003,365.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19,994,045.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-2,582.46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-2,582.46</w:t>
            </w:r>
          </w:p>
        </w:tc>
      </w:tr>
    </w:tbl>
    <w:p>
      <w:pPr>
        <w:pStyle w:val="BodyText"/>
        <w:spacing w:line="345" w:lineRule="auto" w:before="51"/>
        <w:ind w:left="153" w:right="91"/>
        <w:jc w:val="left"/>
      </w:pPr>
      <w:r>
        <w:rPr/>
        <w:t>主要子公司、参股公司情况说明 </w:t>
      </w:r>
      <w:r>
        <w:rPr>
          <w:spacing w:val="-3"/>
        </w:rPr>
        <w:t>青岛广顺房地产有限公司本期净利润亏损同比减少</w:t>
      </w:r>
      <w:r>
        <w:rPr>
          <w:rFonts w:ascii="Times New Roman" w:hAnsi="Times New Roman" w:cs="Times New Roman" w:eastAsia="Times New Roman" w:hint="default"/>
          <w:spacing w:val="-3"/>
        </w:rPr>
        <w:t>48%</w:t>
      </w:r>
      <w:r>
        <w:rPr>
          <w:spacing w:val="-3"/>
        </w:rPr>
        <w:t>，主要原因是本期贷款减少，贷款利息随之减少，导致亏损有所减少。</w:t>
      </w:r>
      <w:r>
        <w:rPr>
          <w:spacing w:val="-64"/>
        </w:rPr>
        <w:t> </w:t>
      </w:r>
      <w:r>
        <w:rPr>
          <w:spacing w:val="-64"/>
        </w:rPr>
      </w:r>
      <w:r>
        <w:rPr/>
        <w:t>济宁海情贸易有限公司本期净利润同比增加</w:t>
      </w:r>
      <w:r>
        <w:rPr>
          <w:rFonts w:ascii="Times New Roman" w:hAnsi="Times New Roman" w:cs="Times New Roman" w:eastAsia="Times New Roman" w:hint="default"/>
        </w:rPr>
        <w:t>11.47</w:t>
      </w:r>
      <w:r>
        <w:rPr/>
        <w:t>倍，主要是因为本期销售量大幅增加，利润随之增加。 其他公司经营业绩无重大变动。</w:t>
      </w:r>
    </w:p>
    <w:p>
      <w:pPr>
        <w:pStyle w:val="BodyText"/>
        <w:spacing w:line="240" w:lineRule="auto" w:before="37"/>
        <w:ind w:left="153" w:right="184"/>
        <w:jc w:val="left"/>
      </w:pPr>
      <w:r>
        <w:rPr/>
        <w:t>报告期内取得和处置子公司的情况</w:t>
      </w:r>
    </w:p>
    <w:p>
      <w:pPr>
        <w:pStyle w:val="BodyText"/>
        <w:spacing w:line="240" w:lineRule="auto" w:before="116"/>
        <w:ind w:left="153"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84"/>
        <w:jc w:val="left"/>
        <w:rPr>
          <w:b w:val="0"/>
          <w:bCs w:val="0"/>
        </w:rPr>
      </w:pPr>
      <w:r>
        <w:rPr/>
        <w:t>六、公司未来发展的展望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84"/>
        <w:jc w:val="left"/>
      </w:pPr>
      <w:r>
        <w:rPr>
          <w:rFonts w:ascii="Times New Roman" w:hAnsi="Times New Roman" w:cs="Times New Roman" w:eastAsia="Times New Roman" w:hint="default"/>
        </w:rPr>
        <w:t>1</w:t>
      </w:r>
      <w:r>
        <w:rPr/>
        <w:t>、公司所处行业的发展趋势及面临的竞争格局</w:t>
      </w:r>
    </w:p>
    <w:p>
      <w:pPr>
        <w:pStyle w:val="BodyText"/>
        <w:spacing w:line="314" w:lineRule="auto" w:before="63"/>
        <w:ind w:left="153" w:right="91"/>
        <w:jc w:val="left"/>
      </w:pPr>
      <w:r>
        <w:rPr>
          <w:rFonts w:ascii="Times New Roman" w:hAnsi="Times New Roman" w:cs="Times New Roman" w:eastAsia="Times New Roman" w:hint="default"/>
        </w:rPr>
        <w:t>2012</w:t>
      </w:r>
      <w:r>
        <w:rPr/>
        <w:t>年国家继续实施房地产宏观调控政策，房地产市场分化更为显著。</w:t>
      </w:r>
      <w:r>
        <w:rPr>
          <w:rFonts w:ascii="Times New Roman" w:hAnsi="Times New Roman" w:cs="Times New Roman" w:eastAsia="Times New Roman" w:hint="default"/>
        </w:rPr>
        <w:t>7</w:t>
      </w:r>
      <w:r>
        <w:rPr/>
        <w:t>月以后，一线城市出现了持续上涨的势头，二线城 </w:t>
      </w:r>
      <w:r>
        <w:rPr>
          <w:spacing w:val="-2"/>
        </w:rPr>
        <w:t>市开始逐步回暖，三线及以下市场依旧较为疲软，房地产调控呈现出新的局面。总体看，房地产市场的高压调控在整个</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17"/>
        </w:rPr>
        <w:t> </w:t>
      </w:r>
      <w:r>
        <w:rPr/>
        <w:t>年度都持续存在，房地产企业面临大洗牌、大调整的格局。 </w:t>
      </w:r>
      <w:r>
        <w:rPr>
          <w:spacing w:val="-2"/>
        </w:rPr>
        <w:t>公司目前收入来源来自于子公司青岛广顺房地产有限公司、济宁海情置业有限公司及泗水海情置业有限公司三个房地产项目</w:t>
      </w:r>
      <w:r>
        <w:rPr>
          <w:spacing w:val="-64"/>
        </w:rPr>
        <w:t> </w:t>
      </w:r>
      <w:r>
        <w:rPr>
          <w:spacing w:val="-64"/>
        </w:rPr>
      </w:r>
      <w:r>
        <w:rPr>
          <w:spacing w:val="-2"/>
        </w:rPr>
        <w:t>公司。项目公司所开发和在售房地产项目分别位于青岛市黄岛区、兖州西部城区和泗水行政商务新区，三地市场竞争情况各</w:t>
      </w:r>
      <w:r>
        <w:rPr>
          <w:spacing w:val="-66"/>
        </w:rPr>
        <w:t> </w:t>
      </w:r>
      <w:r>
        <w:rPr>
          <w:spacing w:val="-66"/>
        </w:rPr>
      </w:r>
      <w:r>
        <w:rPr/>
        <w:t>不相同、差异明显。 </w:t>
      </w:r>
      <w:r>
        <w:rPr>
          <w:spacing w:val="-2"/>
        </w:rPr>
        <w:t>青岛是我国主要二线城市之一，国家计划单列市和副省级城市，也是我国著名的风景旅游胜地和国家历史文化名城，舒适的</w:t>
      </w:r>
      <w:r>
        <w:rPr>
          <w:spacing w:val="-66"/>
        </w:rPr>
        <w:t> </w:t>
      </w:r>
      <w:r>
        <w:rPr>
          <w:spacing w:val="-66"/>
        </w:rPr>
      </w:r>
      <w:r>
        <w:rPr>
          <w:spacing w:val="-2"/>
        </w:rPr>
        <w:t>居住环境和不断发展的经济水平使得青岛成为我国房地产发展较早较快的城市，其房地产行业的竞争也较为充分。伴随着青</w:t>
      </w:r>
      <w:r>
        <w:rPr>
          <w:spacing w:val="-64"/>
        </w:rPr>
        <w:t> </w:t>
      </w:r>
      <w:r>
        <w:rPr>
          <w:spacing w:val="-64"/>
        </w:rPr>
      </w:r>
      <w:r>
        <w:rPr>
          <w:spacing w:val="-2"/>
        </w:rPr>
        <w:t>岛市至黄岛的跨海大桥和海底隧道的开通，极大的提升了黄岛的经济发展和房地产市场的发展潜力。子公司青岛广顺房地产</w:t>
      </w:r>
      <w:r>
        <w:rPr>
          <w:spacing w:val="-64"/>
        </w:rPr>
        <w:t> </w:t>
      </w:r>
      <w:r>
        <w:rPr>
          <w:spacing w:val="-64"/>
        </w:rPr>
      </w:r>
      <w:r>
        <w:rPr>
          <w:spacing w:val="-2"/>
        </w:rPr>
        <w:t>开发公司的石雀滩项目，距黄岛区政府仅</w:t>
      </w:r>
      <w:r>
        <w:rPr>
          <w:rFonts w:ascii="Times New Roman" w:hAnsi="Times New Roman" w:cs="Times New Roman" w:eastAsia="Times New Roman" w:hint="default"/>
          <w:spacing w:val="-2"/>
        </w:rPr>
        <w:t>5</w:t>
      </w:r>
      <w:r>
        <w:rPr>
          <w:spacing w:val="-2"/>
        </w:rPr>
        <w:t>分钟车程，南临滨海大道，紧邻胶州湾，地理位置优越，且具有一定的竞争优势。</w:t>
      </w:r>
      <w:r>
        <w:rPr>
          <w:spacing w:val="-64"/>
        </w:rPr>
        <w:t> </w:t>
      </w:r>
      <w:r>
        <w:rPr>
          <w:spacing w:val="-64"/>
        </w:rPr>
      </w:r>
      <w:r>
        <w:rPr>
          <w:spacing w:val="-4"/>
        </w:rPr>
        <w:t>青岛的房地产行业通过十多年的高速度发展，已经形成了一支较具规模的本土品牌团队，如青建集团、城建地产、天泰集团、</w:t>
      </w:r>
      <w:r>
        <w:rPr>
          <w:spacing w:val="-46"/>
        </w:rPr>
        <w:t> </w:t>
      </w:r>
      <w:r>
        <w:rPr>
          <w:spacing w:val="-46"/>
        </w:rPr>
      </w:r>
      <w:r>
        <w:rPr>
          <w:spacing w:val="-4"/>
        </w:rPr>
        <w:t>海信地产、海尔地产、亚星置业、百通集团等企业已为社会各界所熟悉；近年来，全国主要的知名地产品牌，如万科、绿城、</w:t>
      </w:r>
      <w:r>
        <w:rPr>
          <w:spacing w:val="-46"/>
        </w:rPr>
        <w:t> </w:t>
      </w:r>
      <w:r>
        <w:rPr>
          <w:spacing w:val="-46"/>
        </w:rPr>
      </w:r>
      <w:r>
        <w:rPr>
          <w:spacing w:val="-2"/>
        </w:rPr>
        <w:t>保利、上实、宝龙、和记黄埔、龙湖、万达、中海、招商地产等企业纷纷进入青岛市场，完全打破了本土企业主导青岛房地</w:t>
      </w:r>
      <w:r>
        <w:rPr>
          <w:spacing w:val="-67"/>
        </w:rPr>
        <w:t> </w:t>
      </w:r>
      <w:r>
        <w:rPr>
          <w:spacing w:val="-67"/>
        </w:rPr>
      </w:r>
      <w:r>
        <w:rPr/>
        <w:t>产市场的格局。伴随国家对房地产市场调控执行措施的频频出台，特别是青岛</w:t>
      </w:r>
      <w:r>
        <w:rPr>
          <w:rFonts w:ascii="Times New Roman" w:hAnsi="Times New Roman" w:cs="Times New Roman" w:eastAsia="Times New Roman" w:hint="default"/>
        </w:rPr>
        <w:t>“</w:t>
      </w:r>
      <w:r>
        <w:rPr/>
        <w:t>限购政策</w:t>
      </w:r>
      <w:r>
        <w:rPr>
          <w:rFonts w:ascii="Times New Roman" w:hAnsi="Times New Roman" w:cs="Times New Roman" w:eastAsia="Times New Roman" w:hint="default"/>
        </w:rPr>
        <w:t>”</w:t>
      </w:r>
      <w:r>
        <w:rPr/>
        <w:t>的严格实施，青岛房地产市场景气 </w:t>
      </w:r>
      <w:r>
        <w:rPr>
          <w:spacing w:val="-2"/>
        </w:rPr>
        <w:t>度也受到了很大的影响，黄岛区作为青岛市的非主城区，区内房地产销售规模均有所下滑，销售业绩也受到了较大程度的影</w:t>
      </w:r>
      <w:r>
        <w:rPr>
          <w:spacing w:val="-66"/>
        </w:rPr>
        <w:t> </w:t>
      </w:r>
      <w:r>
        <w:rPr>
          <w:spacing w:val="-66"/>
        </w:rPr>
      </w:r>
      <w:r>
        <w:rPr/>
        <w:t>响。子公司青岛广顺房地产开发公司在建、在售的石雀滩</w:t>
      </w:r>
      <w:r>
        <w:rPr>
          <w:rFonts w:ascii="Times New Roman" w:hAnsi="Times New Roman" w:cs="Times New Roman" w:eastAsia="Times New Roman" w:hint="default"/>
        </w:rPr>
        <w:t>“</w:t>
      </w:r>
      <w:r>
        <w:rPr/>
        <w:t>七栋洋房</w:t>
      </w:r>
      <w:r>
        <w:rPr>
          <w:rFonts w:ascii="Times New Roman" w:hAnsi="Times New Roman" w:cs="Times New Roman" w:eastAsia="Times New Roman" w:hint="default"/>
        </w:rPr>
        <w:t>”</w:t>
      </w:r>
      <w:r>
        <w:rPr/>
        <w:t>项目（商业推广案名）属于非刚需的产品，开盘后销售 </w:t>
      </w:r>
      <w:r>
        <w:rPr>
          <w:spacing w:val="-2"/>
        </w:rPr>
        <w:t>速度和回款进度比原预期较慢，整个销售周期比原预期也会相应延长。公司果断采取了相应的营销措施，在一定程度上缓解</w:t>
      </w:r>
      <w:r>
        <w:rPr>
          <w:spacing w:val="-66"/>
        </w:rPr>
        <w:t> </w:t>
      </w:r>
      <w:r>
        <w:rPr>
          <w:spacing w:val="-66"/>
        </w:rPr>
      </w:r>
      <w:r>
        <w:rPr/>
        <w:t>了项目公司现金流的压力。 </w:t>
      </w:r>
      <w:r>
        <w:rPr>
          <w:spacing w:val="-2"/>
        </w:rPr>
        <w:t>由于经济发展、居民收入水平以及地理位置等关系，相对于青岛而言，兖州、泗水的房地产市场发育程度较低。子公司济宁</w:t>
      </w:r>
      <w:r>
        <w:rPr>
          <w:spacing w:val="-66"/>
        </w:rPr>
        <w:t> </w:t>
      </w:r>
      <w:r>
        <w:rPr>
          <w:spacing w:val="-66"/>
        </w:rPr>
      </w:r>
      <w:r>
        <w:rPr/>
        <w:t>海情置业有限公司的兖州</w:t>
      </w:r>
      <w:r>
        <w:rPr>
          <w:rFonts w:ascii="Times New Roman" w:hAnsi="Times New Roman" w:cs="Times New Roman" w:eastAsia="Times New Roman" w:hint="default"/>
        </w:rPr>
        <w:t>·</w:t>
      </w:r>
      <w:r>
        <w:rPr/>
        <w:t>海情丽都项目位于兖州市西城区的商贸居住综合区，地理位置优越，是不可多得的黄金地段；子</w:t>
      </w:r>
    </w:p>
    <w:p>
      <w:pPr>
        <w:spacing w:after="0" w:line="314"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9" w:lineRule="auto" w:before="44"/>
        <w:ind w:left="153" w:right="91"/>
        <w:jc w:val="left"/>
      </w:pPr>
      <w:r>
        <w:rPr/>
        <w:t>公司泗水海情置业有限公司开发的泗水</w:t>
      </w:r>
      <w:r>
        <w:rPr>
          <w:rFonts w:ascii="Times New Roman" w:hAnsi="Times New Roman" w:cs="Times New Roman" w:eastAsia="Times New Roman" w:hint="default"/>
        </w:rPr>
        <w:t>·</w:t>
      </w:r>
      <w:r>
        <w:rPr/>
        <w:t>海情圣地项目系公司着力精心打造的全国第一个位于县城的国家康居示范工程项 </w:t>
      </w:r>
      <w:r>
        <w:rPr>
          <w:spacing w:val="-2"/>
        </w:rPr>
        <w:t>目，产品定位高，走的是精品高端路线，在当地产生了较大的影响，树立了公司的良好品牌和市场形象。但是同样受到宏观</w:t>
      </w:r>
      <w:r>
        <w:rPr>
          <w:spacing w:val="-66"/>
        </w:rPr>
        <w:t> </w:t>
      </w:r>
      <w:r>
        <w:rPr>
          <w:spacing w:val="-66"/>
        </w:rPr>
      </w:r>
      <w:r>
        <w:rPr>
          <w:spacing w:val="-4"/>
        </w:rPr>
        <w:t>经济政策、以及当地商业贷款规模小、房地产交易不活跃等因素的影响，兖州、泗水的房地产市场也受到了一定程度的冲击，</w:t>
      </w:r>
      <w:r>
        <w:rPr>
          <w:spacing w:val="-46"/>
        </w:rPr>
        <w:t> </w:t>
      </w:r>
      <w:r>
        <w:rPr>
          <w:spacing w:val="-46"/>
        </w:rPr>
      </w:r>
      <w:r>
        <w:rPr/>
        <w:t>但济宁海情置业有限公司及泗水海情置业有限公司根据公司营销策略，及时调整营销方案，</w:t>
      </w:r>
      <w:r>
        <w:rPr>
          <w:rFonts w:ascii="Times New Roman" w:hAnsi="Times New Roman" w:cs="Times New Roman" w:eastAsia="Times New Roman" w:hint="default"/>
        </w:rPr>
        <w:t>“</w:t>
      </w:r>
      <w:r>
        <w:rPr/>
        <w:t>以价换量</w:t>
      </w:r>
      <w:r>
        <w:rPr>
          <w:rFonts w:ascii="Times New Roman" w:hAnsi="Times New Roman" w:cs="Times New Roman" w:eastAsia="Times New Roman" w:hint="default"/>
        </w:rPr>
        <w:t>”</w:t>
      </w:r>
      <w:r>
        <w:rPr/>
        <w:t>，虽销售价格有所下 降，但销售量总体上有所增加。</w:t>
      </w:r>
    </w:p>
    <w:p>
      <w:pPr>
        <w:pStyle w:val="BodyText"/>
        <w:spacing w:line="240" w:lineRule="auto" w:before="24"/>
        <w:ind w:left="153" w:right="18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年度经营规划</w:t>
      </w:r>
    </w:p>
    <w:p>
      <w:pPr>
        <w:pStyle w:val="BodyText"/>
        <w:spacing w:line="316" w:lineRule="auto" w:before="63"/>
        <w:ind w:left="153" w:right="91"/>
        <w:jc w:val="left"/>
      </w:pPr>
      <w:r>
        <w:rPr>
          <w:rFonts w:ascii="Times New Roman" w:hAnsi="Times New Roman" w:cs="Times New Roman" w:eastAsia="Times New Roman" w:hint="default"/>
          <w:spacing w:val="-2"/>
        </w:rPr>
        <w:t>2013</w:t>
      </w:r>
      <w:r>
        <w:rPr>
          <w:spacing w:val="-2"/>
        </w:rPr>
        <w:t>年，公司将坚持</w:t>
      </w:r>
      <w:r>
        <w:rPr>
          <w:rFonts w:ascii="Times New Roman" w:hAnsi="Times New Roman" w:cs="Times New Roman" w:eastAsia="Times New Roman" w:hint="default"/>
          <w:spacing w:val="-2"/>
        </w:rPr>
        <w:t>“</w:t>
      </w:r>
      <w:r>
        <w:rPr>
          <w:spacing w:val="-2"/>
        </w:rPr>
        <w:t>立足资本市场、稳健持续经营、增强发展后劲</w:t>
      </w:r>
      <w:r>
        <w:rPr>
          <w:rFonts w:ascii="Times New Roman" w:hAnsi="Times New Roman" w:cs="Times New Roman" w:eastAsia="Times New Roman" w:hint="default"/>
          <w:spacing w:val="-2"/>
        </w:rPr>
        <w:t>”</w:t>
      </w:r>
      <w:r>
        <w:rPr>
          <w:spacing w:val="-2"/>
        </w:rPr>
        <w:t>的基本原则，积极应对政策与市场变化，加强客户关系</w:t>
      </w:r>
      <w:r>
        <w:rPr>
          <w:spacing w:val="-38"/>
        </w:rPr>
        <w:t> </w:t>
      </w:r>
      <w:r>
        <w:rPr>
          <w:spacing w:val="-38"/>
        </w:rPr>
      </w:r>
      <w:r>
        <w:rPr/>
        <w:t>管理、优化管控流程、创新营销方式，促进公司主营业务的健康发展。 </w:t>
      </w:r>
      <w:r>
        <w:rPr>
          <w:spacing w:val="-2"/>
        </w:rPr>
        <w:t>公司继续专注于普通住宅市场的开发经营，根据突出主业、培训核心竞争力的经营方针，逐步解决贸易类等非房地产业务的</w:t>
      </w:r>
      <w:r>
        <w:rPr>
          <w:spacing w:val="-66"/>
        </w:rPr>
        <w:t> </w:t>
      </w:r>
      <w:r>
        <w:rPr>
          <w:spacing w:val="-66"/>
        </w:rPr>
      </w:r>
      <w:r>
        <w:rPr>
          <w:spacing w:val="-2"/>
        </w:rPr>
        <w:t>定位问题。由于房地产宏观调控等政策性因素的原因，目前母公司青岛亚星实业有限公司尚未实施定向增发。公司资产规模</w:t>
      </w:r>
      <w:r>
        <w:rPr>
          <w:spacing w:val="-66"/>
        </w:rPr>
        <w:t> </w:t>
      </w:r>
      <w:r>
        <w:rPr>
          <w:spacing w:val="-66"/>
        </w:rPr>
      </w:r>
      <w:r>
        <w:rPr/>
        <w:t>尚不大，盈利和累计有限，且与母公司存在同业竞争问题，基于这一阶段性特点，公司将在现有房地产开发业务的基础上， </w:t>
      </w:r>
      <w:r>
        <w:rPr>
          <w:spacing w:val="-2"/>
        </w:rPr>
        <w:t>以市场为导向，充分利用主板上市公司的品牌优势，加大与有实力、高质量、声誉好的商业伙伴合作力度，积极拓展融资渠</w:t>
      </w:r>
      <w:r>
        <w:rPr>
          <w:spacing w:val="-66"/>
        </w:rPr>
        <w:t> </w:t>
      </w:r>
      <w:r>
        <w:rPr>
          <w:spacing w:val="-66"/>
        </w:rPr>
      </w:r>
      <w:r>
        <w:rPr/>
        <w:t>道，为经营发展争取更多的资源支持。 面对房地产市场更为复杂多变的宏观环境，公司在拓展新项目和开发新业务方面会更加缜密、严谨，保障安全，顺势而动， 优胜劣汰，有进有退、稳健经营。</w:t>
      </w:r>
    </w:p>
    <w:p>
      <w:pPr>
        <w:pStyle w:val="BodyText"/>
        <w:spacing w:line="240" w:lineRule="auto" w:before="19"/>
        <w:ind w:left="153" w:right="184"/>
        <w:jc w:val="left"/>
      </w:pPr>
      <w:r>
        <w:rPr>
          <w:rFonts w:ascii="Times New Roman" w:hAnsi="Times New Roman" w:cs="Times New Roman" w:eastAsia="Times New Roman" w:hint="default"/>
        </w:rPr>
        <w:t>3</w:t>
      </w:r>
      <w:r>
        <w:rPr/>
        <w:t>、存在的经营风险和应对措施</w:t>
      </w:r>
    </w:p>
    <w:p>
      <w:pPr>
        <w:pStyle w:val="BodyText"/>
        <w:spacing w:line="312" w:lineRule="auto" w:before="63"/>
        <w:ind w:right="91"/>
        <w:jc w:val="left"/>
      </w:pPr>
      <w:r>
        <w:rPr>
          <w:rFonts w:ascii="Times New Roman" w:hAnsi="Times New Roman" w:cs="Times New Roman" w:eastAsia="Times New Roman" w:hint="default"/>
        </w:rPr>
        <w:t>2013</w:t>
      </w:r>
      <w:r>
        <w:rPr/>
        <w:t>年国家进一步实施房地产宏观调控的新</w:t>
      </w:r>
      <w:r>
        <w:rPr>
          <w:rFonts w:ascii="Times New Roman" w:hAnsi="Times New Roman" w:cs="Times New Roman" w:eastAsia="Times New Roman" w:hint="default"/>
        </w:rPr>
        <w:t>“</w:t>
      </w:r>
      <w:r>
        <w:rPr/>
        <w:t>国五条</w:t>
      </w:r>
      <w:r>
        <w:rPr>
          <w:rFonts w:ascii="Times New Roman" w:hAnsi="Times New Roman" w:cs="Times New Roman" w:eastAsia="Times New Roman" w:hint="default"/>
        </w:rPr>
        <w:t>”</w:t>
      </w:r>
      <w:r>
        <w:rPr/>
        <w:t>政策、包括青岛在内的主要城市也已经出台了</w:t>
      </w:r>
      <w:r>
        <w:rPr>
          <w:rFonts w:ascii="Times New Roman" w:hAnsi="Times New Roman" w:cs="Times New Roman" w:eastAsia="Times New Roman" w:hint="default"/>
        </w:rPr>
        <w:t>“</w:t>
      </w:r>
      <w:r>
        <w:rPr/>
        <w:t>国五条</w:t>
      </w:r>
      <w:r>
        <w:rPr>
          <w:rFonts w:ascii="Times New Roman" w:hAnsi="Times New Roman" w:cs="Times New Roman" w:eastAsia="Times New Roman" w:hint="default"/>
        </w:rPr>
        <w:t>”</w:t>
      </w:r>
      <w:r>
        <w:rPr/>
        <w:t>的实施细则，房 地产市场面临更多的不确定性。同时，银监会已经下发</w:t>
      </w:r>
      <w:r>
        <w:rPr>
          <w:rFonts w:ascii="Times New Roman" w:hAnsi="Times New Roman" w:cs="Times New Roman" w:eastAsia="Times New Roman" w:hint="default"/>
        </w:rPr>
        <w:t>2013</w:t>
      </w:r>
      <w:r>
        <w:rPr/>
        <w:t>年第</w:t>
      </w:r>
      <w:r>
        <w:rPr>
          <w:rFonts w:ascii="Times New Roman" w:hAnsi="Times New Roman" w:cs="Times New Roman" w:eastAsia="Times New Roman" w:hint="default"/>
        </w:rPr>
        <w:t>8</w:t>
      </w:r>
      <w:r>
        <w:rPr/>
        <w:t>号文，规范商业银行理财业务投资运作，融资敞口继续收 </w:t>
      </w:r>
      <w:r>
        <w:rPr>
          <w:spacing w:val="-4"/>
        </w:rPr>
        <w:t>窄，房地产行业的融资环境更为恶化。公司立足现有项目的建设、经营，要求各项目公司实现现金收支自身平衡，滚动开发、</w:t>
      </w:r>
      <w:r>
        <w:rPr>
          <w:spacing w:val="-44"/>
        </w:rPr>
        <w:t> </w:t>
      </w:r>
      <w:r>
        <w:rPr>
          <w:spacing w:val="-44"/>
        </w:rPr>
      </w:r>
      <w:r>
        <w:rPr/>
        <w:t>持续发展，同时严格预算管理、继续压缩费用性支付、向管理要效益，科学统筹资金，确保经营的安全性和稳健性。 </w:t>
      </w:r>
      <w:r>
        <w:rPr>
          <w:spacing w:val="-2"/>
        </w:rPr>
        <w:t>在稳健经营的同时，努力提高主业盈利能力是公司面临的严峻挑战。公司将继续创新管理方式，突出设计和营销在房地产产</w:t>
      </w:r>
      <w:r>
        <w:rPr>
          <w:spacing w:val="-66"/>
        </w:rPr>
        <w:t> </w:t>
      </w:r>
      <w:r>
        <w:rPr>
          <w:spacing w:val="-66"/>
        </w:rPr>
      </w:r>
      <w:r>
        <w:rPr/>
        <w:t>品价值链中的位置，实时监控成本、强化审计监督，通过提高综合管控能力的方式来提高公司的盈利能力。</w:t>
      </w:r>
    </w:p>
    <w:p>
      <w:pPr>
        <w:spacing w:line="240" w:lineRule="auto" w:before="1"/>
        <w:rPr>
          <w:rFonts w:ascii="宋体" w:hAnsi="宋体" w:cs="宋体" w:eastAsia="宋体" w:hint="default"/>
          <w:sz w:val="21"/>
          <w:szCs w:val="21"/>
        </w:rPr>
      </w:pPr>
    </w:p>
    <w:p>
      <w:pPr>
        <w:pStyle w:val="Heading2"/>
        <w:spacing w:line="240" w:lineRule="auto"/>
        <w:ind w:right="184"/>
        <w:jc w:val="left"/>
        <w:rPr>
          <w:b w:val="0"/>
          <w:bCs w:val="0"/>
        </w:rPr>
      </w:pPr>
      <w:r>
        <w:rPr/>
        <w:t>七、公司利润分配及分红派息情况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53" w:right="184"/>
        <w:jc w:val="left"/>
      </w:pPr>
      <w:r>
        <w:rPr/>
        <w:t>报告期内利润分配政策特别是现金分红政策的制定、执行或调整情况 </w:t>
      </w:r>
      <w:r>
        <w:rPr>
          <w:spacing w:val="-2"/>
        </w:rPr>
        <w:t>报告期内公司按照证监会要求，为建立科学、持续、稳定的股东回报机制，制定了未来三年的股东回报规划，并对公司章程</w:t>
      </w:r>
      <w:r>
        <w:rPr>
          <w:spacing w:val="-66"/>
        </w:rPr>
        <w:t> </w:t>
      </w:r>
      <w:r>
        <w:rPr>
          <w:spacing w:val="-66"/>
        </w:rPr>
      </w:r>
      <w:r>
        <w:rPr/>
        <w:t>进行了修订，增强了现金分红的透明度，更好地维护了中小股东的合法权益，改善公司治理。</w:t>
      </w:r>
    </w:p>
    <w:p>
      <w:pPr>
        <w:pStyle w:val="BodyText"/>
        <w:spacing w:line="360" w:lineRule="auto" w:before="43"/>
        <w:ind w:left="153" w:right="2973"/>
        <w:jc w:val="left"/>
      </w:pPr>
      <w:r>
        <w:rPr/>
        <w:t>公司报告期利润分配预案及资本公积金转增股本预案符合公司章程等的相关规定。 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240" w:lineRule="auto" w:before="1"/>
        <w:ind w:right="184"/>
        <w:jc w:val="left"/>
      </w:pPr>
      <w:r>
        <w:rPr>
          <w:rFonts w:ascii="Times New Roman" w:hAnsi="Times New Roman" w:cs="Times New Roman" w:eastAsia="Times New Roman" w:hint="default"/>
        </w:rPr>
        <w:t>2012  </w:t>
      </w:r>
      <w:r>
        <w:rPr/>
        <w:t>年</w:t>
      </w:r>
      <w:r>
        <w:rPr>
          <w:spacing w:val="-37"/>
        </w:rPr>
        <w:t> </w:t>
      </w:r>
      <w:r>
        <w:rPr/>
        <w:t>不进行利润分配，也不以资本公积金转增股本。</w:t>
      </w:r>
    </w:p>
    <w:p>
      <w:pPr>
        <w:pStyle w:val="BodyText"/>
        <w:spacing w:line="240" w:lineRule="auto" w:before="63"/>
        <w:ind w:right="184"/>
        <w:jc w:val="left"/>
      </w:pPr>
      <w:r>
        <w:rPr>
          <w:rFonts w:ascii="Times New Roman" w:hAnsi="Times New Roman" w:cs="Times New Roman" w:eastAsia="Times New Roman" w:hint="default"/>
        </w:rPr>
        <w:t>2011  </w:t>
      </w:r>
      <w:r>
        <w:rPr/>
        <w:t>年</w:t>
      </w:r>
      <w:r>
        <w:rPr>
          <w:spacing w:val="-37"/>
        </w:rPr>
        <w:t> </w:t>
      </w:r>
      <w:r>
        <w:rPr/>
        <w:t>不进行利润分配，也不以资本公积金转增股本。</w:t>
      </w:r>
    </w:p>
    <w:p>
      <w:pPr>
        <w:pStyle w:val="BodyText"/>
        <w:spacing w:line="340" w:lineRule="auto" w:before="63"/>
        <w:ind w:right="4770"/>
        <w:jc w:val="left"/>
      </w:pPr>
      <w:r>
        <w:rPr>
          <w:rFonts w:ascii="Times New Roman" w:hAnsi="Times New Roman" w:cs="Times New Roman" w:eastAsia="Times New Roman" w:hint="default"/>
        </w:rPr>
        <w:t>2010 </w:t>
      </w:r>
      <w:r>
        <w:rPr/>
        <w:t>年</w:t>
      </w:r>
      <w:r>
        <w:rPr>
          <w:spacing w:val="-37"/>
        </w:rPr>
        <w:t> </w:t>
      </w:r>
      <w:r>
        <w:rPr/>
        <w:t>不进行利润分配，也不以资本公积金转增股本。</w:t>
      </w:r>
      <w:r>
        <w:rPr/>
        <w:t> 公司近三年现金分红情况表</w:t>
      </w:r>
    </w:p>
    <w:p>
      <w:pPr>
        <w:pStyle w:val="BodyText"/>
        <w:spacing w:line="240" w:lineRule="auto" w:before="41"/>
        <w:ind w:left="0" w:right="189"/>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162" w:hRule="exact"/>
        </w:trPr>
        <w:tc>
          <w:tcPr>
            <w:tcW w:w="2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4"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5"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0" w:hRule="exact"/>
        </w:trPr>
        <w:tc>
          <w:tcPr>
            <w:tcW w:w="2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2" w:hRule="exact"/>
        </w:trPr>
        <w:tc>
          <w:tcPr>
            <w:tcW w:w="2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2,078,042.37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2,091,182.70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26,716,195.17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84"/>
        <w:jc w:val="left"/>
      </w:pPr>
      <w:r>
        <w:rPr/>
        <w:t>公司报告期内盈利且母公司未分配利润为正但未提出现金红利分配预案</w:t>
      </w:r>
    </w:p>
    <w:p>
      <w:pPr>
        <w:pStyle w:val="BodyText"/>
        <w:spacing w:line="240" w:lineRule="auto" w:before="116"/>
        <w:ind w:left="153"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46" w:right="47" w:hanging="1800"/>
              <w:jc w:val="left"/>
              <w:rPr>
                <w:rFonts w:ascii="宋体" w:hAnsi="宋体" w:cs="宋体" w:eastAsia="宋体" w:hint="default"/>
                <w:sz w:val="18"/>
                <w:szCs w:val="18"/>
              </w:rPr>
            </w:pPr>
            <w:r>
              <w:rPr>
                <w:rFonts w:ascii="宋体" w:hAnsi="宋体" w:cs="宋体" w:eastAsia="宋体" w:hint="default"/>
                <w:sz w:val="18"/>
                <w:szCs w:val="18"/>
              </w:rPr>
              <w:t>报告期内盈利且母公司未分配利润为正但未提出现金红利分 配预案的原因</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63" w:hRule="exact"/>
        </w:trPr>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为确保公司经营的稳健和可持续，结合公司</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年度经营规</w:t>
            </w:r>
          </w:p>
        </w:tc>
        <w:tc>
          <w:tcPr>
            <w:tcW w:w="4783"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划、资金需求计划以及净现金流入和现金余额情况，董事会</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决定本年度不进行利润分配，董事会认为这不仅符合公司的</w:t>
            </w: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日常经营</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实际情况，有利于在房地产宏观调控的环境下保生存、促转</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型、增强发展后劲，也有利于维护股东的长远利益。</w:t>
            </w:r>
          </w:p>
        </w:tc>
        <w:tc>
          <w:tcPr>
            <w:tcW w:w="4783"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八、报告期内接待调研、沟通、采访等活动登记表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713"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58"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公司经营状况，主板退市 制度对公司的影响，恢复 上市的进展情况，未提供 任何书面资料</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公司经营状况，主板退市 制度对公司的影响，恢复 上市的进展情况，未提供 任何书面资料</w:t>
            </w:r>
          </w:p>
        </w:tc>
      </w:tr>
      <w:tr>
        <w:trPr>
          <w:trHeight w:val="1339"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公司经营状况，主板退市 制度对公司的影响，恢复 上市的进展情况，未提供 任何书面资料</w:t>
            </w:r>
          </w:p>
        </w:tc>
      </w:tr>
    </w:tbl>
    <w:p>
      <w:pPr>
        <w:spacing w:after="0" w:line="316" w:lineRule="auto"/>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公司经营状况，主板退市</w:t>
            </w:r>
          </w:p>
        </w:tc>
      </w:tr>
      <w:tr>
        <w:trPr>
          <w:trHeight w:val="625"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制度对公司的影响，恢复 上市的进展情况，未提供</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任何书面资料</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公司经营状况，主板退市</w:t>
            </w:r>
          </w:p>
        </w:tc>
      </w:tr>
      <w:tr>
        <w:trPr>
          <w:trHeight w:val="625"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制度对公司的影响，恢复 上市的进展情况，未提供</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任何书面资料</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公司经营状况，主板退市</w:t>
            </w:r>
          </w:p>
        </w:tc>
      </w:tr>
      <w:tr>
        <w:trPr>
          <w:trHeight w:val="625"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制度对公司的影响，恢复 上市的进展情况，未提供</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任何书面资料</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公司经营状况，主板退市</w:t>
            </w:r>
          </w:p>
        </w:tc>
      </w:tr>
      <w:tr>
        <w:trPr>
          <w:trHeight w:val="625"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制度对公司的影响，恢复 上市的进展情况，未提供</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任何书面资料</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公司经营状况，主板退市</w:t>
            </w:r>
          </w:p>
        </w:tc>
      </w:tr>
      <w:tr>
        <w:trPr>
          <w:trHeight w:val="625"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制度对公司的影响，恢复 上市的进展情况，未提供</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任何书面资料</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公司经营状况，主板退市</w:t>
            </w:r>
          </w:p>
        </w:tc>
      </w:tr>
      <w:tr>
        <w:trPr>
          <w:trHeight w:val="625"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制度对公司的影响，恢复 上市的进展情况，未提供</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任何书面资料</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公司经营状况，主板退市</w:t>
            </w:r>
          </w:p>
        </w:tc>
      </w:tr>
      <w:tr>
        <w:trPr>
          <w:trHeight w:val="625"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制度对公司的影响，恢复 上市的进展情况，未提供</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任何书面资料</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公司经营状况，主板退市</w:t>
            </w:r>
          </w:p>
        </w:tc>
      </w:tr>
      <w:tr>
        <w:trPr>
          <w:trHeight w:val="625"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制度对公司的影响，恢复 上市的进展情况，未提供</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任何书面资料</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公司经营状况，主板退市</w:t>
            </w:r>
          </w:p>
        </w:tc>
      </w:tr>
      <w:tr>
        <w:trPr>
          <w:trHeight w:val="625"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制度对公司的影响，恢复 上市的进展情况，未提供</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任何书面资料</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公司经营状况，主板退市</w:t>
            </w:r>
          </w:p>
        </w:tc>
      </w:tr>
      <w:tr>
        <w:trPr>
          <w:trHeight w:val="625"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制度对公司的影响，恢复 上市的进展情况，未提供</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任何书面资料</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公司经营状况，主板退市</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986"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制度对公司的影响，恢复 上市的进展情况，未提供 任何书面资料</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公司经营状况，主板退市 制度对公司的影响，恢复 上市的进展情况，未提供 任何书面资料</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公司经营状况，主板退市 制度对公司的影响，恢复 上市的进展情况，未提供 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95.859985pt;margin-top:539.520020pt;width:66.850pt;height:31.2pt;mso-position-horizontal-relative:page;mso-position-vertical-relative:page;z-index:-684712" coordorigin="5917,10790" coordsize="1337,624">
            <v:group style="position:absolute;left:5917;top:10790;width:1337;height:312" coordorigin="5917,10790" coordsize="1337,312">
              <v:shape style="position:absolute;left:5917;top:10790;width:1337;height:312" coordorigin="5917,10790" coordsize="1337,312" path="m5917,11102l7254,11102,7254,10790,5917,10790,5917,11102xe" filled="true" fillcolor="#ffffff" stroked="false">
                <v:path arrowok="t"/>
                <v:fill type="solid"/>
              </v:shape>
            </v:group>
            <v:group style="position:absolute;left:5917;top:11102;width:1337;height:312" coordorigin="5917,11102" coordsize="1337,312">
              <v:shape style="position:absolute;left:5917;top:11102;width:1337;height:312" coordorigin="5917,11102" coordsize="1337,312" path="m5917,11414l7254,11414,7254,11102,5917,11102,5917,11414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94"/>
        <w:jc w:val="center"/>
        <w:rPr>
          <w:b w:val="0"/>
          <w:bCs w:val="0"/>
        </w:rPr>
      </w:pPr>
      <w:bookmarkStart w:name="_TOC_250006"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pict>
          <v:group style="position:absolute;margin-left:427.619995pt;margin-top:53.192017pt;width:53.5pt;height:234pt;mso-position-horizontal-relative:page;mso-position-vertical-relative:paragraph;z-index:-684688" coordorigin="8552,1064" coordsize="1070,4680">
            <v:shape style="position:absolute;left:8552;top:1064;width:1070;height:4680" coordorigin="8552,1064" coordsize="1070,4680" path="m8552,5744l9622,5744,9622,1064,8552,1064,8552,5744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1"/>
        <w:gridCol w:w="1086"/>
        <w:gridCol w:w="1265"/>
        <w:gridCol w:w="965"/>
        <w:gridCol w:w="1381"/>
        <w:gridCol w:w="1266"/>
        <w:gridCol w:w="1080"/>
        <w:gridCol w:w="1076"/>
      </w:tblGrid>
      <w:tr>
        <w:trPr>
          <w:trHeight w:val="714" w:hRule="exact"/>
        </w:trPr>
        <w:tc>
          <w:tcPr>
            <w:tcW w:w="14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629" w:right="29" w:hanging="60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57" w:right="23" w:hanging="335"/>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46" w:right="86"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92" w:right="61"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9" w:right="89"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67" w:right="26"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1451" w:type="dxa"/>
            <w:tcBorders>
              <w:top w:val="single" w:sz="4" w:space="0" w:color="000000"/>
              <w:left w:val="single" w:sz="4" w:space="0" w:color="000000"/>
              <w:bottom w:val="nil" w:sz="6" w:space="0" w:color="auto"/>
              <w:right w:val="single" w:sz="4" w:space="0" w:color="000000"/>
            </w:tcBorders>
          </w:tcPr>
          <w:p>
            <w:pPr/>
          </w:p>
        </w:tc>
        <w:tc>
          <w:tcPr>
            <w:tcW w:w="1086"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
        </w:tc>
        <w:tc>
          <w:tcPr>
            <w:tcW w:w="965" w:type="dxa"/>
            <w:tcBorders>
              <w:top w:val="single" w:sz="4" w:space="0" w:color="000000"/>
              <w:left w:val="single" w:sz="4" w:space="0" w:color="000000"/>
              <w:bottom w:val="nil" w:sz="6" w:space="0" w:color="auto"/>
              <w:right w:val="single" w:sz="13" w:space="0" w:color="FFFFFF"/>
            </w:tcBorders>
          </w:tcPr>
          <w:p>
            <w:pPr/>
          </w:p>
        </w:tc>
        <w:tc>
          <w:tcPr>
            <w:tcW w:w="1381" w:type="dxa"/>
            <w:tcBorders>
              <w:top w:val="single" w:sz="4" w:space="0" w:color="000000"/>
              <w:left w:val="single" w:sz="13" w:space="0" w:color="FFFFFF"/>
              <w:bottom w:val="nil" w:sz="6" w:space="0" w:color="auto"/>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该案本诉部分争</w:t>
            </w:r>
          </w:p>
        </w:tc>
        <w:tc>
          <w:tcPr>
            <w:tcW w:w="126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13" w:space="0" w:color="FFFFFF"/>
            </w:tcBorders>
          </w:tcPr>
          <w:p>
            <w:pPr/>
          </w:p>
        </w:tc>
        <w:tc>
          <w:tcPr>
            <w:tcW w:w="1381"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议的焦点是工程</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13" w:space="0" w:color="FFFFFF"/>
            </w:tcBorders>
          </w:tcPr>
          <w:p>
            <w:pPr/>
          </w:p>
        </w:tc>
        <w:tc>
          <w:tcPr>
            <w:tcW w:w="1381"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造价及应付工程</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13" w:space="0" w:color="FFFFFF"/>
            </w:tcBorders>
          </w:tcPr>
          <w:p>
            <w:pPr/>
          </w:p>
        </w:tc>
        <w:tc>
          <w:tcPr>
            <w:tcW w:w="1381"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款金额问题。现</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13" w:space="0" w:color="FFFFFF"/>
            </w:tcBorders>
          </w:tcPr>
          <w:p>
            <w:pPr/>
          </w:p>
        </w:tc>
        <w:tc>
          <w:tcPr>
            <w:tcW w:w="1381"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原、被告双方已</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13" w:space="0" w:color="FFFFFF"/>
            </w:tcBorders>
          </w:tcPr>
          <w:p>
            <w:pPr/>
          </w:p>
        </w:tc>
        <w:tc>
          <w:tcPr>
            <w:tcW w:w="1381"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按照法院的指令</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6240"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314"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22"/>
                <w:sz w:val="18"/>
                <w:szCs w:val="18"/>
              </w:rPr>
              <w:t>月，山东</w:t>
            </w:r>
            <w:r>
              <w:rPr>
                <w:rFonts w:ascii="宋体" w:hAnsi="宋体" w:cs="宋体" w:eastAsia="宋体" w:hint="default"/>
                <w:spacing w:val="1"/>
                <w:sz w:val="18"/>
                <w:szCs w:val="18"/>
              </w:rPr>
              <w:t> </w:t>
            </w:r>
            <w:r>
              <w:rPr>
                <w:rFonts w:ascii="宋体" w:hAnsi="宋体" w:cs="宋体" w:eastAsia="宋体" w:hint="default"/>
                <w:sz w:val="18"/>
                <w:szCs w:val="18"/>
              </w:rPr>
              <w:t>省济宁市中级人</w:t>
            </w:r>
            <w:r>
              <w:rPr>
                <w:rFonts w:ascii="宋体" w:hAnsi="宋体" w:cs="宋体" w:eastAsia="宋体" w:hint="default"/>
                <w:sz w:val="18"/>
                <w:szCs w:val="18"/>
              </w:rPr>
              <w:t> 民法院依法受理 山东港基建设集 团有限公司诉泗 </w:t>
            </w:r>
            <w:r>
              <w:rPr>
                <w:rFonts w:ascii="宋体" w:hAnsi="宋体" w:cs="宋体" w:eastAsia="宋体" w:hint="default"/>
                <w:spacing w:val="-6"/>
                <w:sz w:val="18"/>
                <w:szCs w:val="18"/>
              </w:rPr>
              <w:t>水海情、济宁海情</w:t>
            </w:r>
            <w:r>
              <w:rPr>
                <w:rFonts w:ascii="宋体" w:hAnsi="宋体" w:cs="宋体" w:eastAsia="宋体" w:hint="default"/>
                <w:sz w:val="18"/>
                <w:szCs w:val="18"/>
              </w:rPr>
              <w:t> 建设工程施工合 同纠纷一案。</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65" w:type="dxa"/>
            <w:tcBorders>
              <w:top w:val="nil" w:sz="6" w:space="0" w:color="auto"/>
              <w:left w:val="single" w:sz="4" w:space="0" w:color="000000"/>
              <w:bottom w:val="nil" w:sz="6" w:space="0" w:color="auto"/>
              <w:right w:val="single" w:sz="13" w:space="0" w:color="FFFFFF"/>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目前，泗水 海情已依 法提出了 反诉，要求 山东港基 承担逾期 违约金、一 次性验收 不合格违 约金、违法 分包违约 金、质量问 题维修费 用等约计 </w:t>
            </w:r>
            <w:r>
              <w:rPr>
                <w:rFonts w:ascii="Times New Roman" w:hAnsi="Times New Roman" w:cs="Times New Roman" w:eastAsia="Times New Roman" w:hint="default"/>
                <w:sz w:val="18"/>
                <w:szCs w:val="18"/>
              </w:rPr>
              <w:t>1,068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319" w:lineRule="auto"/>
              <w:ind w:left="24" w:right="198"/>
              <w:jc w:val="both"/>
              <w:rPr>
                <w:rFonts w:ascii="宋体" w:hAnsi="宋体" w:cs="宋体" w:eastAsia="宋体" w:hint="default"/>
                <w:sz w:val="18"/>
                <w:szCs w:val="18"/>
              </w:rPr>
            </w:pPr>
            <w:r>
              <w:rPr>
                <w:rFonts w:ascii="宋体" w:hAnsi="宋体" w:cs="宋体" w:eastAsia="宋体" w:hint="default"/>
                <w:sz w:val="18"/>
                <w:szCs w:val="18"/>
              </w:rPr>
              <w:t>并由山东 港基承担 全部反诉 费用。</w:t>
            </w:r>
          </w:p>
        </w:tc>
        <w:tc>
          <w:tcPr>
            <w:tcW w:w="1381" w:type="dxa"/>
            <w:tcBorders>
              <w:top w:val="nil" w:sz="6" w:space="0" w:color="auto"/>
              <w:left w:val="single" w:sz="13" w:space="0" w:color="FFFFFF"/>
              <w:bottom w:val="nil" w:sz="6" w:space="0" w:color="auto"/>
              <w:right w:val="single" w:sz="4" w:space="0" w:color="000000"/>
            </w:tcBorders>
          </w:tcPr>
          <w:p>
            <w:pPr>
              <w:pStyle w:val="TableParagraph"/>
              <w:spacing w:line="316" w:lineRule="auto" w:before="10"/>
              <w:ind w:right="97"/>
              <w:jc w:val="both"/>
              <w:rPr>
                <w:rFonts w:ascii="宋体" w:hAnsi="宋体" w:cs="宋体" w:eastAsia="宋体" w:hint="default"/>
                <w:sz w:val="18"/>
                <w:szCs w:val="18"/>
              </w:rPr>
            </w:pPr>
            <w:r>
              <w:rPr>
                <w:rFonts w:ascii="宋体" w:hAnsi="宋体" w:cs="宋体" w:eastAsia="宋体" w:hint="default"/>
                <w:sz w:val="18"/>
                <w:szCs w:val="18"/>
              </w:rPr>
              <w:t>进入工程造价的 鉴定程序，待审 计机构完成工程 造价鉴定后，方 能确认泗水海情 是否应支付山东 港基工程款和应 支付的工程款金 额。正常审计机 构在核算工程造 价时，采用的是 原、被告双方在 施工合同中约定 的计价原则，这</w:t>
            </w:r>
          </w:p>
          <w:p>
            <w:pPr>
              <w:pStyle w:val="TableParagraph"/>
              <w:spacing w:line="196" w:lineRule="exact" w:before="19"/>
              <w:ind w:right="0"/>
              <w:jc w:val="both"/>
              <w:rPr>
                <w:rFonts w:ascii="宋体" w:hAnsi="宋体" w:cs="宋体" w:eastAsia="宋体" w:hint="default"/>
                <w:sz w:val="18"/>
                <w:szCs w:val="18"/>
              </w:rPr>
            </w:pPr>
            <w:r>
              <w:rPr>
                <w:rFonts w:ascii="宋体" w:hAnsi="宋体" w:cs="宋体" w:eastAsia="宋体" w:hint="default"/>
                <w:sz w:val="18"/>
                <w:szCs w:val="18"/>
              </w:rPr>
              <w:t>种情况下应与泗</w:t>
            </w:r>
          </w:p>
          <w:p>
            <w:pPr>
              <w:pStyle w:val="TableParagraph"/>
              <w:spacing w:line="156"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both"/>
              <w:rPr>
                <w:rFonts w:ascii="宋体" w:hAnsi="宋体" w:cs="宋体" w:eastAsia="宋体" w:hint="default"/>
                <w:sz w:val="18"/>
                <w:szCs w:val="18"/>
              </w:rPr>
            </w:pPr>
            <w:r>
              <w:rPr>
                <w:rFonts w:ascii="宋体" w:hAnsi="宋体" w:cs="宋体" w:eastAsia="宋体" w:hint="default"/>
                <w:sz w:val="18"/>
                <w:szCs w:val="18"/>
              </w:rPr>
              <w:t>水海情自行进行</w:t>
            </w:r>
          </w:p>
          <w:p>
            <w:pPr>
              <w:pStyle w:val="TableParagraph"/>
              <w:spacing w:line="316" w:lineRule="auto" w:before="76"/>
              <w:ind w:right="97"/>
              <w:jc w:val="both"/>
              <w:rPr>
                <w:rFonts w:ascii="宋体" w:hAnsi="宋体" w:cs="宋体" w:eastAsia="宋体" w:hint="default"/>
                <w:sz w:val="18"/>
                <w:szCs w:val="18"/>
              </w:rPr>
            </w:pPr>
            <w:r>
              <w:rPr>
                <w:rFonts w:ascii="宋体" w:hAnsi="宋体" w:cs="宋体" w:eastAsia="宋体" w:hint="default"/>
                <w:sz w:val="18"/>
                <w:szCs w:val="18"/>
              </w:rPr>
              <w:t>合理核算或控制 的结算金额（即 正常应付结算工 程款）不会相差</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该案分别于</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314"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日进行 </w:t>
            </w:r>
            <w:r>
              <w:rPr>
                <w:rFonts w:ascii="宋体" w:hAnsi="宋体" w:cs="宋体" w:eastAsia="宋体" w:hint="default"/>
                <w:spacing w:val="-8"/>
                <w:sz w:val="18"/>
                <w:szCs w:val="18"/>
              </w:rPr>
              <w:t>了三次开庭，法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院已委托工程 审计机构对</w:t>
            </w:r>
            <w:r>
              <w:rPr>
                <w:rFonts w:ascii="Times New Roman" w:hAnsi="Times New Roman" w:cs="Times New Roman" w:eastAsia="Times New Roman" w:hint="default"/>
                <w:sz w:val="18"/>
                <w:szCs w:val="18"/>
              </w:rPr>
              <w:t>“</w:t>
            </w:r>
            <w:r>
              <w:rPr>
                <w:rFonts w:ascii="宋体" w:hAnsi="宋体" w:cs="宋体" w:eastAsia="宋体" w:hint="default"/>
                <w:sz w:val="18"/>
                <w:szCs w:val="18"/>
              </w:rPr>
              <w:t>海 情圣地</w:t>
            </w:r>
            <w:r>
              <w:rPr>
                <w:rFonts w:ascii="Times New Roman" w:hAnsi="Times New Roman" w:cs="Times New Roman" w:eastAsia="Times New Roman" w:hint="default"/>
                <w:sz w:val="18"/>
                <w:szCs w:val="18"/>
              </w:rPr>
              <w:t>”</w:t>
            </w:r>
            <w:r>
              <w:rPr>
                <w:rFonts w:ascii="宋体" w:hAnsi="宋体" w:cs="宋体" w:eastAsia="宋体" w:hint="default"/>
                <w:sz w:val="18"/>
                <w:szCs w:val="18"/>
              </w:rPr>
              <w:t>项目工 程造价进行鉴 </w:t>
            </w:r>
            <w:r>
              <w:rPr>
                <w:rFonts w:ascii="宋体" w:hAnsi="宋体" w:cs="宋体" w:eastAsia="宋体" w:hint="default"/>
                <w:spacing w:val="-8"/>
                <w:sz w:val="18"/>
                <w:szCs w:val="18"/>
              </w:rPr>
              <w:t>定，截至本报告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日，工程审计机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构正在审核过 </w:t>
            </w:r>
            <w:r>
              <w:rPr>
                <w:rFonts w:ascii="宋体" w:hAnsi="宋体" w:cs="宋体" w:eastAsia="宋体" w:hint="default"/>
                <w:spacing w:val="-8"/>
                <w:sz w:val="18"/>
                <w:szCs w:val="18"/>
              </w:rPr>
              <w:t>程中，尚未出具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鉴定结论。法院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对双方的起诉 请求和反诉请 求均未作出判 决。</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62" w:lineRule="auto"/>
              <w:ind w:left="22" w:right="41"/>
              <w:jc w:val="left"/>
              <w:rPr>
                <w:rFonts w:ascii="Times New Roman" w:hAnsi="Times New Roman" w:cs="Times New Roman" w:eastAsia="Times New Roman" w:hint="default"/>
                <w:sz w:val="18"/>
                <w:szCs w:val="18"/>
              </w:rPr>
            </w:pPr>
            <w:r>
              <w:rPr>
                <w:rFonts w:ascii="Times New Roman"/>
                <w:sz w:val="18"/>
              </w:rPr>
              <w:t>http://www.c ninfo.com.cn/ finalpage/201 2-07-11/6125</w:t>
            </w:r>
          </w:p>
          <w:p>
            <w:pPr>
              <w:pStyle w:val="TableParagraph"/>
              <w:spacing w:line="240" w:lineRule="auto" w:before="4"/>
              <w:ind w:left="22" w:right="0"/>
              <w:jc w:val="left"/>
              <w:rPr>
                <w:rFonts w:ascii="Times New Roman" w:hAnsi="Times New Roman" w:cs="Times New Roman" w:eastAsia="Times New Roman" w:hint="default"/>
                <w:sz w:val="18"/>
                <w:szCs w:val="18"/>
              </w:rPr>
            </w:pPr>
            <w:r>
              <w:rPr>
                <w:rFonts w:ascii="Times New Roman"/>
                <w:sz w:val="18"/>
              </w:rPr>
              <w:t>0112.PDF</w:t>
            </w: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13" w:space="0" w:color="FFFFFF"/>
            </w:tcBorders>
          </w:tcPr>
          <w:p>
            <w:pPr/>
          </w:p>
        </w:tc>
        <w:tc>
          <w:tcPr>
            <w:tcW w:w="1381"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太大。对反诉部</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13" w:space="0" w:color="FFFFFF"/>
            </w:tcBorders>
          </w:tcPr>
          <w:p>
            <w:pPr/>
          </w:p>
        </w:tc>
        <w:tc>
          <w:tcPr>
            <w:tcW w:w="1381"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分，如法院支持</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13" w:space="0" w:color="FFFFFF"/>
            </w:tcBorders>
          </w:tcPr>
          <w:p>
            <w:pPr/>
          </w:p>
        </w:tc>
        <w:tc>
          <w:tcPr>
            <w:tcW w:w="1381"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了泗水海情的反</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13" w:space="0" w:color="FFFFFF"/>
            </w:tcBorders>
          </w:tcPr>
          <w:p>
            <w:pPr/>
          </w:p>
        </w:tc>
        <w:tc>
          <w:tcPr>
            <w:tcW w:w="1381"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诉请求，将会增</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13" w:space="0" w:color="FFFFFF"/>
            </w:tcBorders>
          </w:tcPr>
          <w:p>
            <w:pPr/>
          </w:p>
        </w:tc>
        <w:tc>
          <w:tcPr>
            <w:tcW w:w="1381"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加泗水海情部分</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451" w:type="dxa"/>
            <w:tcBorders>
              <w:top w:val="nil" w:sz="6" w:space="0" w:color="auto"/>
              <w:left w:val="single" w:sz="4" w:space="0" w:color="000000"/>
              <w:bottom w:val="single" w:sz="4" w:space="0" w:color="000000"/>
              <w:right w:val="single" w:sz="4" w:space="0" w:color="000000"/>
            </w:tcBorders>
          </w:tcPr>
          <w:p>
            <w:pPr/>
          </w:p>
        </w:tc>
        <w:tc>
          <w:tcPr>
            <w:tcW w:w="1086"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965" w:type="dxa"/>
            <w:tcBorders>
              <w:top w:val="nil" w:sz="6" w:space="0" w:color="auto"/>
              <w:left w:val="single" w:sz="4" w:space="0" w:color="000000"/>
              <w:bottom w:val="single" w:sz="4" w:space="0" w:color="000000"/>
              <w:right w:val="single" w:sz="13" w:space="0" w:color="FFFFFF"/>
            </w:tcBorders>
          </w:tcPr>
          <w:p>
            <w:pPr/>
          </w:p>
        </w:tc>
        <w:tc>
          <w:tcPr>
            <w:tcW w:w="1381" w:type="dxa"/>
            <w:tcBorders>
              <w:top w:val="nil" w:sz="6" w:space="0" w:color="auto"/>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26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5"/>
              <w:jc w:val="left"/>
              <w:rPr>
                <w:rFonts w:ascii="宋体" w:hAnsi="宋体" w:cs="宋体" w:eastAsia="宋体" w:hint="default"/>
                <w:sz w:val="18"/>
                <w:szCs w:val="18"/>
              </w:rPr>
            </w:pPr>
            <w:r>
              <w:rPr>
                <w:rFonts w:ascii="宋体" w:hAnsi="宋体" w:cs="宋体" w:eastAsia="宋体" w:hint="default"/>
                <w:sz w:val="18"/>
                <w:szCs w:val="18"/>
              </w:rPr>
              <w:t>济宁海情置业有 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年向</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4" w:right="32"/>
              <w:jc w:val="left"/>
              <w:rPr>
                <w:rFonts w:ascii="宋体" w:hAnsi="宋体" w:cs="宋体" w:eastAsia="宋体" w:hint="default"/>
                <w:sz w:val="18"/>
                <w:szCs w:val="18"/>
              </w:rPr>
            </w:pPr>
            <w:r>
              <w:rPr>
                <w:rFonts w:ascii="宋体" w:hAnsi="宋体" w:cs="宋体" w:eastAsia="宋体" w:hint="default"/>
                <w:sz w:val="18"/>
                <w:szCs w:val="18"/>
              </w:rPr>
              <w:t>截至本报 告日，本案</w:t>
            </w:r>
          </w:p>
        </w:tc>
        <w:tc>
          <w:tcPr>
            <w:tcW w:w="1381"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11"/>
              <w:ind w:left="22" w:right="41"/>
              <w:jc w:val="left"/>
              <w:rPr>
                <w:rFonts w:ascii="Times New Roman" w:hAnsi="Times New Roman" w:cs="Times New Roman" w:eastAsia="Times New Roman" w:hint="default"/>
                <w:sz w:val="18"/>
                <w:szCs w:val="18"/>
              </w:rPr>
            </w:pPr>
            <w:r>
              <w:rPr>
                <w:rFonts w:ascii="Times New Roman"/>
                <w:sz w:val="18"/>
              </w:rPr>
              <w:t>http://www.c ninfo.com.cn/</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51"/>
        <w:gridCol w:w="1086"/>
        <w:gridCol w:w="1265"/>
        <w:gridCol w:w="954"/>
        <w:gridCol w:w="1392"/>
        <w:gridCol w:w="1266"/>
        <w:gridCol w:w="1080"/>
        <w:gridCol w:w="1076"/>
      </w:tblGrid>
      <w:tr>
        <w:trPr>
          <w:trHeight w:val="321" w:hRule="exact"/>
        </w:trPr>
        <w:tc>
          <w:tcPr>
            <w:tcW w:w="14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山东省济宁市中</w:t>
            </w:r>
          </w:p>
        </w:tc>
        <w:tc>
          <w:tcPr>
            <w:tcW w:w="1086" w:type="dxa"/>
            <w:vMerge w:val="restart"/>
            <w:tcBorders>
              <w:top w:val="single" w:sz="4" w:space="0" w:color="000000"/>
              <w:left w:val="single" w:sz="4" w:space="0" w:color="000000"/>
              <w:right w:val="single" w:sz="4" w:space="0" w:color="000000"/>
            </w:tcBorders>
          </w:tcPr>
          <w:p>
            <w:pPr/>
          </w:p>
        </w:tc>
        <w:tc>
          <w:tcPr>
            <w:tcW w:w="1265" w:type="dxa"/>
            <w:vMerge w:val="restart"/>
            <w:tcBorders>
              <w:top w:val="single" w:sz="4" w:space="0" w:color="000000"/>
              <w:left w:val="single" w:sz="4" w:space="0" w:color="000000"/>
              <w:right w:val="single" w:sz="4" w:space="0" w:color="000000"/>
            </w:tcBorders>
          </w:tcPr>
          <w:p>
            <w:pPr/>
          </w:p>
        </w:tc>
        <w:tc>
          <w:tcPr>
            <w:tcW w:w="9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件尚未开</w:t>
            </w:r>
          </w:p>
        </w:tc>
        <w:tc>
          <w:tcPr>
            <w:tcW w:w="1392" w:type="dxa"/>
            <w:vMerge w:val="restart"/>
            <w:tcBorders>
              <w:top w:val="single" w:sz="4" w:space="0" w:color="000000"/>
              <w:left w:val="single" w:sz="4" w:space="0" w:color="000000"/>
              <w:right w:val="single" w:sz="4" w:space="0" w:color="000000"/>
            </w:tcBorders>
          </w:tcPr>
          <w:p>
            <w:pPr/>
          </w:p>
        </w:tc>
        <w:tc>
          <w:tcPr>
            <w:tcW w:w="1266"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finalpage/201</w:t>
            </w: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级人民法院提交</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庭审理。</w:t>
            </w: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2-10-24/6169</w:t>
            </w:r>
          </w:p>
        </w:tc>
      </w:tr>
      <w:tr>
        <w:trPr>
          <w:trHeight w:val="31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《民事起诉状</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3831.PDF</w:t>
            </w:r>
          </w:p>
        </w:tc>
      </w:tr>
      <w:tr>
        <w:trPr>
          <w:trHeight w:val="308"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起诉天元建设集</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团有限公司，理由</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日原告与被告签</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订了《建设工程施</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工合同</w:t>
            </w:r>
            <w:r>
              <w:rPr>
                <w:rFonts w:ascii="宋体" w:hAnsi="宋体" w:cs="宋体" w:eastAsia="宋体" w:hint="default"/>
                <w:spacing w:val="-90"/>
                <w:sz w:val="18"/>
                <w:szCs w:val="18"/>
              </w:rPr>
              <w:t>》</w:t>
            </w:r>
            <w:r>
              <w:rPr>
                <w:rFonts w:ascii="宋体" w:hAnsi="宋体" w:cs="宋体" w:eastAsia="宋体" w:hint="default"/>
                <w:sz w:val="18"/>
                <w:szCs w:val="18"/>
              </w:rPr>
              <w:t>，由被告</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承包施工原告的</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发包工程，竣工日</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日。但被告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日擅自</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停工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个月，造成</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4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工程工期延误</w:t>
            </w:r>
          </w:p>
        </w:tc>
        <w:tc>
          <w:tcPr>
            <w:tcW w:w="1086"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54" w:type="dxa"/>
            <w:tcBorders>
              <w:top w:val="nil" w:sz="6" w:space="0" w:color="auto"/>
              <w:left w:val="single" w:sz="4" w:space="0" w:color="000000"/>
              <w:bottom w:val="single" w:sz="4" w:space="0" w:color="000000"/>
              <w:right w:val="single" w:sz="4" w:space="0" w:color="000000"/>
            </w:tcBorders>
          </w:tcPr>
          <w:p>
            <w:pPr/>
          </w:p>
        </w:tc>
        <w:tc>
          <w:tcPr>
            <w:tcW w:w="1392"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451" w:type="dxa"/>
            <w:tcBorders>
              <w:top w:val="single" w:sz="4" w:space="0" w:color="000000"/>
              <w:left w:val="single" w:sz="4" w:space="0" w:color="000000"/>
              <w:bottom w:val="nil" w:sz="6" w:space="0" w:color="auto"/>
              <w:right w:val="single" w:sz="4" w:space="0" w:color="000000"/>
            </w:tcBorders>
          </w:tcPr>
          <w:p>
            <w:pPr/>
          </w:p>
        </w:tc>
        <w:tc>
          <w:tcPr>
            <w:tcW w:w="1086"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
        </w:tc>
        <w:tc>
          <w:tcPr>
            <w:tcW w:w="9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被济南市</w:t>
            </w:r>
          </w:p>
        </w:tc>
        <w:tc>
          <w:tcPr>
            <w:tcW w:w="1392" w:type="dxa"/>
            <w:vMerge w:val="restart"/>
            <w:tcBorders>
              <w:top w:val="single" w:sz="4" w:space="0" w:color="000000"/>
              <w:left w:val="single" w:sz="4" w:space="0" w:color="000000"/>
              <w:right w:val="single" w:sz="4" w:space="0" w:color="000000"/>
            </w:tcBorders>
          </w:tcPr>
          <w:p>
            <w:pPr/>
          </w:p>
        </w:tc>
        <w:tc>
          <w:tcPr>
            <w:tcW w:w="1266" w:type="dxa"/>
            <w:vMerge w:val="restart"/>
            <w:tcBorders>
              <w:top w:val="single" w:sz="4" w:space="0" w:color="000000"/>
              <w:left w:val="single" w:sz="4" w:space="0" w:color="000000"/>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长清区人</w:t>
            </w: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民法院</w:t>
            </w: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）长</w:t>
            </w: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1559"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邹学林诉山东港 基建设集团有限 公司及泗水海情 置业有限公司案，</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民初字</w:t>
            </w:r>
          </w:p>
          <w:p>
            <w:pPr>
              <w:pStyle w:val="TableParagraph"/>
              <w:spacing w:line="312" w:lineRule="auto" w:before="76"/>
              <w:ind w:left="24"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872-4</w:t>
            </w:r>
            <w:r>
              <w:rPr>
                <w:rFonts w:ascii="Times New Roman" w:hAnsi="Times New Roman" w:cs="Times New Roman" w:eastAsia="Times New Roman" w:hint="default"/>
                <w:spacing w:val="-18"/>
                <w:sz w:val="18"/>
                <w:szCs w:val="18"/>
              </w:rPr>
              <w:t> </w:t>
            </w:r>
            <w:r>
              <w:rPr>
                <w:rFonts w:ascii="宋体" w:hAnsi="宋体" w:cs="宋体" w:eastAsia="宋体" w:hint="default"/>
                <w:spacing w:val="-30"/>
                <w:sz w:val="18"/>
                <w:szCs w:val="18"/>
              </w:rPr>
              <w:t>号《民</w:t>
            </w:r>
            <w:r>
              <w:rPr>
                <w:rFonts w:ascii="宋体" w:hAnsi="宋体" w:cs="宋体" w:eastAsia="宋体" w:hint="default"/>
                <w:sz w:val="18"/>
                <w:szCs w:val="18"/>
              </w:rPr>
              <w:t> 事裁定书》 裁定冻结、 泗水海情</w:t>
            </w: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2" w:right="35"/>
              <w:jc w:val="left"/>
              <w:rPr>
                <w:rFonts w:ascii="Times New Roman" w:hAnsi="Times New Roman" w:cs="Times New Roman" w:eastAsia="Times New Roman" w:hint="default"/>
                <w:sz w:val="18"/>
                <w:szCs w:val="18"/>
              </w:rPr>
            </w:pPr>
            <w:r>
              <w:rPr>
                <w:rFonts w:ascii="Times New Roman"/>
                <w:sz w:val="18"/>
              </w:rPr>
              <w:t>http://www.c ninfo.com.cn/ information/c ompanyinfo.h tml</w:t>
            </w:r>
          </w:p>
        </w:tc>
      </w:tr>
      <w:tr>
        <w:trPr>
          <w:trHeight w:val="308"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置业有限</w:t>
            </w: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元的银行</w:t>
            </w: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51" w:type="dxa"/>
            <w:tcBorders>
              <w:top w:val="nil" w:sz="6" w:space="0" w:color="auto"/>
              <w:left w:val="single" w:sz="4" w:space="0" w:color="000000"/>
              <w:bottom w:val="single" w:sz="4" w:space="0" w:color="000000"/>
              <w:right w:val="single" w:sz="4" w:space="0" w:color="000000"/>
            </w:tcBorders>
          </w:tcPr>
          <w:p>
            <w:pPr/>
          </w:p>
        </w:tc>
        <w:tc>
          <w:tcPr>
            <w:tcW w:w="1086"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9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存款。</w:t>
            </w:r>
          </w:p>
        </w:tc>
        <w:tc>
          <w:tcPr>
            <w:tcW w:w="1392"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媒体质疑情况</w:t>
      </w:r>
    </w:p>
    <w:p>
      <w:pPr>
        <w:pStyle w:val="BodyText"/>
        <w:spacing w:line="338" w:lineRule="auto" w:before="117"/>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本年度公司无媒体质疑事项。</w:t>
      </w:r>
    </w:p>
    <w:p>
      <w:pPr>
        <w:spacing w:line="602" w:lineRule="exact" w:before="51"/>
        <w:ind w:left="154" w:right="7250" w:firstLine="0"/>
        <w:jc w:val="left"/>
        <w:rPr>
          <w:rFonts w:ascii="宋体" w:hAnsi="宋体" w:cs="宋体" w:eastAsia="宋体" w:hint="default"/>
          <w:sz w:val="18"/>
          <w:szCs w:val="18"/>
        </w:rPr>
      </w:pPr>
      <w:r>
        <w:rPr>
          <w:rFonts w:ascii="宋体" w:hAnsi="宋体" w:cs="宋体" w:eastAsia="宋体" w:hint="default"/>
          <w:b/>
          <w:bCs/>
          <w:sz w:val="24"/>
          <w:szCs w:val="24"/>
        </w:rPr>
        <w:t>二、资产交易事项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、企业合并情况</w:t>
      </w:r>
      <w:r>
        <w:rPr>
          <w:rFonts w:ascii="宋体" w:hAnsi="宋体" w:cs="宋体" w:eastAsia="宋体" w:hint="default"/>
          <w:b/>
          <w:bCs/>
          <w:spacing w:val="1"/>
          <w:w w:val="99"/>
          <w:sz w:val="21"/>
          <w:szCs w:val="21"/>
        </w:rPr>
        <w:t> </w:t>
      </w:r>
      <w:r>
        <w:rPr>
          <w:rFonts w:ascii="宋体" w:hAnsi="宋体" w:cs="宋体" w:eastAsia="宋体" w:hint="default"/>
          <w:sz w:val="18"/>
          <w:szCs w:val="18"/>
        </w:rPr>
        <w:t>报告期内合并范围未发生变化。</w:t>
      </w:r>
    </w:p>
    <w:p>
      <w:pPr>
        <w:pStyle w:val="BodyText"/>
        <w:spacing w:line="231" w:lineRule="exact"/>
        <w:ind w:left="153"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日经股东大会决议通过，绵阳亿嘉合投资有限公司的股东青岛亚星实业有限公司将其持有的</w:t>
      </w:r>
      <w:r>
        <w:rPr>
          <w:rFonts w:ascii="Times New Roman" w:hAnsi="Times New Roman" w:cs="Times New Roman" w:eastAsia="Times New Roman" w:hint="default"/>
        </w:rPr>
        <w:t>51%</w:t>
      </w:r>
      <w:r>
        <w:rPr/>
        <w:t>的股权</w:t>
      </w:r>
    </w:p>
    <w:p>
      <w:pPr>
        <w:pStyle w:val="BodyText"/>
        <w:spacing w:line="300" w:lineRule="auto" w:before="63"/>
        <w:ind w:left="153" w:right="0"/>
        <w:jc w:val="left"/>
      </w:pPr>
      <w:r>
        <w:rPr>
          <w:spacing w:val="-1"/>
        </w:rPr>
        <w:t>作价</w:t>
      </w:r>
      <w:r>
        <w:rPr>
          <w:rFonts w:ascii="Times New Roman" w:hAnsi="Times New Roman" w:cs="Times New Roman" w:eastAsia="Times New Roman" w:hint="default"/>
          <w:spacing w:val="-1"/>
        </w:rPr>
        <w:t>575.33</w:t>
      </w:r>
      <w:r>
        <w:rPr>
          <w:spacing w:val="-1"/>
        </w:rPr>
        <w:t>万元转让给深圳大通实业股份有限公司，工商变更登记已于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15</w:t>
      </w:r>
      <w:r>
        <w:rPr>
          <w:spacing w:val="-1"/>
        </w:rPr>
        <w:t>日完成，但股权转让款仍未支付，本年</w:t>
      </w:r>
      <w:r>
        <w:rPr>
          <w:spacing w:val="-67"/>
        </w:rPr>
        <w:t> </w:t>
      </w:r>
      <w:r>
        <w:rPr>
          <w:spacing w:val="-67"/>
        </w:rPr>
      </w:r>
      <w:r>
        <w:rPr/>
        <w:t>度未纳入合并范围。</w:t>
      </w:r>
    </w:p>
    <w:p>
      <w:pPr>
        <w:pStyle w:val="BodyText"/>
        <w:spacing w:line="300" w:lineRule="auto" w:before="31"/>
        <w:ind w:left="153" w:right="98"/>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8</w:t>
      </w:r>
      <w:r>
        <w:rPr>
          <w:spacing w:val="-2"/>
        </w:rPr>
        <w:t>日经股东大会决议通过，青岛通亚建筑安装有限公司的股东天津天和福远投资有限公司将其持有的青岛通</w:t>
      </w:r>
      <w:r>
        <w:rPr>
          <w:spacing w:val="-56"/>
        </w:rPr>
        <w:t> </w:t>
      </w:r>
      <w:r>
        <w:rPr>
          <w:spacing w:val="-56"/>
        </w:rPr>
      </w:r>
      <w:r>
        <w:rPr/>
        <w:t>亚建筑安装有限公司</w:t>
      </w:r>
      <w:r>
        <w:rPr>
          <w:rFonts w:ascii="Times New Roman" w:hAnsi="Times New Roman" w:cs="Times New Roman" w:eastAsia="Times New Roman" w:hint="default"/>
        </w:rPr>
        <w:t>100%</w:t>
      </w:r>
      <w:r>
        <w:rPr/>
        <w:t>的股权作价</w:t>
      </w:r>
      <w:r>
        <w:rPr>
          <w:rFonts w:ascii="Times New Roman" w:hAnsi="Times New Roman" w:cs="Times New Roman" w:eastAsia="Times New Roman" w:hint="default"/>
        </w:rPr>
        <w:t>1000</w:t>
      </w:r>
      <w:r>
        <w:rPr/>
        <w:t>万元转让给济宁海情贸易有限公司承继，工商变更登记已于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日完成， 但股权转让款仍未支付，本年度未纳入合并范围。</w:t>
      </w:r>
    </w:p>
    <w:p>
      <w:pPr>
        <w:spacing w:after="0" w:line="300" w:lineRule="auto"/>
        <w:jc w:val="both"/>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三、重大关联交易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p>
      <w:pPr>
        <w:pStyle w:val="BodyText"/>
        <w:spacing w:line="240" w:lineRule="auto" w:before="44"/>
        <w:ind w:left="0" w:right="157"/>
        <w:jc w:val="right"/>
      </w:pPr>
      <w:r>
        <w:rPr/>
        <w:pict>
          <v:shape style="position:absolute;margin-left:56.459999pt;margin-top:-288.547974pt;width:479.35pt;height:497.9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7"/>
                    <w:gridCol w:w="798"/>
                    <w:gridCol w:w="798"/>
                    <w:gridCol w:w="798"/>
                    <w:gridCol w:w="800"/>
                    <w:gridCol w:w="797"/>
                    <w:gridCol w:w="798"/>
                    <w:gridCol w:w="798"/>
                    <w:gridCol w:w="798"/>
                    <w:gridCol w:w="798"/>
                    <w:gridCol w:w="796"/>
                    <w:gridCol w:w="797"/>
                  </w:tblGrid>
                  <w:tr>
                    <w:trPr>
                      <w:trHeight w:val="1026"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31"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 w:right="35"/>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青岛天和 智远商贸 有限公司</w:t>
                        </w:r>
                      </w:p>
                      <w:p>
                        <w:pPr>
                          <w:pStyle w:val="TableParagraph"/>
                          <w:spacing w:line="319" w:lineRule="auto" w:before="19"/>
                          <w:ind w:left="22" w:right="42"/>
                          <w:jc w:val="left"/>
                          <w:rPr>
                            <w:rFonts w:ascii="宋体" w:hAnsi="宋体" w:cs="宋体" w:eastAsia="宋体" w:hint="default"/>
                            <w:sz w:val="18"/>
                            <w:szCs w:val="18"/>
                          </w:rPr>
                        </w:pPr>
                        <w:r>
                          <w:rPr>
                            <w:rFonts w:ascii="宋体" w:hAnsi="宋体" w:cs="宋体" w:eastAsia="宋体" w:hint="default"/>
                            <w:sz w:val="18"/>
                            <w:szCs w:val="18"/>
                          </w:rPr>
                          <w:t>（原青岛 亚星投资 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43"/>
                          <w:jc w:val="both"/>
                          <w:rPr>
                            <w:rFonts w:ascii="宋体" w:hAnsi="宋体" w:cs="宋体" w:eastAsia="宋体" w:hint="default"/>
                            <w:sz w:val="18"/>
                            <w:szCs w:val="18"/>
                          </w:rPr>
                        </w:pPr>
                        <w:r>
                          <w:rPr>
                            <w:rFonts w:ascii="宋体" w:hAnsi="宋体" w:cs="宋体" w:eastAsia="宋体" w:hint="default"/>
                            <w:sz w:val="18"/>
                            <w:szCs w:val="18"/>
                          </w:rPr>
                          <w:t>受同一控 股股东控 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钢材</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协议作价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4760.694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30,993,91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银行票据</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4000-480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2">
                          <w:r>
                            <w:rPr>
                              <w:rFonts w:ascii="Times New Roman"/>
                              <w:sz w:val="18"/>
                            </w:rPr>
                            <w:t>http://ww</w:t>
                          </w:r>
                        </w:hyperlink>
                      </w:p>
                      <w:p>
                        <w:pPr>
                          <w:pStyle w:val="TableParagraph"/>
                          <w:spacing w:line="362" w:lineRule="auto" w:before="105"/>
                          <w:ind w:left="22" w:right="93"/>
                          <w:jc w:val="left"/>
                          <w:rPr>
                            <w:rFonts w:ascii="Times New Roman" w:hAnsi="Times New Roman" w:cs="Times New Roman" w:eastAsia="Times New Roman" w:hint="default"/>
                            <w:sz w:val="18"/>
                            <w:szCs w:val="18"/>
                          </w:rPr>
                        </w:pPr>
                        <w:r>
                          <w:rPr>
                            <w:rFonts w:ascii="Times New Roman"/>
                            <w:spacing w:val="-2"/>
                            <w:sz w:val="18"/>
                          </w:rPr>
                          <w:t>w.cninfo.</w:t>
                        </w:r>
                        <w:r>
                          <w:rPr>
                            <w:rFonts w:ascii="Times New Roman"/>
                            <w:spacing w:val="-40"/>
                            <w:sz w:val="18"/>
                          </w:rPr>
                          <w:t> </w:t>
                        </w:r>
                        <w:r>
                          <w:rPr>
                            <w:rFonts w:ascii="Times New Roman"/>
                            <w:spacing w:val="-40"/>
                            <w:sz w:val="18"/>
                          </w:rPr>
                        </w:r>
                        <w:r>
                          <w:rPr>
                            <w:rFonts w:ascii="Times New Roman"/>
                            <w:sz w:val="18"/>
                          </w:rPr>
                          <w:t>com.cn</w:t>
                        </w:r>
                      </w:p>
                    </w:tc>
                  </w:tr>
                  <w:tr>
                    <w:trPr>
                      <w:trHeight w:val="102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青岛通亚 建筑安装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已收购但 未纳入合 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钢材</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center"/>
                          <w:rPr>
                            <w:rFonts w:ascii="宋体" w:hAnsi="宋体" w:cs="宋体" w:eastAsia="宋体" w:hint="default"/>
                            <w:sz w:val="18"/>
                            <w:szCs w:val="18"/>
                          </w:rPr>
                        </w:pPr>
                        <w:r>
                          <w:rPr>
                            <w:rFonts w:ascii="宋体" w:hAnsi="宋体" w:cs="宋体" w:eastAsia="宋体" w:hint="default"/>
                            <w:sz w:val="18"/>
                            <w:szCs w:val="18"/>
                          </w:rPr>
                          <w:t>协议作价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4764.16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2,027,534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银行票据</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4000-480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t>
                          </w:r>
                        </w:hyperlink>
                      </w:p>
                      <w:p>
                        <w:pPr>
                          <w:pStyle w:val="TableParagraph"/>
                          <w:spacing w:line="362" w:lineRule="auto" w:before="105"/>
                          <w:ind w:left="22" w:right="93"/>
                          <w:jc w:val="left"/>
                          <w:rPr>
                            <w:rFonts w:ascii="Times New Roman" w:hAnsi="Times New Roman" w:cs="Times New Roman" w:eastAsia="Times New Roman" w:hint="default"/>
                            <w:sz w:val="18"/>
                            <w:szCs w:val="18"/>
                          </w:rPr>
                        </w:pPr>
                        <w:r>
                          <w:rPr>
                            <w:rFonts w:ascii="Times New Roman"/>
                            <w:spacing w:val="-2"/>
                            <w:sz w:val="18"/>
                          </w:rPr>
                          <w:t>w.cninfo.</w:t>
                        </w:r>
                        <w:r>
                          <w:rPr>
                            <w:rFonts w:ascii="Times New Roman"/>
                            <w:spacing w:val="-40"/>
                            <w:sz w:val="18"/>
                          </w:rPr>
                          <w:t> </w:t>
                        </w:r>
                        <w:r>
                          <w:rPr>
                            <w:rFonts w:ascii="Times New Roman"/>
                            <w:spacing w:val="-40"/>
                            <w:sz w:val="18"/>
                          </w:rPr>
                        </w:r>
                        <w:r>
                          <w:rPr>
                            <w:rFonts w:ascii="Times New Roman"/>
                            <w:sz w:val="18"/>
                          </w:rPr>
                          <w:t>com.cn</w:t>
                        </w:r>
                      </w:p>
                    </w:tc>
                  </w:tr>
                  <w:tr>
                    <w:trPr>
                      <w:trHeight w:val="161" w:hRule="exact"/>
                    </w:trPr>
                    <w:tc>
                      <w:tcPr>
                        <w:tcW w:w="3191"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800"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vMerge w:val="restart"/>
                        <w:tcBorders>
                          <w:top w:val="single" w:sz="4" w:space="0" w:color="000000"/>
                          <w:left w:val="single" w:sz="9" w:space="0" w:color="D3D3D3"/>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33,021,44</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9.57</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3191"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vMerge/>
                        <w:tcBorders>
                          <w:left w:val="single" w:sz="9" w:space="0" w:color="D3D3D3"/>
                          <w:right w:val="single" w:sz="4" w:space="0" w:color="000000"/>
                        </w:tcBorders>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6"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r>
                  <w:tr>
                    <w:trPr>
                      <w:trHeight w:val="161" w:hRule="exact"/>
                    </w:trPr>
                    <w:tc>
                      <w:tcPr>
                        <w:tcW w:w="3191"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800"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9" w:space="0" w:color="D3D3D3"/>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19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82"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3191"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382" w:type="dxa"/>
                        <w:gridSpan w:val="8"/>
                        <w:vMerge w:val="restart"/>
                        <w:tcBorders>
                          <w:top w:val="single" w:sz="4" w:space="0" w:color="000000"/>
                          <w:left w:val="single" w:sz="9" w:space="0" w:color="D3D3D3"/>
                          <w:right w:val="single" w:sz="4" w:space="0" w:color="000000"/>
                        </w:tcBorders>
                      </w:tcPr>
                      <w:p>
                        <w:pPr>
                          <w:pStyle w:val="TableParagraph"/>
                          <w:spacing w:line="319" w:lineRule="auto" w:before="51"/>
                          <w:ind w:left="16" w:right="47"/>
                          <w:jc w:val="left"/>
                          <w:rPr>
                            <w:rFonts w:ascii="宋体" w:hAnsi="宋体" w:cs="宋体" w:eastAsia="宋体" w:hint="default"/>
                            <w:sz w:val="18"/>
                            <w:szCs w:val="18"/>
                          </w:rPr>
                        </w:pPr>
                        <w:r>
                          <w:rPr>
                            <w:rFonts w:ascii="宋体" w:hAnsi="宋体" w:cs="宋体" w:eastAsia="宋体" w:hint="default"/>
                            <w:sz w:val="18"/>
                            <w:szCs w:val="18"/>
                          </w:rPr>
                          <w:t>上市公司子公司济宁海情贸易有限公司与控股股东下属公司青岛天和智远商贸有 </w:t>
                        </w:r>
                        <w:r>
                          <w:rPr>
                            <w:rFonts w:ascii="宋体" w:hAnsi="宋体" w:cs="宋体" w:eastAsia="宋体" w:hint="default"/>
                            <w:spacing w:val="-7"/>
                            <w:sz w:val="18"/>
                            <w:szCs w:val="18"/>
                          </w:rPr>
                          <w:t>限公司（原青岛亚星投资有限公司）、青岛通亚建筑安装有限公司存在的关联交易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是因行业经营模式产生。济宁海情贸易有限公司为竞价集中采购平台，目的是通 过较大规模的竞价集中采购降低房地产项目的建筑材料的采购成本，提高房地产 开发产品的价格竞争力，赢得购房客户，扩大市场份额。</w:t>
                        </w:r>
                      </w:p>
                    </w:tc>
                  </w:tr>
                  <w:tr>
                    <w:trPr>
                      <w:trHeight w:val="1016" w:hRule="exact"/>
                    </w:trPr>
                    <w:tc>
                      <w:tcPr>
                        <w:tcW w:w="3191"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82" w:type="dxa"/>
                        <w:gridSpan w:val="8"/>
                        <w:vMerge/>
                        <w:tcBorders>
                          <w:left w:val="single" w:sz="9" w:space="0" w:color="D3D3D3"/>
                          <w:right w:val="single" w:sz="4" w:space="0" w:color="000000"/>
                        </w:tcBorders>
                      </w:tcPr>
                      <w:p>
                        <w:pPr/>
                      </w:p>
                    </w:tc>
                  </w:tr>
                  <w:tr>
                    <w:trPr>
                      <w:trHeight w:val="317" w:hRule="exact"/>
                    </w:trPr>
                    <w:tc>
                      <w:tcPr>
                        <w:tcW w:w="3191"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382" w:type="dxa"/>
                        <w:gridSpan w:val="8"/>
                        <w:vMerge/>
                        <w:tcBorders>
                          <w:left w:val="single" w:sz="9" w:space="0" w:color="D3D3D3"/>
                          <w:bottom w:val="single" w:sz="4" w:space="0" w:color="000000"/>
                          <w:right w:val="single" w:sz="4" w:space="0" w:color="000000"/>
                        </w:tcBorders>
                      </w:tcPr>
                      <w:p>
                        <w:pPr/>
                      </w:p>
                    </w:tc>
                  </w:tr>
                  <w:tr>
                    <w:trPr>
                      <w:trHeight w:val="402" w:hRule="exact"/>
                    </w:trPr>
                    <w:tc>
                      <w:tcPr>
                        <w:tcW w:w="319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82"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19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82"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目前公司日常运作的部分资金向关联公司借入</w:t>
                        </w:r>
                      </w:p>
                    </w:tc>
                  </w:tr>
                  <w:tr>
                    <w:trPr>
                      <w:trHeight w:val="1026" w:hRule="exact"/>
                    </w:trPr>
                    <w:tc>
                      <w:tcPr>
                        <w:tcW w:w="319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82"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19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w:t>
                        </w:r>
                      </w:p>
                    </w:tc>
                    <w:tc>
                      <w:tcPr>
                        <w:tcW w:w="6382"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是否存在非经营性关联债权债务往来</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35"/>
        <w:gridCol w:w="1118"/>
        <w:gridCol w:w="1120"/>
        <w:gridCol w:w="1118"/>
        <w:gridCol w:w="1120"/>
        <w:gridCol w:w="1118"/>
        <w:gridCol w:w="1120"/>
        <w:gridCol w:w="1118"/>
      </w:tblGrid>
      <w:tr>
        <w:trPr>
          <w:trHeight w:val="1026" w:hRule="exact"/>
        </w:trPr>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65" w:right="102"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4"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5" w:right="10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74" w:right="20" w:hanging="352"/>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7"/>
              <w:ind w:left="19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74" w:right="20" w:hanging="352"/>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35"/>
        <w:gridCol w:w="1118"/>
        <w:gridCol w:w="1120"/>
        <w:gridCol w:w="1118"/>
        <w:gridCol w:w="1120"/>
        <w:gridCol w:w="1118"/>
        <w:gridCol w:w="1120"/>
        <w:gridCol w:w="1118"/>
      </w:tblGrid>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青岛亚星实业有限公 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2,433</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青岛嘉合福远置业有 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受同一控股 股东控制</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方正延中传媒有限公 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公司股东</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青岛美丰置业有限公 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受同一控股 股东控制</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青岛亚星置业有限公 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受同一控股 股东控制</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w:t>
            </w:r>
          </w:p>
        </w:tc>
      </w:tr>
      <w:tr>
        <w:trPr>
          <w:trHeight w:val="1026"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青岛天和智远商贸有 限公司（原青岛亚星 投资有限公司）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85"/>
              <w:jc w:val="left"/>
              <w:rPr>
                <w:rFonts w:ascii="宋体" w:hAnsi="宋体" w:cs="宋体" w:eastAsia="宋体" w:hint="default"/>
                <w:sz w:val="18"/>
                <w:szCs w:val="18"/>
              </w:rPr>
            </w:pPr>
            <w:r>
              <w:rPr>
                <w:rFonts w:ascii="宋体" w:hAnsi="宋体" w:cs="宋体" w:eastAsia="宋体" w:hint="default"/>
                <w:sz w:val="18"/>
                <w:szCs w:val="18"/>
              </w:rPr>
              <w:t>受同一控股 股东控制</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青岛天和智远商贸有 限公司（原青岛亚星 投资有限公司）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85"/>
              <w:jc w:val="left"/>
              <w:rPr>
                <w:rFonts w:ascii="宋体" w:hAnsi="宋体" w:cs="宋体" w:eastAsia="宋体" w:hint="default"/>
                <w:sz w:val="18"/>
                <w:szCs w:val="18"/>
              </w:rPr>
            </w:pPr>
            <w:r>
              <w:rPr>
                <w:rFonts w:ascii="宋体" w:hAnsi="宋体" w:cs="宋体" w:eastAsia="宋体" w:hint="default"/>
                <w:sz w:val="18"/>
                <w:szCs w:val="18"/>
              </w:rPr>
              <w:t>受同一控股 股东控制</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85"/>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45.9</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青岛亿合福远置业有 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受同一控股 股东控制</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孙登义</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公司高管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预收房款</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许亚楠</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公司高管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预收房款</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72.8</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易平良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公司高管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预收房款</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6"/>
        <w:gridCol w:w="940"/>
        <w:gridCol w:w="936"/>
        <w:gridCol w:w="1212"/>
        <w:gridCol w:w="1178"/>
        <w:gridCol w:w="1094"/>
        <w:gridCol w:w="1018"/>
        <w:gridCol w:w="800"/>
        <w:gridCol w:w="788"/>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8"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6"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19" w:right="150"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5" w:right="3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71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泗水海情置业有限 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8" w:right="0"/>
              <w:jc w:val="left"/>
              <w:rPr>
                <w:rFonts w:ascii="Times New Roman" w:hAnsi="Times New Roman" w:cs="Times New Roman" w:eastAsia="Times New Roman" w:hint="default"/>
                <w:sz w:val="18"/>
                <w:szCs w:val="18"/>
              </w:rPr>
            </w:pPr>
            <w:r>
              <w:rPr>
                <w:rFonts w:ascii="Times New Roman"/>
                <w:sz w:val="18"/>
              </w:rPr>
              <w:t>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2013.5.8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0"/>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48"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w:t>
            </w:r>
          </w:p>
        </w:tc>
        <w:tc>
          <w:tcPr>
            <w:tcW w:w="2148"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报告期末实际对外担保余额</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06"/>
        <w:gridCol w:w="917"/>
        <w:gridCol w:w="958"/>
        <w:gridCol w:w="1203"/>
        <w:gridCol w:w="1176"/>
        <w:gridCol w:w="1087"/>
        <w:gridCol w:w="1019"/>
        <w:gridCol w:w="818"/>
        <w:gridCol w:w="777"/>
      </w:tblGrid>
      <w:tr>
        <w:trPr>
          <w:trHeight w:val="362" w:hRule="exact"/>
        </w:trPr>
        <w:tc>
          <w:tcPr>
            <w:tcW w:w="25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62" w:type="dxa"/>
            <w:gridSpan w:val="2"/>
            <w:tcBorders>
              <w:top w:val="single" w:sz="4" w:space="0" w:color="000000"/>
              <w:left w:val="single" w:sz="13" w:space="0" w:color="D3D3D3"/>
              <w:bottom w:val="single" w:sz="4" w:space="0" w:color="000000"/>
              <w:right w:val="single" w:sz="9" w:space="0" w:color="D3D3D3"/>
            </w:tcBorders>
          </w:tcPr>
          <w:p>
            <w:pPr/>
          </w:p>
        </w:tc>
        <w:tc>
          <w:tcPr>
            <w:tcW w:w="226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14" w:type="dxa"/>
            <w:gridSpan w:val="3"/>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1" w:hRule="exact"/>
        </w:trPr>
        <w:tc>
          <w:tcPr>
            <w:tcW w:w="1606" w:type="dxa"/>
            <w:vMerge w:val="restart"/>
            <w:tcBorders>
              <w:top w:val="single" w:sz="4" w:space="0" w:color="000000"/>
              <w:left w:val="single" w:sz="4" w:space="0" w:color="000000"/>
              <w:right w:val="single" w:sz="4" w:space="0" w:color="000000"/>
            </w:tcBorders>
            <w:shd w:val="clear" w:color="auto" w:fill="D3D3D3"/>
          </w:tcPr>
          <w:p>
            <w:pPr/>
          </w:p>
        </w:tc>
        <w:tc>
          <w:tcPr>
            <w:tcW w:w="917"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vMerge w:val="restart"/>
            <w:tcBorders>
              <w:top w:val="single" w:sz="4" w:space="0" w:color="000000"/>
              <w:left w:val="single" w:sz="4" w:space="0" w:color="000000"/>
              <w:right w:val="single" w:sz="4" w:space="0" w:color="000000"/>
            </w:tcBorders>
            <w:shd w:val="clear" w:color="auto" w:fill="D3D3D3"/>
          </w:tcPr>
          <w:p>
            <w:pPr/>
          </w:p>
        </w:tc>
        <w:tc>
          <w:tcPr>
            <w:tcW w:w="1203" w:type="dxa"/>
            <w:tcBorders>
              <w:top w:val="single" w:sz="4" w:space="0" w:color="000000"/>
              <w:left w:val="single" w:sz="4" w:space="0" w:color="000000"/>
              <w:bottom w:val="nil" w:sz="6" w:space="0" w:color="auto"/>
              <w:right w:val="single" w:sz="4" w:space="0" w:color="000000"/>
            </w:tcBorders>
            <w:shd w:val="clear" w:color="auto" w:fill="D3D3D3"/>
          </w:tcPr>
          <w:p>
            <w:pPr/>
          </w:p>
        </w:tc>
        <w:tc>
          <w:tcPr>
            <w:tcW w:w="1176" w:type="dxa"/>
            <w:vMerge w:val="restart"/>
            <w:tcBorders>
              <w:top w:val="single" w:sz="4" w:space="0" w:color="000000"/>
              <w:left w:val="single" w:sz="4" w:space="0" w:color="000000"/>
              <w:right w:val="single" w:sz="4" w:space="0" w:color="000000"/>
            </w:tcBorders>
            <w:shd w:val="clear" w:color="auto" w:fill="D3D3D3"/>
          </w:tcPr>
          <w:p>
            <w:pPr/>
          </w:p>
        </w:tc>
        <w:tc>
          <w:tcPr>
            <w:tcW w:w="1087" w:type="dxa"/>
            <w:vMerge w:val="restart"/>
            <w:tcBorders>
              <w:top w:val="single" w:sz="4" w:space="0" w:color="000000"/>
              <w:left w:val="single" w:sz="4" w:space="0" w:color="000000"/>
              <w:right w:val="single" w:sz="4" w:space="0" w:color="000000"/>
            </w:tcBorders>
            <w:shd w:val="clear" w:color="auto" w:fill="D3D3D3"/>
          </w:tcPr>
          <w:p>
            <w:pPr/>
          </w:p>
        </w:tc>
        <w:tc>
          <w:tcPr>
            <w:tcW w:w="1019" w:type="dxa"/>
            <w:vMerge w:val="restart"/>
            <w:tcBorders>
              <w:top w:val="single" w:sz="4" w:space="0" w:color="000000"/>
              <w:left w:val="single" w:sz="4" w:space="0" w:color="000000"/>
              <w:right w:val="single" w:sz="4" w:space="0" w:color="000000"/>
            </w:tcBorders>
            <w:shd w:val="clear" w:color="auto" w:fill="D3D3D3"/>
          </w:tcPr>
          <w:p>
            <w:pPr/>
          </w:p>
        </w:tc>
        <w:tc>
          <w:tcPr>
            <w:tcW w:w="818" w:type="dxa"/>
            <w:vMerge w:val="restart"/>
            <w:tcBorders>
              <w:top w:val="single" w:sz="4" w:space="0" w:color="000000"/>
              <w:left w:val="single" w:sz="4" w:space="0" w:color="000000"/>
              <w:right w:val="single" w:sz="4" w:space="0" w:color="000000"/>
            </w:tcBorders>
            <w:shd w:val="clear" w:color="auto" w:fill="D3D3D3"/>
          </w:tcPr>
          <w:p>
            <w:pPr/>
          </w:p>
        </w:tc>
        <w:tc>
          <w:tcPr>
            <w:tcW w:w="77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7"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07"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156" w:hRule="exact"/>
        </w:trPr>
        <w:tc>
          <w:tcPr>
            <w:tcW w:w="1606" w:type="dxa"/>
            <w:vMerge/>
            <w:tcBorders>
              <w:left w:val="single" w:sz="4" w:space="0" w:color="000000"/>
              <w:right w:val="single" w:sz="4" w:space="0" w:color="000000"/>
            </w:tcBorders>
            <w:shd w:val="clear" w:color="auto" w:fill="D3D3D3"/>
          </w:tcPr>
          <w:p>
            <w:pPr/>
          </w:p>
        </w:tc>
        <w:tc>
          <w:tcPr>
            <w:tcW w:w="91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91"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58" w:type="dxa"/>
            <w:vMerge/>
            <w:tcBorders>
              <w:left w:val="single" w:sz="4" w:space="0" w:color="000000"/>
              <w:right w:val="single" w:sz="4" w:space="0" w:color="000000"/>
            </w:tcBorders>
            <w:shd w:val="clear" w:color="auto" w:fill="D3D3D3"/>
          </w:tcPr>
          <w:p>
            <w:pPr/>
          </w:p>
        </w:tc>
        <w:tc>
          <w:tcPr>
            <w:tcW w:w="120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08" w:right="153"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vMerge/>
            <w:tcBorders>
              <w:left w:val="single" w:sz="4" w:space="0" w:color="000000"/>
              <w:right w:val="single" w:sz="4" w:space="0" w:color="000000"/>
            </w:tcBorders>
            <w:shd w:val="clear" w:color="auto" w:fill="D3D3D3"/>
          </w:tcPr>
          <w:p>
            <w:pPr/>
          </w:p>
        </w:tc>
        <w:tc>
          <w:tcPr>
            <w:tcW w:w="1087" w:type="dxa"/>
            <w:vMerge/>
            <w:tcBorders>
              <w:left w:val="single" w:sz="4" w:space="0" w:color="000000"/>
              <w:right w:val="single" w:sz="4" w:space="0" w:color="000000"/>
            </w:tcBorders>
            <w:shd w:val="clear" w:color="auto" w:fill="D3D3D3"/>
          </w:tcPr>
          <w:p>
            <w:pPr/>
          </w:p>
        </w:tc>
        <w:tc>
          <w:tcPr>
            <w:tcW w:w="1019" w:type="dxa"/>
            <w:vMerge/>
            <w:tcBorders>
              <w:left w:val="single" w:sz="4" w:space="0" w:color="000000"/>
              <w:right w:val="single" w:sz="4" w:space="0" w:color="000000"/>
            </w:tcBorders>
            <w:shd w:val="clear" w:color="auto" w:fill="D3D3D3"/>
          </w:tcPr>
          <w:p>
            <w:pPr/>
          </w:p>
        </w:tc>
        <w:tc>
          <w:tcPr>
            <w:tcW w:w="818" w:type="dxa"/>
            <w:vMerge/>
            <w:tcBorders>
              <w:left w:val="single" w:sz="4" w:space="0" w:color="000000"/>
              <w:bottom w:val="nil" w:sz="6" w:space="0" w:color="auto"/>
              <w:right w:val="single" w:sz="4" w:space="0" w:color="000000"/>
            </w:tcBorders>
            <w:shd w:val="clear" w:color="auto" w:fill="D3D3D3"/>
          </w:tcPr>
          <w:p>
            <w:pPr/>
          </w:p>
        </w:tc>
        <w:tc>
          <w:tcPr>
            <w:tcW w:w="777" w:type="dxa"/>
            <w:vMerge/>
            <w:tcBorders>
              <w:left w:val="single" w:sz="4" w:space="0" w:color="000000"/>
              <w:right w:val="single" w:sz="4" w:space="0" w:color="000000"/>
            </w:tcBorders>
            <w:shd w:val="clear" w:color="auto" w:fill="D3D3D3"/>
          </w:tcPr>
          <w:p>
            <w:pPr/>
          </w:p>
        </w:tc>
      </w:tr>
      <w:tr>
        <w:trPr>
          <w:trHeight w:val="156" w:hRule="exact"/>
        </w:trPr>
        <w:tc>
          <w:tcPr>
            <w:tcW w:w="1606" w:type="dxa"/>
            <w:vMerge/>
            <w:tcBorders>
              <w:left w:val="single" w:sz="4" w:space="0" w:color="000000"/>
              <w:bottom w:val="nil" w:sz="6" w:space="0" w:color="auto"/>
              <w:right w:val="single" w:sz="4" w:space="0" w:color="000000"/>
            </w:tcBorders>
            <w:shd w:val="clear" w:color="auto" w:fill="D3D3D3"/>
          </w:tcPr>
          <w:p>
            <w:pPr/>
          </w:p>
        </w:tc>
        <w:tc>
          <w:tcPr>
            <w:tcW w:w="917" w:type="dxa"/>
            <w:vMerge/>
            <w:tcBorders>
              <w:left w:val="single" w:sz="4" w:space="0" w:color="000000"/>
              <w:right w:val="single" w:sz="4" w:space="0" w:color="000000"/>
            </w:tcBorders>
            <w:shd w:val="clear" w:color="auto" w:fill="D3D3D3"/>
          </w:tcPr>
          <w:p>
            <w:pPr/>
          </w:p>
        </w:tc>
        <w:tc>
          <w:tcPr>
            <w:tcW w:w="958" w:type="dxa"/>
            <w:vMerge/>
            <w:tcBorders>
              <w:left w:val="single" w:sz="4" w:space="0" w:color="000000"/>
              <w:bottom w:val="nil" w:sz="6" w:space="0" w:color="auto"/>
              <w:right w:val="single" w:sz="4" w:space="0" w:color="000000"/>
            </w:tcBorders>
            <w:shd w:val="clear" w:color="auto" w:fill="D3D3D3"/>
          </w:tcPr>
          <w:p>
            <w:pPr/>
          </w:p>
        </w:tc>
        <w:tc>
          <w:tcPr>
            <w:tcW w:w="1203" w:type="dxa"/>
            <w:vMerge/>
            <w:tcBorders>
              <w:left w:val="single" w:sz="4" w:space="0" w:color="000000"/>
              <w:right w:val="single" w:sz="4" w:space="0" w:color="000000"/>
            </w:tcBorders>
            <w:shd w:val="clear" w:color="auto" w:fill="D3D3D3"/>
          </w:tcPr>
          <w:p>
            <w:pPr/>
          </w:p>
        </w:tc>
        <w:tc>
          <w:tcPr>
            <w:tcW w:w="1176" w:type="dxa"/>
            <w:vMerge/>
            <w:tcBorders>
              <w:left w:val="single" w:sz="4" w:space="0" w:color="000000"/>
              <w:bottom w:val="nil" w:sz="6" w:space="0" w:color="auto"/>
              <w:right w:val="single" w:sz="4" w:space="0" w:color="000000"/>
            </w:tcBorders>
            <w:shd w:val="clear" w:color="auto" w:fill="D3D3D3"/>
          </w:tcPr>
          <w:p>
            <w:pPr/>
          </w:p>
        </w:tc>
        <w:tc>
          <w:tcPr>
            <w:tcW w:w="1087" w:type="dxa"/>
            <w:vMerge/>
            <w:tcBorders>
              <w:left w:val="single" w:sz="4" w:space="0" w:color="000000"/>
              <w:bottom w:val="nil" w:sz="6" w:space="0" w:color="auto"/>
              <w:right w:val="single" w:sz="4" w:space="0" w:color="000000"/>
            </w:tcBorders>
            <w:shd w:val="clear" w:color="auto" w:fill="D3D3D3"/>
          </w:tcPr>
          <w:p>
            <w:pPr/>
          </w:p>
        </w:tc>
        <w:tc>
          <w:tcPr>
            <w:tcW w:w="1019" w:type="dxa"/>
            <w:vMerge/>
            <w:tcBorders>
              <w:left w:val="single" w:sz="4" w:space="0" w:color="000000"/>
              <w:bottom w:val="nil" w:sz="6" w:space="0" w:color="auto"/>
              <w:right w:val="single" w:sz="4" w:space="0" w:color="000000"/>
            </w:tcBorders>
            <w:shd w:val="clear" w:color="auto" w:fill="D3D3D3"/>
          </w:tcPr>
          <w:p>
            <w:pPr/>
          </w:p>
        </w:tc>
        <w:tc>
          <w:tcPr>
            <w:tcW w:w="81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18" w:right="4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7" w:type="dxa"/>
            <w:vMerge/>
            <w:tcBorders>
              <w:left w:val="single" w:sz="4" w:space="0" w:color="000000"/>
              <w:right w:val="single" w:sz="4" w:space="0" w:color="000000"/>
            </w:tcBorders>
            <w:shd w:val="clear" w:color="auto" w:fill="D3D3D3"/>
          </w:tcPr>
          <w:p>
            <w:pPr/>
          </w:p>
        </w:tc>
      </w:tr>
      <w:tr>
        <w:trPr>
          <w:trHeight w:val="392" w:hRule="exact"/>
        </w:trPr>
        <w:tc>
          <w:tcPr>
            <w:tcW w:w="160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46"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vMerge/>
            <w:tcBorders>
              <w:left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03" w:type="dxa"/>
            <w:vMerge/>
            <w:tcBorders>
              <w:left w:val="single" w:sz="4" w:space="0" w:color="000000"/>
              <w:right w:val="single" w:sz="4" w:space="0" w:color="000000"/>
            </w:tcBorders>
            <w:shd w:val="clear" w:color="auto" w:fill="D3D3D3"/>
          </w:tcPr>
          <w:p>
            <w:pPr/>
          </w:p>
        </w:tc>
        <w:tc>
          <w:tcPr>
            <w:tcW w:w="11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8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18" w:type="dxa"/>
            <w:vMerge/>
            <w:tcBorders>
              <w:left w:val="single" w:sz="4" w:space="0" w:color="000000"/>
              <w:right w:val="single" w:sz="4" w:space="0" w:color="000000"/>
            </w:tcBorders>
            <w:shd w:val="clear" w:color="auto" w:fill="D3D3D3"/>
          </w:tcPr>
          <w:p>
            <w:pPr/>
          </w:p>
        </w:tc>
        <w:tc>
          <w:tcPr>
            <w:tcW w:w="777" w:type="dxa"/>
            <w:vMerge/>
            <w:tcBorders>
              <w:left w:val="single" w:sz="4" w:space="0" w:color="000000"/>
              <w:right w:val="single" w:sz="4" w:space="0" w:color="000000"/>
            </w:tcBorders>
            <w:shd w:val="clear" w:color="auto" w:fill="D3D3D3"/>
          </w:tcPr>
          <w:p>
            <w:pPr/>
          </w:p>
        </w:tc>
      </w:tr>
      <w:tr>
        <w:trPr>
          <w:trHeight w:val="156" w:hRule="exact"/>
        </w:trPr>
        <w:tc>
          <w:tcPr>
            <w:tcW w:w="1606" w:type="dxa"/>
            <w:vMerge w:val="restart"/>
            <w:tcBorders>
              <w:top w:val="nil" w:sz="6" w:space="0" w:color="auto"/>
              <w:left w:val="single" w:sz="4" w:space="0" w:color="000000"/>
              <w:right w:val="single" w:sz="4" w:space="0" w:color="000000"/>
            </w:tcBorders>
            <w:shd w:val="clear" w:color="auto" w:fill="D3D3D3"/>
          </w:tcPr>
          <w:p>
            <w:pPr/>
          </w:p>
        </w:tc>
        <w:tc>
          <w:tcPr>
            <w:tcW w:w="917" w:type="dxa"/>
            <w:vMerge/>
            <w:tcBorders>
              <w:left w:val="single" w:sz="4" w:space="0" w:color="000000"/>
              <w:right w:val="single" w:sz="4" w:space="0" w:color="000000"/>
            </w:tcBorders>
            <w:shd w:val="clear" w:color="auto" w:fill="D3D3D3"/>
          </w:tcPr>
          <w:p>
            <w:pPr/>
          </w:p>
        </w:tc>
        <w:tc>
          <w:tcPr>
            <w:tcW w:w="958" w:type="dxa"/>
            <w:vMerge w:val="restart"/>
            <w:tcBorders>
              <w:top w:val="nil" w:sz="6" w:space="0" w:color="auto"/>
              <w:left w:val="single" w:sz="4" w:space="0" w:color="000000"/>
              <w:right w:val="single" w:sz="4" w:space="0" w:color="000000"/>
            </w:tcBorders>
            <w:shd w:val="clear" w:color="auto" w:fill="D3D3D3"/>
          </w:tcPr>
          <w:p>
            <w:pPr/>
          </w:p>
        </w:tc>
        <w:tc>
          <w:tcPr>
            <w:tcW w:w="1203" w:type="dxa"/>
            <w:vMerge/>
            <w:tcBorders>
              <w:left w:val="single" w:sz="4" w:space="0" w:color="000000"/>
              <w:right w:val="single" w:sz="4" w:space="0" w:color="000000"/>
            </w:tcBorders>
            <w:shd w:val="clear" w:color="auto" w:fill="D3D3D3"/>
          </w:tcPr>
          <w:p>
            <w:pPr/>
          </w:p>
        </w:tc>
        <w:tc>
          <w:tcPr>
            <w:tcW w:w="1176" w:type="dxa"/>
            <w:vMerge w:val="restart"/>
            <w:tcBorders>
              <w:top w:val="nil" w:sz="6" w:space="0" w:color="auto"/>
              <w:left w:val="single" w:sz="4" w:space="0" w:color="000000"/>
              <w:right w:val="single" w:sz="4" w:space="0" w:color="000000"/>
            </w:tcBorders>
            <w:shd w:val="clear" w:color="auto" w:fill="D3D3D3"/>
          </w:tcPr>
          <w:p>
            <w:pPr/>
          </w:p>
        </w:tc>
        <w:tc>
          <w:tcPr>
            <w:tcW w:w="1087" w:type="dxa"/>
            <w:vMerge w:val="restart"/>
            <w:tcBorders>
              <w:top w:val="nil" w:sz="6" w:space="0" w:color="auto"/>
              <w:left w:val="single" w:sz="4" w:space="0" w:color="000000"/>
              <w:right w:val="single" w:sz="4" w:space="0" w:color="000000"/>
            </w:tcBorders>
            <w:shd w:val="clear" w:color="auto" w:fill="D3D3D3"/>
          </w:tcPr>
          <w:p>
            <w:pPr/>
          </w:p>
        </w:tc>
        <w:tc>
          <w:tcPr>
            <w:tcW w:w="1019" w:type="dxa"/>
            <w:vMerge w:val="restart"/>
            <w:tcBorders>
              <w:top w:val="nil" w:sz="6" w:space="0" w:color="auto"/>
              <w:left w:val="single" w:sz="4" w:space="0" w:color="000000"/>
              <w:right w:val="single" w:sz="4" w:space="0" w:color="000000"/>
            </w:tcBorders>
            <w:shd w:val="clear" w:color="auto" w:fill="D3D3D3"/>
          </w:tcPr>
          <w:p>
            <w:pPr/>
          </w:p>
        </w:tc>
        <w:tc>
          <w:tcPr>
            <w:tcW w:w="818" w:type="dxa"/>
            <w:vMerge/>
            <w:tcBorders>
              <w:left w:val="single" w:sz="4" w:space="0" w:color="000000"/>
              <w:bottom w:val="nil" w:sz="6" w:space="0" w:color="auto"/>
              <w:right w:val="single" w:sz="4" w:space="0" w:color="000000"/>
            </w:tcBorders>
            <w:shd w:val="clear" w:color="auto" w:fill="D3D3D3"/>
          </w:tcPr>
          <w:p>
            <w:pPr/>
          </w:p>
        </w:tc>
        <w:tc>
          <w:tcPr>
            <w:tcW w:w="777" w:type="dxa"/>
            <w:vMerge/>
            <w:tcBorders>
              <w:left w:val="single" w:sz="4" w:space="0" w:color="000000"/>
              <w:right w:val="single" w:sz="4" w:space="0" w:color="000000"/>
            </w:tcBorders>
            <w:shd w:val="clear" w:color="auto" w:fill="D3D3D3"/>
          </w:tcPr>
          <w:p>
            <w:pPr/>
          </w:p>
        </w:tc>
      </w:tr>
      <w:tr>
        <w:trPr>
          <w:trHeight w:val="156" w:hRule="exact"/>
        </w:trPr>
        <w:tc>
          <w:tcPr>
            <w:tcW w:w="1606" w:type="dxa"/>
            <w:vMerge/>
            <w:tcBorders>
              <w:left w:val="single" w:sz="4" w:space="0" w:color="000000"/>
              <w:right w:val="single" w:sz="4" w:space="0" w:color="000000"/>
            </w:tcBorders>
            <w:shd w:val="clear" w:color="auto" w:fill="D3D3D3"/>
          </w:tcPr>
          <w:p>
            <w:pPr/>
          </w:p>
        </w:tc>
        <w:tc>
          <w:tcPr>
            <w:tcW w:w="917" w:type="dxa"/>
            <w:vMerge/>
            <w:tcBorders>
              <w:left w:val="single" w:sz="4" w:space="0" w:color="000000"/>
              <w:bottom w:val="nil" w:sz="6" w:space="0" w:color="auto"/>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1203" w:type="dxa"/>
            <w:vMerge/>
            <w:tcBorders>
              <w:left w:val="single" w:sz="4" w:space="0" w:color="000000"/>
              <w:bottom w:val="nil" w:sz="6" w:space="0" w:color="auto"/>
              <w:right w:val="single" w:sz="4" w:space="0" w:color="000000"/>
            </w:tcBorders>
            <w:shd w:val="clear" w:color="auto" w:fill="D3D3D3"/>
          </w:tcPr>
          <w:p>
            <w:pPr/>
          </w:p>
        </w:tc>
        <w:tc>
          <w:tcPr>
            <w:tcW w:w="1176" w:type="dxa"/>
            <w:vMerge/>
            <w:tcBorders>
              <w:left w:val="single" w:sz="4" w:space="0" w:color="000000"/>
              <w:right w:val="single" w:sz="4" w:space="0" w:color="000000"/>
            </w:tcBorders>
            <w:shd w:val="clear" w:color="auto" w:fill="D3D3D3"/>
          </w:tcPr>
          <w:p>
            <w:pPr/>
          </w:p>
        </w:tc>
        <w:tc>
          <w:tcPr>
            <w:tcW w:w="1087" w:type="dxa"/>
            <w:vMerge/>
            <w:tcBorders>
              <w:left w:val="single" w:sz="4" w:space="0" w:color="000000"/>
              <w:right w:val="single" w:sz="4" w:space="0" w:color="000000"/>
            </w:tcBorders>
            <w:shd w:val="clear" w:color="auto" w:fill="D3D3D3"/>
          </w:tcPr>
          <w:p>
            <w:pPr/>
          </w:p>
        </w:tc>
        <w:tc>
          <w:tcPr>
            <w:tcW w:w="1019" w:type="dxa"/>
            <w:vMerge/>
            <w:tcBorders>
              <w:left w:val="single" w:sz="4" w:space="0" w:color="000000"/>
              <w:right w:val="single" w:sz="4" w:space="0" w:color="000000"/>
            </w:tcBorders>
            <w:shd w:val="clear" w:color="auto" w:fill="D3D3D3"/>
          </w:tcPr>
          <w:p>
            <w:pPr/>
          </w:p>
        </w:tc>
        <w:tc>
          <w:tcPr>
            <w:tcW w:w="818" w:type="dxa"/>
            <w:vMerge w:val="restart"/>
            <w:tcBorders>
              <w:top w:val="nil" w:sz="6" w:space="0" w:color="auto"/>
              <w:left w:val="single" w:sz="4" w:space="0" w:color="000000"/>
              <w:right w:val="single" w:sz="4" w:space="0" w:color="000000"/>
            </w:tcBorders>
            <w:shd w:val="clear" w:color="auto" w:fill="D3D3D3"/>
          </w:tcPr>
          <w:p>
            <w:pPr/>
          </w:p>
        </w:tc>
        <w:tc>
          <w:tcPr>
            <w:tcW w:w="777" w:type="dxa"/>
            <w:vMerge/>
            <w:tcBorders>
              <w:left w:val="single" w:sz="4" w:space="0" w:color="000000"/>
              <w:right w:val="single" w:sz="4" w:space="0" w:color="000000"/>
            </w:tcBorders>
            <w:shd w:val="clear" w:color="auto" w:fill="D3D3D3"/>
          </w:tcPr>
          <w:p>
            <w:pPr/>
          </w:p>
        </w:tc>
      </w:tr>
      <w:tr>
        <w:trPr>
          <w:trHeight w:val="161" w:hRule="exact"/>
        </w:trPr>
        <w:tc>
          <w:tcPr>
            <w:tcW w:w="1606" w:type="dxa"/>
            <w:vMerge/>
            <w:tcBorders>
              <w:left w:val="single" w:sz="4" w:space="0" w:color="000000"/>
              <w:bottom w:val="single" w:sz="4" w:space="0" w:color="000000"/>
              <w:right w:val="single" w:sz="4" w:space="0" w:color="000000"/>
            </w:tcBorders>
            <w:shd w:val="clear" w:color="auto" w:fill="D3D3D3"/>
          </w:tcPr>
          <w:p>
            <w:pPr/>
          </w:p>
        </w:tc>
        <w:tc>
          <w:tcPr>
            <w:tcW w:w="917"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vMerge/>
            <w:tcBorders>
              <w:left w:val="single" w:sz="4" w:space="0" w:color="000000"/>
              <w:bottom w:val="single" w:sz="4" w:space="0" w:color="000000"/>
              <w:right w:val="single" w:sz="4" w:space="0" w:color="000000"/>
            </w:tcBorders>
            <w:shd w:val="clear" w:color="auto" w:fill="D3D3D3"/>
          </w:tcPr>
          <w:p>
            <w:pPr/>
          </w:p>
        </w:tc>
        <w:tc>
          <w:tcPr>
            <w:tcW w:w="1203" w:type="dxa"/>
            <w:tcBorders>
              <w:top w:val="nil" w:sz="6" w:space="0" w:color="auto"/>
              <w:left w:val="single" w:sz="4" w:space="0" w:color="000000"/>
              <w:bottom w:val="single" w:sz="4" w:space="0" w:color="000000"/>
              <w:right w:val="single" w:sz="4" w:space="0" w:color="000000"/>
            </w:tcBorders>
            <w:shd w:val="clear" w:color="auto" w:fill="D3D3D3"/>
          </w:tcPr>
          <w:p>
            <w:pPr/>
          </w:p>
        </w:tc>
        <w:tc>
          <w:tcPr>
            <w:tcW w:w="1176" w:type="dxa"/>
            <w:vMerge/>
            <w:tcBorders>
              <w:left w:val="single" w:sz="4" w:space="0" w:color="000000"/>
              <w:bottom w:val="single" w:sz="4" w:space="0" w:color="000000"/>
              <w:right w:val="single" w:sz="4" w:space="0" w:color="000000"/>
            </w:tcBorders>
            <w:shd w:val="clear" w:color="auto" w:fill="D3D3D3"/>
          </w:tcPr>
          <w:p>
            <w:pPr/>
          </w:p>
        </w:tc>
        <w:tc>
          <w:tcPr>
            <w:tcW w:w="1087" w:type="dxa"/>
            <w:vMerge/>
            <w:tcBorders>
              <w:left w:val="single" w:sz="4" w:space="0" w:color="000000"/>
              <w:bottom w:val="single" w:sz="4" w:space="0" w:color="000000"/>
              <w:right w:val="single" w:sz="4" w:space="0" w:color="000000"/>
            </w:tcBorders>
            <w:shd w:val="clear" w:color="auto" w:fill="D3D3D3"/>
          </w:tcPr>
          <w:p>
            <w:pPr/>
          </w:p>
        </w:tc>
        <w:tc>
          <w:tcPr>
            <w:tcW w:w="1019" w:type="dxa"/>
            <w:vMerge/>
            <w:tcBorders>
              <w:left w:val="single" w:sz="4" w:space="0" w:color="000000"/>
              <w:bottom w:val="single" w:sz="4" w:space="0" w:color="000000"/>
              <w:right w:val="single" w:sz="4" w:space="0" w:color="000000"/>
            </w:tcBorders>
            <w:shd w:val="clear" w:color="auto" w:fill="D3D3D3"/>
          </w:tcPr>
          <w:p>
            <w:pPr/>
          </w:p>
        </w:tc>
        <w:tc>
          <w:tcPr>
            <w:tcW w:w="818" w:type="dxa"/>
            <w:vMerge/>
            <w:tcBorders>
              <w:left w:val="single" w:sz="4" w:space="0" w:color="000000"/>
              <w:bottom w:val="single" w:sz="4" w:space="0" w:color="000000"/>
              <w:right w:val="single" w:sz="4" w:space="0" w:color="000000"/>
            </w:tcBorders>
            <w:shd w:val="clear" w:color="auto" w:fill="D3D3D3"/>
          </w:tcPr>
          <w:p>
            <w:pPr/>
          </w:p>
        </w:tc>
        <w:tc>
          <w:tcPr>
            <w:tcW w:w="77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25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59"/>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62"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w:t>
            </w:r>
          </w:p>
        </w:tc>
        <w:tc>
          <w:tcPr>
            <w:tcW w:w="226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4"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468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6"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31.93%</w:t>
            </w:r>
          </w:p>
        </w:tc>
      </w:tr>
      <w:tr>
        <w:trPr>
          <w:trHeight w:val="402"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4" w:hRule="exact"/>
        </w:trPr>
        <w:tc>
          <w:tcPr>
            <w:tcW w:w="468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47"/>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6"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468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6"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r>
      <w:tr>
        <w:trPr>
          <w:trHeight w:val="161" w:hRule="exact"/>
        </w:trPr>
        <w:tc>
          <w:tcPr>
            <w:tcW w:w="4685"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4876" w:type="dxa"/>
            <w:gridSpan w:val="5"/>
            <w:vMerge w:val="restart"/>
            <w:tcBorders>
              <w:top w:val="single" w:sz="4" w:space="0" w:color="000000"/>
              <w:left w:val="single" w:sz="10" w:space="0" w:color="D3D3D3"/>
              <w:right w:val="single" w:sz="4" w:space="0" w:color="000000"/>
            </w:tcBorders>
          </w:tcPr>
          <w:p>
            <w:pPr>
              <w:pStyle w:val="TableParagraph"/>
              <w:spacing w:line="316" w:lineRule="auto" w:before="51"/>
              <w:ind w:left="12" w:right="22"/>
              <w:jc w:val="left"/>
              <w:rPr>
                <w:rFonts w:ascii="宋体" w:hAnsi="宋体" w:cs="宋体" w:eastAsia="宋体" w:hint="default"/>
                <w:sz w:val="18"/>
                <w:szCs w:val="18"/>
              </w:rPr>
            </w:pPr>
            <w:r>
              <w:rPr>
                <w:rFonts w:ascii="宋体" w:hAnsi="宋体" w:cs="宋体" w:eastAsia="宋体" w:hint="default"/>
                <w:spacing w:val="-2"/>
                <w:sz w:val="18"/>
                <w:szCs w:val="18"/>
              </w:rPr>
              <w:t>如借款方到期不能偿还借款，出借方可选择向担保方追偿借款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及由借款造成的一切损失。</w:t>
            </w:r>
          </w:p>
        </w:tc>
      </w:tr>
      <w:tr>
        <w:trPr>
          <w:trHeight w:val="392" w:hRule="exact"/>
        </w:trPr>
        <w:tc>
          <w:tcPr>
            <w:tcW w:w="4685"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876" w:type="dxa"/>
            <w:gridSpan w:val="5"/>
            <w:vMerge/>
            <w:tcBorders>
              <w:left w:val="single" w:sz="10" w:space="0" w:color="D3D3D3"/>
              <w:right w:val="single" w:sz="4" w:space="0" w:color="000000"/>
            </w:tcBorders>
          </w:tcPr>
          <w:p>
            <w:pPr/>
          </w:p>
        </w:tc>
      </w:tr>
      <w:tr>
        <w:trPr>
          <w:trHeight w:val="161" w:hRule="exact"/>
        </w:trPr>
        <w:tc>
          <w:tcPr>
            <w:tcW w:w="4685"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4876" w:type="dxa"/>
            <w:gridSpan w:val="5"/>
            <w:vMerge/>
            <w:tcBorders>
              <w:left w:val="single" w:sz="10" w:space="0" w:color="D3D3D3"/>
              <w:bottom w:val="single" w:sz="4" w:space="0" w:color="000000"/>
              <w:right w:val="single" w:sz="4" w:space="0" w:color="000000"/>
            </w:tcBorders>
          </w:tcPr>
          <w:p>
            <w:pPr/>
          </w:p>
        </w:tc>
      </w:tr>
      <w:tr>
        <w:trPr>
          <w:trHeight w:val="402" w:hRule="exact"/>
        </w:trPr>
        <w:tc>
          <w:tcPr>
            <w:tcW w:w="468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876"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采用复合方式担保的具体情况说明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五、承诺事项履行情况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、公司或持股</w:t>
      </w:r>
      <w:r>
        <w:rPr>
          <w:spacing w:val="-60"/>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63" w:hRule="exact"/>
        </w:trPr>
        <w:tc>
          <w:tcPr>
            <w:tcW w:w="3194" w:type="dxa"/>
            <w:tcBorders>
              <w:top w:val="single" w:sz="4" w:space="0" w:color="000000"/>
              <w:left w:val="single" w:sz="4" w:space="0" w:color="000000"/>
              <w:bottom w:val="nil" w:sz="6" w:space="0" w:color="auto"/>
              <w:right w:val="single" w:sz="4" w:space="0" w:color="000000"/>
            </w:tcBorders>
          </w:tcPr>
          <w:p>
            <w:pPr/>
          </w:p>
        </w:tc>
        <w:tc>
          <w:tcPr>
            <w:tcW w:w="1273"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、禁售承诺：</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股权分置改革</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完成后所持深</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31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58"/>
              <w:jc w:val="left"/>
              <w:rPr>
                <w:rFonts w:ascii="宋体" w:hAnsi="宋体" w:cs="宋体" w:eastAsia="宋体" w:hint="default"/>
                <w:sz w:val="18"/>
                <w:szCs w:val="18"/>
              </w:rPr>
            </w:pPr>
            <w:r>
              <w:rPr>
                <w:rFonts w:ascii="宋体" w:hAnsi="宋体" w:cs="宋体" w:eastAsia="宋体" w:hint="default"/>
                <w:sz w:val="18"/>
                <w:szCs w:val="18"/>
              </w:rPr>
              <w:t>青岛亚星实业 有限公司</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62"/>
              <w:jc w:val="left"/>
              <w:rPr>
                <w:rFonts w:ascii="宋体" w:hAnsi="宋体" w:cs="宋体" w:eastAsia="宋体" w:hint="default"/>
                <w:sz w:val="18"/>
                <w:szCs w:val="18"/>
              </w:rPr>
            </w:pPr>
            <w:r>
              <w:rPr>
                <w:rFonts w:ascii="宋体" w:hAnsi="宋体" w:cs="宋体" w:eastAsia="宋体" w:hint="default"/>
                <w:sz w:val="18"/>
                <w:szCs w:val="18"/>
              </w:rPr>
              <w:t>大通股份在获 得上市流通权</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1"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之日起三十六</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个月内不上市</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3194" w:type="dxa"/>
            <w:tcBorders>
              <w:top w:val="nil" w:sz="6" w:space="0" w:color="auto"/>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16"/>
              <w:jc w:val="left"/>
              <w:rPr>
                <w:rFonts w:ascii="宋体" w:hAnsi="宋体" w:cs="宋体" w:eastAsia="宋体" w:hint="default"/>
                <w:sz w:val="18"/>
                <w:szCs w:val="18"/>
              </w:rPr>
            </w:pPr>
            <w:r>
              <w:rPr>
                <w:rFonts w:ascii="宋体" w:hAnsi="宋体" w:cs="宋体" w:eastAsia="宋体" w:hint="default"/>
                <w:sz w:val="18"/>
                <w:szCs w:val="18"/>
              </w:rPr>
              <w:t>交易或者转让。</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3194" w:type="dxa"/>
            <w:vMerge w:val="restart"/>
            <w:tcBorders>
              <w:top w:val="single" w:sz="4" w:space="0" w:color="000000"/>
              <w:left w:val="single" w:sz="4" w:space="0" w:color="000000"/>
              <w:right w:val="single" w:sz="4" w:space="0" w:color="000000"/>
            </w:tcBorders>
          </w:tcPr>
          <w:p>
            <w:pPr/>
          </w:p>
        </w:tc>
        <w:tc>
          <w:tcPr>
            <w:tcW w:w="1273"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、提议向深大</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通注入亚星实</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业相关房地产</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58"/>
              <w:jc w:val="left"/>
              <w:rPr>
                <w:rFonts w:ascii="宋体" w:hAnsi="宋体" w:cs="宋体" w:eastAsia="宋体" w:hint="default"/>
                <w:sz w:val="18"/>
                <w:szCs w:val="18"/>
              </w:rPr>
            </w:pPr>
            <w:r>
              <w:rPr>
                <w:rFonts w:ascii="宋体" w:hAnsi="宋体" w:cs="宋体" w:eastAsia="宋体" w:hint="default"/>
                <w:sz w:val="18"/>
                <w:szCs w:val="18"/>
              </w:rPr>
              <w:t>青岛亚星实业 有限公司</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20"/>
              <w:jc w:val="left"/>
              <w:rPr>
                <w:rFonts w:ascii="宋体" w:hAnsi="宋体" w:cs="宋体" w:eastAsia="宋体" w:hint="default"/>
                <w:sz w:val="18"/>
                <w:szCs w:val="18"/>
              </w:rPr>
            </w:pPr>
            <w:r>
              <w:rPr>
                <w:rFonts w:ascii="宋体" w:hAnsi="宋体" w:cs="宋体" w:eastAsia="宋体" w:hint="default"/>
                <w:sz w:val="18"/>
                <w:szCs w:val="18"/>
              </w:rPr>
              <w:t>开发业务资产 </w:t>
            </w:r>
            <w:r>
              <w:rPr>
                <w:rFonts w:ascii="宋体" w:hAnsi="宋体" w:cs="宋体" w:eastAsia="宋体" w:hint="default"/>
                <w:spacing w:val="-6"/>
                <w:sz w:val="18"/>
                <w:szCs w:val="18"/>
              </w:rPr>
              <w:t>的承诺：为解决</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尚未履行完毕</w:t>
            </w: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亚星实业与深</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大通将来产生</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的同业竞争，亚</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tcPr>
          <w:p>
            <w:pPr/>
          </w:p>
        </w:tc>
        <w:tc>
          <w:tcPr>
            <w:tcW w:w="1273"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星实业承诺在</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深大通相关股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东会议通过股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权分置改革方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案且方正延中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传媒有限公司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将其所持深大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份转让给亚星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实业的过户手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续办理完毕后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三个月内，就与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深大通可能产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生同业竞争的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全部相关资产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以市场公允价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格注入深大通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事宜召开董事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会议并提交深</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3"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大通临时股东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5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大会审议</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362" w:hRule="exact"/>
        </w:trPr>
        <w:tc>
          <w:tcPr>
            <w:tcW w:w="3194" w:type="dxa"/>
            <w:vMerge/>
            <w:tcBorders>
              <w:left w:val="single" w:sz="4" w:space="0" w:color="000000"/>
              <w:right w:val="single" w:sz="4" w:space="0" w:color="000000"/>
            </w:tcBorders>
          </w:tcPr>
          <w:p>
            <w:pPr/>
          </w:p>
        </w:tc>
        <w:tc>
          <w:tcPr>
            <w:tcW w:w="1273"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、向全体股东</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转增股本的承</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诺：在亚星实业</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将可能与深大</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通产生同业竞</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争的全部相关</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资产注入深大</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通且资产过户</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相关手续办理</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完毕后（指经中</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158"/>
              <w:jc w:val="left"/>
              <w:rPr>
                <w:rFonts w:ascii="宋体" w:hAnsi="宋体" w:cs="宋体" w:eastAsia="宋体" w:hint="default"/>
                <w:sz w:val="18"/>
                <w:szCs w:val="18"/>
              </w:rPr>
            </w:pPr>
            <w:r>
              <w:rPr>
                <w:rFonts w:ascii="宋体" w:hAnsi="宋体" w:cs="宋体" w:eastAsia="宋体" w:hint="default"/>
                <w:sz w:val="18"/>
                <w:szCs w:val="18"/>
              </w:rPr>
              <w:t>青岛亚星实业 有限公司</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62"/>
              <w:jc w:val="both"/>
              <w:rPr>
                <w:rFonts w:ascii="宋体" w:hAnsi="宋体" w:cs="宋体" w:eastAsia="宋体" w:hint="default"/>
                <w:sz w:val="18"/>
                <w:szCs w:val="18"/>
              </w:rPr>
            </w:pPr>
            <w:r>
              <w:rPr>
                <w:rFonts w:ascii="宋体" w:hAnsi="宋体" w:cs="宋体" w:eastAsia="宋体" w:hint="default"/>
                <w:sz w:val="18"/>
                <w:szCs w:val="18"/>
              </w:rPr>
              <w:t>国证券监督管 理委员会批准 资产注入方案</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155"/>
              <w:jc w:val="left"/>
              <w:rPr>
                <w:rFonts w:ascii="宋体" w:hAnsi="宋体" w:cs="宋体" w:eastAsia="宋体" w:hint="default"/>
                <w:sz w:val="18"/>
                <w:szCs w:val="18"/>
              </w:rPr>
            </w:pPr>
            <w:r>
              <w:rPr>
                <w:rFonts w:ascii="宋体" w:hAnsi="宋体" w:cs="宋体" w:eastAsia="宋体" w:hint="default"/>
                <w:sz w:val="18"/>
                <w:szCs w:val="18"/>
              </w:rPr>
              <w:t>尚未触发履行 条件。</w:t>
            </w: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并办理完注入</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资产的过户手</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90"/>
                <w:sz w:val="18"/>
                <w:szCs w:val="18"/>
              </w:rPr>
              <w:t>）</w:t>
            </w:r>
            <w:r>
              <w:rPr>
                <w:rFonts w:ascii="宋体" w:hAnsi="宋体" w:cs="宋体" w:eastAsia="宋体" w:hint="default"/>
                <w:sz w:val="18"/>
                <w:szCs w:val="18"/>
              </w:rPr>
              <w:t>，亚星实业</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将在深大通公</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布最近一期年</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度或半年度审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计报告时提出</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向全体股东每</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94" w:type="dxa"/>
            <w:vMerge/>
            <w:tcBorders>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的议案；若相关</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tcPr>
          <w:p>
            <w:pPr/>
          </w:p>
        </w:tc>
        <w:tc>
          <w:tcPr>
            <w:tcW w:w="1273"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手续（指经中国</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证券监督管理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委员会批准资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产注入方案并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办理完注入资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产的过户手续）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在该年度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前办理完毕，转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增方案将在公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布该年度的半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年度审计报告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时提出；若相关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手续（指经中国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证券监督管理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委员会批准资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产注入方案并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办理完注入资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产的过户手续）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在该会计年度</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日至</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日办理完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毕，转增方案将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在公布该年度</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的年度审计报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告时提出。亚星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实业保证在深</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大通股东大会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表决时对该议</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案投赞成票，保</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证在股东大会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8"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5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作日内实施。</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357" w:hRule="exact"/>
        </w:trPr>
        <w:tc>
          <w:tcPr>
            <w:tcW w:w="3194" w:type="dxa"/>
            <w:vMerge/>
            <w:tcBorders>
              <w:left w:val="single" w:sz="4" w:space="0" w:color="000000"/>
              <w:right w:val="single" w:sz="4" w:space="0" w:color="000000"/>
            </w:tcBorders>
          </w:tcPr>
          <w:p>
            <w:pPr/>
          </w:p>
        </w:tc>
        <w:tc>
          <w:tcPr>
            <w:tcW w:w="1273"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本次股权分置</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改革完成后所</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持深大通股份</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20"/>
              <w:jc w:val="left"/>
              <w:rPr>
                <w:rFonts w:ascii="宋体" w:hAnsi="宋体" w:cs="宋体" w:eastAsia="宋体" w:hint="default"/>
                <w:sz w:val="18"/>
                <w:szCs w:val="18"/>
              </w:rPr>
            </w:pPr>
            <w:r>
              <w:rPr>
                <w:rFonts w:ascii="宋体" w:hAnsi="宋体" w:cs="宋体" w:eastAsia="宋体" w:hint="default"/>
                <w:sz w:val="18"/>
                <w:szCs w:val="18"/>
              </w:rPr>
              <w:t>其他非流通股 </w:t>
            </w:r>
            <w:r>
              <w:rPr>
                <w:rFonts w:ascii="宋体" w:hAnsi="宋体" w:cs="宋体" w:eastAsia="宋体" w:hint="default"/>
                <w:spacing w:val="-6"/>
                <w:sz w:val="18"/>
                <w:szCs w:val="18"/>
              </w:rPr>
              <w:t>股东（青岛亚星</w:t>
            </w:r>
            <w:r>
              <w:rPr>
                <w:rFonts w:ascii="宋体" w:hAnsi="宋体" w:cs="宋体" w:eastAsia="宋体" w:hint="default"/>
                <w:sz w:val="18"/>
                <w:szCs w:val="18"/>
              </w:rPr>
              <w:t> 实业有限公司 以外）</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在深大通股票 恢复上市交易 之日起十二个 月内不上市交 </w:t>
            </w:r>
            <w:r>
              <w:rPr>
                <w:rFonts w:ascii="宋体" w:hAnsi="宋体" w:cs="宋体" w:eastAsia="宋体" w:hint="default"/>
                <w:spacing w:val="-6"/>
                <w:sz w:val="18"/>
                <w:szCs w:val="18"/>
              </w:rPr>
              <w:t>易或者转让；在</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上述承诺期期</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满后，通过深圳</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证券交易所挂</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pStyle w:val="BodyText"/>
        <w:spacing w:line="240" w:lineRule="auto" w:before="44"/>
        <w:ind w:left="0" w:right="158"/>
        <w:jc w:val="right"/>
      </w:pPr>
      <w:r>
        <w:rPr/>
        <w:pict>
          <v:shape style="position:absolute;margin-left:56.459999pt;margin-top:-384.608032pt;width:479.1pt;height:578.4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1922" w:hRule="exact"/>
                    </w:trPr>
                    <w:tc>
                      <w:tcPr>
                        <w:tcW w:w="31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牌交易出售股 </w:t>
                        </w:r>
                        <w:r>
                          <w:rPr>
                            <w:rFonts w:ascii="宋体" w:hAnsi="宋体" w:cs="宋体" w:eastAsia="宋体" w:hint="default"/>
                            <w:spacing w:val="-6"/>
                            <w:sz w:val="18"/>
                            <w:szCs w:val="18"/>
                          </w:rPr>
                          <w:t>份，出售数量占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公司股份总数 的比例在十二 个月内不超过 百分之。</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46"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提议向深大通注入亚星实业相关房地产开发业务资产的承诺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，亚星实业于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2009</w:t>
                        </w:r>
                      </w:p>
                      <w:p>
                        <w:pPr>
                          <w:pStyle w:val="TableParagraph"/>
                          <w:spacing w:line="312" w:lineRule="auto" w:before="61"/>
                          <w:ind w:left="23" w:right="3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月向深大通董事会提出《关于公司发行股份购买资产具体方案的议案》等将 可能产生同业竞争的全部资产注入深大通的议案，并提议召开股东大会。公司董 事会于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日召开第六届第二十五次董事会审议该事项，未获通过。 后因国家房地产宏观调控及证监会暂停审核房地产企业的增发融资及重大资产重 组事项等原因，亚星实业注入深大通可能产生同业竞争的全部资产的工作暂时中 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向全体股东转增股本的承诺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，本承诺实施的条件为在亚星实业将可能与 深大通产生同业竞争的全部相关资产注入深大通且资产过户相关手续办理完毕 后。目前，尚未触发履行条件。</w:t>
                        </w:r>
                        <w:r>
                          <w:rPr>
                            <w:rFonts w:ascii="宋体" w:hAnsi="宋体" w:cs="宋体" w:eastAsia="宋体" w:hint="default"/>
                            <w:spacing w:val="50"/>
                            <w:sz w:val="18"/>
                            <w:szCs w:val="18"/>
                          </w:rPr>
                          <w:t> </w:t>
                        </w:r>
                        <w:r>
                          <w:rPr>
                            <w:rFonts w:ascii="宋体" w:hAnsi="宋体" w:cs="宋体" w:eastAsia="宋体" w:hint="default"/>
                            <w:sz w:val="18"/>
                            <w:szCs w:val="18"/>
                          </w:rPr>
                          <w:t>受到近年来国家房地产宏观调控政策和证监会</w:t>
                        </w:r>
                        <w:r>
                          <w:rPr>
                            <w:rFonts w:ascii="宋体" w:hAnsi="宋体" w:cs="宋体" w:eastAsia="宋体" w:hint="default"/>
                            <w:sz w:val="18"/>
                            <w:szCs w:val="18"/>
                          </w:rPr>
                          <w:t> 暂停审核房地产企业的增发融资及重大资产重组事项的影响，公司目前无法进行 房地产开发业务资产注入。公司将积极关注相关政策的变化，在政策许可时，及 时推进</w:t>
                        </w:r>
                        <w:r>
                          <w:rPr>
                            <w:rFonts w:ascii="Times New Roman" w:hAnsi="Times New Roman" w:cs="Times New Roman" w:eastAsia="Times New Roman" w:hint="default"/>
                            <w:sz w:val="18"/>
                            <w:szCs w:val="18"/>
                          </w:rPr>
                          <w:t>“</w:t>
                        </w:r>
                        <w:r>
                          <w:rPr>
                            <w:rFonts w:ascii="宋体" w:hAnsi="宋体" w:cs="宋体" w:eastAsia="宋体" w:hint="default"/>
                            <w:sz w:val="18"/>
                            <w:szCs w:val="18"/>
                          </w:rPr>
                          <w:t>向深大通注入亚星实业相关房地产开发业务资产的承诺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。并在此基础上 在触发履行条件时，积极推进向全体股东转增股本的有关工作。</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r>
                  <w:tr>
                    <w:trPr>
                      <w:trHeight w:val="1650"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8"/>
                          <w:jc w:val="both"/>
                          <w:rPr>
                            <w:rFonts w:ascii="宋体" w:hAnsi="宋体" w:cs="宋体" w:eastAsia="宋体" w:hint="default"/>
                            <w:sz w:val="18"/>
                            <w:szCs w:val="18"/>
                          </w:rPr>
                        </w:pPr>
                        <w:r>
                          <w:rPr>
                            <w:rFonts w:ascii="宋体" w:hAnsi="宋体" w:cs="宋体" w:eastAsia="宋体" w:hint="default"/>
                            <w:sz w:val="18"/>
                            <w:szCs w:val="18"/>
                          </w:rPr>
                          <w:t>自恢复上市之日在政策允许下三年内公司再次向上市公司提议将青岛亚星臵业有 限公司、青岛嘉合福远臵业有限公司、青岛美丰臵业有限公司、绵阳亿嘉合投资 有限公司及其下属公司的房地产业务注入上市公司。如果自恢复上市之日三年内 政策不允许房地产业务注入上市公司，公司同意上市公司在期后两年内以市场公 允价格收购公司的项目或土地，促进上市公司房地产业务的可持续发展。</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5"/>
        <w:ind w:right="0"/>
        <w:jc w:val="left"/>
        <w:rPr>
          <w:b w:val="0"/>
          <w:bCs w:val="0"/>
        </w:rPr>
      </w:pPr>
      <w:r>
        <w:rPr/>
        <w:t>六、聘任、解聘会计师事务所情况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tabs>
                <w:tab w:pos="833" w:val="left" w:leader="none"/>
              </w:tabs>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李泽浩</w:t>
              <w:tab/>
              <w:t>高萍</w:t>
            </w:r>
          </w:p>
        </w:tc>
      </w:tr>
    </w:tbl>
    <w:p>
      <w:pPr>
        <w:pStyle w:val="BodyText"/>
        <w:spacing w:line="240" w:lineRule="auto" w:before="51"/>
        <w:ind w:right="0"/>
        <w:jc w:val="left"/>
      </w:pPr>
      <w:r>
        <w:rPr/>
        <w:t>当期是否改聘会计师事务所</w:t>
      </w:r>
    </w:p>
    <w:p>
      <w:pPr>
        <w:pStyle w:val="BodyText"/>
        <w:spacing w:line="338" w:lineRule="auto" w:before="117"/>
        <w:ind w:right="52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3"/>
        <w:ind w:right="8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本年度，公司因恢复上市申请工作，聘请世纪证券有限责任公司为保荐机构机构，期间共支付保荐费用</w:t>
      </w:r>
      <w:r>
        <w:rPr>
          <w:rFonts w:ascii="Times New Roman" w:hAnsi="Times New Roman" w:cs="Times New Roman" w:eastAsia="Times New Roman" w:hint="default"/>
        </w:rPr>
        <w:t>250</w:t>
      </w:r>
      <w:r>
        <w:rPr/>
        <w:t>万元。</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七、其他重大事项的说明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3" w:right="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日，经深圳证券交易所上市委员会召开的第七届上市委员会第十七次工作会议审议，本公司股票恢复上市申请</w:t>
      </w:r>
      <w:r>
        <w:rPr>
          <w:spacing w:val="-56"/>
        </w:rPr>
        <w:t> </w:t>
      </w:r>
      <w:r>
        <w:rPr>
          <w:spacing w:val="-56"/>
        </w:rPr>
      </w:r>
      <w:r>
        <w:rPr>
          <w:spacing w:val="-2"/>
        </w:rPr>
        <w:t>事项获得审议通过。</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日，本公司收到深圳证券交易所的《关于同意深圳大通实业股份有限公司股票恢复上市的</w:t>
      </w:r>
      <w:r>
        <w:rPr>
          <w:spacing w:val="-58"/>
        </w:rPr>
        <w:t> </w:t>
      </w:r>
      <w:r>
        <w:rPr>
          <w:spacing w:val="-58"/>
        </w:rPr>
      </w:r>
      <w:r>
        <w:rPr/>
        <w:t>决定》（深证上</w:t>
      </w:r>
      <w:r>
        <w:rPr>
          <w:rFonts w:ascii="Times New Roman" w:hAnsi="Times New Roman" w:cs="Times New Roman" w:eastAsia="Times New Roman" w:hint="default"/>
        </w:rPr>
        <w:t>[2012]474</w:t>
      </w:r>
      <w:r>
        <w:rPr/>
        <w:t>号），决定核准本公司股票恢复上市。经公司申请并经深圳交易所同意，公司股票自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 </w:t>
      </w:r>
      <w:r>
        <w:rPr/>
        <w:t>日起恢复上市，公司股票简称</w:t>
      </w:r>
      <w:r>
        <w:rPr>
          <w:rFonts w:ascii="Times New Roman" w:hAnsi="Times New Roman" w:cs="Times New Roman" w:eastAsia="Times New Roman" w:hint="default"/>
        </w:rPr>
        <w:t>“*ST</w:t>
      </w:r>
      <w:r>
        <w:rPr/>
        <w:t>大通</w:t>
      </w:r>
      <w:r>
        <w:rPr>
          <w:rFonts w:ascii="Times New Roman" w:hAnsi="Times New Roman" w:cs="Times New Roman" w:eastAsia="Times New Roman" w:hint="default"/>
        </w:rPr>
        <w:t>”</w:t>
      </w:r>
      <w:r>
        <w:rPr/>
        <w:t>、证券代码</w:t>
      </w:r>
      <w:r>
        <w:rPr>
          <w:rFonts w:ascii="Times New Roman" w:hAnsi="Times New Roman" w:cs="Times New Roman" w:eastAsia="Times New Roman" w:hint="default"/>
        </w:rPr>
        <w:t>“000038”</w:t>
      </w:r>
      <w:r>
        <w:rPr/>
        <w:t>保持不变。</w:t>
      </w:r>
    </w:p>
    <w:p>
      <w:pPr>
        <w:spacing w:after="0" w:line="30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group style="position:absolute;margin-left:193.559998pt;margin-top:702.830017pt;width:341.3pt;height:28pt;mso-position-horizontal-relative:page;mso-position-vertical-relative:page;z-index:-684616" coordorigin="3871,14057" coordsize="6826,560">
            <v:group style="position:absolute;left:3871;top:14460;width:6826;height:156" coordorigin="3871,14460" coordsize="6826,156">
              <v:shape style="position:absolute;left:3871;top:14460;width:6826;height:156" coordorigin="3871,14460" coordsize="6826,156" path="m3871,14616l10697,14616,10697,14460,3871,14460,3871,14616xe" filled="true" fillcolor="#ffffff" stroked="false">
                <v:path arrowok="t"/>
                <v:fill type="solid"/>
              </v:shape>
            </v:group>
            <v:group style="position:absolute;left:3883;top:14068;width:2;height:392" coordorigin="3883,14068" coordsize="2,392">
              <v:shape style="position:absolute;left:3883;top:14068;width:2;height:392" coordorigin="3883,14068" coordsize="0,392" path="m3883,14068l3883,14460e" filled="false" stroked="true" strokeweight="1.140pt" strokecolor="#ffffff">
                <v:path arrowok="t"/>
              </v:shape>
            </v:group>
            <v:group style="position:absolute;left:3894;top:14068;width:6780;height:393" coordorigin="3894,14068" coordsize="6780,393">
              <v:shape style="position:absolute;left:3894;top:14068;width:6780;height:393" coordorigin="3894,14068" coordsize="6780,393" path="m3894,14460l10674,14460,10674,14068,3894,14068,3894,14460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_TOC_250005" w:id="6"/>
      <w:r>
        <w:rPr/>
        <w:t>第六节</w:t>
      </w:r>
      <w:r>
        <w:rPr>
          <w:spacing w:val="-10"/>
        </w:rPr>
        <w:t> </w:t>
      </w:r>
      <w:r>
        <w:rPr/>
        <w:t>股份变动及股东情况</w:t>
      </w:r>
      <w:bookmarkEnd w:id="6"/>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4"/>
        <w:gridCol w:w="1362"/>
        <w:gridCol w:w="1380"/>
        <w:gridCol w:w="677"/>
        <w:gridCol w:w="683"/>
        <w:gridCol w:w="683"/>
        <w:gridCol w:w="683"/>
        <w:gridCol w:w="1362"/>
        <w:gridCol w:w="1374"/>
      </w:tblGrid>
      <w:tr>
        <w:trPr>
          <w:trHeight w:val="402"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0"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4,295</w:t>
            </w:r>
          </w:p>
        </w:tc>
        <w:tc>
          <w:tcPr>
            <w:tcW w:w="408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7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5,211</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1" w:hRule="exact"/>
        </w:trPr>
        <w:tc>
          <w:tcPr>
            <w:tcW w:w="1364" w:type="dxa"/>
            <w:vMerge w:val="restart"/>
            <w:tcBorders>
              <w:top w:val="single" w:sz="4" w:space="0" w:color="000000"/>
              <w:left w:val="single" w:sz="4" w:space="0" w:color="000000"/>
              <w:right w:val="single" w:sz="4" w:space="0" w:color="000000"/>
            </w:tcBorders>
            <w:shd w:val="clear" w:color="auto" w:fill="D3D3D3"/>
          </w:tcPr>
          <w:p>
            <w:pPr/>
          </w:p>
        </w:tc>
        <w:tc>
          <w:tcPr>
            <w:tcW w:w="1362" w:type="dxa"/>
            <w:vMerge w:val="restart"/>
            <w:tcBorders>
              <w:top w:val="single" w:sz="4" w:space="0" w:color="000000"/>
              <w:left w:val="single" w:sz="4" w:space="0" w:color="000000"/>
              <w:right w:val="single" w:sz="4" w:space="0" w:color="000000"/>
            </w:tcBorders>
            <w:shd w:val="clear" w:color="auto" w:fill="D3D3D3"/>
          </w:tcPr>
          <w:p>
            <w:pPr/>
          </w:p>
        </w:tc>
        <w:tc>
          <w:tcPr>
            <w:tcW w:w="1380" w:type="dxa"/>
            <w:vMerge w:val="restart"/>
            <w:tcBorders>
              <w:top w:val="single" w:sz="4" w:space="0" w:color="000000"/>
              <w:left w:val="single" w:sz="4" w:space="0" w:color="000000"/>
              <w:right w:val="single" w:sz="4" w:space="0" w:color="000000"/>
            </w:tcBorders>
            <w:shd w:val="clear" w:color="auto" w:fill="D3D3D3"/>
          </w:tcPr>
          <w:p>
            <w:pPr/>
          </w:p>
        </w:tc>
        <w:tc>
          <w:tcPr>
            <w:tcW w:w="677"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5" w:right="65"/>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68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5" w:right="65"/>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68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5" w:right="65"/>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73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277" w:hRule="exact"/>
        </w:trPr>
        <w:tc>
          <w:tcPr>
            <w:tcW w:w="1364" w:type="dxa"/>
            <w:vMerge/>
            <w:tcBorders>
              <w:left w:val="single" w:sz="4" w:space="0" w:color="000000"/>
              <w:bottom w:val="nil" w:sz="6" w:space="0" w:color="auto"/>
              <w:right w:val="single" w:sz="4" w:space="0" w:color="000000"/>
            </w:tcBorders>
            <w:shd w:val="clear" w:color="auto" w:fill="D3D3D3"/>
          </w:tcPr>
          <w:p>
            <w:pPr/>
          </w:p>
        </w:tc>
        <w:tc>
          <w:tcPr>
            <w:tcW w:w="1362" w:type="dxa"/>
            <w:vMerge/>
            <w:tcBorders>
              <w:left w:val="single" w:sz="4" w:space="0" w:color="000000"/>
              <w:bottom w:val="nil" w:sz="6" w:space="0" w:color="auto"/>
              <w:right w:val="single" w:sz="4" w:space="0" w:color="000000"/>
            </w:tcBorders>
            <w:shd w:val="clear" w:color="auto" w:fill="D3D3D3"/>
          </w:tcPr>
          <w:p>
            <w:pPr/>
          </w:p>
        </w:tc>
        <w:tc>
          <w:tcPr>
            <w:tcW w:w="1380" w:type="dxa"/>
            <w:vMerge/>
            <w:tcBorders>
              <w:left w:val="single" w:sz="4" w:space="0" w:color="000000"/>
              <w:bottom w:val="nil" w:sz="6" w:space="0" w:color="auto"/>
              <w:right w:val="single" w:sz="4" w:space="0" w:color="000000"/>
            </w:tcBorders>
            <w:shd w:val="clear" w:color="auto" w:fill="D3D3D3"/>
          </w:tcPr>
          <w:p>
            <w:pPr/>
          </w:p>
        </w:tc>
        <w:tc>
          <w:tcPr>
            <w:tcW w:w="677"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60" w:right="65"/>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2736" w:type="dxa"/>
            <w:gridSpan w:val="2"/>
            <w:vMerge/>
            <w:tcBorders>
              <w:left w:val="single" w:sz="4" w:space="0" w:color="000000"/>
              <w:bottom w:val="single" w:sz="4" w:space="0" w:color="000000"/>
              <w:right w:val="single" w:sz="4" w:space="0" w:color="000000"/>
            </w:tcBorders>
            <w:shd w:val="clear" w:color="auto" w:fill="D3D3D3"/>
          </w:tcPr>
          <w:p>
            <w:pPr/>
          </w:p>
        </w:tc>
      </w:tr>
      <w:tr>
        <w:trPr>
          <w:trHeight w:val="238" w:hRule="exact"/>
        </w:trPr>
        <w:tc>
          <w:tcPr>
            <w:tcW w:w="13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6"/>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6"/>
              <w:ind w:left="31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6"/>
              <w:ind w:left="69"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77"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13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7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0" w:hRule="exact"/>
        </w:trPr>
        <w:tc>
          <w:tcPr>
            <w:tcW w:w="1364" w:type="dxa"/>
            <w:vMerge/>
            <w:tcBorders>
              <w:left w:val="single" w:sz="4" w:space="0" w:color="000000"/>
              <w:bottom w:val="nil" w:sz="6" w:space="0" w:color="auto"/>
              <w:right w:val="single" w:sz="4" w:space="0" w:color="000000"/>
            </w:tcBorders>
            <w:shd w:val="clear" w:color="auto" w:fill="D3D3D3"/>
          </w:tcPr>
          <w:p>
            <w:pPr/>
          </w:p>
        </w:tc>
        <w:tc>
          <w:tcPr>
            <w:tcW w:w="1362" w:type="dxa"/>
            <w:vMerge/>
            <w:tcBorders>
              <w:left w:val="single" w:sz="4" w:space="0" w:color="000000"/>
              <w:bottom w:val="nil" w:sz="6" w:space="0" w:color="auto"/>
              <w:right w:val="single" w:sz="4" w:space="0" w:color="000000"/>
            </w:tcBorders>
            <w:shd w:val="clear" w:color="auto" w:fill="D3D3D3"/>
          </w:tcPr>
          <w:p>
            <w:pPr/>
          </w:p>
        </w:tc>
        <w:tc>
          <w:tcPr>
            <w:tcW w:w="1380" w:type="dxa"/>
            <w:vMerge/>
            <w:tcBorders>
              <w:left w:val="single" w:sz="4" w:space="0" w:color="000000"/>
              <w:bottom w:val="nil" w:sz="6" w:space="0" w:color="auto"/>
              <w:right w:val="single" w:sz="4" w:space="0" w:color="000000"/>
            </w:tcBorders>
            <w:shd w:val="clear" w:color="auto" w:fill="D3D3D3"/>
          </w:tcPr>
          <w:p>
            <w:pPr/>
          </w:p>
        </w:tc>
        <w:tc>
          <w:tcPr>
            <w:tcW w:w="677"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13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0" w:hRule="exact"/>
        </w:trPr>
        <w:tc>
          <w:tcPr>
            <w:tcW w:w="1364" w:type="dxa"/>
            <w:vMerge w:val="restart"/>
            <w:tcBorders>
              <w:top w:val="nil" w:sz="6" w:space="0" w:color="auto"/>
              <w:left w:val="single" w:sz="4" w:space="0" w:color="000000"/>
              <w:right w:val="single" w:sz="4" w:space="0" w:color="000000"/>
            </w:tcBorders>
            <w:shd w:val="clear" w:color="auto" w:fill="D3D3D3"/>
          </w:tcPr>
          <w:p>
            <w:pPr/>
          </w:p>
        </w:tc>
        <w:tc>
          <w:tcPr>
            <w:tcW w:w="1362" w:type="dxa"/>
            <w:vMerge w:val="restart"/>
            <w:tcBorders>
              <w:top w:val="nil" w:sz="6" w:space="0" w:color="auto"/>
              <w:left w:val="single" w:sz="4" w:space="0" w:color="000000"/>
              <w:right w:val="single" w:sz="4" w:space="0" w:color="000000"/>
            </w:tcBorders>
            <w:shd w:val="clear" w:color="auto" w:fill="D3D3D3"/>
          </w:tcPr>
          <w:p>
            <w:pPr/>
          </w:p>
        </w:tc>
        <w:tc>
          <w:tcPr>
            <w:tcW w:w="1380" w:type="dxa"/>
            <w:vMerge w:val="restart"/>
            <w:tcBorders>
              <w:top w:val="nil" w:sz="6" w:space="0" w:color="auto"/>
              <w:left w:val="single" w:sz="4" w:space="0" w:color="000000"/>
              <w:right w:val="single" w:sz="4" w:space="0" w:color="000000"/>
            </w:tcBorders>
            <w:shd w:val="clear" w:color="auto" w:fill="D3D3D3"/>
          </w:tcPr>
          <w:p>
            <w:pPr/>
          </w:p>
        </w:tc>
        <w:tc>
          <w:tcPr>
            <w:tcW w:w="677"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1362" w:type="dxa"/>
            <w:vMerge/>
            <w:tcBorders>
              <w:left w:val="single" w:sz="4" w:space="0" w:color="000000"/>
              <w:bottom w:val="nil" w:sz="6" w:space="0" w:color="auto"/>
              <w:right w:val="single" w:sz="4" w:space="0" w:color="000000"/>
            </w:tcBorders>
            <w:shd w:val="clear" w:color="auto" w:fill="D3D3D3"/>
          </w:tcPr>
          <w:p>
            <w:pPr/>
          </w:p>
        </w:tc>
        <w:tc>
          <w:tcPr>
            <w:tcW w:w="1374" w:type="dxa"/>
            <w:vMerge/>
            <w:tcBorders>
              <w:left w:val="single" w:sz="4" w:space="0" w:color="000000"/>
              <w:bottom w:val="nil" w:sz="6" w:space="0" w:color="auto"/>
              <w:right w:val="single" w:sz="4" w:space="0" w:color="000000"/>
            </w:tcBorders>
            <w:shd w:val="clear" w:color="auto" w:fill="D3D3D3"/>
          </w:tcPr>
          <w:p>
            <w:pPr/>
          </w:p>
        </w:tc>
      </w:tr>
      <w:tr>
        <w:trPr>
          <w:trHeight w:val="112" w:hRule="exact"/>
        </w:trPr>
        <w:tc>
          <w:tcPr>
            <w:tcW w:w="1364" w:type="dxa"/>
            <w:vMerge/>
            <w:tcBorders>
              <w:left w:val="single" w:sz="4" w:space="0" w:color="000000"/>
              <w:right w:val="single" w:sz="4" w:space="0" w:color="000000"/>
            </w:tcBorders>
            <w:shd w:val="clear" w:color="auto" w:fill="D3D3D3"/>
          </w:tcPr>
          <w:p>
            <w:pPr/>
          </w:p>
        </w:tc>
        <w:tc>
          <w:tcPr>
            <w:tcW w:w="1362" w:type="dxa"/>
            <w:vMerge/>
            <w:tcBorders>
              <w:left w:val="single" w:sz="4" w:space="0" w:color="000000"/>
              <w:right w:val="single" w:sz="4" w:space="0" w:color="000000"/>
            </w:tcBorders>
            <w:shd w:val="clear" w:color="auto" w:fill="D3D3D3"/>
          </w:tcPr>
          <w:p>
            <w:pPr/>
          </w:p>
        </w:tc>
        <w:tc>
          <w:tcPr>
            <w:tcW w:w="1380" w:type="dxa"/>
            <w:vMerge/>
            <w:tcBorders>
              <w:left w:val="single" w:sz="4" w:space="0" w:color="000000"/>
              <w:right w:val="single" w:sz="4" w:space="0" w:color="000000"/>
            </w:tcBorders>
            <w:shd w:val="clear" w:color="auto" w:fill="D3D3D3"/>
          </w:tcPr>
          <w:p>
            <w:pPr/>
          </w:p>
        </w:tc>
        <w:tc>
          <w:tcPr>
            <w:tcW w:w="677" w:type="dxa"/>
            <w:vMerge/>
            <w:tcBorders>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1362" w:type="dxa"/>
            <w:vMerge w:val="restart"/>
            <w:tcBorders>
              <w:top w:val="nil" w:sz="6" w:space="0" w:color="auto"/>
              <w:left w:val="single" w:sz="4" w:space="0" w:color="000000"/>
              <w:right w:val="single" w:sz="4" w:space="0" w:color="000000"/>
            </w:tcBorders>
            <w:shd w:val="clear" w:color="auto" w:fill="D3D3D3"/>
          </w:tcPr>
          <w:p>
            <w:pPr/>
          </w:p>
        </w:tc>
        <w:tc>
          <w:tcPr>
            <w:tcW w:w="1374"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364" w:type="dxa"/>
            <w:vMerge/>
            <w:tcBorders>
              <w:left w:val="single" w:sz="4" w:space="0" w:color="000000"/>
              <w:bottom w:val="single" w:sz="4" w:space="0" w:color="000000"/>
              <w:right w:val="single" w:sz="4" w:space="0" w:color="000000"/>
            </w:tcBorders>
            <w:shd w:val="clear" w:color="auto" w:fill="D3D3D3"/>
          </w:tcPr>
          <w:p>
            <w:pPr/>
          </w:p>
        </w:tc>
        <w:tc>
          <w:tcPr>
            <w:tcW w:w="1362" w:type="dxa"/>
            <w:vMerge/>
            <w:tcBorders>
              <w:left w:val="single" w:sz="4" w:space="0" w:color="000000"/>
              <w:bottom w:val="single" w:sz="4" w:space="0" w:color="000000"/>
              <w:right w:val="single" w:sz="4" w:space="0" w:color="000000"/>
            </w:tcBorders>
            <w:shd w:val="clear" w:color="auto" w:fill="D3D3D3"/>
          </w:tcPr>
          <w:p>
            <w:pPr/>
          </w:p>
        </w:tc>
        <w:tc>
          <w:tcPr>
            <w:tcW w:w="1380" w:type="dxa"/>
            <w:vMerge/>
            <w:tcBorders>
              <w:left w:val="single" w:sz="4" w:space="0" w:color="000000"/>
              <w:bottom w:val="single" w:sz="4" w:space="0" w:color="000000"/>
              <w:right w:val="single" w:sz="4" w:space="0" w:color="000000"/>
            </w:tcBorders>
            <w:shd w:val="clear" w:color="auto" w:fill="D3D3D3"/>
          </w:tcPr>
          <w:p>
            <w:pPr/>
          </w:p>
        </w:tc>
        <w:tc>
          <w:tcPr>
            <w:tcW w:w="677"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1362" w:type="dxa"/>
            <w:vMerge/>
            <w:tcBorders>
              <w:left w:val="single" w:sz="4" w:space="0" w:color="000000"/>
              <w:bottom w:val="single" w:sz="4" w:space="0" w:color="000000"/>
              <w:right w:val="single" w:sz="4" w:space="0" w:color="000000"/>
            </w:tcBorders>
            <w:shd w:val="clear" w:color="auto" w:fill="D3D3D3"/>
          </w:tcPr>
          <w:p>
            <w:pPr/>
          </w:p>
        </w:tc>
        <w:tc>
          <w:tcPr>
            <w:tcW w:w="137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青岛亚星实业有 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44.79%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43,101,</w:t>
            </w:r>
          </w:p>
          <w:p>
            <w:pPr>
              <w:pStyle w:val="TableParagraph"/>
              <w:spacing w:line="240" w:lineRule="auto" w:before="106"/>
              <w:ind w:left="374" w:right="0"/>
              <w:jc w:val="left"/>
              <w:rPr>
                <w:rFonts w:ascii="Times New Roman" w:hAnsi="Times New Roman" w:cs="Times New Roman" w:eastAsia="Times New Roman" w:hint="default"/>
                <w:sz w:val="18"/>
                <w:szCs w:val="18"/>
              </w:rPr>
            </w:pPr>
            <w:r>
              <w:rPr>
                <w:rFonts w:ascii="Times New Roman"/>
                <w:sz w:val="18"/>
              </w:rPr>
              <w:t>098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43,101,</w:t>
            </w:r>
          </w:p>
          <w:p>
            <w:pPr>
              <w:pStyle w:val="TableParagraph"/>
              <w:spacing w:line="240" w:lineRule="auto" w:before="106"/>
              <w:ind w:left="380" w:right="0"/>
              <w:jc w:val="left"/>
              <w:rPr>
                <w:rFonts w:ascii="Times New Roman" w:hAnsi="Times New Roman" w:cs="Times New Roman" w:eastAsia="Times New Roman" w:hint="default"/>
                <w:sz w:val="18"/>
                <w:szCs w:val="18"/>
              </w:rPr>
            </w:pPr>
            <w:r>
              <w:rPr>
                <w:rFonts w:ascii="Times New Roman"/>
                <w:sz w:val="18"/>
              </w:rPr>
              <w:t>098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4,500,000</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方正延中传媒有 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8.07%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7,762,150</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上海文慧投资有 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6.44%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6,199,442</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6,199,442</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北京科希盟科技 集团有限公司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5.19%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上海港银投资管 理有限公司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3.64%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3,500,000</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深圳市立信创展 投资有限公司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2.22%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林仁平</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1.28%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林仁忠</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1.05%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吴凤鸣</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0.82%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787,500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787,500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史银娣</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0.82%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787,500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787,500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名股东的情况（如有</w:t>
            </w:r>
          </w:p>
        </w:tc>
        <w:tc>
          <w:tcPr>
            <w:tcW w:w="6841"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19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714"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林仁平和林仁忠为亲兄弟</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32"/>
        <w:gridCol w:w="4099"/>
        <w:gridCol w:w="1368"/>
        <w:gridCol w:w="1368"/>
      </w:tblGrid>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7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732" w:type="dxa"/>
            <w:vMerge/>
            <w:tcBorders>
              <w:left w:val="single" w:sz="4" w:space="0" w:color="000000"/>
              <w:bottom w:val="single" w:sz="4" w:space="0" w:color="000000"/>
              <w:right w:val="single" w:sz="4" w:space="0" w:color="000000"/>
            </w:tcBorders>
            <w:shd w:val="clear" w:color="auto" w:fill="D3D3D3"/>
          </w:tcPr>
          <w:p>
            <w:pPr/>
          </w:p>
        </w:tc>
        <w:tc>
          <w:tcPr>
            <w:tcW w:w="4099"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17"/>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林仁平</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1,236,164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1,236,164</w:t>
            </w:r>
          </w:p>
        </w:tc>
      </w:tr>
      <w:tr>
        <w:trPr>
          <w:trHeight w:val="40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林仁忠</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1,008,540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1,008,540</w:t>
            </w:r>
          </w:p>
        </w:tc>
      </w:tr>
      <w:tr>
        <w:trPr>
          <w:trHeight w:val="40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杜进军</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397,930</w:t>
            </w:r>
          </w:p>
        </w:tc>
      </w:tr>
      <w:tr>
        <w:trPr>
          <w:trHeight w:val="40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朱欣怡</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358,150</w:t>
            </w:r>
          </w:p>
        </w:tc>
      </w:tr>
      <w:tr>
        <w:trPr>
          <w:trHeight w:val="40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张建青</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340,470</w:t>
            </w:r>
          </w:p>
        </w:tc>
      </w:tr>
      <w:tr>
        <w:trPr>
          <w:trHeight w:val="40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章德华</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285,281</w:t>
            </w:r>
          </w:p>
        </w:tc>
      </w:tr>
      <w:tr>
        <w:trPr>
          <w:trHeight w:val="40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吴黛云</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282,100</w:t>
            </w:r>
          </w:p>
        </w:tc>
      </w:tr>
      <w:tr>
        <w:trPr>
          <w:trHeight w:val="40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秦辉</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231,953</w:t>
            </w:r>
          </w:p>
        </w:tc>
      </w:tr>
      <w:tr>
        <w:trPr>
          <w:trHeight w:val="40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金明飞</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231,166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231,166</w:t>
            </w:r>
          </w:p>
        </w:tc>
      </w:tr>
      <w:tr>
        <w:trPr>
          <w:trHeight w:val="40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易清明</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215,540</w:t>
            </w:r>
          </w:p>
        </w:tc>
      </w:tr>
      <w:tr>
        <w:trPr>
          <w:trHeight w:val="1338" w:hRule="exact"/>
        </w:trPr>
        <w:tc>
          <w:tcPr>
            <w:tcW w:w="2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35"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林仁平和林仁忠为亲兄弟</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法人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82"/>
        <w:gridCol w:w="1093"/>
        <w:gridCol w:w="888"/>
        <w:gridCol w:w="1801"/>
        <w:gridCol w:w="1801"/>
        <w:gridCol w:w="1802"/>
      </w:tblGrid>
      <w:tr>
        <w:trPr>
          <w:trHeight w:val="714"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92" w:right="6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7" w:hRule="exact"/>
        </w:trPr>
        <w:tc>
          <w:tcPr>
            <w:tcW w:w="2182" w:type="dxa"/>
            <w:tcBorders>
              <w:top w:val="single" w:sz="4" w:space="0" w:color="000000"/>
              <w:left w:val="single" w:sz="4" w:space="0" w:color="000000"/>
              <w:bottom w:val="nil" w:sz="6" w:space="0" w:color="auto"/>
              <w:right w:val="single" w:sz="4" w:space="0" w:color="000000"/>
            </w:tcBorders>
          </w:tcPr>
          <w:p>
            <w:pPr/>
          </w:p>
        </w:tc>
        <w:tc>
          <w:tcPr>
            <w:tcW w:w="1093" w:type="dxa"/>
            <w:tcBorders>
              <w:top w:val="single" w:sz="4" w:space="0" w:color="000000"/>
              <w:left w:val="single" w:sz="4" w:space="0" w:color="000000"/>
              <w:bottom w:val="nil" w:sz="6" w:space="0" w:color="auto"/>
              <w:right w:val="single" w:sz="4" w:space="0" w:color="000000"/>
            </w:tcBorders>
          </w:tcPr>
          <w:p>
            <w:pPr/>
          </w:p>
        </w:tc>
        <w:tc>
          <w:tcPr>
            <w:tcW w:w="888" w:type="dxa"/>
            <w:tcBorders>
              <w:top w:val="single" w:sz="4" w:space="0" w:color="000000"/>
              <w:left w:val="single" w:sz="4" w:space="0" w:color="000000"/>
              <w:bottom w:val="nil" w:sz="6" w:space="0" w:color="auto"/>
              <w:right w:val="single" w:sz="4" w:space="0" w:color="000000"/>
            </w:tcBorders>
          </w:tcPr>
          <w:p>
            <w:pPr/>
          </w:p>
        </w:tc>
        <w:tc>
          <w:tcPr>
            <w:tcW w:w="1801" w:type="dxa"/>
            <w:tcBorders>
              <w:top w:val="single" w:sz="4" w:space="0" w:color="000000"/>
              <w:left w:val="single" w:sz="4" w:space="0" w:color="000000"/>
              <w:bottom w:val="nil" w:sz="6" w:space="0" w:color="auto"/>
              <w:right w:val="single" w:sz="4" w:space="0" w:color="000000"/>
            </w:tcBorders>
          </w:tcPr>
          <w:p>
            <w:pPr/>
          </w:p>
        </w:tc>
        <w:tc>
          <w:tcPr>
            <w:tcW w:w="1801" w:type="dxa"/>
            <w:tcBorders>
              <w:top w:val="single" w:sz="4" w:space="0" w:color="000000"/>
              <w:left w:val="single" w:sz="4" w:space="0" w:color="000000"/>
              <w:bottom w:val="nil" w:sz="6" w:space="0" w:color="auto"/>
              <w:right w:val="single" w:sz="4" w:space="0" w:color="000000"/>
            </w:tcBorders>
          </w:tcPr>
          <w:p>
            <w:pPr/>
          </w:p>
        </w:tc>
        <w:tc>
          <w:tcPr>
            <w:tcW w:w="1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批发、零售：金属材料</w:t>
            </w:r>
          </w:p>
        </w:tc>
      </w:tr>
      <w:tr>
        <w:trPr>
          <w:trHeight w:val="311" w:hRule="exact"/>
        </w:trPr>
        <w:tc>
          <w:tcPr>
            <w:tcW w:w="2182"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（不含贵重金属</w:t>
            </w:r>
            <w:r>
              <w:rPr>
                <w:rFonts w:ascii="宋体" w:hAnsi="宋体" w:cs="宋体" w:eastAsia="宋体" w:hint="default"/>
                <w:spacing w:val="-90"/>
                <w:sz w:val="18"/>
                <w:szCs w:val="18"/>
              </w:rPr>
              <w:t>）</w:t>
            </w:r>
            <w:r>
              <w:rPr>
                <w:rFonts w:ascii="宋体" w:hAnsi="宋体" w:cs="宋体" w:eastAsia="宋体" w:hint="default"/>
                <w:sz w:val="18"/>
                <w:szCs w:val="18"/>
              </w:rPr>
              <w:t>，建</w:t>
            </w:r>
          </w:p>
        </w:tc>
      </w:tr>
      <w:tr>
        <w:trPr>
          <w:trHeight w:val="312" w:hRule="exact"/>
        </w:trPr>
        <w:tc>
          <w:tcPr>
            <w:tcW w:w="2182"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筑装饰材料，机电产</w:t>
            </w:r>
          </w:p>
        </w:tc>
      </w:tr>
      <w:tr>
        <w:trPr>
          <w:trHeight w:val="312" w:hRule="exact"/>
        </w:trPr>
        <w:tc>
          <w:tcPr>
            <w:tcW w:w="2182"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品，汽车（不含小轿</w:t>
            </w:r>
          </w:p>
        </w:tc>
      </w:tr>
      <w:tr>
        <w:trPr>
          <w:trHeight w:val="312" w:hRule="exact"/>
        </w:trPr>
        <w:tc>
          <w:tcPr>
            <w:tcW w:w="2182"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车</w:t>
            </w:r>
            <w:r>
              <w:rPr>
                <w:rFonts w:ascii="宋体" w:hAnsi="宋体" w:cs="宋体" w:eastAsia="宋体" w:hint="default"/>
                <w:spacing w:val="-90"/>
                <w:sz w:val="18"/>
                <w:szCs w:val="18"/>
              </w:rPr>
              <w:t>）</w:t>
            </w:r>
            <w:r>
              <w:rPr>
                <w:rFonts w:ascii="宋体" w:hAnsi="宋体" w:cs="宋体" w:eastAsia="宋体" w:hint="default"/>
                <w:sz w:val="18"/>
                <w:szCs w:val="18"/>
              </w:rPr>
              <w:t>，摩托车，木材，</w:t>
            </w:r>
          </w:p>
        </w:tc>
      </w:tr>
      <w:tr>
        <w:trPr>
          <w:trHeight w:val="312" w:hRule="exact"/>
        </w:trPr>
        <w:tc>
          <w:tcPr>
            <w:tcW w:w="2182"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化工产品（不含危险</w:t>
            </w:r>
          </w:p>
        </w:tc>
      </w:tr>
      <w:tr>
        <w:trPr>
          <w:trHeight w:val="630" w:hRule="exact"/>
        </w:trPr>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10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姜剑</w:t>
            </w:r>
          </w:p>
        </w:tc>
        <w:tc>
          <w:tcPr>
            <w:tcW w:w="8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26459132-6</w:t>
            </w:r>
          </w:p>
        </w:tc>
        <w:tc>
          <w:tcPr>
            <w:tcW w:w="180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9"/>
                <w:sz w:val="18"/>
                <w:szCs w:val="18"/>
              </w:rPr>
              <w:t>品），五金交电，办公</w:t>
            </w:r>
            <w:r>
              <w:rPr>
                <w:rFonts w:ascii="宋体" w:hAnsi="宋体" w:cs="宋体" w:eastAsia="宋体" w:hint="default"/>
                <w:sz w:val="18"/>
                <w:szCs w:val="18"/>
              </w:rPr>
              <w:t> </w:t>
            </w:r>
            <w:r>
              <w:rPr>
                <w:rFonts w:ascii="宋体" w:hAnsi="宋体" w:cs="宋体" w:eastAsia="宋体" w:hint="default"/>
                <w:spacing w:val="-6"/>
                <w:sz w:val="18"/>
                <w:szCs w:val="18"/>
              </w:rPr>
              <w:t>自动化设备，百货；电</w:t>
            </w:r>
          </w:p>
        </w:tc>
      </w:tr>
      <w:tr>
        <w:trPr>
          <w:trHeight w:val="306" w:hRule="exact"/>
        </w:trPr>
        <w:tc>
          <w:tcPr>
            <w:tcW w:w="2182"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子产品及机械配套产</w:t>
            </w:r>
          </w:p>
        </w:tc>
      </w:tr>
      <w:tr>
        <w:trPr>
          <w:trHeight w:val="312" w:hRule="exact"/>
        </w:trPr>
        <w:tc>
          <w:tcPr>
            <w:tcW w:w="2182"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品、包装容器开发、生</w:t>
            </w:r>
          </w:p>
        </w:tc>
      </w:tr>
      <w:tr>
        <w:trPr>
          <w:trHeight w:val="312" w:hRule="exact"/>
        </w:trPr>
        <w:tc>
          <w:tcPr>
            <w:tcW w:w="2182"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产；劳务服务；房地产</w:t>
            </w:r>
          </w:p>
        </w:tc>
      </w:tr>
      <w:tr>
        <w:trPr>
          <w:trHeight w:val="312" w:hRule="exact"/>
        </w:trPr>
        <w:tc>
          <w:tcPr>
            <w:tcW w:w="2182"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开发、经营（以上范围</w:t>
            </w:r>
          </w:p>
        </w:tc>
      </w:tr>
      <w:tr>
        <w:trPr>
          <w:trHeight w:val="313" w:hRule="exact"/>
        </w:trPr>
        <w:tc>
          <w:tcPr>
            <w:tcW w:w="2182" w:type="dxa"/>
            <w:tcBorders>
              <w:top w:val="nil" w:sz="6" w:space="0" w:color="auto"/>
              <w:left w:val="single" w:sz="4" w:space="0" w:color="000000"/>
              <w:bottom w:val="nil" w:sz="6" w:space="0" w:color="auto"/>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需要经营许可证的，须</w:t>
            </w:r>
          </w:p>
        </w:tc>
      </w:tr>
      <w:tr>
        <w:trPr>
          <w:trHeight w:val="357" w:hRule="exact"/>
        </w:trPr>
        <w:tc>
          <w:tcPr>
            <w:tcW w:w="2182" w:type="dxa"/>
            <w:tcBorders>
              <w:top w:val="nil" w:sz="6" w:space="0" w:color="auto"/>
              <w:left w:val="single" w:sz="4" w:space="0" w:color="000000"/>
              <w:bottom w:val="single" w:sz="4" w:space="0" w:color="000000"/>
              <w:right w:val="single" w:sz="4" w:space="0" w:color="000000"/>
            </w:tcBorders>
          </w:tcPr>
          <w:p>
            <w:pPr/>
          </w:p>
        </w:tc>
        <w:tc>
          <w:tcPr>
            <w:tcW w:w="1093" w:type="dxa"/>
            <w:tcBorders>
              <w:top w:val="nil" w:sz="6" w:space="0" w:color="auto"/>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
        </w:tc>
        <w:tc>
          <w:tcPr>
            <w:tcW w:w="1801" w:type="dxa"/>
            <w:tcBorders>
              <w:top w:val="nil" w:sz="6" w:space="0" w:color="auto"/>
              <w:left w:val="single" w:sz="4" w:space="0" w:color="000000"/>
              <w:bottom w:val="single" w:sz="4" w:space="0" w:color="000000"/>
              <w:right w:val="single" w:sz="4" w:space="0" w:color="000000"/>
            </w:tcBorders>
          </w:tcPr>
          <w:p>
            <w:pPr/>
          </w:p>
        </w:tc>
        <w:tc>
          <w:tcPr>
            <w:tcW w:w="1801" w:type="dxa"/>
            <w:tcBorders>
              <w:top w:val="nil" w:sz="6" w:space="0" w:color="auto"/>
              <w:left w:val="single" w:sz="4" w:space="0" w:color="000000"/>
              <w:bottom w:val="single" w:sz="4" w:space="0" w:color="000000"/>
              <w:right w:val="single" w:sz="4" w:space="0" w:color="000000"/>
            </w:tcBorders>
          </w:tcPr>
          <w:p>
            <w:pPr/>
          </w:p>
        </w:tc>
        <w:tc>
          <w:tcPr>
            <w:tcW w:w="1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凭许可证经营</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68" w:hRule="exact"/>
        </w:trPr>
        <w:tc>
          <w:tcPr>
            <w:tcW w:w="21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p>
        </w:tc>
        <w:tc>
          <w:tcPr>
            <w:tcW w:w="7386" w:type="dxa"/>
            <w:gridSpan w:val="5"/>
            <w:tcBorders>
              <w:top w:val="single" w:sz="4" w:space="0" w:color="000000"/>
              <w:left w:val="single" w:sz="9" w:space="0" w:color="D3D3D3"/>
              <w:bottom w:val="nil" w:sz="6" w:space="0" w:color="auto"/>
              <w:right w:val="single" w:sz="4" w:space="0" w:color="000000"/>
            </w:tcBorders>
          </w:tcPr>
          <w:p>
            <w:pPr>
              <w:pStyle w:val="TableParagraph"/>
              <w:spacing w:line="240" w:lineRule="auto" w:before="71"/>
              <w:ind w:left="17" w:right="0"/>
              <w:jc w:val="left"/>
              <w:rPr>
                <w:rFonts w:ascii="宋体" w:hAnsi="宋体" w:cs="宋体" w:eastAsia="宋体" w:hint="default"/>
                <w:sz w:val="18"/>
                <w:szCs w:val="18"/>
              </w:rPr>
            </w:pPr>
            <w:r>
              <w:rPr>
                <w:rFonts w:ascii="宋体" w:hAnsi="宋体" w:cs="宋体" w:eastAsia="宋体" w:hint="default"/>
                <w:spacing w:val="-2"/>
                <w:sz w:val="18"/>
                <w:szCs w:val="18"/>
              </w:rPr>
              <w:t>控股股东青岛亚星实业有限公司（以下简称亚星实业）是一家以房地产开发经营、股权投资为</w:t>
            </w:r>
          </w:p>
        </w:tc>
      </w:tr>
      <w:tr>
        <w:trPr>
          <w:trHeight w:val="346" w:hRule="exact"/>
        </w:trPr>
        <w:tc>
          <w:tcPr>
            <w:tcW w:w="218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流和未来发展战略等</w:t>
            </w:r>
          </w:p>
        </w:tc>
        <w:tc>
          <w:tcPr>
            <w:tcW w:w="7386" w:type="dxa"/>
            <w:gridSpan w:val="5"/>
            <w:tcBorders>
              <w:top w:val="nil" w:sz="6" w:space="0" w:color="auto"/>
              <w:left w:val="single" w:sz="9" w:space="0" w:color="D3D3D3"/>
              <w:bottom w:val="single" w:sz="4" w:space="0" w:color="000000"/>
              <w:right w:val="single" w:sz="4" w:space="0" w:color="000000"/>
            </w:tcBorders>
          </w:tcPr>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z w:val="18"/>
                <w:szCs w:val="18"/>
              </w:rPr>
              <w:t>主、跨地域的民营企业，注册资金</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万元。公司经营范围为批发零售金属材料、建筑装饰</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82"/>
        <w:gridCol w:w="7386"/>
      </w:tblGrid>
      <w:tr>
        <w:trPr>
          <w:trHeight w:val="317" w:hRule="exact"/>
        </w:trPr>
        <w:tc>
          <w:tcPr>
            <w:tcW w:w="2182" w:type="dxa"/>
            <w:vMerge w:val="restart"/>
            <w:tcBorders>
              <w:top w:val="single" w:sz="4" w:space="0" w:color="000000"/>
              <w:left w:val="single" w:sz="4" w:space="0" w:color="000000"/>
              <w:right w:val="single" w:sz="4" w:space="0" w:color="000000"/>
            </w:tcBorders>
            <w:shd w:val="clear" w:color="auto" w:fill="D3D3D3"/>
          </w:tcPr>
          <w:p>
            <w:pPr/>
          </w:p>
        </w:tc>
        <w:tc>
          <w:tcPr>
            <w:tcW w:w="73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材料、机电产品，电子产品及机械配套产品等，以及房地产开发、经营。</w:t>
            </w:r>
            <w:r>
              <w:rPr>
                <w:rFonts w:ascii="宋体" w:hAnsi="宋体" w:cs="宋体" w:eastAsia="宋体" w:hint="default"/>
                <w:spacing w:val="35"/>
                <w:sz w:val="18"/>
                <w:szCs w:val="18"/>
              </w:rPr>
              <w:t> </w:t>
            </w:r>
            <w:r>
              <w:rPr>
                <w:rFonts w:ascii="宋体" w:hAnsi="宋体" w:cs="宋体" w:eastAsia="宋体" w:hint="default"/>
                <w:sz w:val="18"/>
                <w:szCs w:val="18"/>
              </w:rPr>
              <w:t>亚星实业先后荣获</w:t>
            </w:r>
          </w:p>
        </w:tc>
      </w:tr>
      <w:tr>
        <w:trPr>
          <w:trHeight w:val="317" w:hRule="exact"/>
        </w:trPr>
        <w:tc>
          <w:tcPr>
            <w:tcW w:w="2182" w:type="dxa"/>
            <w:vMerge/>
            <w:tcBorders>
              <w:left w:val="single" w:sz="4" w:space="0" w:color="000000"/>
              <w:right w:val="single" w:sz="4" w:space="0" w:color="000000"/>
            </w:tcBorders>
            <w:shd w:val="clear" w:color="auto" w:fill="D3D3D3"/>
          </w:tcPr>
          <w:p>
            <w:pPr/>
          </w:p>
        </w:tc>
        <w:tc>
          <w:tcPr>
            <w:tcW w:w="7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省级优秀民营企业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省级守合同重信用企业</w:t>
            </w:r>
            <w:r>
              <w:rPr>
                <w:rFonts w:ascii="Times New Roman" w:hAnsi="Times New Roman" w:cs="Times New Roman" w:eastAsia="Times New Roman" w:hint="default"/>
                <w:sz w:val="18"/>
                <w:szCs w:val="18"/>
              </w:rPr>
              <w:t>”</w:t>
            </w:r>
            <w:r>
              <w:rPr>
                <w:rFonts w:ascii="宋体" w:hAnsi="宋体" w:cs="宋体" w:eastAsia="宋体" w:hint="default"/>
                <w:sz w:val="18"/>
                <w:szCs w:val="18"/>
              </w:rPr>
              <w:t>等荣誉称号；连续多年入选</w:t>
            </w:r>
            <w:r>
              <w:rPr>
                <w:rFonts w:ascii="Times New Roman" w:hAnsi="Times New Roman" w:cs="Times New Roman" w:eastAsia="Times New Roman" w:hint="default"/>
                <w:sz w:val="18"/>
                <w:szCs w:val="18"/>
              </w:rPr>
              <w:t>“</w:t>
            </w:r>
            <w:r>
              <w:rPr>
                <w:rFonts w:ascii="宋体" w:hAnsi="宋体" w:cs="宋体" w:eastAsia="宋体" w:hint="default"/>
                <w:sz w:val="18"/>
                <w:szCs w:val="18"/>
              </w:rPr>
              <w:t>中国青岛十大城</w:t>
            </w:r>
          </w:p>
        </w:tc>
      </w:tr>
      <w:tr>
        <w:trPr>
          <w:trHeight w:val="312" w:hRule="exact"/>
        </w:trPr>
        <w:tc>
          <w:tcPr>
            <w:tcW w:w="2182" w:type="dxa"/>
            <w:vMerge/>
            <w:tcBorders>
              <w:left w:val="single" w:sz="4" w:space="0" w:color="000000"/>
              <w:right w:val="single" w:sz="4" w:space="0" w:color="000000"/>
            </w:tcBorders>
            <w:shd w:val="clear" w:color="auto" w:fill="D3D3D3"/>
          </w:tcPr>
          <w:p>
            <w:pPr/>
          </w:p>
        </w:tc>
        <w:tc>
          <w:tcPr>
            <w:tcW w:w="7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市运营商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中国青岛十大房地产品牌企业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青岛品牌房地产企业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中国（青岛）城市土</w:t>
            </w:r>
          </w:p>
        </w:tc>
      </w:tr>
      <w:tr>
        <w:trPr>
          <w:trHeight w:val="312" w:hRule="exact"/>
        </w:trPr>
        <w:tc>
          <w:tcPr>
            <w:tcW w:w="2182" w:type="dxa"/>
            <w:vMerge/>
            <w:tcBorders>
              <w:left w:val="single" w:sz="4" w:space="0" w:color="000000"/>
              <w:right w:val="single" w:sz="4" w:space="0" w:color="000000"/>
            </w:tcBorders>
            <w:shd w:val="clear" w:color="auto" w:fill="D3D3D3"/>
          </w:tcPr>
          <w:p>
            <w:pPr/>
          </w:p>
        </w:tc>
        <w:tc>
          <w:tcPr>
            <w:tcW w:w="7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地建筑精品运营商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青岛市纳税先进单位</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日，亚星实业获得了住建部颁</w:t>
            </w:r>
          </w:p>
        </w:tc>
      </w:tr>
      <w:tr>
        <w:trPr>
          <w:trHeight w:val="312" w:hRule="exact"/>
        </w:trPr>
        <w:tc>
          <w:tcPr>
            <w:tcW w:w="2182" w:type="dxa"/>
            <w:vMerge/>
            <w:tcBorders>
              <w:left w:val="single" w:sz="4" w:space="0" w:color="000000"/>
              <w:right w:val="single" w:sz="4" w:space="0" w:color="000000"/>
            </w:tcBorders>
            <w:shd w:val="clear" w:color="auto" w:fill="D3D3D3"/>
          </w:tcPr>
          <w:p>
            <w:pPr/>
          </w:p>
        </w:tc>
        <w:tc>
          <w:tcPr>
            <w:tcW w:w="7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发的</w:t>
            </w:r>
            <w:r>
              <w:rPr>
                <w:rFonts w:ascii="Times New Roman" w:hAnsi="Times New Roman" w:cs="Times New Roman" w:eastAsia="Times New Roman" w:hint="default"/>
                <w:sz w:val="18"/>
                <w:szCs w:val="18"/>
              </w:rPr>
              <w:t>“</w:t>
            </w:r>
            <w:r>
              <w:rPr>
                <w:rFonts w:ascii="宋体" w:hAnsi="宋体" w:cs="宋体" w:eastAsia="宋体" w:hint="default"/>
                <w:sz w:val="18"/>
                <w:szCs w:val="18"/>
              </w:rPr>
              <w:t>国家康居示范工程示范企业</w:t>
            </w:r>
            <w:r>
              <w:rPr>
                <w:rFonts w:ascii="Times New Roman" w:hAnsi="Times New Roman" w:cs="Times New Roman" w:eastAsia="Times New Roman" w:hint="default"/>
                <w:sz w:val="18"/>
                <w:szCs w:val="18"/>
              </w:rPr>
              <w:t>”</w:t>
            </w:r>
            <w:r>
              <w:rPr>
                <w:rFonts w:ascii="宋体" w:hAnsi="宋体" w:cs="宋体" w:eastAsia="宋体" w:hint="default"/>
                <w:sz w:val="18"/>
                <w:szCs w:val="18"/>
              </w:rPr>
              <w:t>证书，是全国第一个获此殊荣的房地产开发企业。</w:t>
            </w:r>
            <w:r>
              <w:rPr>
                <w:rFonts w:ascii="宋体" w:hAnsi="宋体" w:cs="宋体" w:eastAsia="宋体" w:hint="default"/>
                <w:spacing w:val="50"/>
                <w:sz w:val="18"/>
                <w:szCs w:val="18"/>
              </w:rPr>
              <w:t> </w:t>
            </w:r>
            <w:r>
              <w:rPr>
                <w:rFonts w:ascii="宋体" w:hAnsi="宋体" w:cs="宋体" w:eastAsia="宋体" w:hint="default"/>
                <w:sz w:val="18"/>
                <w:szCs w:val="18"/>
              </w:rPr>
              <w:t>通过多</w:t>
            </w:r>
          </w:p>
        </w:tc>
      </w:tr>
      <w:tr>
        <w:trPr>
          <w:trHeight w:val="307" w:hRule="exact"/>
        </w:trPr>
        <w:tc>
          <w:tcPr>
            <w:tcW w:w="2182" w:type="dxa"/>
            <w:vMerge/>
            <w:tcBorders>
              <w:left w:val="single" w:sz="4" w:space="0" w:color="000000"/>
              <w:right w:val="single" w:sz="4" w:space="0" w:color="000000"/>
            </w:tcBorders>
            <w:shd w:val="clear" w:color="auto" w:fill="D3D3D3"/>
          </w:tcPr>
          <w:p>
            <w:pPr/>
          </w:p>
        </w:tc>
        <w:tc>
          <w:tcPr>
            <w:tcW w:w="7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年的快速健康发展，亚星实业积累了丰富的房地产开发经验和储备了大量的土地资源，截止</w:t>
            </w:r>
          </w:p>
        </w:tc>
      </w:tr>
      <w:tr>
        <w:trPr>
          <w:trHeight w:val="317" w:hRule="exact"/>
        </w:trPr>
        <w:tc>
          <w:tcPr>
            <w:tcW w:w="2182" w:type="dxa"/>
            <w:vMerge/>
            <w:tcBorders>
              <w:left w:val="single" w:sz="4" w:space="0" w:color="000000"/>
              <w:right w:val="single" w:sz="4" w:space="0" w:color="000000"/>
            </w:tcBorders>
            <w:shd w:val="clear" w:color="auto" w:fill="D3D3D3"/>
          </w:tcPr>
          <w:p>
            <w:pPr/>
          </w:p>
        </w:tc>
        <w:tc>
          <w:tcPr>
            <w:tcW w:w="7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3"/>
                <w:sz w:val="18"/>
                <w:szCs w:val="18"/>
              </w:rPr>
              <w:t>日</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
                <w:sz w:val="18"/>
                <w:szCs w:val="18"/>
              </w:rPr>
              <w:t>，</w:t>
            </w:r>
            <w:r>
              <w:rPr>
                <w:rFonts w:ascii="宋体" w:hAnsi="宋体" w:cs="宋体" w:eastAsia="宋体" w:hint="default"/>
                <w:sz w:val="18"/>
                <w:szCs w:val="18"/>
              </w:rPr>
              <w:t>公司未收到母公司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的</w:t>
            </w:r>
            <w:r>
              <w:rPr>
                <w:rFonts w:ascii="宋体" w:hAnsi="宋体" w:cs="宋体" w:eastAsia="宋体" w:hint="default"/>
                <w:sz w:val="18"/>
                <w:szCs w:val="18"/>
              </w:rPr>
              <w:t>年报</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亚星实业资</w:t>
            </w:r>
          </w:p>
        </w:tc>
      </w:tr>
      <w:tr>
        <w:trPr>
          <w:trHeight w:val="312" w:hRule="exact"/>
        </w:trPr>
        <w:tc>
          <w:tcPr>
            <w:tcW w:w="2182" w:type="dxa"/>
            <w:vMerge/>
            <w:tcBorders>
              <w:left w:val="single" w:sz="4" w:space="0" w:color="000000"/>
              <w:right w:val="single" w:sz="4" w:space="0" w:color="000000"/>
            </w:tcBorders>
            <w:shd w:val="clear" w:color="auto" w:fill="D3D3D3"/>
          </w:tcPr>
          <w:p>
            <w:pPr/>
          </w:p>
        </w:tc>
        <w:tc>
          <w:tcPr>
            <w:tcW w:w="7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产总额为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亿，所有者权益为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万。亚星实业已承诺继续推进构成同</w:t>
            </w:r>
          </w:p>
        </w:tc>
      </w:tr>
      <w:tr>
        <w:trPr>
          <w:trHeight w:val="308" w:hRule="exact"/>
        </w:trPr>
        <w:tc>
          <w:tcPr>
            <w:tcW w:w="2182" w:type="dxa"/>
            <w:vMerge/>
            <w:tcBorders>
              <w:left w:val="single" w:sz="4" w:space="0" w:color="000000"/>
              <w:right w:val="single" w:sz="4" w:space="0" w:color="000000"/>
            </w:tcBorders>
            <w:shd w:val="clear" w:color="auto" w:fill="D3D3D3"/>
          </w:tcPr>
          <w:p>
            <w:pPr/>
          </w:p>
        </w:tc>
        <w:tc>
          <w:tcPr>
            <w:tcW w:w="7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业竞争的房地产公司及其开发项目全部注入旗下上市公司（深圳大通实业股份有限公司）名下</w:t>
            </w:r>
          </w:p>
        </w:tc>
      </w:tr>
      <w:tr>
        <w:trPr>
          <w:trHeight w:val="357" w:hRule="exact"/>
        </w:trPr>
        <w:tc>
          <w:tcPr>
            <w:tcW w:w="2182" w:type="dxa"/>
            <w:vMerge/>
            <w:tcBorders>
              <w:left w:val="single" w:sz="4" w:space="0" w:color="000000"/>
              <w:bottom w:val="single" w:sz="4" w:space="0" w:color="000000"/>
              <w:right w:val="single" w:sz="4" w:space="0" w:color="000000"/>
            </w:tcBorders>
            <w:shd w:val="clear" w:color="auto" w:fill="D3D3D3"/>
          </w:tcPr>
          <w:p>
            <w:pPr/>
          </w:p>
        </w:tc>
        <w:tc>
          <w:tcPr>
            <w:tcW w:w="73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的相关工作。</w:t>
            </w:r>
          </w:p>
        </w:tc>
      </w:tr>
      <w:tr>
        <w:trPr>
          <w:trHeight w:val="357" w:hRule="exact"/>
        </w:trPr>
        <w:tc>
          <w:tcPr>
            <w:tcW w:w="21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控股股东报告期内控股和</w:t>
            </w:r>
          </w:p>
        </w:tc>
        <w:tc>
          <w:tcPr>
            <w:tcW w:w="7386"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21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参股的其他境内外上市公</w:t>
            </w:r>
          </w:p>
        </w:tc>
        <w:tc>
          <w:tcPr>
            <w:tcW w:w="7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6" w:hRule="exact"/>
        </w:trPr>
        <w:tc>
          <w:tcPr>
            <w:tcW w:w="218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司的股权情况</w:t>
            </w:r>
          </w:p>
        </w:tc>
        <w:tc>
          <w:tcPr>
            <w:tcW w:w="738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报告期控股股东变更</w:t>
      </w:r>
    </w:p>
    <w:p>
      <w:pPr>
        <w:spacing w:line="547" w:lineRule="auto" w:before="117"/>
        <w:ind w:left="154" w:right="7557" w:firstLine="0"/>
        <w:jc w:val="left"/>
        <w:rPr>
          <w:rFonts w:ascii="宋体" w:hAnsi="宋体" w:cs="宋体" w:eastAsia="宋体" w:hint="default"/>
          <w:sz w:val="18"/>
          <w:szCs w:val="18"/>
        </w:rPr>
      </w:pPr>
      <w:r>
        <w:rPr/>
        <w:pict>
          <v:shape style="position:absolute;margin-left:56.459999pt;margin-top:84.102119pt;width:479.1pt;height:80.9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姜剑</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青岛亚星实业有限公司董事长、总裁</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99"/>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44"/>
        <w:ind w:right="0"/>
        <w:jc w:val="left"/>
      </w:pPr>
      <w:r>
        <w:rPr/>
        <w:t>报告期实际控制人变更</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公司与实际控制人之间的产权及控制关系的方框图</w:t>
      </w:r>
    </w:p>
    <w:p>
      <w:pPr>
        <w:spacing w:after="0" w:line="33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1"/>
          <w:szCs w:val="11"/>
        </w:rPr>
      </w:pPr>
    </w:p>
    <w:p>
      <w:pPr>
        <w:spacing w:line="5553" w:lineRule="exact"/>
        <w:ind w:left="329" w:right="0" w:firstLine="0"/>
        <w:rPr>
          <w:rFonts w:ascii="宋体" w:hAnsi="宋体" w:cs="宋体" w:eastAsia="宋体" w:hint="default"/>
          <w:sz w:val="20"/>
          <w:szCs w:val="20"/>
        </w:rPr>
      </w:pPr>
      <w:r>
        <w:rPr>
          <w:rFonts w:ascii="宋体" w:hAnsi="宋体" w:cs="宋体" w:eastAsia="宋体" w:hint="default"/>
          <w:position w:val="-110"/>
          <w:sz w:val="20"/>
          <w:szCs w:val="20"/>
        </w:rPr>
        <w:drawing>
          <wp:inline distT="0" distB="0" distL="0" distR="0">
            <wp:extent cx="5918181" cy="352644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5918181" cy="3526440"/>
                    </a:xfrm>
                    <a:prstGeom prst="rect">
                      <a:avLst/>
                    </a:prstGeom>
                  </pic:spPr>
                </pic:pic>
              </a:graphicData>
            </a:graphic>
          </wp:inline>
        </w:drawing>
      </w:r>
      <w:r>
        <w:rPr>
          <w:rFonts w:ascii="宋体" w:hAnsi="宋体" w:cs="宋体" w:eastAsia="宋体" w:hint="default"/>
          <w:position w:val="-110"/>
          <w:sz w:val="20"/>
          <w:szCs w:val="20"/>
        </w:rPr>
      </w:r>
    </w:p>
    <w:p>
      <w:pPr>
        <w:spacing w:line="240" w:lineRule="auto" w:before="1"/>
        <w:rPr>
          <w:rFonts w:ascii="宋体" w:hAnsi="宋体" w:cs="宋体" w:eastAsia="宋体" w:hint="default"/>
          <w:sz w:val="12"/>
          <w:szCs w:val="12"/>
        </w:rPr>
      </w:pPr>
    </w:p>
    <w:p>
      <w:pPr>
        <w:pStyle w:val="Heading3"/>
        <w:spacing w:line="240" w:lineRule="auto" w:before="26"/>
        <w:ind w:right="0"/>
        <w:jc w:val="left"/>
      </w:pPr>
      <w:r>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84"/>
        <w:jc w:val="left"/>
        <w:rPr>
          <w:b w:val="0"/>
          <w:bCs w:val="0"/>
        </w:rPr>
      </w:pPr>
      <w:bookmarkStart w:name="_TOC_250004" w:id="7"/>
      <w:r>
        <w:rPr/>
        <w:t>第七节</w:t>
      </w:r>
      <w:r>
        <w:rPr>
          <w:spacing w:val="-17"/>
        </w:rPr>
        <w:t> </w:t>
      </w:r>
      <w:r>
        <w:rPr/>
        <w:t>董事、监事、高级管理人员和员工情况</w:t>
      </w:r>
      <w:bookmarkEnd w:id="7"/>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84"/>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许亚楠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张庆文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孙登义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齐二石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肖勤福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张世兴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王勇利</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孙洪祥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于秀庆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易平良</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184"/>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4"/>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300" w:lineRule="auto" w:before="101"/>
        <w:ind w:right="90"/>
        <w:jc w:val="left"/>
      </w:pPr>
      <w:r>
        <w:rPr>
          <w:rFonts w:ascii="Times New Roman" w:hAnsi="Times New Roman" w:cs="Times New Roman" w:eastAsia="Times New Roman" w:hint="default"/>
        </w:rPr>
        <w:t>1</w:t>
      </w:r>
      <w:r>
        <w:rPr/>
        <w:t>、许亚楠先生，男，</w:t>
      </w:r>
      <w:r>
        <w:rPr>
          <w:rFonts w:ascii="Times New Roman" w:hAnsi="Times New Roman" w:cs="Times New Roman" w:eastAsia="Times New Roman" w:hint="default"/>
        </w:rPr>
        <w:t>1962</w:t>
      </w:r>
      <w:r>
        <w:rPr>
          <w:rFonts w:ascii="Times New Roman" w:hAnsi="Times New Roman" w:cs="Times New Roman" w:eastAsia="Times New Roman" w:hint="default"/>
          <w:spacing w:val="-3"/>
        </w:rPr>
        <w:t> </w:t>
      </w:r>
      <w:r>
        <w:rPr/>
        <w:t>年生，现任深圳大通实业股份有限公司董事长、总经理。中共党员，大学本科学历。曾服役于中 国人民解放军东海舰队，历任青岛市机电设备总公司总经理助理、副总经理、党委委员，青岛亚星置业有限公司副总经理、</w:t>
      </w:r>
    </w:p>
    <w:p>
      <w:pPr>
        <w:spacing w:after="0" w:line="30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153" w:right="198"/>
        <w:jc w:val="both"/>
      </w:pPr>
      <w:r>
        <w:rPr/>
        <w:t>总经理，青岛亚星实业有限公司副总经理。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月起至今任深圳大通实业股份有限公司总经理，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月起至今任深 圳大通实业股份有限公司董事长，</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月起至今兼任公司内控委员会主任。许亚楠先生在大、中型房地产企业及相关产 业有超过</w:t>
      </w:r>
      <w:r>
        <w:rPr>
          <w:rFonts w:ascii="Times New Roman" w:hAnsi="Times New Roman" w:cs="Times New Roman" w:eastAsia="Times New Roman" w:hint="default"/>
        </w:rPr>
        <w:t>20</w:t>
      </w:r>
      <w:r>
        <w:rPr/>
        <w:t>年的高层管理经历，在公司治理、综合管理和房地产经营方面具有丰富的职业经验。</w:t>
      </w:r>
    </w:p>
    <w:p>
      <w:pPr>
        <w:pStyle w:val="BodyText"/>
        <w:spacing w:line="302" w:lineRule="auto" w:before="13"/>
        <w:ind w:left="153" w:right="179"/>
        <w:jc w:val="left"/>
      </w:pPr>
      <w:r>
        <w:rPr>
          <w:rFonts w:ascii="Times New Roman" w:hAnsi="Times New Roman" w:cs="Times New Roman" w:eastAsia="Times New Roman" w:hint="default"/>
          <w:spacing w:val="-2"/>
        </w:rPr>
        <w:t>2</w:t>
      </w:r>
      <w:r>
        <w:rPr>
          <w:spacing w:val="-2"/>
        </w:rPr>
        <w:t>、孙登义先生，男，</w:t>
      </w:r>
      <w:r>
        <w:rPr>
          <w:spacing w:val="-22"/>
        </w:rPr>
        <w:t> </w:t>
      </w:r>
      <w:r>
        <w:rPr>
          <w:rFonts w:ascii="Times New Roman" w:hAnsi="Times New Roman" w:cs="Times New Roman" w:eastAsia="Times New Roman" w:hint="default"/>
          <w:spacing w:val="-1"/>
        </w:rPr>
        <w:t>1956</w:t>
      </w:r>
      <w:r>
        <w:rPr>
          <w:spacing w:val="-1"/>
        </w:rPr>
        <w:t>年生，现任深圳大通实业股份有限公司董事、常务副总。先后就职于青岛粉末冶金厂、青岛车辆</w:t>
      </w:r>
      <w:r>
        <w:rPr/>
        <w:t> </w:t>
      </w:r>
      <w:r>
        <w:rPr>
          <w:spacing w:val="-2"/>
        </w:rPr>
        <w:t>厂、青岛运输车辆制造厂、颐中青岛运输车辆制造有限公司等，历任青岛亚星置业有限公司董事、总经理助理、常务副总经</w:t>
      </w:r>
      <w:r>
        <w:rPr>
          <w:spacing w:val="-66"/>
        </w:rPr>
        <w:t> </w:t>
      </w:r>
      <w:r>
        <w:rPr>
          <w:spacing w:val="-66"/>
        </w:rPr>
      </w:r>
      <w:r>
        <w:rPr/>
        <w:t>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月起至今任深圳大通实业股份有限公司董事。孙登义先生在房地产及相关行业有超过</w:t>
      </w:r>
      <w:r>
        <w:rPr>
          <w:rFonts w:ascii="Times New Roman" w:hAnsi="Times New Roman" w:cs="Times New Roman" w:eastAsia="Times New Roman" w:hint="default"/>
        </w:rPr>
        <w:t>20</w:t>
      </w:r>
      <w:r>
        <w:rPr/>
        <w:t>年的中高层管理经历， 在房地产工程技术、开发与设计、市场营销和物业服务方面具有丰富的专业经验。 </w:t>
      </w:r>
      <w:r>
        <w:rPr>
          <w:rFonts w:ascii="Times New Roman" w:hAnsi="Times New Roman" w:cs="Times New Roman" w:eastAsia="Times New Roman" w:hint="default"/>
        </w:rPr>
        <w:t>3</w:t>
      </w:r>
      <w:r>
        <w:rPr/>
        <w:t>、易平良先生，男，</w:t>
      </w:r>
      <w:r>
        <w:rPr>
          <w:rFonts w:ascii="Times New Roman" w:hAnsi="Times New Roman" w:cs="Times New Roman" w:eastAsia="Times New Roman" w:hint="default"/>
        </w:rPr>
        <w:t>1975</w:t>
      </w:r>
      <w:r>
        <w:rPr/>
        <w:t>年生，研究生学历，会计师。现任深圳大通实业股份有限公司董事、财务负责人（财务总监）、 </w:t>
      </w:r>
      <w:r>
        <w:rPr>
          <w:spacing w:val="-2"/>
        </w:rPr>
        <w:t>代董秘。历任宁波德安集团总裁秘书；中南控股集团青岛中南置业有限公司财务负责人；中南建设（</w:t>
      </w:r>
      <w:r>
        <w:rPr>
          <w:rFonts w:ascii="Times New Roman" w:hAnsi="Times New Roman" w:cs="Times New Roman" w:eastAsia="Times New Roman" w:hint="default"/>
          <w:spacing w:val="-2"/>
        </w:rPr>
        <w:t>000961</w:t>
      </w:r>
      <w:r>
        <w:rPr>
          <w:spacing w:val="-2"/>
        </w:rPr>
        <w:t>）房地产业集团</w:t>
      </w:r>
      <w:r>
        <w:rPr>
          <w:spacing w:val="-60"/>
        </w:rPr>
        <w:t> </w:t>
      </w:r>
      <w:r>
        <w:rPr>
          <w:spacing w:val="-60"/>
        </w:rPr>
      </w:r>
      <w:r>
        <w:rPr>
          <w:spacing w:val="-2"/>
        </w:rPr>
        <w:t>青岛公司财务负责人；青岛亚星实业有限公司会计机构负责人兼资本运营机构负责人。</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月起至今任深圳大通实业股</w:t>
      </w:r>
      <w:r>
        <w:rPr>
          <w:spacing w:val="-58"/>
        </w:rPr>
        <w:t> </w:t>
      </w:r>
      <w:r>
        <w:rPr/>
        <w:t>份有限公司财务负责人，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月起至今兼任公司内控委员会常务副主任。易平良先生在大、中型房地企业及相关行业有 超过</w:t>
      </w:r>
      <w:r>
        <w:rPr>
          <w:rFonts w:ascii="Times New Roman" w:hAnsi="Times New Roman" w:cs="Times New Roman" w:eastAsia="Times New Roman" w:hint="default"/>
        </w:rPr>
        <w:t>10</w:t>
      </w:r>
      <w:r>
        <w:rPr/>
        <w:t>年的中高层管理经历，在房地产财务会计、重大涉税、投资与融资、预算与内部控制方面具有较丰富的专业经验。 </w:t>
      </w:r>
      <w:r>
        <w:rPr>
          <w:rFonts w:ascii="Times New Roman" w:hAnsi="Times New Roman" w:cs="Times New Roman" w:eastAsia="Times New Roman" w:hint="default"/>
        </w:rPr>
        <w:t>4</w:t>
      </w:r>
      <w:r>
        <w:rPr/>
        <w:t>、于秀庆先生，男，</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10</w:t>
      </w:r>
      <w:r>
        <w:rPr/>
        <w:t>月生，现任深圳大通实业股份有限公司董事。大学本科学历。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月在中国 </w:t>
      </w:r>
      <w:r>
        <w:rPr>
          <w:spacing w:val="-2"/>
        </w:rPr>
        <w:t>海洋大学学习。</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10</w:t>
      </w:r>
      <w:r>
        <w:rPr>
          <w:spacing w:val="-2"/>
        </w:rPr>
        <w:t>月任青岛国风大药房连锁有限公司部门主管。</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月，任青岛亚星置</w:t>
      </w:r>
      <w:r>
        <w:rPr>
          <w:spacing w:val="-44"/>
        </w:rPr>
        <w:t> </w:t>
      </w:r>
      <w:r>
        <w:rPr>
          <w:spacing w:val="-44"/>
        </w:rPr>
      </w:r>
      <w:r>
        <w:rPr>
          <w:spacing w:val="-3"/>
        </w:rPr>
        <w:t>业有限公司综合管理部主管、副经理。</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7</w:t>
      </w:r>
      <w:r>
        <w:rPr>
          <w:spacing w:val="-3"/>
        </w:rPr>
        <w:t>月至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月，任深大通（</w:t>
      </w:r>
      <w:r>
        <w:rPr>
          <w:rFonts w:ascii="Times New Roman" w:hAnsi="Times New Roman" w:cs="Times New Roman" w:eastAsia="Times New Roman" w:hint="default"/>
          <w:spacing w:val="-3"/>
        </w:rPr>
        <w:t>000038</w:t>
      </w:r>
      <w:r>
        <w:rPr>
          <w:spacing w:val="-3"/>
        </w:rPr>
        <w:t>）济宁海情置业有限公司副总经理。</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24"/>
        </w:rPr>
        <w:t> </w:t>
      </w:r>
      <w:r>
        <w:rPr/>
        <w:t>年</w:t>
      </w:r>
      <w:r>
        <w:rPr>
          <w:rFonts w:ascii="Times New Roman" w:hAnsi="Times New Roman" w:cs="Times New Roman" w:eastAsia="Times New Roman" w:hint="default"/>
        </w:rPr>
        <w:t>1</w:t>
      </w:r>
      <w:r>
        <w:rPr/>
        <w:t>至今，任青岛亚星实业有限公司董事会办公室行政人事经理。</w:t>
      </w:r>
    </w:p>
    <w:p>
      <w:pPr>
        <w:pStyle w:val="BodyText"/>
        <w:spacing w:line="302" w:lineRule="auto" w:before="11"/>
        <w:ind w:left="153" w:right="101"/>
        <w:jc w:val="left"/>
      </w:pPr>
      <w:r>
        <w:rPr>
          <w:rFonts w:ascii="Times New Roman" w:hAnsi="Times New Roman" w:cs="Times New Roman" w:eastAsia="Times New Roman" w:hint="default"/>
        </w:rPr>
        <w:t>5</w:t>
      </w:r>
      <w:r>
        <w:rPr/>
        <w:t>、齐二石先生，男，</w:t>
      </w:r>
      <w:r>
        <w:rPr>
          <w:rFonts w:ascii="Times New Roman" w:hAnsi="Times New Roman" w:cs="Times New Roman" w:eastAsia="Times New Roman" w:hint="default"/>
        </w:rPr>
        <w:t>1953</w:t>
      </w:r>
      <w:r>
        <w:rPr>
          <w:rFonts w:ascii="Times New Roman" w:hAnsi="Times New Roman" w:cs="Times New Roman" w:eastAsia="Times New Roman" w:hint="default"/>
          <w:spacing w:val="-2"/>
        </w:rPr>
        <w:t> </w:t>
      </w:r>
      <w:r>
        <w:rPr/>
        <w:t>年生，博士，教授，博士生导师。现任深圳大通实业股份有限公司独立董事。曾任天津大学管理 学院院长。齐二石先生于</w:t>
      </w:r>
      <w:r>
        <w:rPr>
          <w:rFonts w:ascii="Times New Roman" w:hAnsi="Times New Roman" w:cs="Times New Roman" w:eastAsia="Times New Roman" w:hint="default"/>
        </w:rPr>
        <w:t>2009</w:t>
      </w:r>
      <w:r>
        <w:rPr>
          <w:rFonts w:ascii="Times New Roman" w:hAnsi="Times New Roman" w:cs="Times New Roman" w:eastAsia="Times New Roman" w:hint="default"/>
          <w:spacing w:val="27"/>
        </w:rPr>
        <w:t> </w:t>
      </w:r>
      <w:r>
        <w:rPr/>
        <w:t>年</w:t>
      </w:r>
      <w:r>
        <w:rPr>
          <w:rFonts w:ascii="Times New Roman" w:hAnsi="Times New Roman" w:cs="Times New Roman" w:eastAsia="Times New Roman" w:hint="default"/>
        </w:rPr>
        <w:t>5</w:t>
      </w:r>
      <w:r>
        <w:rPr/>
        <w:t>月参加上市公司独立董事培训并获得结业证书。 </w:t>
      </w:r>
      <w:r>
        <w:rPr>
          <w:rFonts w:ascii="Times New Roman" w:hAnsi="Times New Roman" w:cs="Times New Roman" w:eastAsia="Times New Roman" w:hint="default"/>
        </w:rPr>
        <w:t>6</w:t>
      </w:r>
      <w:r>
        <w:rPr/>
        <w:t>、肖勤福先生，男，</w:t>
      </w:r>
      <w:r>
        <w:rPr>
          <w:rFonts w:ascii="Times New Roman" w:hAnsi="Times New Roman" w:cs="Times New Roman" w:eastAsia="Times New Roman" w:hint="default"/>
        </w:rPr>
        <w:t>1954</w:t>
      </w:r>
      <w:r>
        <w:rPr/>
        <w:t>年生，研究生学历，教授。现任深圳大通实业股份有限公司独立董事。</w:t>
      </w:r>
      <w:r>
        <w:rPr>
          <w:rFonts w:ascii="Times New Roman" w:hAnsi="Times New Roman" w:cs="Times New Roman" w:eastAsia="Times New Roman" w:hint="default"/>
        </w:rPr>
        <w:t>2007.10</w:t>
      </w:r>
      <w:r>
        <w:rPr/>
        <w:t>－－</w:t>
      </w:r>
      <w:r>
        <w:rPr>
          <w:rFonts w:ascii="Times New Roman" w:hAnsi="Times New Roman" w:cs="Times New Roman" w:eastAsia="Times New Roman" w:hint="default"/>
        </w:rPr>
        <w:t>2009.3</w:t>
      </w:r>
      <w:r>
        <w:rPr/>
        <w:t>，中共 中央党校图书馆任馆长；</w:t>
      </w:r>
      <w:r>
        <w:rPr>
          <w:rFonts w:ascii="Times New Roman" w:hAnsi="Times New Roman" w:cs="Times New Roman" w:eastAsia="Times New Roman" w:hint="default"/>
        </w:rPr>
        <w:t>2009.4</w:t>
      </w:r>
      <w:r>
        <w:rPr/>
        <w:t>－－至今，在中共中央党校报刊社社长兼总编。 </w:t>
      </w:r>
      <w:r>
        <w:rPr>
          <w:rFonts w:ascii="Times New Roman" w:hAnsi="Times New Roman" w:cs="Times New Roman" w:eastAsia="Times New Roman" w:hint="default"/>
          <w:spacing w:val="-4"/>
        </w:rPr>
        <w:t>7</w:t>
      </w:r>
      <w:r>
        <w:rPr>
          <w:spacing w:val="-4"/>
        </w:rPr>
        <w:t>、张世兴，男，</w:t>
      </w:r>
      <w:r>
        <w:rPr>
          <w:rFonts w:ascii="Times New Roman" w:hAnsi="Times New Roman" w:cs="Times New Roman" w:eastAsia="Times New Roman" w:hint="default"/>
          <w:spacing w:val="-4"/>
        </w:rPr>
        <w:t>1961</w:t>
      </w:r>
      <w:r>
        <w:rPr>
          <w:spacing w:val="-4"/>
        </w:rPr>
        <w:t>年</w:t>
      </w:r>
      <w:r>
        <w:rPr>
          <w:rFonts w:ascii="Times New Roman" w:hAnsi="Times New Roman" w:cs="Times New Roman" w:eastAsia="Times New Roman" w:hint="default"/>
          <w:spacing w:val="-4"/>
        </w:rPr>
        <w:t>2</w:t>
      </w:r>
      <w:r>
        <w:rPr>
          <w:spacing w:val="-4"/>
        </w:rPr>
        <w:t>月生，教授、博士生导师，中国注册会计师非执业会员；现任深圳大通实业股份有限公司独立董事。</w:t>
      </w:r>
      <w:r>
        <w:rPr>
          <w:spacing w:val="-35"/>
        </w:rPr>
        <w:t> </w:t>
      </w:r>
      <w:r>
        <w:rPr>
          <w:spacing w:val="-35"/>
        </w:rPr>
      </w:r>
      <w:r>
        <w:rPr>
          <w:spacing w:val="-2"/>
        </w:rPr>
        <w:t>中国海洋大学会计专业硕士教育中心副主任；山东省会计学会理事、青岛市国资委招标评审专家、青岛市财贸专家咨询团成</w:t>
      </w:r>
      <w:r>
        <w:rPr>
          <w:spacing w:val="-66"/>
        </w:rPr>
        <w:t> </w:t>
      </w:r>
      <w:r>
        <w:rPr>
          <w:spacing w:val="-66"/>
        </w:rPr>
      </w:r>
      <w:r>
        <w:rPr/>
        <w:t>员；青岛东方铁塔股份有限公司独立董事。</w:t>
      </w:r>
      <w:r>
        <w:rPr>
          <w:rFonts w:ascii="Times New Roman" w:hAnsi="Times New Roman" w:cs="Times New Roman" w:eastAsia="Times New Roman" w:hint="default"/>
        </w:rPr>
        <w:t>1998.8----2010.1</w:t>
      </w:r>
      <w:r>
        <w:rPr/>
        <w:t>，中国海洋大学任教授。</w:t>
      </w:r>
      <w:r>
        <w:rPr>
          <w:spacing w:val="-59"/>
        </w:rPr>
        <w:t> </w:t>
      </w:r>
      <w:r>
        <w:rPr>
          <w:rFonts w:ascii="Times New Roman" w:hAnsi="Times New Roman" w:cs="Times New Roman" w:eastAsia="Times New Roman" w:hint="default"/>
        </w:rPr>
        <w:t>2010.1</w:t>
      </w:r>
      <w:r>
        <w:rPr/>
        <w:t>至今，在中国海洋大学任博士生 导师。</w:t>
      </w:r>
    </w:p>
    <w:p>
      <w:pPr>
        <w:pStyle w:val="BodyText"/>
        <w:spacing w:line="312" w:lineRule="auto" w:before="29"/>
        <w:ind w:right="191"/>
        <w:jc w:val="both"/>
      </w:pPr>
      <w:r>
        <w:rPr>
          <w:rFonts w:ascii="Times New Roman" w:hAnsi="Times New Roman" w:cs="Times New Roman" w:eastAsia="Times New Roman" w:hint="default"/>
          <w:spacing w:val="-3"/>
        </w:rPr>
        <w:t>8</w:t>
      </w:r>
      <w:r>
        <w:rPr>
          <w:spacing w:val="-3"/>
        </w:rPr>
        <w:t>、张庆文，男，</w:t>
      </w:r>
      <w:r>
        <w:rPr>
          <w:rFonts w:ascii="Times New Roman" w:hAnsi="Times New Roman" w:cs="Times New Roman" w:eastAsia="Times New Roman" w:hint="default"/>
          <w:spacing w:val="-3"/>
        </w:rPr>
        <w:t>1964</w:t>
      </w:r>
      <w:r>
        <w:rPr>
          <w:rFonts w:ascii="Times New Roman" w:hAnsi="Times New Roman" w:cs="Times New Roman" w:eastAsia="Times New Roman" w:hint="default"/>
          <w:spacing w:val="-1"/>
        </w:rPr>
        <w:t> </w:t>
      </w:r>
      <w:r>
        <w:rPr/>
        <w:t>年生，硕士，现任深圳大通实业股份有限公司监事。青岛亚星置业有限公司财务总监，曾任青岛天悦 </w:t>
      </w:r>
      <w:r>
        <w:rPr>
          <w:spacing w:val="-2"/>
        </w:rPr>
        <w:t>国际物流有限公司财务总监、青岛嘉合置业有限公司财务总监、中国福泰实业总公司财务部经理，曾任深圳大通股份有限公</w:t>
      </w:r>
      <w:r>
        <w:rPr>
          <w:spacing w:val="-66"/>
        </w:rPr>
        <w:t> </w:t>
      </w:r>
      <w:r>
        <w:rPr>
          <w:spacing w:val="-66"/>
        </w:rPr>
      </w:r>
      <w:r>
        <w:rPr>
          <w:spacing w:val="-2"/>
        </w:rPr>
        <w:t>司董事。担任青岛市崂山国际税收研究会理事，并在国家核心期刊发表过多篇论文。张庆文先生在房地产及相关行业有超过</w:t>
      </w:r>
      <w:r>
        <w:rPr>
          <w:spacing w:val="-66"/>
        </w:rPr>
        <w:t> </w:t>
      </w:r>
      <w:r>
        <w:rPr>
          <w:spacing w:val="-66"/>
        </w:rPr>
      </w:r>
      <w:r>
        <w:rPr>
          <w:rFonts w:ascii="Times New Roman" w:hAnsi="Times New Roman" w:cs="Times New Roman" w:eastAsia="Times New Roman" w:hint="default"/>
        </w:rPr>
        <w:t>20</w:t>
      </w:r>
      <w:r>
        <w:rPr/>
        <w:t>年的中高层管理经历，在财务会计、重大涉税、招投标及审计工作方面具有丰富的专业经验。</w:t>
      </w:r>
    </w:p>
    <w:p>
      <w:pPr>
        <w:pStyle w:val="BodyText"/>
        <w:spacing w:line="304" w:lineRule="auto" w:before="3"/>
        <w:ind w:right="180"/>
        <w:jc w:val="left"/>
      </w:pPr>
      <w:r>
        <w:rPr>
          <w:rFonts w:ascii="Times New Roman" w:hAnsi="Times New Roman" w:cs="Times New Roman" w:eastAsia="Times New Roman" w:hint="default"/>
        </w:rPr>
        <w:t>9</w:t>
      </w:r>
      <w:r>
        <w:rPr/>
        <w:t>、王立平，</w:t>
      </w:r>
      <w:r>
        <w:rPr>
          <w:rFonts w:ascii="Times New Roman" w:hAnsi="Times New Roman" w:cs="Times New Roman" w:eastAsia="Times New Roman" w:hint="default"/>
        </w:rPr>
        <w:t>1967</w:t>
      </w:r>
      <w:r>
        <w:rPr/>
        <w:t>年生。大学本科学历，会计师。现任深圳大通实业股份有限公司监事。青岛亚星置业有限公司财务部副经 理，历任威海市书画院办公室主任财务负责人。 </w:t>
      </w:r>
      <w:r>
        <w:rPr>
          <w:rFonts w:ascii="Times New Roman" w:hAnsi="Times New Roman" w:cs="Times New Roman" w:eastAsia="Times New Roman" w:hint="default"/>
        </w:rPr>
        <w:t>10</w:t>
      </w:r>
      <w:r>
        <w:rPr/>
        <w:t>、王茂旭，男，</w:t>
      </w:r>
      <w:r>
        <w:rPr>
          <w:rFonts w:ascii="Times New Roman" w:hAnsi="Times New Roman" w:cs="Times New Roman" w:eastAsia="Times New Roman" w:hint="default"/>
        </w:rPr>
        <w:t>1981</w:t>
      </w:r>
      <w:r>
        <w:rPr/>
        <w:t>年生，大学本科学历，人力资源管理师。现任深圳大通实业股份有限公司监事。</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5</w:t>
      </w:r>
      <w:r>
        <w:rPr/>
        <w:t>月任青岛一建集团有限公司人力资源部经理，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月任青岛恩马房地产开发有限公司人力资源部经 </w:t>
      </w:r>
      <w:r>
        <w:rPr>
          <w:spacing w:val="-2"/>
        </w:rPr>
        <w:t>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月任青岛亚星置业有限公司人力资源部副经理，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月至今在深大通（</w:t>
      </w:r>
      <w:r>
        <w:rPr>
          <w:rFonts w:ascii="Times New Roman" w:hAnsi="Times New Roman" w:cs="Times New Roman" w:eastAsia="Times New Roman" w:hint="default"/>
          <w:spacing w:val="-2"/>
        </w:rPr>
        <w:t>000038</w:t>
      </w:r>
      <w:r>
        <w:rPr>
          <w:spacing w:val="-2"/>
        </w:rPr>
        <w:t>）青岛广顺</w:t>
      </w:r>
      <w:r>
        <w:rPr>
          <w:spacing w:val="-42"/>
        </w:rPr>
        <w:t> </w:t>
      </w:r>
      <w:r>
        <w:rPr>
          <w:spacing w:val="-42"/>
        </w:rPr>
      </w:r>
      <w:r>
        <w:rPr/>
        <w:t>房地产开发公司工作。</w:t>
      </w:r>
    </w:p>
    <w:p>
      <w:pPr>
        <w:pStyle w:val="BodyText"/>
        <w:spacing w:line="240" w:lineRule="auto" w:before="68"/>
        <w:ind w:right="184"/>
        <w:jc w:val="left"/>
      </w:pPr>
      <w:r>
        <w:rPr/>
        <w:t>在股东单位任职情况</w:t>
      </w:r>
    </w:p>
    <w:p>
      <w:pPr>
        <w:pStyle w:val="BodyText"/>
        <w:spacing w:line="240" w:lineRule="auto" w:before="117"/>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1"/>
        <w:gridCol w:w="3188"/>
        <w:gridCol w:w="1064"/>
        <w:gridCol w:w="1196"/>
        <w:gridCol w:w="1330"/>
        <w:gridCol w:w="15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张庆文</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青岛亚星置业有限公司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于秀庆</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8"/>
              <w:jc w:val="left"/>
              <w:rPr>
                <w:rFonts w:ascii="宋体" w:hAnsi="宋体" w:cs="宋体" w:eastAsia="宋体" w:hint="default"/>
                <w:sz w:val="18"/>
                <w:szCs w:val="18"/>
              </w:rPr>
            </w:pPr>
            <w:r>
              <w:rPr>
                <w:rFonts w:ascii="宋体" w:hAnsi="宋体" w:cs="宋体" w:eastAsia="宋体" w:hint="default"/>
                <w:sz w:val="18"/>
                <w:szCs w:val="18"/>
              </w:rPr>
              <w:t>行政人事经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王立平</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青岛亚星置业有限公司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财务部副经</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1"/>
        <w:gridCol w:w="3188"/>
        <w:gridCol w:w="1064"/>
        <w:gridCol w:w="1196"/>
        <w:gridCol w:w="1330"/>
        <w:gridCol w:w="1588"/>
      </w:tblGrid>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在其他单位任职情况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齐二石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肖勤福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中央党校报刊社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社长兼总编</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张世兴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中国海洋大学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博士生导师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998"/>
        <w:gridCol w:w="7570"/>
      </w:tblGrid>
      <w:tr>
        <w:trPr>
          <w:trHeight w:val="4171" w:hRule="exact"/>
        </w:trPr>
        <w:tc>
          <w:tcPr>
            <w:tcW w:w="1998" w:type="dxa"/>
            <w:tcBorders>
              <w:top w:val="single" w:sz="6" w:space="0" w:color="000000"/>
              <w:left w:val="single" w:sz="6" w:space="0" w:color="000000"/>
              <w:bottom w:val="single" w:sz="6" w:space="0" w:color="000000"/>
              <w:right w:val="single" w:sz="6" w:space="0" w:color="000000"/>
            </w:tcBorders>
            <w:shd w:val="clear" w:color="auto" w:fill="C6E2FF"/>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董事、监事、高级管理人 员报酬的决策程序</w:t>
            </w:r>
          </w:p>
        </w:tc>
        <w:tc>
          <w:tcPr>
            <w:tcW w:w="757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0"/>
              <w:jc w:val="both"/>
              <w:rPr>
                <w:rFonts w:ascii="宋体" w:hAnsi="宋体" w:cs="宋体" w:eastAsia="宋体" w:hint="default"/>
                <w:sz w:val="18"/>
                <w:szCs w:val="18"/>
              </w:rPr>
            </w:pPr>
            <w:r>
              <w:rPr>
                <w:rFonts w:ascii="宋体" w:hAnsi="宋体" w:cs="宋体" w:eastAsia="宋体" w:hint="default"/>
                <w:sz w:val="18"/>
                <w:szCs w:val="18"/>
              </w:rPr>
              <w:t>高级管理人员绩效考核实行直接上级考核制，考核者为被考核者的直接上级。考核的内容为公司 确定的目标指标及分解的业绩指标。关键业绩指标来自公司年度目标的层层分解，能够反映公司 关键重点经营活动情况，用来定期衡量完成重要工作和关键工作的成果。考核分为月度和年度考 </w:t>
            </w:r>
            <w:r>
              <w:rPr>
                <w:rFonts w:ascii="宋体" w:hAnsi="宋体" w:cs="宋体" w:eastAsia="宋体" w:hint="default"/>
                <w:spacing w:val="-3"/>
                <w:sz w:val="18"/>
                <w:szCs w:val="18"/>
              </w:rPr>
              <w:t>核。月度考核，考核时间为次月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日起，</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日前结束。年度考核一年开展一次：在每年的</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日进行；月度考核结果应用：用于月度浮动绩效工资的发放，月度绩效奖金</w:t>
            </w:r>
            <w:r>
              <w:rPr>
                <w:rFonts w:ascii="Times New Roman" w:hAnsi="Times New Roman" w:cs="Times New Roman" w:eastAsia="Times New Roman" w:hint="default"/>
                <w:sz w:val="18"/>
                <w:szCs w:val="18"/>
              </w:rPr>
              <w:t>=</w:t>
            </w:r>
            <w:r>
              <w:rPr>
                <w:rFonts w:ascii="宋体" w:hAnsi="宋体" w:cs="宋体" w:eastAsia="宋体" w:hint="default"/>
                <w:sz w:val="18"/>
                <w:szCs w:val="18"/>
              </w:rPr>
              <w:t>总得分</w:t>
            </w:r>
            <w:r>
              <w:rPr>
                <w:rFonts w:ascii="Times New Roman" w:hAnsi="Times New Roman" w:cs="Times New Roman" w:eastAsia="Times New Roman" w:hint="default"/>
                <w:sz w:val="18"/>
                <w:szCs w:val="18"/>
              </w:rPr>
              <w:t>/100*</w:t>
            </w:r>
            <w:r>
              <w:rPr>
                <w:rFonts w:ascii="宋体" w:hAnsi="宋体" w:cs="宋体" w:eastAsia="宋体" w:hint="default"/>
                <w:sz w:val="18"/>
                <w:szCs w:val="18"/>
              </w:rPr>
              <w:t>月 度浮动绩效奖金基数，月度浮动绩效奖金基数为月度工资的</w:t>
            </w:r>
            <w:r>
              <w:rPr>
                <w:rFonts w:ascii="Times New Roman" w:hAnsi="Times New Roman" w:cs="Times New Roman" w:eastAsia="Times New Roman" w:hint="default"/>
                <w:sz w:val="18"/>
                <w:szCs w:val="18"/>
              </w:rPr>
              <w:t>10%</w:t>
            </w:r>
            <w:r>
              <w:rPr>
                <w:rFonts w:ascii="宋体" w:hAnsi="宋体" w:cs="宋体" w:eastAsia="宋体" w:hint="default"/>
                <w:sz w:val="18"/>
                <w:szCs w:val="18"/>
              </w:rPr>
              <w:t>。为了纠正由于月度指标分解不 合理带来的月度考核偏差，实行季度修正平衡，对于收入、费用和成本类指标，每季度进行一次 综合绩效修正和平衡。根据季度累计完成情况对整个季度的绩效工资实行多退少补，即每季度的 前两个月绩效工资按照月度考核执行，第三个月绩效工资等季度绩效指标考核结束后实行多退少 补。年度考核结果应用于高级管理人员年薪预留部分的考核兑现。高级管理人员预留年薪的</w:t>
            </w:r>
            <w:r>
              <w:rPr>
                <w:rFonts w:ascii="Times New Roman" w:hAnsi="Times New Roman" w:cs="Times New Roman" w:eastAsia="Times New Roman" w:hint="default"/>
                <w:sz w:val="18"/>
                <w:szCs w:val="18"/>
              </w:rPr>
              <w:t>30% </w:t>
            </w:r>
            <w:r>
              <w:rPr>
                <w:rFonts w:ascii="宋体" w:hAnsi="宋体" w:cs="宋体" w:eastAsia="宋体" w:hint="default"/>
                <w:sz w:val="18"/>
                <w:szCs w:val="18"/>
              </w:rPr>
              <w:t>作为年底绩效考核，其中</w:t>
            </w:r>
            <w:r>
              <w:rPr>
                <w:rFonts w:ascii="Times New Roman" w:hAnsi="Times New Roman" w:cs="Times New Roman" w:eastAsia="Times New Roman" w:hint="default"/>
                <w:sz w:val="18"/>
                <w:szCs w:val="18"/>
              </w:rPr>
              <w:t>50%</w:t>
            </w:r>
            <w:r>
              <w:rPr>
                <w:rFonts w:ascii="宋体" w:hAnsi="宋体" w:cs="宋体" w:eastAsia="宋体" w:hint="default"/>
                <w:sz w:val="18"/>
                <w:szCs w:val="18"/>
              </w:rPr>
              <w:t>和公司的利润挂钩，其余</w:t>
            </w:r>
            <w:r>
              <w:rPr>
                <w:rFonts w:ascii="Times New Roman" w:hAnsi="Times New Roman" w:cs="Times New Roman" w:eastAsia="Times New Roman" w:hint="default"/>
                <w:sz w:val="18"/>
                <w:szCs w:val="18"/>
              </w:rPr>
              <w:t>50%</w:t>
            </w:r>
            <w:r>
              <w:rPr>
                <w:rFonts w:ascii="宋体" w:hAnsi="宋体" w:cs="宋体" w:eastAsia="宋体" w:hint="default"/>
                <w:sz w:val="18"/>
                <w:szCs w:val="18"/>
              </w:rPr>
              <w:t>和年终绩效考核挂钩，具体如下：年 </w:t>
            </w:r>
            <w:r>
              <w:rPr>
                <w:rFonts w:ascii="宋体" w:hAnsi="宋体" w:cs="宋体" w:eastAsia="宋体" w:hint="default"/>
                <w:spacing w:val="-2"/>
                <w:sz w:val="18"/>
                <w:szCs w:val="18"/>
              </w:rPr>
              <w:t>终绩效奖金＝年度实际得分</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绩效奖金基数，其中绩效奖金基数：高级管理人员为年度预留基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本年薪的</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r>
      <w:tr>
        <w:trPr>
          <w:trHeight w:val="1674" w:hRule="exact"/>
        </w:trPr>
        <w:tc>
          <w:tcPr>
            <w:tcW w:w="1998" w:type="dxa"/>
            <w:tcBorders>
              <w:top w:val="single" w:sz="6" w:space="0" w:color="000000"/>
              <w:left w:val="single" w:sz="6" w:space="0" w:color="000000"/>
              <w:bottom w:val="single" w:sz="6" w:space="0" w:color="000000"/>
              <w:right w:val="single" w:sz="6" w:space="0" w:color="000000"/>
            </w:tcBorders>
            <w:shd w:val="clear" w:color="auto" w:fill="C6E2FF"/>
          </w:tcPr>
          <w:p>
            <w:pPr>
              <w:pStyle w:val="TableParagraph"/>
              <w:spacing w:line="319"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董事、监事、高级管理人 员报酬确定依据</w:t>
            </w:r>
          </w:p>
        </w:tc>
        <w:tc>
          <w:tcPr>
            <w:tcW w:w="757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公司针对高级管理人员建立了一套绩效考评制度和薪酬制度。</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日公司第七届第十四次 董事会审议通过了《深圳大通实业股份有限公司绩效考核制度》；</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日公司第七届第 十五次董事会审议通过了《深圳大通实业股份有限公司董事会薪酬与考核委员会工作细则》。薪 酬委员会是董事会设立的专门工作机构，主要负责制定公司董事及高级管理人员的考核标准并进 行考核，负责制定、审查公司董事及高级管理人员的薪酬政策与方案，对董事会负责。</w:t>
            </w:r>
          </w:p>
        </w:tc>
      </w:tr>
      <w:tr>
        <w:trPr>
          <w:trHeight w:val="740" w:hRule="exact"/>
        </w:trPr>
        <w:tc>
          <w:tcPr>
            <w:tcW w:w="1998" w:type="dxa"/>
            <w:tcBorders>
              <w:top w:val="single" w:sz="6" w:space="0" w:color="000000"/>
              <w:left w:val="single" w:sz="6" w:space="0" w:color="000000"/>
              <w:bottom w:val="single" w:sz="6" w:space="0" w:color="000000"/>
              <w:right w:val="single" w:sz="6" w:space="0" w:color="000000"/>
            </w:tcBorders>
            <w:shd w:val="clear" w:color="auto" w:fill="C6E2FF"/>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董事、监事和高级管理人 员报酬的实际支付情况</w:t>
            </w:r>
          </w:p>
        </w:tc>
        <w:tc>
          <w:tcPr>
            <w:tcW w:w="7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如期按实支付</w:t>
            </w:r>
          </w:p>
        </w:tc>
      </w:tr>
    </w:tbl>
    <w:p>
      <w:pPr>
        <w:pStyle w:val="BodyText"/>
        <w:spacing w:line="240" w:lineRule="auto" w:before="51"/>
        <w:ind w:right="0"/>
        <w:jc w:val="left"/>
      </w:pPr>
      <w:r>
        <w:rPr/>
        <w:t>公司报告期内董事、监事和高级管理人员报酬情况</w:t>
      </w:r>
    </w:p>
    <w:p>
      <w:pPr>
        <w:pStyle w:val="BodyText"/>
        <w:spacing w:line="240" w:lineRule="auto" w:before="116"/>
        <w:ind w:left="0" w:right="15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3"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许亚楠</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20.79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20.79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张庆文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孙登义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毛诚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齐二石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肖勤福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张世兴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王勇利</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孙洪祥</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于秀庆</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易平良</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193.04</w:t>
            </w:r>
          </w:p>
        </w:tc>
      </w:tr>
    </w:tbl>
    <w:p>
      <w:pPr>
        <w:pStyle w:val="BodyText"/>
        <w:spacing w:line="240" w:lineRule="auto" w:before="51"/>
        <w:ind w:right="0"/>
        <w:jc w:val="left"/>
      </w:pPr>
      <w:r>
        <w:rPr/>
        <w:t>公司董事、监事、高级管理人员报告期内被授予的股权激励情况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四、公司员工情况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0"/>
        <w:jc w:val="left"/>
      </w:pP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日，公司在职员工</w:t>
      </w:r>
      <w:r>
        <w:rPr>
          <w:rFonts w:ascii="Times New Roman" w:hAnsi="Times New Roman" w:cs="Times New Roman" w:eastAsia="Times New Roman" w:hint="default"/>
          <w:spacing w:val="-2"/>
        </w:rPr>
        <w:t>70</w:t>
      </w:r>
      <w:r>
        <w:rPr>
          <w:spacing w:val="-2"/>
        </w:rPr>
        <w:t>人，公司为员工提供在行业和地区内具有一定竞争力的薪酬福利待遇，同时在公司内</w:t>
      </w:r>
      <w:r>
        <w:rPr>
          <w:spacing w:val="-56"/>
        </w:rPr>
        <w:t> </w:t>
      </w:r>
      <w:r>
        <w:rPr>
          <w:spacing w:val="-56"/>
        </w:rPr>
      </w:r>
      <w:r>
        <w:rPr/>
        <w:t>部实施具有公平性、激励性、竞争性、规范化的薪酬管理制度，以实现公司与员工的共赢。</w:t>
      </w:r>
    </w:p>
    <w:p>
      <w:pPr>
        <w:spacing w:line="240" w:lineRule="auto" w:before="8"/>
        <w:rPr>
          <w:rFonts w:ascii="宋体" w:hAnsi="宋体" w:cs="宋体" w:eastAsia="宋体" w:hint="default"/>
          <w:sz w:val="2"/>
          <w:szCs w:val="2"/>
        </w:rPr>
      </w:pPr>
    </w:p>
    <w:p>
      <w:pPr>
        <w:spacing w:line="3405" w:lineRule="exact"/>
        <w:ind w:left="154"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4466818" cy="21621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4466818" cy="2162175"/>
                    </a:xfrm>
                    <a:prstGeom prst="rect">
                      <a:avLst/>
                    </a:prstGeom>
                  </pic:spPr>
                </pic:pic>
              </a:graphicData>
            </a:graphic>
          </wp:inline>
        </w:drawing>
      </w:r>
      <w:r>
        <w:rPr>
          <w:rFonts w:ascii="宋体" w:hAnsi="宋体" w:cs="宋体" w:eastAsia="宋体" w:hint="default"/>
          <w:position w:val="-67"/>
          <w:sz w:val="20"/>
          <w:szCs w:val="20"/>
        </w:rPr>
      </w:r>
    </w:p>
    <w:p>
      <w:pPr>
        <w:spacing w:line="240" w:lineRule="auto" w:before="10"/>
        <w:rPr>
          <w:rFonts w:ascii="宋体" w:hAnsi="宋体" w:cs="宋体" w:eastAsia="宋体" w:hint="default"/>
          <w:sz w:val="7"/>
          <w:szCs w:val="7"/>
        </w:rPr>
      </w:pPr>
    </w:p>
    <w:p>
      <w:pPr>
        <w:spacing w:line="3222" w:lineRule="exact"/>
        <w:ind w:left="154" w:right="0" w:firstLine="0"/>
        <w:rPr>
          <w:rFonts w:ascii="宋体" w:hAnsi="宋体" w:cs="宋体" w:eastAsia="宋体" w:hint="default"/>
          <w:sz w:val="20"/>
          <w:szCs w:val="20"/>
        </w:rPr>
      </w:pPr>
      <w:r>
        <w:rPr>
          <w:rFonts w:ascii="宋体" w:hAnsi="宋体" w:cs="宋体" w:eastAsia="宋体" w:hint="default"/>
          <w:position w:val="-63"/>
          <w:sz w:val="20"/>
          <w:szCs w:val="20"/>
        </w:rPr>
        <w:drawing>
          <wp:inline distT="0" distB="0" distL="0" distR="0">
            <wp:extent cx="4197389" cy="204625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4197389" cy="2046255"/>
                    </a:xfrm>
                    <a:prstGeom prst="rect">
                      <a:avLst/>
                    </a:prstGeom>
                  </pic:spPr>
                </pic:pic>
              </a:graphicData>
            </a:graphic>
          </wp:inline>
        </w:drawing>
      </w:r>
      <w:r>
        <w:rPr>
          <w:rFonts w:ascii="宋体" w:hAnsi="宋体" w:cs="宋体" w:eastAsia="宋体" w:hint="default"/>
          <w:position w:val="-63"/>
          <w:sz w:val="20"/>
          <w:szCs w:val="20"/>
        </w:rPr>
      </w:r>
    </w:p>
    <w:p>
      <w:pPr>
        <w:spacing w:after="0" w:line="3222"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96.160004pt;margin-top:681.5pt;width:79.2pt;height:84.8pt;mso-position-horizontal-relative:page;mso-position-vertical-relative:page;z-index:-684568" coordorigin="5923,13630" coordsize="1584,1696">
            <v:shape style="position:absolute;left:5923;top:13630;width:1584;height:1696" coordorigin="5923,13630" coordsize="1584,1696" path="m5923,15326l7507,15326,7507,13630,5923,13630,5923,15326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right="194"/>
        <w:jc w:val="center"/>
        <w:rPr>
          <w:b w:val="0"/>
          <w:bCs w:val="0"/>
        </w:rPr>
      </w:pPr>
      <w:bookmarkStart w:name="_TOC_250003" w:id="8"/>
      <w:r>
        <w:rPr/>
        <w:t>第八节</w:t>
      </w:r>
      <w:r>
        <w:rPr>
          <w:spacing w:val="-5"/>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0"/>
        <w:jc w:val="left"/>
      </w:pPr>
      <w:r>
        <w:rPr>
          <w:spacing w:val="-2"/>
        </w:rPr>
        <w:t>报告期内，公司严格按照《公司法》、《证券法》、《上市公司治理准则》、等法律法规的要求，规范公司运作，不断健全</w:t>
      </w:r>
      <w:r>
        <w:rPr>
          <w:spacing w:val="-73"/>
        </w:rPr>
        <w:t> </w:t>
      </w:r>
      <w:r>
        <w:rPr>
          <w:spacing w:val="-73"/>
        </w:rPr>
      </w:r>
      <w:r>
        <w:rPr>
          <w:spacing w:val="-2"/>
        </w:rPr>
        <w:t>和完善公司治理结构和治理制度，建立了较为完善的法人治理结构。报告期内，公司根据《公司法》、中国证监会和深圳证</w:t>
      </w:r>
      <w:r>
        <w:rPr>
          <w:spacing w:val="-68"/>
        </w:rPr>
        <w:t> </w:t>
      </w:r>
      <w:r>
        <w:rPr>
          <w:spacing w:val="-68"/>
        </w:rPr>
      </w:r>
      <w:r>
        <w:rPr>
          <w:spacing w:val="-2"/>
        </w:rPr>
        <w:t>券交易所的相关政策法规规定，对《公司章程》有关分红政策的条款进行修订完善，制定、修订了相关公司治理制度，公司</w:t>
      </w:r>
      <w:r>
        <w:rPr>
          <w:spacing w:val="-70"/>
        </w:rPr>
        <w:t> </w:t>
      </w:r>
      <w:r>
        <w:rPr>
          <w:spacing w:val="-70"/>
        </w:rPr>
      </w:r>
      <w:r>
        <w:rPr/>
        <w:t>今后将继续完善公司治理体系，提高规范运作水平，切实维护股东利益，促进公司持续、健康发展。 </w:t>
      </w:r>
      <w:r>
        <w:rPr>
          <w:rFonts w:ascii="Times New Roman" w:hAnsi="Times New Roman" w:cs="Times New Roman" w:eastAsia="Times New Roman" w:hint="default"/>
        </w:rPr>
        <w:t>2012</w:t>
      </w:r>
      <w:r>
        <w:rPr/>
        <w:t>，公司制定、修订了如下公司治理制度：</w:t>
      </w:r>
    </w:p>
    <w:p>
      <w:pPr>
        <w:pStyle w:val="BodyText"/>
        <w:spacing w:line="300" w:lineRule="auto"/>
        <w:ind w:right="137"/>
        <w:jc w:val="left"/>
      </w:pPr>
      <w:r>
        <w:rPr>
          <w:rFonts w:ascii="Times New Roman" w:hAnsi="Times New Roman" w:cs="Times New Roman" w:eastAsia="Times New Roman" w:hint="default"/>
        </w:rPr>
        <w:t>1 </w:t>
      </w:r>
      <w:r>
        <w:rPr/>
        <w:t>深圳大通实业股份有限公司分红管理制度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日经公司第七届董事会第二十次会议审议通过）</w:t>
      </w:r>
      <w:r>
        <w:rPr>
          <w:spacing w:val="-42"/>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 巨潮资讯网</w:t>
      </w:r>
    </w:p>
    <w:p>
      <w:pPr>
        <w:pStyle w:val="BodyText"/>
        <w:spacing w:line="340" w:lineRule="auto" w:before="31"/>
        <w:ind w:right="4550"/>
        <w:jc w:val="left"/>
      </w:pPr>
      <w:r>
        <w:rPr>
          <w:rFonts w:ascii="Times New Roman" w:hAnsi="Times New Roman" w:cs="Times New Roman" w:eastAsia="Times New Roman" w:hint="default"/>
        </w:rPr>
        <w:t>2 </w:t>
      </w:r>
      <w:r>
        <w:rPr/>
        <w:t>公司章程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w:t>
      </w:r>
      <w:r>
        <w:rPr>
          <w:spacing w:val="19"/>
        </w:rPr>
        <w:t> </w:t>
      </w:r>
      <w:r>
        <w:rPr/>
        <w:t>巨潮资讯网</w:t>
      </w:r>
      <w:r>
        <w:rPr/>
        <w:t> 公司治理与《公司法》和中国证监会相关规定的要求是否存在差异</w:t>
      </w:r>
    </w:p>
    <w:p>
      <w:pPr>
        <w:pStyle w:val="BodyText"/>
        <w:spacing w:line="340" w:lineRule="auto" w:before="40"/>
        <w:ind w:right="45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240" w:lineRule="auto" w:before="40"/>
        <w:ind w:right="0"/>
        <w:jc w:val="left"/>
      </w:pPr>
      <w:r>
        <w:rPr/>
        <w:t>公司治理专项活动开展情况以及内幕信息知情人登记管理制度的制定、实施情况</w:t>
      </w:r>
    </w:p>
    <w:p>
      <w:pPr>
        <w:pStyle w:val="BodyText"/>
        <w:spacing w:line="309" w:lineRule="auto" w:before="115"/>
        <w:ind w:right="0"/>
        <w:jc w:val="left"/>
      </w:pPr>
      <w:r>
        <w:rPr>
          <w:rFonts w:ascii="Times New Roman" w:hAnsi="Times New Roman" w:cs="Times New Roman" w:eastAsia="Times New Roman" w:hint="default"/>
        </w:rPr>
        <w:t>(1)</w:t>
      </w:r>
      <w:r>
        <w:rPr/>
        <w:t>公司治理专项活动开展情况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年，公司按照监管部门的要求，进一步完善公司组织结构、制度建设等，确保公司治 </w:t>
      </w:r>
      <w:r>
        <w:rPr>
          <w:spacing w:val="-2"/>
        </w:rPr>
        <w:t>理的实际状况符合监管部门关于上市公司治理的规范性文件的要求。公司治理是一项长期的工作，公司将一如既往地遵循合</w:t>
      </w:r>
      <w:r>
        <w:rPr>
          <w:spacing w:val="-64"/>
        </w:rPr>
        <w:t> </w:t>
      </w:r>
      <w:r>
        <w:rPr>
          <w:spacing w:val="-64"/>
        </w:rPr>
      </w:r>
      <w:r>
        <w:rPr/>
        <w:t>规、专业、透明的原则，规范公司行为，提高公司治理透明度，在广大投资者监督和支持下持续提高公司治理水平。</w:t>
      </w:r>
      <w:r>
        <w:rPr>
          <w:spacing w:val="50"/>
        </w:rPr>
        <w:t> </w:t>
      </w:r>
      <w:r>
        <w:rPr>
          <w:rFonts w:ascii="Times New Roman" w:hAnsi="Times New Roman" w:cs="Times New Roman" w:eastAsia="Times New Roman" w:hint="default"/>
        </w:rPr>
        <w:t>(2) </w:t>
      </w:r>
      <w:r>
        <w:rPr/>
        <w:t>公司内幕信息知情人管理制度的执行情况 为规范公司各类信息报送和使用管理工作，加强内幕信息保密，公司于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 </w:t>
      </w:r>
      <w:r>
        <w:rPr>
          <w:spacing w:val="-2"/>
        </w:rPr>
        <w:t>制定了《信息披露事务管理制度》和《内幕信息知情人报备制度》。报告期内，公司根据监管部门的要求，完善了内幕信息</w:t>
      </w:r>
      <w:r>
        <w:rPr>
          <w:spacing w:val="-72"/>
        </w:rPr>
        <w:t> </w:t>
      </w:r>
      <w:r>
        <w:rPr>
          <w:spacing w:val="-72"/>
        </w:rPr>
      </w:r>
      <w:r>
        <w:rPr>
          <w:spacing w:val="-2"/>
        </w:rPr>
        <w:t>知情人登记和内幕交易防控工作，能够根据公司的规定，做好向外部单位报送信息管理、内幕信息管理以及内幕信息知情人</w:t>
      </w:r>
      <w:r>
        <w:rPr>
          <w:spacing w:val="-66"/>
        </w:rPr>
        <w:t> </w:t>
      </w:r>
      <w:r>
        <w:rPr>
          <w:spacing w:val="-66"/>
        </w:rPr>
      </w:r>
      <w:r>
        <w:rPr>
          <w:spacing w:val="-5"/>
        </w:rPr>
        <w:t>登记工作。《信息披露事务管理制度》刊登在</w:t>
      </w:r>
      <w:r>
        <w:rPr>
          <w:spacing w:val="-45"/>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4 </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24 </w:t>
      </w:r>
      <w:r>
        <w:rPr/>
        <w:t>日的巨潮资讯网上。</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pict>
          <v:group style="position:absolute;margin-left:296.160004pt;margin-top:52.004082pt;width:79.2pt;height:84.8pt;mso-position-horizontal-relative:page;mso-position-vertical-relative:paragraph;z-index:-684544" coordorigin="5923,1040" coordsize="1584,1696">
            <v:shape style="position:absolute;left:5923;top:1040;width:1584;height:1696" coordorigin="5923,1040" coordsize="1584,1696" path="m5923,2736l7507,2736,7507,1040,5923,1040,5923,2736xe" filled="true" fillcolor="#ffffff" stroked="false">
              <v:path arrowok="t"/>
              <v:fill type="solid"/>
            </v:shape>
            <w10:wrap type="none"/>
          </v:group>
        </w:pict>
      </w: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议案一</w:t>
            </w:r>
            <w:r>
              <w:rPr>
                <w:rFonts w:ascii="宋体" w:hAnsi="宋体" w:cs="宋体" w:eastAsia="宋体" w:hint="default"/>
                <w:spacing w:val="-180"/>
                <w:sz w:val="18"/>
                <w:szCs w:val="18"/>
              </w:rPr>
              <w:t>：</w:t>
            </w:r>
            <w:r>
              <w:rPr>
                <w:rFonts w:ascii="宋体" w:hAnsi="宋体" w:cs="宋体" w:eastAsia="宋体" w:hint="default"/>
                <w:sz w:val="18"/>
                <w:szCs w:val="18"/>
              </w:rPr>
              <w:t>《公司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年董事会工作报告</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64" w:right="0"/>
              <w:jc w:val="left"/>
              <w:rPr>
                <w:rFonts w:ascii="宋体" w:hAnsi="宋体" w:cs="宋体" w:eastAsia="宋体" w:hint="default"/>
                <w:sz w:val="18"/>
                <w:szCs w:val="18"/>
              </w:rPr>
            </w:pPr>
            <w:r>
              <w:rPr>
                <w:rFonts w:ascii="宋体" w:hAnsi="宋体" w:cs="宋体" w:eastAsia="宋体" w:hint="default"/>
                <w:sz w:val="18"/>
                <w:szCs w:val="18"/>
              </w:rPr>
              <w:t>议案二</w:t>
            </w:r>
            <w:r>
              <w:rPr>
                <w:rFonts w:ascii="宋体" w:hAnsi="宋体" w:cs="宋体" w:eastAsia="宋体" w:hint="default"/>
                <w:spacing w:val="-90"/>
                <w:sz w:val="18"/>
                <w:szCs w:val="18"/>
              </w:rPr>
              <w:t>：</w:t>
            </w:r>
            <w:r>
              <w:rPr>
                <w:rFonts w:ascii="宋体" w:hAnsi="宋体" w:cs="宋体" w:eastAsia="宋体" w:hint="default"/>
                <w:sz w:val="18"/>
                <w:szCs w:val="18"/>
              </w:rPr>
              <w:t>《公司</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年监事会工作</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pacing w:val="-16"/>
                <w:sz w:val="18"/>
                <w:szCs w:val="18"/>
              </w:rPr>
              <w:t> </w:t>
            </w:r>
            <w:r>
              <w:rPr>
                <w:rFonts w:ascii="宋体" w:hAnsi="宋体" w:cs="宋体" w:eastAsia="宋体" w:hint="default"/>
                <w:sz w:val="18"/>
                <w:szCs w:val="18"/>
              </w:rPr>
              <w:t>议案三</w:t>
            </w:r>
            <w:r>
              <w:rPr>
                <w:rFonts w:ascii="宋体" w:hAnsi="宋体" w:cs="宋体" w:eastAsia="宋体" w:hint="default"/>
                <w:spacing w:val="-156"/>
                <w:sz w:val="18"/>
                <w:szCs w:val="18"/>
              </w:rPr>
              <w:t>：</w:t>
            </w:r>
            <w:r>
              <w:rPr>
                <w:rFonts w:ascii="宋体" w:hAnsi="宋体" w:cs="宋体" w:eastAsia="宋体" w:hint="default"/>
                <w:sz w:val="18"/>
                <w:szCs w:val="18"/>
              </w:rPr>
              <w:t>《公</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年年度股东大 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00" w:lineRule="auto" w:before="20"/>
              <w:ind w:left="23" w:right="158"/>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 告》及摘要</w:t>
            </w:r>
            <w:r>
              <w:rPr>
                <w:rFonts w:ascii="宋体" w:hAnsi="宋体" w:cs="宋体" w:eastAsia="宋体" w:hint="default"/>
                <w:spacing w:val="50"/>
                <w:sz w:val="18"/>
                <w:szCs w:val="18"/>
              </w:rPr>
              <w:t> </w:t>
            </w:r>
            <w:r>
              <w:rPr>
                <w:rFonts w:ascii="宋体" w:hAnsi="宋体" w:cs="宋体" w:eastAsia="宋体" w:hint="default"/>
                <w:sz w:val="18"/>
                <w:szCs w:val="18"/>
              </w:rPr>
              <w:t>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62" w:lineRule="auto" w:before="40"/>
              <w:ind w:left="23" w:right="30"/>
              <w:jc w:val="left"/>
              <w:rPr>
                <w:rFonts w:ascii="Times New Roman" w:hAnsi="Times New Roman" w:cs="Times New Roman" w:eastAsia="Times New Roman" w:hint="default"/>
                <w:sz w:val="18"/>
                <w:szCs w:val="18"/>
              </w:rPr>
            </w:pPr>
            <w:hyperlink r:id="rId16">
              <w:r>
                <w:rPr>
                  <w:rFonts w:ascii="Times New Roman"/>
                  <w:spacing w:val="-1"/>
                  <w:sz w:val="18"/>
                </w:rPr>
                <w:t>http://www.cninfo.co</w:t>
              </w:r>
            </w:hyperlink>
            <w:r>
              <w:rPr>
                <w:rFonts w:ascii="Times New Roman"/>
                <w:spacing w:val="-40"/>
                <w:sz w:val="18"/>
              </w:rPr>
              <w:t> </w:t>
            </w:r>
            <w:r>
              <w:rPr>
                <w:rFonts w:ascii="Times New Roman"/>
                <w:spacing w:val="-40"/>
                <w:sz w:val="18"/>
              </w:rPr>
            </w:r>
            <w:r>
              <w:rPr>
                <w:rFonts w:ascii="Times New Roman"/>
                <w:sz w:val="18"/>
              </w:rPr>
              <w:t>m.cn/</w:t>
            </w: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166"/>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年度</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财务决算报告》</w:t>
            </w:r>
            <w:r>
              <w:rPr>
                <w:rFonts w:ascii="宋体" w:hAnsi="宋体" w:cs="宋体" w:eastAsia="宋体" w:hint="default"/>
                <w:spacing w:val="8"/>
                <w:sz w:val="18"/>
                <w:szCs w:val="18"/>
              </w:rPr>
              <w:t> </w:t>
            </w:r>
            <w:r>
              <w:rPr>
                <w:rFonts w:ascii="宋体" w:hAnsi="宋体" w:cs="宋体" w:eastAsia="宋体" w:hint="default"/>
                <w:sz w:val="18"/>
                <w:szCs w:val="18"/>
              </w:rPr>
              <w:t>议</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案五</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年度利润分配预案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64" w:right="0"/>
              <w:jc w:val="left"/>
              <w:rPr>
                <w:rFonts w:ascii="宋体" w:hAnsi="宋体" w:cs="宋体" w:eastAsia="宋体" w:hint="default"/>
                <w:sz w:val="18"/>
                <w:szCs w:val="18"/>
              </w:rPr>
            </w:pPr>
            <w:r>
              <w:rPr>
                <w:rFonts w:ascii="宋体" w:hAnsi="宋体" w:cs="宋体" w:eastAsia="宋体" w:hint="default"/>
                <w:sz w:val="18"/>
                <w:szCs w:val="18"/>
              </w:rPr>
              <w:t>议案六</w:t>
            </w:r>
            <w:r>
              <w:rPr>
                <w:rFonts w:ascii="宋体" w:hAnsi="宋体" w:cs="宋体" w:eastAsia="宋体" w:hint="default"/>
                <w:spacing w:val="-90"/>
                <w:sz w:val="18"/>
                <w:szCs w:val="18"/>
              </w:rPr>
              <w:t>：</w:t>
            </w:r>
            <w:r>
              <w:rPr>
                <w:rFonts w:ascii="宋体" w:hAnsi="宋体" w:cs="宋体" w:eastAsia="宋体" w:hint="default"/>
                <w:sz w:val="18"/>
                <w:szCs w:val="18"/>
              </w:rPr>
              <w:t>《公司关</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于续聘会计师事务</w:t>
            </w: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所的议案》</w:t>
            </w:r>
            <w:r>
              <w:rPr>
                <w:rFonts w:ascii="宋体" w:hAnsi="宋体" w:cs="宋体" w:eastAsia="宋体" w:hint="default"/>
                <w:spacing w:val="50"/>
                <w:sz w:val="18"/>
                <w:szCs w:val="18"/>
              </w:rPr>
              <w:t> </w:t>
            </w:r>
            <w:r>
              <w:rPr>
                <w:rFonts w:ascii="宋体" w:hAnsi="宋体" w:cs="宋体" w:eastAsia="宋体" w:hint="default"/>
                <w:sz w:val="18"/>
                <w:szCs w:val="18"/>
              </w:rPr>
              <w:t>议案</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166"/>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年度</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日常关联交易及</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8"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交易预计情况的议</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57" w:hRule="exact"/>
        </w:trPr>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案》</w:t>
            </w:r>
            <w:r>
              <w:rPr>
                <w:rFonts w:ascii="Times New Roman" w:hAnsi="Times New Roman" w:cs="Times New Roman" w:eastAsia="Times New Roman" w:hint="default"/>
                <w:sz w:val="18"/>
                <w:szCs w:val="18"/>
              </w:rPr>
              <w:t>"</w:t>
            </w: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议案一</w:t>
            </w:r>
            <w:r>
              <w:rPr>
                <w:rFonts w:ascii="宋体" w:hAnsi="宋体" w:cs="宋体" w:eastAsia="宋体" w:hint="default"/>
                <w:spacing w:val="-90"/>
                <w:sz w:val="18"/>
                <w:szCs w:val="18"/>
              </w:rPr>
              <w:t>：</w:t>
            </w:r>
            <w:r>
              <w:rPr>
                <w:rFonts w:ascii="宋体" w:hAnsi="宋体" w:cs="宋体" w:eastAsia="宋体" w:hint="default"/>
                <w:sz w:val="18"/>
                <w:szCs w:val="18"/>
              </w:rPr>
              <w:t>《修改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公</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2" w:lineRule="auto" w:before="5"/>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29"/>
              <w:jc w:val="left"/>
              <w:rPr>
                <w:rFonts w:ascii="宋体" w:hAnsi="宋体" w:cs="宋体" w:eastAsia="宋体" w:hint="default"/>
                <w:sz w:val="18"/>
                <w:szCs w:val="18"/>
              </w:rPr>
            </w:pPr>
            <w:r>
              <w:rPr>
                <w:rFonts w:ascii="宋体" w:hAnsi="宋体" w:cs="宋体" w:eastAsia="宋体" w:hint="default"/>
                <w:sz w:val="18"/>
                <w:szCs w:val="18"/>
              </w:rPr>
              <w:t>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 </w:t>
            </w:r>
            <w:r>
              <w:rPr>
                <w:rFonts w:ascii="宋体" w:hAnsi="宋体" w:cs="宋体" w:eastAsia="宋体" w:hint="default"/>
                <w:spacing w:val="-10"/>
                <w:sz w:val="18"/>
                <w:szCs w:val="18"/>
              </w:rPr>
              <w:t>议案二：《公司分红</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62" w:lineRule="auto" w:before="45"/>
              <w:ind w:left="23" w:right="30"/>
              <w:jc w:val="left"/>
              <w:rPr>
                <w:rFonts w:ascii="Times New Roman" w:hAnsi="Times New Roman" w:cs="Times New Roman" w:eastAsia="Times New Roman" w:hint="default"/>
                <w:sz w:val="18"/>
                <w:szCs w:val="18"/>
              </w:rPr>
            </w:pPr>
            <w:hyperlink r:id="rId16">
              <w:r>
                <w:rPr>
                  <w:rFonts w:ascii="Times New Roman"/>
                  <w:spacing w:val="-1"/>
                  <w:sz w:val="18"/>
                </w:rPr>
                <w:t>http://www.cninfo.co</w:t>
              </w:r>
            </w:hyperlink>
            <w:r>
              <w:rPr>
                <w:rFonts w:ascii="Times New Roman"/>
                <w:spacing w:val="-40"/>
                <w:sz w:val="18"/>
              </w:rPr>
              <w:t> </w:t>
            </w:r>
            <w:r>
              <w:rPr>
                <w:rFonts w:ascii="Times New Roman"/>
                <w:spacing w:val="-40"/>
                <w:sz w:val="18"/>
              </w:rPr>
            </w:r>
            <w:r>
              <w:rPr>
                <w:rFonts w:ascii="Times New Roman"/>
                <w:sz w:val="18"/>
              </w:rPr>
              <w:t>m.cn/</w:t>
            </w:r>
          </w:p>
        </w:tc>
      </w:tr>
      <w:tr>
        <w:trPr>
          <w:trHeight w:val="351"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管理制度》</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9"/>
              <w:jc w:val="both"/>
              <w:rPr>
                <w:rFonts w:ascii="宋体" w:hAnsi="宋体" w:cs="宋体" w:eastAsia="宋体" w:hint="default"/>
                <w:sz w:val="18"/>
                <w:szCs w:val="18"/>
              </w:rPr>
            </w:pPr>
            <w:r>
              <w:rPr>
                <w:rFonts w:ascii="宋体" w:hAnsi="宋体" w:cs="宋体" w:eastAsia="宋体" w:hint="default"/>
                <w:spacing w:val="-10"/>
                <w:sz w:val="18"/>
                <w:szCs w:val="18"/>
              </w:rPr>
              <w:t>议案：《关于公司更</w:t>
            </w:r>
            <w:r>
              <w:rPr>
                <w:rFonts w:ascii="宋体" w:hAnsi="宋体" w:cs="宋体" w:eastAsia="宋体" w:hint="default"/>
                <w:sz w:val="18"/>
                <w:szCs w:val="18"/>
              </w:rPr>
              <w:t> 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年年度审机 构的议案》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362" w:lineRule="auto"/>
              <w:ind w:left="23" w:right="30"/>
              <w:jc w:val="left"/>
              <w:rPr>
                <w:rFonts w:ascii="Times New Roman" w:hAnsi="Times New Roman" w:cs="Times New Roman" w:eastAsia="Times New Roman" w:hint="default"/>
                <w:sz w:val="18"/>
                <w:szCs w:val="18"/>
              </w:rPr>
            </w:pPr>
            <w:hyperlink r:id="rId16">
              <w:r>
                <w:rPr>
                  <w:rFonts w:ascii="Times New Roman"/>
                  <w:spacing w:val="-1"/>
                  <w:sz w:val="18"/>
                </w:rPr>
                <w:t>http://www.cninfo.co</w:t>
              </w:r>
            </w:hyperlink>
            <w:r>
              <w:rPr>
                <w:rFonts w:ascii="Times New Roman"/>
                <w:spacing w:val="-40"/>
                <w:sz w:val="18"/>
              </w:rPr>
              <w:t> </w:t>
            </w:r>
            <w:r>
              <w:rPr>
                <w:rFonts w:ascii="Times New Roman"/>
                <w:spacing w:val="-40"/>
                <w:sz w:val="18"/>
              </w:rPr>
            </w:r>
            <w:r>
              <w:rPr>
                <w:rFonts w:ascii="Times New Roman"/>
                <w:sz w:val="18"/>
              </w:rPr>
              <w:t>m.cn/</w:t>
            </w:r>
          </w:p>
        </w:tc>
      </w:tr>
      <w:tr>
        <w:trPr>
          <w:trHeight w:val="358"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z w:val="18"/>
                <w:szCs w:val="18"/>
              </w:rPr>
              <w:t>《变更恢复上</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2" w:lineRule="auto" w:before="10"/>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19"/>
              <w:jc w:val="left"/>
              <w:rPr>
                <w:rFonts w:ascii="宋体" w:hAnsi="宋体" w:cs="宋体" w:eastAsia="宋体" w:hint="default"/>
                <w:sz w:val="18"/>
                <w:szCs w:val="18"/>
              </w:rPr>
            </w:pPr>
            <w:r>
              <w:rPr>
                <w:rFonts w:ascii="宋体" w:hAnsi="宋体" w:cs="宋体" w:eastAsia="宋体" w:hint="default"/>
                <w:sz w:val="18"/>
                <w:szCs w:val="18"/>
              </w:rPr>
              <w:t>市保荐机构及股份 转让服务机构的议</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62" w:lineRule="auto" w:before="50"/>
              <w:ind w:left="23" w:right="30"/>
              <w:jc w:val="left"/>
              <w:rPr>
                <w:rFonts w:ascii="Times New Roman" w:hAnsi="Times New Roman" w:cs="Times New Roman" w:eastAsia="Times New Roman" w:hint="default"/>
                <w:sz w:val="18"/>
                <w:szCs w:val="18"/>
              </w:rPr>
            </w:pPr>
            <w:hyperlink r:id="rId16">
              <w:r>
                <w:rPr>
                  <w:rFonts w:ascii="Times New Roman"/>
                  <w:spacing w:val="-1"/>
                  <w:sz w:val="18"/>
                </w:rPr>
                <w:t>http://www.cninfo.co</w:t>
              </w:r>
            </w:hyperlink>
            <w:r>
              <w:rPr>
                <w:rFonts w:ascii="Times New Roman"/>
                <w:spacing w:val="-40"/>
                <w:sz w:val="18"/>
              </w:rPr>
              <w:t> </w:t>
            </w:r>
            <w:r>
              <w:rPr>
                <w:rFonts w:ascii="Times New Roman"/>
                <w:spacing w:val="-40"/>
                <w:sz w:val="18"/>
              </w:rPr>
            </w:r>
            <w:r>
              <w:rPr>
                <w:rFonts w:ascii="Times New Roman"/>
                <w:sz w:val="18"/>
              </w:rPr>
              <w:t>m.cn/</w:t>
            </w:r>
          </w:p>
        </w:tc>
      </w:tr>
      <w:tr>
        <w:trPr>
          <w:trHeight w:val="351"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案》</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齐二石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肖庆福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张世兴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60" w:lineRule="auto" w:before="51"/>
        <w:ind w:left="153" w:right="7071"/>
        <w:jc w:val="left"/>
      </w:pPr>
      <w:r>
        <w:rPr/>
        <w:t>连续两次未亲自出席董事会的说明 无</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184"/>
        <w:jc w:val="left"/>
      </w:pPr>
      <w:r>
        <w:rPr/>
        <w:t>报告期内独立董事对公司有关事项未提出异议。</w:t>
      </w:r>
    </w:p>
    <w:p>
      <w:pPr>
        <w:spacing w:line="240" w:lineRule="auto" w:before="10"/>
        <w:rPr>
          <w:rFonts w:ascii="宋体" w:hAnsi="宋体" w:cs="宋体" w:eastAsia="宋体" w:hint="default"/>
          <w:sz w:val="26"/>
          <w:szCs w:val="26"/>
        </w:rPr>
      </w:pPr>
    </w:p>
    <w:p>
      <w:pPr>
        <w:pStyle w:val="Heading4"/>
        <w:spacing w:line="240" w:lineRule="auto"/>
        <w:ind w:right="184"/>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84"/>
        <w:jc w:val="left"/>
      </w:pPr>
      <w:r>
        <w:rPr/>
        <w:t>独立董事对公司有关建议是否被采纳</w:t>
      </w:r>
    </w:p>
    <w:p>
      <w:pPr>
        <w:pStyle w:val="BodyText"/>
        <w:spacing w:line="340" w:lineRule="auto" w:before="116"/>
        <w:ind w:right="58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39"/>
        <w:ind w:right="90"/>
        <w:jc w:val="left"/>
      </w:pPr>
      <w:r>
        <w:rPr>
          <w:spacing w:val="-2"/>
        </w:rPr>
        <w:t>独立董事本着对公司和全体股东诚信和勤勉的态度，恪尽职守、勤勉尽责，对各项议案进行认真审议，并依据自己的专业知</w:t>
      </w:r>
      <w:r>
        <w:rPr>
          <w:spacing w:val="-66"/>
        </w:rPr>
        <w:t> </w:t>
      </w:r>
      <w:r>
        <w:rPr>
          <w:spacing w:val="-66"/>
        </w:rPr>
      </w:r>
      <w:r>
        <w:rPr/>
        <w:t>识和能力做出独立、客观、公正的判断，不受公司和公司主要股东的影响，对有关事项均发表了独立、客观、公正的意见， 切实维护了公司和中小股东的利益。</w:t>
      </w:r>
    </w:p>
    <w:p>
      <w:pPr>
        <w:spacing w:line="240" w:lineRule="auto" w:before="10"/>
        <w:rPr>
          <w:rFonts w:ascii="宋体" w:hAnsi="宋体" w:cs="宋体" w:eastAsia="宋体" w:hint="default"/>
          <w:sz w:val="20"/>
          <w:szCs w:val="20"/>
        </w:rPr>
      </w:pPr>
    </w:p>
    <w:p>
      <w:pPr>
        <w:pStyle w:val="Heading2"/>
        <w:spacing w:line="240" w:lineRule="auto"/>
        <w:ind w:right="184"/>
        <w:jc w:val="left"/>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153" w:right="184"/>
        <w:jc w:val="left"/>
      </w:pPr>
      <w:r>
        <w:rPr>
          <w:rFonts w:ascii="Times New Roman" w:hAnsi="Times New Roman" w:cs="Times New Roman" w:eastAsia="Times New Roman" w:hint="default"/>
        </w:rPr>
        <w:t>1</w:t>
      </w:r>
      <w:r>
        <w:rPr/>
        <w:t>、战略发展与投资委员会履职情况 </w:t>
      </w:r>
      <w:r>
        <w:rPr>
          <w:spacing w:val="-2"/>
        </w:rPr>
        <w:t>报告期内，战略发展与投资委员会关注董事会对项目发展和融资等授权情况，与管理层保持着顺畅的日常沟通，对授权范围</w:t>
      </w:r>
      <w:r>
        <w:rPr>
          <w:spacing w:val="-66"/>
        </w:rPr>
        <w:t> </w:t>
      </w:r>
      <w:r>
        <w:rPr>
          <w:spacing w:val="-66"/>
        </w:rPr>
      </w:r>
      <w:r>
        <w:rPr/>
        <w:t>内各项事务保持充分了解。。</w:t>
      </w:r>
    </w:p>
    <w:p>
      <w:pPr>
        <w:pStyle w:val="BodyText"/>
        <w:spacing w:line="304" w:lineRule="auto" w:before="24"/>
        <w:ind w:left="153" w:right="184"/>
        <w:jc w:val="left"/>
      </w:pPr>
      <w:r>
        <w:rPr>
          <w:rFonts w:ascii="Times New Roman" w:hAnsi="Times New Roman" w:cs="Times New Roman" w:eastAsia="Times New Roman" w:hint="default"/>
        </w:rPr>
        <w:t>2</w:t>
      </w:r>
      <w:r>
        <w:rPr/>
        <w:t>、薪酬与考核委员会履职情况 报告期内，薪酬与考核委员会认真履行职责，保持与管理层的顺畅沟通，就有关方面多次与管理层进行了沟通。 </w:t>
      </w:r>
      <w:r>
        <w:rPr>
          <w:rFonts w:ascii="Times New Roman" w:hAnsi="Times New Roman" w:cs="Times New Roman" w:eastAsia="Times New Roman" w:hint="default"/>
        </w:rPr>
        <w:t>3</w:t>
      </w:r>
      <w:r>
        <w:rPr/>
        <w:t>、审计委员会履职情况 </w:t>
      </w:r>
      <w:r>
        <w:rPr>
          <w:spacing w:val="-2"/>
        </w:rPr>
        <w:t>报告期内，审计委员会召开多次会议，听取会计师、财务人员等汇报工作情况，董事会审计委员会就公司</w:t>
      </w:r>
      <w:r>
        <w:rPr>
          <w:rFonts w:ascii="Times New Roman" w:hAnsi="Times New Roman" w:cs="Times New Roman" w:eastAsia="Times New Roman" w:hint="default"/>
          <w:spacing w:val="-2"/>
        </w:rPr>
        <w:t>2011</w:t>
      </w:r>
      <w:r>
        <w:rPr>
          <w:spacing w:val="-2"/>
        </w:rPr>
        <w:t>年度财务报表</w:t>
      </w:r>
      <w:r>
        <w:rPr>
          <w:spacing w:val="-62"/>
        </w:rPr>
        <w:t> </w:t>
      </w:r>
      <w:r>
        <w:rPr/>
        <w:t>发表了意见。</w:t>
      </w:r>
    </w:p>
    <w:p>
      <w:pPr>
        <w:pStyle w:val="BodyText"/>
        <w:spacing w:line="300" w:lineRule="auto" w:before="28"/>
        <w:ind w:left="153" w:right="184"/>
        <w:jc w:val="left"/>
      </w:pPr>
      <w:r>
        <w:rPr>
          <w:rFonts w:ascii="Times New Roman" w:hAnsi="Times New Roman" w:cs="Times New Roman" w:eastAsia="Times New Roman" w:hint="default"/>
        </w:rPr>
        <w:t>4</w:t>
      </w:r>
      <w:r>
        <w:rPr/>
        <w:t>、内控委员会履职情况 </w:t>
      </w:r>
      <w:r>
        <w:rPr>
          <w:spacing w:val="-2"/>
        </w:rPr>
        <w:t>报告期内，内控委员会依据公司</w:t>
      </w:r>
      <w:r>
        <w:rPr>
          <w:rFonts w:ascii="Times New Roman" w:hAnsi="Times New Roman" w:cs="Times New Roman" w:eastAsia="Times New Roman" w:hint="default"/>
          <w:spacing w:val="-2"/>
        </w:rPr>
        <w:t>2012</w:t>
      </w:r>
      <w:r>
        <w:rPr>
          <w:spacing w:val="-2"/>
        </w:rPr>
        <w:t>内控工作计划开展工作，本年度的内控工作情况参见第九节</w:t>
      </w:r>
      <w:r>
        <w:rPr>
          <w:rFonts w:ascii="Times New Roman" w:hAnsi="Times New Roman" w:cs="Times New Roman" w:eastAsia="Times New Roman" w:hint="default"/>
          <w:spacing w:val="-2"/>
        </w:rPr>
        <w:t>“</w:t>
      </w:r>
      <w:r>
        <w:rPr>
          <w:spacing w:val="-2"/>
        </w:rPr>
        <w:t>内部控制</w:t>
      </w:r>
      <w:r>
        <w:rPr>
          <w:rFonts w:ascii="Times New Roman" w:hAnsi="Times New Roman" w:cs="Times New Roman" w:eastAsia="Times New Roman" w:hint="default"/>
          <w:spacing w:val="-2"/>
        </w:rPr>
        <w:t>”</w:t>
      </w:r>
      <w:r>
        <w:rPr>
          <w:spacing w:val="-2"/>
        </w:rPr>
        <w:t>以及公司内部控</w:t>
      </w:r>
      <w:r>
        <w:rPr>
          <w:spacing w:val="-40"/>
        </w:rPr>
        <w:t> </w:t>
      </w:r>
      <w:r>
        <w:rPr/>
        <w:t>制自我评价报告。</w:t>
      </w:r>
    </w:p>
    <w:p>
      <w:pPr>
        <w:spacing w:line="240" w:lineRule="auto" w:before="9"/>
        <w:rPr>
          <w:rFonts w:ascii="宋体" w:hAnsi="宋体" w:cs="宋体" w:eastAsia="宋体" w:hint="default"/>
          <w:sz w:val="21"/>
          <w:szCs w:val="21"/>
        </w:rPr>
      </w:pPr>
    </w:p>
    <w:p>
      <w:pPr>
        <w:pStyle w:val="Heading2"/>
        <w:spacing w:line="240" w:lineRule="auto"/>
        <w:ind w:right="184"/>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4"/>
        <w:jc w:val="left"/>
      </w:pPr>
      <w:r>
        <w:rPr/>
        <w:t>监事会在报告期内的监督活动中发现公司是否存在风险</w:t>
      </w:r>
    </w:p>
    <w:p>
      <w:pPr>
        <w:pStyle w:val="BodyText"/>
        <w:spacing w:line="338" w:lineRule="auto" w:before="117"/>
        <w:ind w:right="67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184"/>
        <w:jc w:val="left"/>
        <w:rPr>
          <w:b w:val="0"/>
          <w:bCs w:val="0"/>
        </w:rPr>
      </w:pP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90"/>
        <w:jc w:val="both"/>
      </w:pPr>
      <w:r>
        <w:rPr/>
        <w:t>本公司与控股股东在业务、人员资产、机构、财务等方面严格分开，公司具有独立完整的业务和自主经营能力。</w:t>
      </w:r>
      <w:r>
        <w:rPr>
          <w:spacing w:val="5"/>
        </w:rPr>
        <w:t> </w:t>
      </w:r>
      <w:r>
        <w:rPr>
          <w:rFonts w:ascii="Times New Roman" w:hAnsi="Times New Roman" w:cs="Times New Roman" w:eastAsia="Times New Roman" w:hint="default"/>
        </w:rPr>
        <w:t>1</w:t>
      </w:r>
      <w:r>
        <w:rPr/>
        <w:t>、业务 方面：公司具有独立完整的业务和决策体系及自主经营能力，完全独立于控股股东；</w:t>
      </w:r>
      <w:r>
        <w:rPr>
          <w:spacing w:val="5"/>
        </w:rPr>
        <w:t> </w:t>
      </w:r>
      <w:r>
        <w:rPr>
          <w:rFonts w:ascii="Times New Roman" w:hAnsi="Times New Roman" w:cs="Times New Roman" w:eastAsia="Times New Roman" w:hint="default"/>
        </w:rPr>
        <w:t>2</w:t>
      </w:r>
      <w:r>
        <w:rPr/>
        <w:t>、人员方面：公司在劳动、人事及 工资管理方面独立，高级管理人员均不在股东单位担任要职；</w:t>
      </w:r>
      <w:r>
        <w:rPr>
          <w:spacing w:val="7"/>
        </w:rPr>
        <w:t> </w:t>
      </w:r>
      <w:r>
        <w:rPr>
          <w:rFonts w:ascii="Times New Roman" w:hAnsi="Times New Roman" w:cs="Times New Roman" w:eastAsia="Times New Roman" w:hint="default"/>
        </w:rPr>
        <w:t>3</w:t>
      </w:r>
      <w:r>
        <w:rPr/>
        <w:t>、资产方面：公司与控股股东产权关系明确，资产独立完 整，拥有独立的运营系统和相应的配套设施；</w:t>
      </w:r>
      <w:r>
        <w:rPr>
          <w:spacing w:val="7"/>
        </w:rPr>
        <w:t> </w:t>
      </w:r>
      <w:r>
        <w:rPr>
          <w:rFonts w:ascii="Times New Roman" w:hAnsi="Times New Roman" w:cs="Times New Roman" w:eastAsia="Times New Roman" w:hint="default"/>
        </w:rPr>
        <w:t>4</w:t>
      </w:r>
      <w:r>
        <w:rPr/>
        <w:t>、机构方面：公司设立了完全独立于控股股东的组织机构，不存在与控股 股东合署办公的情况；</w:t>
      </w:r>
      <w:r>
        <w:rPr>
          <w:spacing w:val="7"/>
        </w:rPr>
        <w:t> </w:t>
      </w:r>
      <w:r>
        <w:rPr>
          <w:rFonts w:ascii="Times New Roman" w:hAnsi="Times New Roman" w:cs="Times New Roman" w:eastAsia="Times New Roman" w:hint="default"/>
        </w:rPr>
        <w:t>5</w:t>
      </w:r>
      <w:r>
        <w:rPr/>
        <w:t>、财务方面：公司拥有独立的财务机构，并建立了独立的会计核算体系和财务管理制度，在银行 独立开设账户，独立进行纳税申报和缴纳； </w:t>
      </w:r>
      <w:r>
        <w:rPr>
          <w:spacing w:val="50"/>
        </w:rPr>
        <w:t> </w:t>
      </w:r>
      <w:r>
        <w:rPr/>
        <w:t>公司不存在向大股东、实际控制人提供未公开信息等治理非规范情况。</w:t>
      </w:r>
    </w:p>
    <w:p>
      <w:pPr>
        <w:spacing w:line="240" w:lineRule="auto" w:before="7"/>
        <w:rPr>
          <w:rFonts w:ascii="宋体" w:hAnsi="宋体" w:cs="宋体" w:eastAsia="宋体" w:hint="default"/>
          <w:sz w:val="21"/>
          <w:szCs w:val="21"/>
        </w:rPr>
      </w:pPr>
    </w:p>
    <w:p>
      <w:pPr>
        <w:pStyle w:val="Heading2"/>
        <w:spacing w:line="240" w:lineRule="auto"/>
        <w:ind w:right="184"/>
        <w:jc w:val="left"/>
        <w:rPr>
          <w:b w:val="0"/>
          <w:bCs w:val="0"/>
        </w:rPr>
      </w:pP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4"/>
        <w:jc w:val="left"/>
      </w:pPr>
      <w:r>
        <w:rPr/>
        <w:t>因股改历史原因存在的同业竞争问题，公司控股股股东、实际控制人对此作出承诺：</w:t>
      </w:r>
    </w:p>
    <w:p>
      <w:pPr>
        <w:pStyle w:val="BodyText"/>
        <w:spacing w:line="240" w:lineRule="auto" w:before="76"/>
        <w:ind w:left="153" w:right="91"/>
        <w:jc w:val="left"/>
      </w:pPr>
      <w:r>
        <w:rPr/>
        <w:t>（</w:t>
      </w:r>
      <w:r>
        <w:rPr>
          <w:rFonts w:ascii="Times New Roman" w:hAnsi="Times New Roman" w:cs="Times New Roman" w:eastAsia="Times New Roman" w:hint="default"/>
        </w:rPr>
        <w:t>1</w:t>
      </w:r>
      <w:r>
        <w:rPr/>
        <w:t>）公司郑重声明，截至本声明与承诺函签署日，除拟注入上市公司的青岛亚星置业有限公司、青岛嘉合福远置业有限公</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0"/>
        <w:jc w:val="left"/>
      </w:pPr>
      <w:r>
        <w:rPr>
          <w:spacing w:val="-2"/>
        </w:rPr>
        <w:t>司、青岛美丰置业有限公司、绵阳亿嘉合投资有限公司及其下属公司外，公司及公司控制的其他企业未从事与上市公司青岛</w:t>
      </w:r>
      <w:r>
        <w:rPr>
          <w:spacing w:val="-66"/>
        </w:rPr>
        <w:t> </w:t>
      </w:r>
      <w:r>
        <w:rPr>
          <w:spacing w:val="-66"/>
        </w:rPr>
      </w:r>
      <w:r>
        <w:rPr/>
        <w:t>广顺房地产有限公司、济宁海情置业有限公司及其控股子公司主营业务构成实质竞争的业务。 </w:t>
      </w:r>
      <w:r>
        <w:rPr>
          <w:spacing w:val="-2"/>
        </w:rPr>
        <w:t>自恢复上市之日在政策允许下三年内公司再次向上市公司提议将青岛亚星置业有限公司、青岛嘉合福远置业有限公司、青岛</w:t>
      </w:r>
      <w:r>
        <w:rPr>
          <w:spacing w:val="-64"/>
        </w:rPr>
        <w:t> </w:t>
      </w:r>
      <w:r>
        <w:rPr>
          <w:spacing w:val="-64"/>
        </w:rPr>
      </w:r>
      <w:r>
        <w:rPr>
          <w:spacing w:val="-2"/>
        </w:rPr>
        <w:t>美丰置业有限公司、绵阳亿嘉合投资有限公司及其下属公司的房地产业务注入上市公司。如果自恢复上市之日三年内政策不</w:t>
      </w:r>
      <w:r>
        <w:rPr>
          <w:spacing w:val="-64"/>
        </w:rPr>
        <w:t> </w:t>
      </w:r>
      <w:r>
        <w:rPr>
          <w:spacing w:val="-64"/>
        </w:rPr>
      </w:r>
      <w:r>
        <w:rPr>
          <w:spacing w:val="-2"/>
        </w:rPr>
        <w:t>允许房地产业务注入上市公司，公司同意上市公司在期后两年内以市场公允价格收购公司的项目或土地，促进上市公司房地</w:t>
      </w:r>
      <w:r>
        <w:rPr>
          <w:spacing w:val="-64"/>
        </w:rPr>
        <w:t> </w:t>
      </w:r>
      <w:r>
        <w:rPr>
          <w:spacing w:val="-64"/>
        </w:rPr>
      </w:r>
      <w:r>
        <w:rPr/>
        <w:t>产业务的可持续发展。</w:t>
      </w:r>
    </w:p>
    <w:p>
      <w:pPr>
        <w:pStyle w:val="BodyText"/>
        <w:spacing w:line="309" w:lineRule="auto" w:before="19"/>
        <w:ind w:left="153" w:right="151"/>
        <w:jc w:val="both"/>
      </w:pPr>
      <w:r>
        <w:rPr/>
        <w:t>（</w:t>
      </w:r>
      <w:r>
        <w:rPr>
          <w:rFonts w:ascii="Times New Roman" w:hAnsi="Times New Roman" w:cs="Times New Roman" w:eastAsia="Times New Roman" w:hint="default"/>
        </w:rPr>
        <w:t>2</w:t>
      </w:r>
      <w:r>
        <w:rPr/>
        <w:t>）公司将不以直接或间接的方式从事与上市公司经营的业务构成可能的直接或间接竞争的业务；保证将采取合法及有效 </w:t>
      </w:r>
      <w:r>
        <w:rPr>
          <w:spacing w:val="-2"/>
        </w:rPr>
        <w:t>的措施，促使公司拥有控制权的其他企业（包括但不限于自营、合资或联营）不从事、不参与与上市公司的经营运作相竞争</w:t>
      </w:r>
      <w:r>
        <w:rPr>
          <w:spacing w:val="-66"/>
        </w:rPr>
        <w:t> </w:t>
      </w:r>
      <w:r>
        <w:rPr>
          <w:spacing w:val="-66"/>
        </w:rPr>
      </w:r>
      <w:r>
        <w:rPr/>
        <w:t>的任何活动的业务。</w:t>
      </w:r>
    </w:p>
    <w:p>
      <w:pPr>
        <w:pStyle w:val="BodyText"/>
        <w:spacing w:line="309" w:lineRule="auto" w:before="24"/>
        <w:ind w:left="153" w:right="141"/>
        <w:jc w:val="left"/>
      </w:pPr>
      <w:r>
        <w:rPr/>
        <w:t>（</w:t>
      </w:r>
      <w:r>
        <w:rPr>
          <w:rFonts w:ascii="Times New Roman" w:hAnsi="Times New Roman" w:cs="Times New Roman" w:eastAsia="Times New Roman" w:hint="default"/>
        </w:rPr>
        <w:t>3</w:t>
      </w:r>
      <w:r>
        <w:rPr/>
        <w:t>）如上市公司进一步拓展其业务范围，公司及公司拥有控制权的其他企业将不与上市公司拓展后的业务相竞争；可能与 上市公司拓展后的业务产生竞争的，公司及公司拥有控制权的其他企业将按照如下方式退出与上市公司的竞争： </w:t>
      </w:r>
      <w:r>
        <w:rPr>
          <w:rFonts w:ascii="Times New Roman" w:hAnsi="Times New Roman" w:cs="Times New Roman" w:eastAsia="Times New Roman" w:hint="default"/>
        </w:rPr>
        <w:t>A</w:t>
      </w:r>
      <w:r>
        <w:rPr/>
        <w:t>、停止与上市公司构成竞争或可能构成竞争的业务；</w:t>
      </w:r>
    </w:p>
    <w:p>
      <w:pPr>
        <w:pStyle w:val="BodyText"/>
        <w:spacing w:line="300" w:lineRule="auto" w:before="5"/>
        <w:ind w:left="153" w:right="6231"/>
        <w:jc w:val="left"/>
      </w:pPr>
      <w:r>
        <w:rPr>
          <w:rFonts w:ascii="Times New Roman" w:hAnsi="Times New Roman" w:cs="Times New Roman" w:eastAsia="Times New Roman" w:hint="default"/>
        </w:rPr>
        <w:t>B</w:t>
      </w:r>
      <w:r>
        <w:rPr/>
        <w:t>、将相竞争的业务纳入到上市公司来经营； </w:t>
      </w:r>
      <w:r>
        <w:rPr>
          <w:rFonts w:ascii="Times New Roman" w:hAnsi="Times New Roman" w:cs="Times New Roman" w:eastAsia="Times New Roman" w:hint="default"/>
        </w:rPr>
        <w:t>C</w:t>
      </w:r>
      <w:r>
        <w:rPr/>
        <w:t>、将相竞争的业务转让给无关联的第三方。</w:t>
      </w:r>
    </w:p>
    <w:p>
      <w:pPr>
        <w:pStyle w:val="BodyText"/>
        <w:spacing w:line="309" w:lineRule="auto" w:before="13"/>
        <w:ind w:left="153" w:right="151"/>
        <w:jc w:val="both"/>
      </w:pPr>
      <w:r>
        <w:rPr/>
        <w:t>（</w:t>
      </w:r>
      <w:r>
        <w:rPr>
          <w:rFonts w:ascii="Times New Roman" w:hAnsi="Times New Roman" w:cs="Times New Roman" w:eastAsia="Times New Roman" w:hint="default"/>
        </w:rPr>
        <w:t>4</w:t>
      </w:r>
      <w:r>
        <w:rPr/>
        <w:t>）如公司及公司拥有控制权的其他企业有任何商业机会可从事、参与任何可能与上市公司的经营运作构成竞争的活动， </w:t>
      </w:r>
      <w:r>
        <w:rPr>
          <w:spacing w:val="-2"/>
        </w:rPr>
        <w:t>则立即将上述商业机会通知上市公司，在通知中所指定的合理期间内，上市公司作出愿意利用该商业机会的肯定答复，则公</w:t>
      </w:r>
      <w:r>
        <w:rPr>
          <w:spacing w:val="-66"/>
        </w:rPr>
        <w:t> </w:t>
      </w:r>
      <w:r>
        <w:rPr>
          <w:spacing w:val="-66"/>
        </w:rPr>
      </w:r>
      <w:r>
        <w:rPr/>
        <w:t>司尽力将该商业机会给予上市公司。</w:t>
      </w:r>
    </w:p>
    <w:p>
      <w:pPr>
        <w:pStyle w:val="BodyText"/>
        <w:spacing w:line="240" w:lineRule="auto" w:before="24"/>
        <w:ind w:left="153" w:right="0"/>
        <w:jc w:val="left"/>
      </w:pPr>
      <w:r>
        <w:rPr/>
        <w:t>（</w:t>
      </w:r>
      <w:r>
        <w:rPr>
          <w:rFonts w:ascii="Times New Roman" w:hAnsi="Times New Roman" w:cs="Times New Roman" w:eastAsia="Times New Roman" w:hint="default"/>
        </w:rPr>
        <w:t>5</w:t>
      </w:r>
      <w:r>
        <w:rPr/>
        <w:t>）如违反以上承诺，公司愿意承担由此产生的全部责任，充分赔偿或补偿由此给上市公司造成的所有直接或间接损失。</w:t>
      </w:r>
    </w:p>
    <w:p>
      <w:pPr>
        <w:pStyle w:val="BodyText"/>
        <w:spacing w:line="240" w:lineRule="auto" w:before="63"/>
        <w:ind w:left="153" w:right="0"/>
        <w:jc w:val="left"/>
      </w:pPr>
      <w:r>
        <w:rPr/>
        <w:t>（</w:t>
      </w:r>
      <w:r>
        <w:rPr>
          <w:rFonts w:ascii="Times New Roman" w:hAnsi="Times New Roman" w:cs="Times New Roman" w:eastAsia="Times New Roman" w:hint="default"/>
        </w:rPr>
        <w:t>6</w:t>
      </w:r>
      <w:r>
        <w:rPr/>
        <w:t>）本承诺函在公司作为上市公司控股股东期间内持续有效且不可变更或撤销</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参见：董事、监事、高级管理人员报酬情况</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27"/>
        <w:jc w:val="center"/>
        <w:rPr>
          <w:b w:val="0"/>
          <w:bCs w:val="0"/>
        </w:rPr>
      </w:pPr>
      <w:bookmarkStart w:name="_TOC_250002" w:id="9"/>
      <w:r>
        <w:rPr/>
        <w:t>第九节</w:t>
      </w:r>
      <w:r>
        <w:rPr>
          <w:spacing w:val="-5"/>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84"/>
        <w:jc w:val="left"/>
        <w:rPr>
          <w:b w:val="0"/>
          <w:bCs w:val="0"/>
        </w:rPr>
      </w:pPr>
      <w:r>
        <w:rPr/>
        <w:t>一、内部控制建设情况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91"/>
        <w:jc w:val="left"/>
      </w:pPr>
      <w:r>
        <w:rPr/>
        <w:t>为贯彻落实内控规范实施工作要求，确保公司内部控制规范体系建设及评价工作顺利开展，</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月，公司成立了内控 </w:t>
      </w:r>
      <w:r>
        <w:rPr>
          <w:spacing w:val="-4"/>
        </w:rPr>
        <w:t>规范委员会（领导小组）和工作小组。领导小组是公司内部控制规范实施工作的领导机构，总负责内部控制项目、方案决策、</w:t>
      </w:r>
      <w:r>
        <w:rPr>
          <w:spacing w:val="-44"/>
        </w:rPr>
        <w:t> </w:t>
      </w:r>
      <w:r>
        <w:rPr>
          <w:spacing w:val="-44"/>
        </w:rPr>
      </w:r>
      <w:r>
        <w:rPr>
          <w:spacing w:val="-2"/>
        </w:rPr>
        <w:t>协调组织内外资源、保证项目顺利实施；任命工作小组负责人及其他有关项目全局性、方向行的工作。工作小组负责落实推</w:t>
      </w:r>
      <w:r>
        <w:rPr>
          <w:spacing w:val="-66"/>
        </w:rPr>
        <w:t> </w:t>
      </w:r>
      <w:r>
        <w:rPr>
          <w:spacing w:val="-66"/>
        </w:rPr>
      </w:r>
      <w:r>
        <w:rPr/>
        <w:t>进内控实施工作安排，组织相关单位开展内控体系建设和评价的具体工作。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年公司初步梳理了内部控制体系建设、 </w:t>
      </w:r>
      <w:r>
        <w:rPr>
          <w:spacing w:val="-2"/>
        </w:rPr>
        <w:t>维护、实施、监督的体系文件，初步形成了重大风险识别、流程制度落实、权责要求遵守、管控效果检查、缺陷整改追踪的</w:t>
      </w:r>
      <w:r>
        <w:rPr>
          <w:spacing w:val="-65"/>
        </w:rPr>
        <w:t> </w:t>
      </w:r>
      <w:r>
        <w:rPr>
          <w:spacing w:val="-65"/>
        </w:rPr>
      </w:r>
      <w:r>
        <w:rPr/>
        <w:t>风险管控闭环，为公司的战略实现提供了相对坚实的保障。</w:t>
      </w:r>
    </w:p>
    <w:p>
      <w:pPr>
        <w:spacing w:line="240" w:lineRule="auto" w:before="12"/>
        <w:rPr>
          <w:rFonts w:ascii="宋体" w:hAnsi="宋体" w:cs="宋体" w:eastAsia="宋体" w:hint="default"/>
          <w:sz w:val="20"/>
          <w:szCs w:val="20"/>
        </w:rPr>
      </w:pPr>
    </w:p>
    <w:p>
      <w:pPr>
        <w:pStyle w:val="Heading2"/>
        <w:spacing w:line="240" w:lineRule="auto"/>
        <w:ind w:right="184"/>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3" w:right="101"/>
        <w:jc w:val="both"/>
      </w:pPr>
      <w:r>
        <w:rPr>
          <w:spacing w:val="-2"/>
        </w:rPr>
        <w:t>总体而言，公司已建立起规范、健全的内部控制管理体系，各项内控制度均得到了有效执行，内部控制在日常生产经营管理</w:t>
      </w:r>
      <w:r>
        <w:rPr>
          <w:spacing w:val="-66"/>
        </w:rPr>
        <w:t> </w:t>
      </w:r>
      <w:r>
        <w:rPr>
          <w:spacing w:val="-66"/>
        </w:rPr>
      </w:r>
      <w:r>
        <w:rPr>
          <w:spacing w:val="-2"/>
        </w:rPr>
        <w:t>中能够及时预防、发现和纠正公司运营过程可能出现的风险、错误和舞弊，保护公司资产的安全与完整，保证会计记录和会</w:t>
      </w:r>
      <w:r>
        <w:rPr>
          <w:spacing w:val="-66"/>
        </w:rPr>
        <w:t> </w:t>
      </w:r>
      <w:r>
        <w:rPr>
          <w:spacing w:val="-66"/>
        </w:rPr>
      </w:r>
      <w:r>
        <w:rPr/>
        <w:t>计信息的真实性、准确性和及时性。</w:t>
      </w:r>
      <w:r>
        <w:rPr>
          <w:spacing w:val="50"/>
        </w:rPr>
        <w:t> </w:t>
      </w:r>
      <w:r>
        <w:rPr/>
        <w:t>董事会认为，公司内部控制体系在完整性、合规性、有效性等方面不存在重大缺陷。</w:t>
      </w:r>
      <w:r>
        <w:rPr/>
        <w:t> </w:t>
      </w:r>
      <w:r>
        <w:rPr>
          <w:spacing w:val="-2"/>
        </w:rPr>
        <w:t>但由于内部控制固有的局限性、内部环境以及宏观环境、政策法规持续变化，可能导致原有控制活动不适用或出现偏差，对</w:t>
      </w:r>
      <w:r>
        <w:rPr>
          <w:spacing w:val="-66"/>
        </w:rPr>
        <w:t> </w:t>
      </w:r>
      <w:r>
        <w:rPr>
          <w:spacing w:val="-66"/>
        </w:rPr>
      </w:r>
      <w:r>
        <w:rPr>
          <w:spacing w:val="-4"/>
        </w:rPr>
        <w:t>此公司将及时进行内部控制体系的补充和完善，为财务报告的真实性、完整性以及公司战略、经营目标的实现提供合理保障。</w:t>
      </w:r>
    </w:p>
    <w:p>
      <w:pPr>
        <w:spacing w:line="240" w:lineRule="auto" w:before="7"/>
        <w:rPr>
          <w:rFonts w:ascii="宋体" w:hAnsi="宋体" w:cs="宋体" w:eastAsia="宋体" w:hint="default"/>
          <w:sz w:val="20"/>
          <w:szCs w:val="20"/>
        </w:rPr>
      </w:pPr>
    </w:p>
    <w:p>
      <w:pPr>
        <w:pStyle w:val="Heading2"/>
        <w:spacing w:line="240" w:lineRule="auto"/>
        <w:ind w:right="184"/>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04" w:lineRule="auto"/>
        <w:ind w:right="90" w:hanging="1"/>
        <w:jc w:val="left"/>
      </w:pPr>
      <w:r>
        <w:rPr/>
        <w:t>公司依据深圳证券交易所</w:t>
      </w:r>
      <w:r>
        <w:rPr>
          <w:spacing w:val="-4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11"/>
        </w:rPr>
        <w:t>月发布的《上市公司内部控制指引》和</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10"/>
        </w:rPr>
        <w:t>月发布的《主板上市公司规范运作指引》，</w:t>
      </w:r>
      <w:r>
        <w:rPr/>
        <w:t> </w:t>
      </w:r>
      <w:r>
        <w:rPr>
          <w:spacing w:val="-1"/>
        </w:rPr>
        <w:t>财政部、证监会、审计署、银监会、保监会（以下简称</w:t>
      </w:r>
      <w:r>
        <w:rPr>
          <w:rFonts w:ascii="Times New Roman" w:hAnsi="Times New Roman" w:cs="Times New Roman" w:eastAsia="Times New Roman" w:hint="default"/>
          <w:spacing w:val="-1"/>
        </w:rPr>
        <w:t>“</w:t>
      </w:r>
      <w:r>
        <w:rPr>
          <w:spacing w:val="-1"/>
        </w:rPr>
        <w:t>五部委</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5"/>
        </w:rPr>
        <w:t>月联合发布的《企业内部控制基础规范》，以及</w:t>
      </w:r>
      <w:r>
        <w:rPr>
          <w:spacing w:val="-80"/>
        </w:rPr>
        <w:t> </w:t>
      </w:r>
      <w:r>
        <w:rPr>
          <w:spacing w:val="-80"/>
        </w:rPr>
      </w:r>
      <w:r>
        <w:rPr/>
        <w:t>五部委</w:t>
      </w:r>
      <w:r>
        <w:rPr>
          <w:spacing w:val="-4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0"/>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spacing w:val="-6"/>
        </w:rPr>
        <w:t>月联合发布的《企业内部控制配套指引》，公司章程、公司内部控制实施工作方案、公司内部控制监督制度、</w:t>
      </w:r>
      <w:r>
        <w:rPr/>
        <w:t> 财务控制制度、安全生产制度、子公司管理制度、合同管理制度、内部审计制度等二十多项内控制度，以及财政部办公厅、 证监会办公厅</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spacing w:val="-5"/>
        </w:rPr>
        <w:t>月联合下发的《关于</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年主板上市公司分类分批实施企业内部控制规范体系的通知》等建立公司 财务报告的内部控制管理体系。</w:t>
      </w:r>
    </w:p>
    <w:p>
      <w:pPr>
        <w:spacing w:line="240" w:lineRule="auto" w:before="5"/>
        <w:rPr>
          <w:rFonts w:ascii="宋体" w:hAnsi="宋体" w:cs="宋体" w:eastAsia="宋体" w:hint="default"/>
          <w:sz w:val="21"/>
          <w:szCs w:val="21"/>
        </w:rPr>
      </w:pPr>
    </w:p>
    <w:p>
      <w:pPr>
        <w:pStyle w:val="Heading2"/>
        <w:spacing w:line="240" w:lineRule="auto"/>
        <w:ind w:right="184"/>
        <w:jc w:val="left"/>
        <w:rPr>
          <w:b w:val="0"/>
          <w:bCs w:val="0"/>
        </w:rPr>
      </w:pPr>
      <w:r>
        <w:rPr/>
        <w:t>四、内部控制自我评价报告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34"/>
        <w:gridCol w:w="6934"/>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3"/>
                <w:sz w:val="18"/>
                <w:szCs w:val="18"/>
              </w:rPr>
              <w:t> </w:t>
            </w:r>
            <w:hyperlink r:id="rId11">
              <w:r>
                <w:rPr>
                  <w:rFonts w:ascii="Times New Roman" w:hAnsi="Times New Roman" w:cs="Times New Roman" w:eastAsia="Times New Roman" w:hint="default"/>
                  <w:sz w:val="18"/>
                  <w:szCs w:val="18"/>
                </w:rPr>
                <w:t>http://www.cninfo.com.cn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84"/>
        <w:jc w:val="left"/>
        <w:rPr>
          <w:b w:val="0"/>
          <w:bCs w:val="0"/>
        </w:rPr>
      </w:pPr>
      <w:r>
        <w:rPr/>
        <w:t>五、年度报告重大差错责任追究制度的建立与执行情况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232"/>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23 </w:t>
      </w:r>
      <w:r>
        <w:rPr>
          <w:spacing w:val="-2"/>
        </w:rPr>
        <w:t>日公司第七届第三次董事会审议通过了《年报信息披露重大差错追求制度》。报告期内，公司未发生年报信</w:t>
      </w:r>
      <w:r>
        <w:rPr/>
        <w:t> 息披露重大差错、重大会计差错更正、重大遗漏信息补充以及业绩预告修正等情况。</w:t>
      </w:r>
    </w:p>
    <w:p>
      <w:pPr>
        <w:spacing w:after="0" w:line="302"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94"/>
        <w:jc w:val="center"/>
        <w:rPr>
          <w:b w:val="0"/>
          <w:bCs w:val="0"/>
        </w:rPr>
      </w:pPr>
      <w:bookmarkStart w:name="_TOC_250001" w:id="10"/>
      <w:r>
        <w:rPr/>
        <w:t>第十节</w:t>
      </w:r>
      <w:r>
        <w:rPr>
          <w:spacing w:val="-5"/>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国浩审字</w:t>
            </w:r>
            <w:r>
              <w:rPr>
                <w:rFonts w:ascii="Times New Roman" w:hAnsi="Times New Roman" w:cs="Times New Roman" w:eastAsia="Times New Roman" w:hint="default"/>
                <w:sz w:val="18"/>
                <w:szCs w:val="18"/>
              </w:rPr>
              <w:t>[2013]835A0021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p>
      <w:pPr>
        <w:pStyle w:val="Heading5"/>
        <w:spacing w:line="240" w:lineRule="auto"/>
        <w:ind w:left="154" w:right="-20"/>
        <w:jc w:val="left"/>
      </w:pPr>
      <w:r>
        <w:rPr/>
        <w:pict>
          <v:shape style="position:absolute;margin-left:215.279999pt;margin-top:-74.736015pt;width:164.988pt;height:41.76pt;mso-position-horizontal-relative:page;mso-position-vertical-relative:paragraph;z-index:1384" type="#_x0000_t75" stroked="false">
            <v:imagedata r:id="rId17" o:title=""/>
          </v:shape>
        </w:pict>
      </w:r>
      <w:r>
        <w:rPr>
          <w:color w:val="33339A"/>
        </w:rPr>
        <w:t>国富浩华会计师事务所（特殊普通合伙）</w:t>
      </w:r>
      <w:r>
        <w:rPr/>
      </w:r>
    </w:p>
    <w:p>
      <w:pPr>
        <w:spacing w:line="240" w:lineRule="auto" w:before="0"/>
        <w:rPr>
          <w:rFonts w:ascii="宋体" w:hAnsi="宋体" w:cs="宋体" w:eastAsia="宋体" w:hint="default"/>
          <w:sz w:val="20"/>
          <w:szCs w:val="20"/>
        </w:rPr>
      </w:pPr>
    </w:p>
    <w:p>
      <w:pPr>
        <w:spacing w:line="415" w:lineRule="auto" w:before="152"/>
        <w:ind w:left="154" w:right="1634" w:firstLine="0"/>
        <w:jc w:val="left"/>
        <w:rPr>
          <w:rFonts w:ascii="Times New Roman" w:hAnsi="Times New Roman" w:cs="Times New Roman" w:eastAsia="Times New Roman" w:hint="default"/>
          <w:sz w:val="13"/>
          <w:szCs w:val="13"/>
        </w:rPr>
      </w:pPr>
      <w:r>
        <w:rPr>
          <w:rFonts w:ascii="宋体" w:hAnsi="宋体" w:cs="宋体" w:eastAsia="宋体" w:hint="default"/>
          <w:color w:val="33339A"/>
          <w:sz w:val="13"/>
          <w:szCs w:val="13"/>
        </w:rPr>
        <w:t>北京市海淀区西四环中路</w:t>
      </w:r>
      <w:r>
        <w:rPr>
          <w:rFonts w:ascii="Times New Roman" w:hAnsi="Times New Roman" w:cs="Times New Roman" w:eastAsia="Times New Roman" w:hint="default"/>
          <w:color w:val="33339A"/>
          <w:sz w:val="13"/>
          <w:szCs w:val="13"/>
        </w:rPr>
        <w:t>16</w:t>
      </w:r>
      <w:r>
        <w:rPr>
          <w:rFonts w:ascii="宋体" w:hAnsi="宋体" w:cs="宋体" w:eastAsia="宋体" w:hint="default"/>
          <w:color w:val="33339A"/>
          <w:sz w:val="13"/>
          <w:szCs w:val="13"/>
        </w:rPr>
        <w:t>号院</w:t>
      </w:r>
      <w:r>
        <w:rPr>
          <w:rFonts w:ascii="Times New Roman" w:hAnsi="Times New Roman" w:cs="Times New Roman" w:eastAsia="Times New Roman" w:hint="default"/>
          <w:color w:val="33339A"/>
          <w:sz w:val="13"/>
          <w:szCs w:val="13"/>
        </w:rPr>
        <w:t>2</w:t>
      </w:r>
      <w:r>
        <w:rPr>
          <w:rFonts w:ascii="宋体" w:hAnsi="宋体" w:cs="宋体" w:eastAsia="宋体" w:hint="default"/>
          <w:color w:val="33339A"/>
          <w:sz w:val="13"/>
          <w:szCs w:val="13"/>
        </w:rPr>
        <w:t>号楼</w:t>
      </w:r>
      <w:r>
        <w:rPr>
          <w:rFonts w:ascii="宋体" w:hAnsi="宋体" w:cs="宋体" w:eastAsia="宋体" w:hint="default"/>
          <w:color w:val="33339A"/>
          <w:w w:val="99"/>
          <w:sz w:val="13"/>
          <w:szCs w:val="13"/>
        </w:rPr>
        <w:t> </w:t>
      </w:r>
      <w:r>
        <w:rPr>
          <w:rFonts w:ascii="宋体" w:hAnsi="宋体" w:cs="宋体" w:eastAsia="宋体" w:hint="default"/>
          <w:color w:val="33339A"/>
          <w:sz w:val="13"/>
          <w:szCs w:val="13"/>
        </w:rPr>
        <w:t>总机：</w:t>
      </w:r>
      <w:r>
        <w:rPr>
          <w:rFonts w:ascii="Times New Roman" w:hAnsi="Times New Roman" w:cs="Times New Roman" w:eastAsia="Times New Roman" w:hint="default"/>
          <w:color w:val="33339A"/>
          <w:sz w:val="13"/>
          <w:szCs w:val="13"/>
        </w:rPr>
        <w:t>0086-10-88219191</w:t>
      </w:r>
      <w:r>
        <w:rPr>
          <w:rFonts w:ascii="Times New Roman" w:hAnsi="Times New Roman" w:cs="Times New Roman" w:eastAsia="Times New Roman" w:hint="default"/>
          <w:sz w:val="13"/>
          <w:szCs w:val="13"/>
        </w:rPr>
      </w:r>
    </w:p>
    <w:p>
      <w:pPr>
        <w:spacing w:before="27"/>
        <w:ind w:left="154" w:right="-20" w:firstLine="0"/>
        <w:jc w:val="left"/>
        <w:rPr>
          <w:rFonts w:ascii="Times New Roman" w:hAnsi="Times New Roman" w:cs="Times New Roman" w:eastAsia="Times New Roman" w:hint="default"/>
          <w:sz w:val="13"/>
          <w:szCs w:val="13"/>
        </w:rPr>
      </w:pPr>
      <w:r>
        <w:rPr>
          <w:rFonts w:ascii="宋体" w:hAnsi="宋体" w:cs="宋体" w:eastAsia="宋体" w:hint="default"/>
          <w:color w:val="33339A"/>
          <w:sz w:val="13"/>
          <w:szCs w:val="13"/>
        </w:rPr>
        <w:t>传真：</w:t>
      </w:r>
      <w:r>
        <w:rPr>
          <w:rFonts w:ascii="Times New Roman" w:hAnsi="Times New Roman" w:cs="Times New Roman" w:eastAsia="Times New Roman" w:hint="default"/>
          <w:color w:val="33339A"/>
          <w:sz w:val="13"/>
          <w:szCs w:val="13"/>
        </w:rPr>
        <w:t>0086-10-88210558</w:t>
      </w:r>
      <w:r>
        <w:rPr>
          <w:rFonts w:ascii="Times New Roman" w:hAnsi="Times New Roman" w:cs="Times New Roman" w:eastAsia="Times New Roman" w:hint="default"/>
          <w:sz w:val="13"/>
          <w:szCs w:val="13"/>
        </w:rPr>
      </w:r>
    </w:p>
    <w:p>
      <w:pPr>
        <w:spacing w:line="240" w:lineRule="auto" w:before="6"/>
        <w:rPr>
          <w:rFonts w:ascii="Times New Roman" w:hAnsi="Times New Roman" w:cs="Times New Roman" w:eastAsia="Times New Roman" w:hint="default"/>
          <w:sz w:val="11"/>
          <w:szCs w:val="11"/>
        </w:rPr>
      </w:pPr>
    </w:p>
    <w:p>
      <w:pPr>
        <w:spacing w:before="0"/>
        <w:ind w:left="153" w:right="-20" w:firstLine="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color w:val="33339A"/>
          <w:sz w:val="13"/>
          <w:szCs w:val="13"/>
        </w:rPr>
        <w:t>Website</w:t>
      </w:r>
      <w:r>
        <w:rPr>
          <w:rFonts w:ascii="宋体" w:hAnsi="宋体" w:cs="宋体" w:eastAsia="宋体" w:hint="default"/>
          <w:color w:val="33339A"/>
          <w:sz w:val="13"/>
          <w:szCs w:val="13"/>
        </w:rPr>
        <w:t>：</w:t>
      </w:r>
      <w:hyperlink r:id="rId18">
        <w:r>
          <w:rPr>
            <w:rFonts w:ascii="Times New Roman" w:hAnsi="Times New Roman" w:cs="Times New Roman" w:eastAsia="Times New Roman" w:hint="default"/>
            <w:color w:val="33339A"/>
            <w:sz w:val="13"/>
            <w:szCs w:val="13"/>
          </w:rPr>
          <w:t>www.chcncpa.com</w:t>
        </w:r>
        <w:r>
          <w:rPr>
            <w:rFonts w:ascii="Times New Roman" w:hAnsi="Times New Roman" w:cs="Times New Roman" w:eastAsia="Times New Roman" w:hint="default"/>
            <w:sz w:val="13"/>
            <w:szCs w:val="13"/>
          </w:rPr>
        </w:r>
      </w:hyperlink>
    </w:p>
    <w:p>
      <w:pPr>
        <w:pStyle w:val="BodyText"/>
        <w:spacing w:line="240" w:lineRule="auto" w:before="51"/>
        <w:ind w:left="153" w:right="0"/>
        <w:jc w:val="left"/>
      </w:pPr>
      <w:r>
        <w:rPr/>
        <w:br w:type="column"/>
      </w:r>
      <w:r>
        <w:rPr/>
        <w:t>审计报告正文</w:t>
      </w:r>
    </w:p>
    <w:p>
      <w:pPr>
        <w:spacing w:after="0" w:line="240" w:lineRule="auto"/>
        <w:jc w:val="left"/>
        <w:sectPr>
          <w:type w:val="continuous"/>
          <w:pgSz w:w="11910" w:h="16840"/>
          <w:pgMar w:top="1060" w:bottom="1180" w:left="980" w:right="980"/>
          <w:cols w:num="2" w:equalWidth="0">
            <w:col w:w="3935" w:space="345"/>
            <w:col w:w="567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180" w:left="980" w:right="980"/>
        </w:sectPr>
      </w:pPr>
    </w:p>
    <w:p>
      <w:pPr>
        <w:spacing w:before="1"/>
        <w:ind w:left="0" w:right="0" w:firstLine="0"/>
        <w:jc w:val="right"/>
        <w:rPr>
          <w:rFonts w:ascii="宋体" w:hAnsi="宋体" w:cs="宋体" w:eastAsia="宋体" w:hint="default"/>
          <w:sz w:val="32"/>
          <w:szCs w:val="32"/>
        </w:rPr>
      </w:pPr>
      <w:r>
        <w:rPr>
          <w:rFonts w:ascii="宋体" w:hAnsi="宋体" w:cs="宋体" w:eastAsia="宋体" w:hint="default"/>
          <w:b/>
          <w:bCs/>
          <w:sz w:val="32"/>
          <w:szCs w:val="32"/>
        </w:rPr>
        <w:t>审 计 报</w:t>
      </w:r>
      <w:r>
        <w:rPr>
          <w:rFonts w:ascii="宋体" w:hAnsi="宋体" w:cs="宋体" w:eastAsia="宋体" w:hint="default"/>
          <w:b/>
          <w:bCs/>
          <w:spacing w:val="-77"/>
          <w:sz w:val="32"/>
          <w:szCs w:val="32"/>
        </w:rPr>
        <w:t> </w:t>
      </w:r>
      <w:r>
        <w:rPr>
          <w:rFonts w:ascii="宋体" w:hAnsi="宋体" w:cs="宋体" w:eastAsia="宋体" w:hint="default"/>
          <w:b/>
          <w:bCs/>
          <w:sz w:val="32"/>
          <w:szCs w:val="32"/>
        </w:rPr>
        <w:t>告</w:t>
      </w:r>
      <w:r>
        <w:rPr>
          <w:rFonts w:ascii="宋体" w:hAnsi="宋体" w:cs="宋体" w:eastAsia="宋体" w:hint="default"/>
          <w:sz w:val="32"/>
          <w:szCs w:val="32"/>
        </w:rPr>
      </w:r>
    </w:p>
    <w:p>
      <w:pPr>
        <w:spacing w:line="240" w:lineRule="auto" w:before="7"/>
        <w:rPr>
          <w:rFonts w:ascii="宋体" w:hAnsi="宋体" w:cs="宋体" w:eastAsia="宋体" w:hint="default"/>
          <w:b/>
          <w:bCs/>
          <w:sz w:val="32"/>
          <w:szCs w:val="32"/>
        </w:rPr>
      </w:pPr>
    </w:p>
    <w:p>
      <w:pPr>
        <w:pStyle w:val="Heading2"/>
        <w:spacing w:line="240" w:lineRule="auto"/>
        <w:ind w:right="0"/>
        <w:jc w:val="left"/>
        <w:rPr>
          <w:b w:val="0"/>
          <w:bCs w:val="0"/>
        </w:rPr>
      </w:pPr>
      <w:r>
        <w:rPr/>
        <w:t>深圳大通实业股份有限公司全体股东：</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9"/>
        <w:rPr>
          <w:rFonts w:ascii="宋体" w:hAnsi="宋体" w:cs="宋体" w:eastAsia="宋体" w:hint="default"/>
          <w:b/>
          <w:bCs/>
          <w:sz w:val="20"/>
          <w:szCs w:val="20"/>
        </w:rPr>
      </w:pPr>
    </w:p>
    <w:p>
      <w:pPr>
        <w:pStyle w:val="Heading5"/>
        <w:spacing w:line="240" w:lineRule="auto"/>
        <w:ind w:right="0"/>
        <w:jc w:val="left"/>
      </w:pPr>
      <w:r>
        <w:rPr/>
        <w:t>国浩审字</w:t>
      </w:r>
      <w:r>
        <w:rPr>
          <w:rFonts w:ascii="Times New Roman" w:hAnsi="Times New Roman" w:cs="Times New Roman" w:eastAsia="Times New Roman" w:hint="default"/>
        </w:rPr>
        <w:t>[2013]835A0021</w:t>
      </w:r>
      <w:r>
        <w:rPr/>
        <w:t>号</w:t>
      </w:r>
    </w:p>
    <w:p>
      <w:pPr>
        <w:spacing w:after="0" w:line="240" w:lineRule="auto"/>
        <w:jc w:val="left"/>
        <w:sectPr>
          <w:type w:val="continuous"/>
          <w:pgSz w:w="11910" w:h="16840"/>
          <w:pgMar w:top="1060" w:bottom="1180" w:left="980" w:right="980"/>
          <w:cols w:num="2" w:equalWidth="0">
            <w:col w:w="5821" w:space="1295"/>
            <w:col w:w="2834"/>
          </w:cols>
        </w:sectPr>
      </w:pPr>
    </w:p>
    <w:p>
      <w:pPr>
        <w:pStyle w:val="Heading3"/>
        <w:spacing w:line="312" w:lineRule="exact" w:before="28"/>
        <w:ind w:right="151" w:firstLine="480"/>
        <w:jc w:val="both"/>
      </w:pPr>
      <w:r>
        <w:rPr/>
        <w:t>我们审计了后附的深圳大通实业股份有限公司（以下简称深圳大通公司）财务报表，包</w:t>
      </w:r>
      <w:r>
        <w:rPr>
          <w:spacing w:val="1"/>
        </w:rPr>
        <w:t> </w:t>
      </w:r>
      <w:r>
        <w:rPr/>
        <w:t>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日合并及母公司资产负债表，</w:t>
      </w:r>
      <w:r>
        <w:rPr>
          <w:spacing w:val="-80"/>
        </w:rPr>
        <w:t> </w:t>
      </w:r>
      <w:r>
        <w:rPr>
          <w:rFonts w:ascii="Times New Roman" w:hAnsi="Times New Roman" w:cs="Times New Roman" w:eastAsia="Times New Roman" w:hint="default"/>
        </w:rPr>
        <w:t>2012</w:t>
      </w:r>
      <w:r>
        <w:rPr/>
        <w:t>年度合并及母公司利润表、合并及母公司 现金流量表、合并及母公司股东权益变动表以及财务报表附注。</w:t>
      </w:r>
    </w:p>
    <w:p>
      <w:pPr>
        <w:spacing w:line="312" w:lineRule="exact" w:before="0"/>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编制和公允列报财务报表是管理层的责任，这种责任包括：</w:t>
      </w:r>
      <w:r>
        <w:rPr>
          <w:rFonts w:ascii="Times New Roman" w:hAnsi="Times New Roman" w:cs="Times New Roman" w:eastAsia="Times New Roman" w:hint="default"/>
          <w:spacing w:val="-1"/>
          <w:sz w:val="24"/>
          <w:szCs w:val="24"/>
        </w:rPr>
        <w:t>(1)</w:t>
      </w:r>
      <w:r>
        <w:rPr>
          <w:rFonts w:ascii="宋体" w:hAnsi="宋体" w:cs="宋体" w:eastAsia="宋体" w:hint="default"/>
          <w:spacing w:val="-1"/>
          <w:sz w:val="24"/>
          <w:szCs w:val="24"/>
        </w:rPr>
        <w:t>按照企业会计准则的规定</w:t>
      </w:r>
      <w:r>
        <w:rPr>
          <w:rFonts w:ascii="宋体" w:hAnsi="宋体" w:cs="宋体" w:eastAsia="宋体" w:hint="default"/>
          <w:sz w:val="24"/>
          <w:szCs w:val="24"/>
        </w:rPr>
      </w:r>
    </w:p>
    <w:p>
      <w:pPr>
        <w:pStyle w:val="Heading3"/>
        <w:spacing w:line="312" w:lineRule="exact"/>
        <w:ind w:right="0"/>
        <w:jc w:val="left"/>
      </w:pPr>
      <w:r>
        <w:rPr>
          <w:spacing w:val="-1"/>
        </w:rPr>
        <w:t>编制财务报表，并使其实现公允反映；</w:t>
      </w:r>
      <w:r>
        <w:rPr>
          <w:rFonts w:ascii="Times New Roman" w:hAnsi="Times New Roman" w:cs="Times New Roman" w:eastAsia="Times New Roman" w:hint="default"/>
          <w:spacing w:val="-1"/>
        </w:rPr>
        <w:t>(2)</w:t>
      </w:r>
      <w:r>
        <w:rPr>
          <w:spacing w:val="-1"/>
        </w:rPr>
        <w:t>设计、执行和维护必要的内部控制，以使财务报表</w:t>
      </w:r>
      <w:r>
        <w:rPr>
          <w:spacing w:val="-100"/>
        </w:rPr>
        <w:t> </w:t>
      </w:r>
      <w:r>
        <w:rPr/>
        <w:t>不存在由于舞弊或错误导致的重大错报。</w:t>
      </w:r>
    </w:p>
    <w:p>
      <w:pPr>
        <w:spacing w:line="312" w:lineRule="exact" w:before="0"/>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spacing w:val="1"/>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spacing w:after="0" w:line="312" w:lineRule="exact"/>
        <w:jc w:val="left"/>
        <w:rPr>
          <w:rFonts w:ascii="宋体" w:hAnsi="宋体" w:cs="宋体" w:eastAsia="宋体" w:hint="default"/>
          <w:sz w:val="24"/>
          <w:szCs w:val="24"/>
        </w:rPr>
        <w:sectPr>
          <w:type w:val="continuous"/>
          <w:pgSz w:w="11910" w:h="16840"/>
          <w:pgMar w:top="1060" w:bottom="1180" w:left="980" w:right="980"/>
        </w:sectPr>
      </w:pPr>
    </w:p>
    <w:p>
      <w:pPr>
        <w:spacing w:line="240" w:lineRule="auto" w:before="7"/>
        <w:rPr>
          <w:rFonts w:ascii="宋体" w:hAnsi="宋体" w:cs="宋体" w:eastAsia="宋体" w:hint="default"/>
          <w:sz w:val="23"/>
          <w:szCs w:val="23"/>
        </w:rPr>
      </w:pPr>
    </w:p>
    <w:p>
      <w:pPr>
        <w:pStyle w:val="Heading3"/>
        <w:spacing w:line="312" w:lineRule="exact" w:before="56"/>
        <w:ind w:left="153" w:right="92"/>
        <w:jc w:val="left"/>
      </w:pPr>
      <w:r>
        <w:rPr/>
        <w:t>计师审计准则的规定执行了审计工作。中国注册会计师审计准则要求我们遵守中国注册会计</w:t>
      </w:r>
      <w:r>
        <w:rPr>
          <w:spacing w:val="-83"/>
        </w:rPr>
        <w:t> </w:t>
      </w:r>
      <w:r>
        <w:rPr>
          <w:spacing w:val="-83"/>
        </w:rPr>
      </w:r>
      <w:r>
        <w:rPr/>
        <w:t>师职业道德守则，计划和执行审计工作以对财务报表是否不存在重大错报获取合理保证。</w:t>
      </w:r>
    </w:p>
    <w:p>
      <w:pPr>
        <w:pStyle w:val="Heading3"/>
        <w:spacing w:line="312" w:lineRule="exact"/>
        <w:ind w:right="92" w:firstLine="480"/>
        <w:jc w:val="left"/>
      </w:pPr>
      <w:r>
        <w:rPr/>
        <w:t>审计工作涉及实施审计程序，以获取有关财务报表金额和披露的审计证据。选择的审计</w:t>
      </w:r>
      <w:r>
        <w:rPr>
          <w:spacing w:val="1"/>
        </w:rPr>
        <w:t>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83"/>
        </w:rPr>
        <w:t> </w:t>
      </w:r>
      <w:r>
        <w:rPr>
          <w:spacing w:val="-83"/>
        </w:rPr>
      </w:r>
      <w:r>
        <w:rPr/>
        <w:t>当的审计程序，但目的并非对内部控制的有效性发表意见。审计工作还包括评价管理层选用</w:t>
      </w:r>
      <w:r>
        <w:rPr>
          <w:spacing w:val="-83"/>
        </w:rPr>
        <w:t> </w:t>
      </w:r>
      <w:r>
        <w:rPr>
          <w:spacing w:val="-83"/>
        </w:rPr>
      </w:r>
      <w:r>
        <w:rPr/>
        <w:t>会计政策的恰当性和作出会计估计的合理性，以及评价财务报表的总体列报。</w:t>
      </w:r>
    </w:p>
    <w:p>
      <w:pPr>
        <w:pStyle w:val="Heading3"/>
        <w:spacing w:line="283" w:lineRule="exact"/>
        <w:ind w:left="634" w:right="92"/>
        <w:jc w:val="left"/>
      </w:pP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5"/>
          <w:szCs w:val="25"/>
        </w:rPr>
      </w:pPr>
    </w:p>
    <w:p>
      <w:pPr>
        <w:pStyle w:val="Heading3"/>
        <w:spacing w:line="312" w:lineRule="exact"/>
        <w:ind w:left="634" w:right="92" w:firstLine="2"/>
        <w:jc w:val="left"/>
      </w:pPr>
      <w:r>
        <w:rPr>
          <w:rFonts w:ascii="宋体" w:hAnsi="宋体" w:cs="宋体" w:eastAsia="宋体" w:hint="default"/>
          <w:b/>
          <w:bCs/>
        </w:rPr>
        <w:t>三、审计意见</w:t>
      </w:r>
      <w:r>
        <w:rPr>
          <w:rFonts w:ascii="宋体" w:hAnsi="宋体" w:cs="宋体" w:eastAsia="宋体" w:hint="default"/>
          <w:b/>
          <w:bCs/>
          <w:w w:val="99"/>
        </w:rPr>
        <w:t> </w:t>
      </w:r>
      <w:r>
        <w:rPr/>
        <w:t>我们认为，深圳大通公司的财务报表在所有重大方面按照企业会计准则的规定编制，公</w:t>
      </w:r>
    </w:p>
    <w:p>
      <w:pPr>
        <w:pStyle w:val="Heading3"/>
        <w:spacing w:line="312" w:lineRule="exact"/>
        <w:ind w:right="92"/>
        <w:jc w:val="left"/>
      </w:pPr>
      <w:r>
        <w:rPr/>
        <w:t>允反映了深圳大通公司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日合并及母公司财务状况以及</w:t>
      </w:r>
      <w:r>
        <w:rPr>
          <w:rFonts w:ascii="Times New Roman" w:hAnsi="Times New Roman" w:cs="Times New Roman" w:eastAsia="Times New Roman" w:hint="default"/>
        </w:rPr>
        <w:t>2012</w:t>
      </w:r>
      <w:r>
        <w:rPr/>
        <w:t>年度合并及母公司经</w:t>
      </w:r>
      <w:r>
        <w:rPr>
          <w:spacing w:val="-90"/>
        </w:rPr>
        <w:t> </w:t>
      </w:r>
      <w:r>
        <w:rPr/>
        <w:t>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2"/>
          <w:szCs w:val="22"/>
        </w:rPr>
      </w:pPr>
    </w:p>
    <w:p>
      <w:pPr>
        <w:pStyle w:val="Heading3"/>
        <w:tabs>
          <w:tab w:pos="6368" w:val="left" w:leader="none"/>
        </w:tabs>
        <w:spacing w:line="240" w:lineRule="auto"/>
        <w:ind w:left="386" w:right="92"/>
        <w:jc w:val="left"/>
      </w:pPr>
      <w:r>
        <w:rPr/>
        <w:pict>
          <v:group style="position:absolute;margin-left:56.700001pt;margin-top:1.055911pt;width:423.6pt;height:.1pt;mso-position-horizontal-relative:page;mso-position-vertical-relative:paragraph;z-index:-684256" coordorigin="1134,21" coordsize="8472,2">
            <v:shape style="position:absolute;left:1134;top:21;width:8472;height:2" coordorigin="1134,21" coordsize="8472,0" path="m1134,21l9606,21e" filled="false" stroked="true" strokeweight=".72pt" strokecolor="#000000">
              <v:path arrowok="t"/>
            </v:shape>
            <w10:wrap type="none"/>
          </v:group>
        </w:pict>
      </w:r>
      <w:r>
        <w:rPr/>
        <w:t>国富浩华会计师事务所（特殊普通合伙）</w:t>
        <w:tab/>
        <w:t>中国注册会计师</w:t>
      </w:r>
    </w:p>
    <w:p>
      <w:pPr>
        <w:spacing w:line="240" w:lineRule="auto" w:before="7"/>
        <w:rPr>
          <w:rFonts w:ascii="宋体" w:hAnsi="宋体" w:cs="宋体" w:eastAsia="宋体" w:hint="default"/>
          <w:sz w:val="3"/>
          <w:szCs w:val="3"/>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24.35pt;height:.75pt;mso-position-horizontal-relative:char;mso-position-vertical-relative:line" coordorigin="0,0" coordsize="8487,15">
            <v:group style="position:absolute;left:7;top:7;width:8472;height:2" coordorigin="7,7" coordsize="8472,2">
              <v:shape style="position:absolute;left:7;top:7;width:8472;height:2" coordorigin="7,7" coordsize="8472,0" path="m7,7l8479,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4"/>
          <w:szCs w:val="24"/>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24.35pt;height:.75pt;mso-position-horizontal-relative:char;mso-position-vertical-relative:line" coordorigin="0,0" coordsize="8487,15">
            <v:group style="position:absolute;left:7;top:7;width:8472;height:2" coordorigin="7,7" coordsize="8472,2">
              <v:shape style="position:absolute;left:7;top:7;width:8472;height:2" coordorigin="7,7" coordsize="8472,0" path="m7,7l8479,7e" filled="false" stroked="true" strokeweight=".72pt" strokecolor="#000000">
                <v:path arrowok="t"/>
              </v:shape>
            </v:group>
          </v:group>
        </w:pict>
      </w:r>
      <w:r>
        <w:rPr>
          <w:rFonts w:ascii="宋体" w:hAnsi="宋体" w:cs="宋体" w:eastAsia="宋体" w:hint="default"/>
          <w:sz w:val="2"/>
          <w:szCs w:val="2"/>
        </w:rPr>
      </w:r>
    </w:p>
    <w:p>
      <w:pPr>
        <w:pStyle w:val="Heading3"/>
        <w:spacing w:line="298" w:lineRule="exact"/>
        <w:ind w:left="2036" w:right="92"/>
        <w:jc w:val="left"/>
      </w:pPr>
      <w:r>
        <w:rPr/>
        <w:t>中国</w:t>
      </w:r>
      <w:r>
        <w:rPr>
          <w:rFonts w:ascii="Times New Roman" w:hAnsi="Times New Roman" w:cs="Times New Roman" w:eastAsia="Times New Roman" w:hint="default"/>
        </w:rPr>
        <w:t>·</w:t>
      </w:r>
      <w:r>
        <w:rPr/>
        <w:t>北京</w:t>
      </w:r>
    </w:p>
    <w:p>
      <w:pPr>
        <w:spacing w:line="240" w:lineRule="auto" w:before="2"/>
        <w:rPr>
          <w:rFonts w:ascii="宋体" w:hAnsi="宋体" w:cs="宋体" w:eastAsia="宋体" w:hint="default"/>
          <w:sz w:val="2"/>
          <w:szCs w:val="2"/>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24.35pt;height:.75pt;mso-position-horizontal-relative:char;mso-position-vertical-relative:line" coordorigin="0,0" coordsize="8487,15">
            <v:group style="position:absolute;left:7;top:7;width:8472;height:2" coordorigin="7,7" coordsize="8472,2">
              <v:shape style="position:absolute;left:7;top:7;width:8472;height:2" coordorigin="7,7" coordsize="8472,0" path="m7,7l8479,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5"/>
          <w:szCs w:val="25"/>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24.35pt;height:.75pt;mso-position-horizontal-relative:char;mso-position-vertical-relative:line" coordorigin="0,0" coordsize="8487,15">
            <v:group style="position:absolute;left:7;top:7;width:8472;height:2" coordorigin="7,7" coordsize="8472,2">
              <v:shape style="position:absolute;left:7;top:7;width:8472;height:2" coordorigin="7,7" coordsize="8472,0" path="m7,7l8479,7e" filled="false" stroked="true" strokeweight=".72pt" strokecolor="#000000">
                <v:path arrowok="t"/>
              </v:shape>
            </v:group>
          </v:group>
        </w:pict>
      </w:r>
      <w:r>
        <w:rPr>
          <w:rFonts w:ascii="宋体" w:hAnsi="宋体" w:cs="宋体" w:eastAsia="宋体" w:hint="default"/>
          <w:sz w:val="2"/>
          <w:szCs w:val="2"/>
        </w:rPr>
      </w:r>
    </w:p>
    <w:p>
      <w:pPr>
        <w:pStyle w:val="Heading3"/>
        <w:tabs>
          <w:tab w:pos="6872" w:val="left" w:leader="none"/>
        </w:tabs>
        <w:spacing w:line="279" w:lineRule="exact"/>
        <w:ind w:left="1226" w:right="92"/>
        <w:jc w:val="left"/>
      </w:pPr>
      <w:r>
        <w:rPr/>
        <w:t>二〇一三年四月二十三日</w:t>
        <w:tab/>
        <w:t>支</w:t>
      </w:r>
      <w:r>
        <w:rPr>
          <w:spacing w:val="72"/>
        </w:rPr>
        <w:t> </w:t>
      </w:r>
      <w:r>
        <w:rPr/>
        <w:t>梓</w:t>
      </w:r>
    </w:p>
    <w:p>
      <w:pPr>
        <w:spacing w:line="240" w:lineRule="auto" w:before="9"/>
        <w:rPr>
          <w:rFonts w:ascii="宋体" w:hAnsi="宋体" w:cs="宋体" w:eastAsia="宋体" w:hint="default"/>
          <w:sz w:val="3"/>
          <w:szCs w:val="3"/>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24.35pt;height:.75pt;mso-position-horizontal-relative:char;mso-position-vertical-relative:line" coordorigin="0,0" coordsize="8487,15">
            <v:group style="position:absolute;left:7;top:7;width:8472;height:2" coordorigin="7,7" coordsize="8472,2">
              <v:shape style="position:absolute;left:7;top:7;width:8472;height:2" coordorigin="7,7" coordsize="8472,0" path="m7,7l8479,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4"/>
          <w:szCs w:val="24"/>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24.35pt;height:.75pt;mso-position-horizontal-relative:char;mso-position-vertical-relative:line" coordorigin="0,0" coordsize="8487,15">
            <v:group style="position:absolute;left:7;top:7;width:8472;height:2" coordorigin="7,7" coordsize="8472,2">
              <v:shape style="position:absolute;left:7;top:7;width:8472;height:2" coordorigin="7,7" coordsize="8472,0" path="m7,7l8479,7e" filled="false" stroked="true" strokeweight=".72pt" strokecolor="#000000">
                <v:path arrowok="t"/>
              </v:shape>
            </v:group>
          </v:group>
        </w:pict>
      </w:r>
      <w:r>
        <w:rPr>
          <w:rFonts w:ascii="宋体" w:hAnsi="宋体" w:cs="宋体" w:eastAsia="宋体" w:hint="default"/>
          <w:sz w:val="2"/>
          <w:szCs w:val="2"/>
        </w:rPr>
      </w:r>
    </w:p>
    <w:p>
      <w:pPr>
        <w:pStyle w:val="Heading3"/>
        <w:spacing w:line="280" w:lineRule="exact"/>
        <w:ind w:left="6368" w:right="92"/>
        <w:jc w:val="left"/>
      </w:pPr>
      <w:r>
        <w:rPr/>
        <w:t>中国注册会计师</w:t>
      </w:r>
    </w:p>
    <w:p>
      <w:pPr>
        <w:spacing w:line="240" w:lineRule="auto" w:before="7"/>
        <w:rPr>
          <w:rFonts w:ascii="宋体" w:hAnsi="宋体" w:cs="宋体" w:eastAsia="宋体" w:hint="default"/>
          <w:sz w:val="3"/>
          <w:szCs w:val="3"/>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24.35pt;height:.75pt;mso-position-horizontal-relative:char;mso-position-vertical-relative:line" coordorigin="0,0" coordsize="8487,15">
            <v:group style="position:absolute;left:7;top:7;width:8472;height:2" coordorigin="7,7" coordsize="8472,2">
              <v:shape style="position:absolute;left:7;top:7;width:8472;height:2" coordorigin="7,7" coordsize="8472,0" path="m7,7l8479,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4"/>
          <w:szCs w:val="24"/>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24.35pt;height:.75pt;mso-position-horizontal-relative:char;mso-position-vertical-relative:line" coordorigin="0,0" coordsize="8487,15">
            <v:group style="position:absolute;left:7;top:7;width:8472;height:2" coordorigin="7,7" coordsize="8472,2">
              <v:shape style="position:absolute;left:7;top:7;width:8472;height:2" coordorigin="7,7" coordsize="8472,0" path="m7,7l8479,7e" filled="false" stroked="true" strokeweight=".71997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4"/>
          <w:szCs w:val="24"/>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24.35pt;height:.75pt;mso-position-horizontal-relative:char;mso-position-vertical-relative:line" coordorigin="0,0" coordsize="8487,15">
            <v:group style="position:absolute;left:7;top:7;width:8472;height:2" coordorigin="7,7" coordsize="8472,2">
              <v:shape style="position:absolute;left:7;top:7;width:8472;height:2" coordorigin="7,7" coordsize="8472,0" path="m7,7l8479,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5"/>
          <w:szCs w:val="25"/>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24.35pt;height:.75pt;mso-position-horizontal-relative:char;mso-position-vertical-relative:line" coordorigin="0,0" coordsize="8487,15">
            <v:group style="position:absolute;left:7;top:7;width:8472;height:2" coordorigin="7,7" coordsize="8472,2">
              <v:shape style="position:absolute;left:7;top:7;width:8472;height:2" coordorigin="7,7" coordsize="8472,0" path="m7,7l8479,7e" filled="false" stroked="true" strokeweight=".72pt" strokecolor="#000000">
                <v:path arrowok="t"/>
              </v:shape>
            </v:group>
          </v:group>
        </w:pict>
      </w:r>
      <w:r>
        <w:rPr>
          <w:rFonts w:ascii="宋体" w:hAnsi="宋体" w:cs="宋体" w:eastAsia="宋体" w:hint="default"/>
          <w:sz w:val="2"/>
          <w:szCs w:val="2"/>
        </w:rPr>
      </w:r>
    </w:p>
    <w:p>
      <w:pPr>
        <w:pStyle w:val="Heading3"/>
        <w:spacing w:line="279" w:lineRule="exact"/>
        <w:ind w:left="0" w:right="2477"/>
        <w:jc w:val="right"/>
      </w:pPr>
      <w:r>
        <w:rPr/>
        <w:t>高</w:t>
      </w:r>
      <w:r>
        <w:rPr>
          <w:spacing w:val="72"/>
        </w:rPr>
        <w:t> </w:t>
      </w:r>
      <w:r>
        <w:rPr/>
        <w:t>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200"/>
        <w:ind w:right="92"/>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财务附注中报表的单位为：人民币元</w:t>
      </w:r>
    </w:p>
    <w:p>
      <w:pPr>
        <w:spacing w:after="0" w:line="240" w:lineRule="auto"/>
        <w:jc w:val="left"/>
        <w:sectPr>
          <w:pgSz w:w="11910" w:h="16840"/>
          <w:pgMar w:header="747" w:footer="982" w:top="1060" w:bottom="1180" w:left="980" w:right="90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编制单位：深圳大通实业股份有限公司</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18,448,741.58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9,079,054.48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48,057,996.92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52,021,435.89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6,637,679.00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6,548,748.55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511,920,367.26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560,514,404.05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21,200,004.60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606,264,789.36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628,163,642.97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151,018.06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368,207.68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3,740,457.00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1,932,810.64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3,891,475.06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2,301,018.32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610,156,264.42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630,464,661.29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31,956,482.60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149,751,609.25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84,412,269.22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128,615,207.40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125,119,528.87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66,033.51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98,912.92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24,002,763.39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6,269,042.16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1,430,617.22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206,029.02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206,029.02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69,755,985.62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140,150,169.23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414,547,628.19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389,643,051.24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1,999,045.00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1,999,045.00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416,546,673.19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439,643,051.24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96,227,998.00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96,227,998.00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21,760,565.81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21,760,565.81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5,887,067.95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5,887,067.95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32,714,793.89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30,636,751.52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156,590,425.65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154,512,383.28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37,019,165.58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36,309,226.77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193,609,591.23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190,821,610.05</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610,156,264.42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630,464,661.29</w:t>
            </w:r>
          </w:p>
        </w:tc>
      </w:tr>
    </w:tbl>
    <w:p>
      <w:pPr>
        <w:spacing w:line="240" w:lineRule="auto" w:before="3"/>
        <w:rPr>
          <w:rFonts w:ascii="Times New Roman" w:hAnsi="Times New Roman" w:cs="Times New Roman" w:eastAsia="Times New Roman" w:hint="default"/>
          <w:sz w:val="23"/>
          <w:szCs w:val="23"/>
        </w:rPr>
      </w:pPr>
    </w:p>
    <w:p>
      <w:pPr>
        <w:pStyle w:val="BodyText"/>
        <w:tabs>
          <w:tab w:pos="3663" w:val="left" w:leader="none"/>
          <w:tab w:pos="7893" w:val="left" w:leader="none"/>
        </w:tabs>
        <w:spacing w:line="240" w:lineRule="auto" w:before="44"/>
        <w:ind w:right="0"/>
        <w:jc w:val="left"/>
      </w:pPr>
      <w:r>
        <w:rPr/>
        <w:t>法定代表人：许亚楠</w:t>
        <w:tab/>
        <w:t>主管会计工作负责人：易平良</w:t>
        <w:tab/>
        <w:t>会计机构负责人：陈璇</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编制单位：深圳大通实业股份有限公司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84"/>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34,923.57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48,135.57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98"/>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7"/>
        <w:gridCol w:w="3319"/>
        <w:gridCol w:w="3300"/>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2,055,265.00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2,090,188.57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2,048,135.57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265,562,237.00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265,562,237.00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148,404.21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265,567,294.10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265,710,641.21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267,657,482.67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267,758,776.78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31,956,482.60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8,588,972.45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8,215,291.21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7"/>
        <w:gridCol w:w="3319"/>
        <w:gridCol w:w="3300"/>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11,081,152.04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11,080,885.96</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1,430,617.22</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206,029.02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206,029.02</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150,113,822.63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111,664,310.16</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169,989,976.14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164,553,616.17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169,989,976.14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164,553,616.17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96,227,998.00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96,227,998.00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21,760,565.81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21,760,565.81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5,887,067.95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5,887,067.95</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-26,208,125.23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-20,670,471.15</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97,667,506.53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103,205,160.61</w:t>
            </w:r>
          </w:p>
        </w:tc>
      </w:tr>
      <w:tr>
        <w:trPr>
          <w:trHeight w:val="714"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267,657,482.67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267,758,776.78</w:t>
            </w:r>
          </w:p>
        </w:tc>
      </w:tr>
    </w:tbl>
    <w:p>
      <w:pPr>
        <w:spacing w:line="240" w:lineRule="auto" w:before="3"/>
        <w:rPr>
          <w:rFonts w:ascii="Times New Roman" w:hAnsi="Times New Roman" w:cs="Times New Roman" w:eastAsia="Times New Roman" w:hint="default"/>
          <w:sz w:val="23"/>
          <w:szCs w:val="23"/>
        </w:rPr>
      </w:pPr>
    </w:p>
    <w:p>
      <w:pPr>
        <w:pStyle w:val="BodyText"/>
        <w:tabs>
          <w:tab w:pos="3663" w:val="left" w:leader="none"/>
          <w:tab w:pos="7893" w:val="left" w:leader="none"/>
        </w:tabs>
        <w:spacing w:line="240" w:lineRule="auto" w:before="44"/>
        <w:ind w:right="0"/>
        <w:jc w:val="left"/>
      </w:pPr>
      <w:r>
        <w:rPr/>
        <w:t>法定代表人：许亚楠</w:t>
        <w:tab/>
        <w:t>主管会计工作负责人：易平良</w:t>
        <w:tab/>
        <w:t>会计机构负责人：陈璇</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编制单位：深圳大通实业股份有限公司</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206,236,809.33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99,039,893.86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206,236,809.33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99,039,893.86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194,793,216.26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93,487,305.70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159,055,100.49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67,561,777.56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13,534,958.84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7,261,999.82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3,086,760.93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4,655,752.68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9,873,205.10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8,573,029.37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4,734,660.39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4,980,972.67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4,508,530.51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453,773.60</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4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11,443,593.07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5,552,588.16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12,308.99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119,294.06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526,196.98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11,924.00</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6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10,929,705.08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5,659,958.22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8,141,723.90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3,043,148.27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2,787,981.18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2,616,809.95</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2,078,042.37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2,091,182.70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709,938.81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525,627.25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0.0217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0.0217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2,787,981.18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2,616,809.95</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2,078,042.37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2,091,182.70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709,938.81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525,627.25</w:t>
            </w:r>
          </w:p>
        </w:tc>
      </w:tr>
    </w:tbl>
    <w:p>
      <w:pPr>
        <w:pStyle w:val="BodyText"/>
        <w:spacing w:line="240" w:lineRule="auto" w:before="51"/>
        <w:ind w:right="0"/>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663" w:val="left" w:leader="none"/>
          <w:tab w:pos="7893" w:val="left" w:leader="none"/>
        </w:tabs>
        <w:spacing w:line="240" w:lineRule="auto" w:before="141"/>
        <w:ind w:left="153" w:right="0"/>
        <w:jc w:val="left"/>
      </w:pPr>
      <w:r>
        <w:rPr/>
        <w:t>法定代表人：许亚楠</w:t>
        <w:tab/>
        <w:t>主管会计工作负责人：易平良</w:t>
        <w:tab/>
        <w:t>会计机构负责人：陈璇</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编制单位：深圳大通实业股份有限公司</w:t>
      </w:r>
    </w:p>
    <w:p>
      <w:pPr>
        <w:pStyle w:val="BodyText"/>
        <w:spacing w:line="240" w:lineRule="auto" w:before="116"/>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4,264,147.10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1,442,177.14</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768,267.68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2,444,222.34</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378,181.24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36,198.72</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-5,410,596.02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-3,922,598.20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127,058.06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-5,537,654.08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-3,922,598.20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-5,537,654.08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-3,922,598.20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-5,537,654.08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-3,922,598.20</w:t>
            </w:r>
          </w:p>
        </w:tc>
      </w:tr>
    </w:tbl>
    <w:p>
      <w:pPr>
        <w:spacing w:line="240" w:lineRule="auto" w:before="6"/>
        <w:rPr>
          <w:rFonts w:ascii="宋体" w:hAnsi="宋体" w:cs="宋体" w:eastAsia="宋体" w:hint="default"/>
          <w:sz w:val="20"/>
          <w:szCs w:val="20"/>
        </w:rPr>
      </w:pPr>
    </w:p>
    <w:p>
      <w:pPr>
        <w:pStyle w:val="BodyText"/>
        <w:tabs>
          <w:tab w:pos="3663" w:val="left" w:leader="none"/>
          <w:tab w:pos="7893" w:val="left" w:leader="none"/>
        </w:tabs>
        <w:spacing w:line="240" w:lineRule="auto" w:before="44"/>
        <w:ind w:right="0"/>
        <w:jc w:val="left"/>
      </w:pPr>
      <w:r>
        <w:rPr/>
        <w:t>法定代表人：许亚楠</w:t>
        <w:tab/>
        <w:t>主管会计工作负责人：易平良</w:t>
        <w:tab/>
        <w:t>会计机构负责人：陈璇</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编制单位：深圳大通实业股份有限公司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166,957,077.30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241,439,232.53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7,501,683.72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166,957,077.30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248,940,916.25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64,157,533.87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289,014,141.34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3,732,423.40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4,570,085.05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32,056,197.59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35,629,902.64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14,057,017.98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9,336,970.39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114,003,172.84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338,551,099.42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52,953,904.46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-89,610,183.17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45,990.00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45,990.00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-45,990.00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38"/>
        <w:gridCol w:w="3330"/>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78,000,000.00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69,233,777.99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150,233,777.99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39,806,482.60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71,000,000.00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6,127,280.36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3,549,529.13</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45,933,762.96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74,624,529.13</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-45,933,762.96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75,609,248.86</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7,016,261.50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-14,046,924.31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9,079,054.48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23,125,978.79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16,095,315.98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9,079,054.48</w:t>
            </w:r>
          </w:p>
        </w:tc>
      </w:tr>
    </w:tbl>
    <w:p>
      <w:pPr>
        <w:spacing w:line="240" w:lineRule="auto" w:before="3"/>
        <w:rPr>
          <w:rFonts w:ascii="Times New Roman" w:hAnsi="Times New Roman" w:cs="Times New Roman" w:eastAsia="Times New Roman" w:hint="default"/>
          <w:sz w:val="23"/>
          <w:szCs w:val="23"/>
        </w:rPr>
      </w:pPr>
    </w:p>
    <w:p>
      <w:pPr>
        <w:pStyle w:val="BodyText"/>
        <w:tabs>
          <w:tab w:pos="3663" w:val="left" w:leader="none"/>
          <w:tab w:pos="7893" w:val="left" w:leader="none"/>
        </w:tabs>
        <w:spacing w:line="240" w:lineRule="auto" w:before="44"/>
        <w:ind w:right="0"/>
        <w:jc w:val="left"/>
      </w:pPr>
      <w:r>
        <w:rPr/>
        <w:t>法定代表人：许亚楠</w:t>
        <w:tab/>
        <w:t>主管会计工作负责人：易平良</w:t>
        <w:tab/>
        <w:t>会计机构负责人：陈璇</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编制单位：深圳大通实业股份有限公司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1,052,032.23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1,052,032.23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570,592.84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505,490.89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73,490.05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3,681,479.90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462,593.51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4,252,072.74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1,041,574.45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-4,252,072.74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10,457.78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38"/>
        <w:gridCol w:w="3318"/>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38,390,013.55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51,994,420.37</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38,390,013.55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79,994,420.37</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31,956,482.60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2,194,670.21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994,420.37</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34,151,152.81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22,994,420.37</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4,238,860.74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-13,212.00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10,457.78</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48,135.57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37,677.79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34,923.57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48,135.57</w:t>
            </w:r>
          </w:p>
        </w:tc>
      </w:tr>
    </w:tbl>
    <w:p>
      <w:pPr>
        <w:spacing w:line="240" w:lineRule="auto" w:before="6"/>
        <w:rPr>
          <w:rFonts w:ascii="宋体" w:hAnsi="宋体" w:cs="宋体" w:eastAsia="宋体" w:hint="default"/>
          <w:sz w:val="20"/>
          <w:szCs w:val="20"/>
        </w:rPr>
      </w:pPr>
    </w:p>
    <w:p>
      <w:pPr>
        <w:pStyle w:val="BodyText"/>
        <w:tabs>
          <w:tab w:pos="3663" w:val="left" w:leader="none"/>
          <w:tab w:pos="7893" w:val="left" w:leader="none"/>
        </w:tabs>
        <w:spacing w:line="240" w:lineRule="auto" w:before="44"/>
        <w:ind w:right="0"/>
        <w:jc w:val="left"/>
      </w:pPr>
      <w:r>
        <w:rPr/>
        <w:t>法定代表人：许亚楠</w:t>
        <w:tab/>
        <w:t>主管会计工作负责人：易平良</w:t>
        <w:tab/>
        <w:t>会计机构负责人：陈璇</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57" w:lineRule="auto" w:before="44"/>
        <w:ind w:left="153" w:right="-19"/>
        <w:jc w:val="left"/>
      </w:pPr>
      <w:r>
        <w:rPr/>
        <w:t>编制单位：深圳大通实业股份有限公司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3215" w:space="5704"/>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9"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54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3" w:hRule="exact"/>
        </w:trPr>
        <w:tc>
          <w:tcPr>
            <w:tcW w:w="23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4"/>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4"/>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4"/>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2"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52" w:hRule="exact"/>
        </w:trPr>
        <w:tc>
          <w:tcPr>
            <w:tcW w:w="2368" w:type="dxa"/>
            <w:vMerge w:val="restart"/>
            <w:tcBorders>
              <w:top w:val="nil" w:sz="6" w:space="0" w:color="auto"/>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2368"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2368"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0"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998.00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21,760,5</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65.81</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67.95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30,636,7</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51.52</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36,309,22</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6.77</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190,821,61</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0.05</w:t>
            </w:r>
          </w:p>
        </w:tc>
      </w:tr>
      <w:tr>
        <w:trPr>
          <w:trHeight w:val="393"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998.00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21,760,5</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65.81</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67.95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30,636,7</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51.52</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36,309,22</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6.77</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190,821,61</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0.05</w:t>
            </w:r>
          </w:p>
        </w:tc>
      </w:tr>
      <w:tr>
        <w:trPr>
          <w:trHeight w:val="393"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2,078,04</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2.37</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709,938.8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2,787,981.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r>
        <w:trPr>
          <w:trHeight w:val="160"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2,078,04</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2.37</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709,938.8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2,787,981.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r>
        <w:trPr>
          <w:trHeight w:val="393"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2,078,04</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2.37</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709,938.8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2,787,981.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r>
        <w:trPr>
          <w:trHeight w:val="393"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36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998.00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21,760,5</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65.81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67.95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32,714,7</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93.89</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37,019,16</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5.58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193,609,59</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1.23</w:t>
            </w:r>
          </w:p>
        </w:tc>
      </w:tr>
    </w:tbl>
    <w:p>
      <w:pPr>
        <w:pStyle w:val="BodyText"/>
        <w:spacing w:line="240" w:lineRule="auto" w:before="51"/>
        <w:ind w:right="0"/>
        <w:jc w:val="left"/>
      </w:pPr>
      <w:r>
        <w:rPr/>
        <w:t>上年金额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56"/>
        <w:gridCol w:w="696"/>
        <w:gridCol w:w="688"/>
        <w:gridCol w:w="686"/>
        <w:gridCol w:w="685"/>
        <w:gridCol w:w="684"/>
        <w:gridCol w:w="686"/>
        <w:gridCol w:w="686"/>
        <w:gridCol w:w="685"/>
        <w:gridCol w:w="817"/>
        <w:gridCol w:w="894"/>
      </w:tblGrid>
      <w:tr>
        <w:trPr>
          <w:trHeight w:val="402" w:hRule="exact"/>
        </w:trPr>
        <w:tc>
          <w:tcPr>
            <w:tcW w:w="2356" w:type="dxa"/>
            <w:vMerge w:val="restart"/>
            <w:tcBorders>
              <w:top w:val="single" w:sz="4" w:space="0" w:color="000000"/>
              <w:left w:val="single" w:sz="4" w:space="0" w:color="000000"/>
              <w:right w:val="single" w:sz="4" w:space="0" w:color="000000"/>
            </w:tcBorders>
            <w:shd w:val="clear" w:color="auto" w:fill="D3D3D3"/>
          </w:tcPr>
          <w:p>
            <w:pPr/>
          </w:p>
        </w:tc>
        <w:tc>
          <w:tcPr>
            <w:tcW w:w="720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56" w:type="dxa"/>
            <w:vMerge/>
            <w:tcBorders>
              <w:left w:val="single" w:sz="4" w:space="0" w:color="000000"/>
              <w:bottom w:val="nil" w:sz="6" w:space="0" w:color="auto"/>
              <w:right w:val="single" w:sz="4" w:space="0" w:color="000000"/>
            </w:tcBorders>
            <w:shd w:val="clear" w:color="auto" w:fill="D3D3D3"/>
          </w:tcPr>
          <w:p>
            <w:pPr/>
          </w:p>
        </w:tc>
        <w:tc>
          <w:tcPr>
            <w:tcW w:w="5497"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5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4" w:hRule="exact"/>
        </w:trPr>
        <w:tc>
          <w:tcPr>
            <w:tcW w:w="23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3"/>
              <w:ind w:left="79"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4"/>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4"/>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56" w:type="dxa"/>
            <w:vMerge/>
            <w:tcBorders>
              <w:left w:val="single" w:sz="4" w:space="0" w:color="000000"/>
              <w:bottom w:val="nil" w:sz="6" w:space="0" w:color="auto"/>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51" w:hRule="exact"/>
        </w:trPr>
        <w:tc>
          <w:tcPr>
            <w:tcW w:w="2356" w:type="dxa"/>
            <w:vMerge w:val="restart"/>
            <w:tcBorders>
              <w:top w:val="nil" w:sz="6" w:space="0" w:color="auto"/>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2356" w:type="dxa"/>
            <w:vMerge/>
            <w:tcBorders>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2356" w:type="dxa"/>
            <w:vMerge/>
            <w:tcBorders>
              <w:left w:val="single" w:sz="4" w:space="0" w:color="000000"/>
              <w:bottom w:val="single" w:sz="4" w:space="0" w:color="000000"/>
              <w:right w:val="single" w:sz="4" w:space="0" w:color="000000"/>
            </w:tcBorders>
            <w:shd w:val="clear" w:color="auto" w:fill="D3D3D3"/>
          </w:tcPr>
          <w:p>
            <w:pPr/>
          </w:p>
        </w:tc>
        <w:tc>
          <w:tcPr>
            <w:tcW w:w="696" w:type="dxa"/>
            <w:vMerge/>
            <w:tcBorders>
              <w:left w:val="single" w:sz="4" w:space="0" w:color="000000"/>
              <w:bottom w:val="single" w:sz="4" w:space="0" w:color="000000"/>
              <w:right w:val="single" w:sz="4" w:space="0" w:color="000000"/>
            </w:tcBorders>
            <w:shd w:val="clear" w:color="auto" w:fill="D3D3D3"/>
          </w:tcPr>
          <w:p>
            <w:pPr/>
          </w:p>
        </w:tc>
        <w:tc>
          <w:tcPr>
            <w:tcW w:w="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6"/>
              <w:ind w:left="162" w:right="0"/>
              <w:jc w:val="left"/>
              <w:rPr>
                <w:rFonts w:ascii="Times New Roman" w:hAnsi="Times New Roman" w:cs="Times New Roman" w:eastAsia="Times New Roman" w:hint="default"/>
                <w:sz w:val="18"/>
                <w:szCs w:val="18"/>
              </w:rPr>
            </w:pPr>
            <w:r>
              <w:rPr>
                <w:rFonts w:ascii="Times New Roman"/>
                <w:sz w:val="18"/>
              </w:rPr>
              <w:t>998.00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21,760,5</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65.81</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67.95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28,545,5</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68.82</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35,783,59</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9.52</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188,204,80</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0.10</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6"/>
              <w:ind w:left="162" w:right="0"/>
              <w:jc w:val="left"/>
              <w:rPr>
                <w:rFonts w:ascii="Times New Roman" w:hAnsi="Times New Roman" w:cs="Times New Roman" w:eastAsia="Times New Roman" w:hint="default"/>
                <w:sz w:val="18"/>
                <w:szCs w:val="18"/>
              </w:rPr>
            </w:pPr>
            <w:r>
              <w:rPr>
                <w:rFonts w:ascii="Times New Roman"/>
                <w:sz w:val="18"/>
              </w:rPr>
              <w:t>998.00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21,760,5</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65.81</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67.95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28,545,5</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68.82</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35,783,59</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9.52</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188,204,80</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0.10</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2,091,18</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2.70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525,627.2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2,616,809.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2,091,18</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2.70</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525,627.2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2,616,809.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2,091,18</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2.70</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525,627.2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2,616,809.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36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998.00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21,760,5</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65.81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67.95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30,636,7</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51.52</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36,309,22</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6.77</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190,821,61</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0.05</w:t>
            </w:r>
          </w:p>
        </w:tc>
      </w:tr>
    </w:tbl>
    <w:p>
      <w:pPr>
        <w:spacing w:line="240" w:lineRule="auto" w:before="6"/>
        <w:rPr>
          <w:rFonts w:ascii="宋体" w:hAnsi="宋体" w:cs="宋体" w:eastAsia="宋体" w:hint="default"/>
          <w:sz w:val="20"/>
          <w:szCs w:val="20"/>
        </w:rPr>
      </w:pPr>
    </w:p>
    <w:p>
      <w:pPr>
        <w:pStyle w:val="BodyText"/>
        <w:tabs>
          <w:tab w:pos="3663" w:val="left" w:leader="none"/>
          <w:tab w:pos="7893" w:val="left" w:leader="none"/>
        </w:tabs>
        <w:spacing w:line="240" w:lineRule="auto" w:before="44"/>
        <w:ind w:right="0"/>
        <w:jc w:val="left"/>
      </w:pPr>
      <w:r>
        <w:rPr/>
        <w:t>法定代表人：许亚楠</w:t>
        <w:tab/>
        <w:t>主管会计工作负责人：易平良</w:t>
        <w:tab/>
        <w:t>会计机构负责人：陈璇</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57" w:lineRule="auto" w:before="44"/>
        <w:ind w:left="153" w:right="-19"/>
        <w:jc w:val="left"/>
      </w:pPr>
      <w:r>
        <w:rPr/>
        <w:t>编制单位：深圳大通实业股份有限公司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3215" w:space="5704"/>
            <w:col w:w="103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53"/>
        <w:gridCol w:w="897"/>
        <w:gridCol w:w="884"/>
        <w:gridCol w:w="886"/>
        <w:gridCol w:w="886"/>
        <w:gridCol w:w="887"/>
        <w:gridCol w:w="886"/>
        <w:gridCol w:w="886"/>
        <w:gridCol w:w="893"/>
      </w:tblGrid>
      <w:tr>
        <w:trPr>
          <w:trHeight w:val="402"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0" w:hRule="exact"/>
        </w:trPr>
        <w:tc>
          <w:tcPr>
            <w:tcW w:w="245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9"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7"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48"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70"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53" w:type="dxa"/>
            <w:vMerge/>
            <w:tcBorders>
              <w:left w:val="single" w:sz="4" w:space="0" w:color="000000"/>
              <w:bottom w:val="nil" w:sz="6" w:space="0" w:color="auto"/>
              <w:right w:val="single" w:sz="4" w:space="0" w:color="000000"/>
            </w:tcBorders>
            <w:shd w:val="clear" w:color="auto" w:fill="D3D3D3"/>
          </w:tcPr>
          <w:p>
            <w:pPr/>
          </w:p>
        </w:tc>
        <w:tc>
          <w:tcPr>
            <w:tcW w:w="897"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2"/>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5"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3D3D3"/>
          </w:tcPr>
          <w:p>
            <w:pPr/>
          </w:p>
        </w:tc>
        <w:tc>
          <w:tcPr>
            <w:tcW w:w="897"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7"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160" w:hRule="exact"/>
        </w:trPr>
        <w:tc>
          <w:tcPr>
            <w:tcW w:w="2453" w:type="dxa"/>
            <w:vMerge/>
            <w:tcBorders>
              <w:left w:val="single" w:sz="4" w:space="0" w:color="000000"/>
              <w:bottom w:val="single" w:sz="4" w:space="0" w:color="000000"/>
              <w:right w:val="single" w:sz="4" w:space="0" w:color="000000"/>
            </w:tcBorders>
            <w:shd w:val="clear" w:color="auto" w:fill="D3D3D3"/>
          </w:tcPr>
          <w:p>
            <w:pPr/>
          </w:p>
        </w:tc>
        <w:tc>
          <w:tcPr>
            <w:tcW w:w="897"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7"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160"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96,227,998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21,760,565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.81</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5,887,067.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-20,670,47</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1.15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103,205,16</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0.61</w:t>
            </w:r>
          </w:p>
        </w:tc>
      </w:tr>
      <w:tr>
        <w:trPr>
          <w:trHeight w:val="393"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2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2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r>
        <w:rPr/>
        <w:pict>
          <v:group style="position:absolute;margin-left:180.779999pt;margin-top:451.410004pt;width:42.55pt;height:40.9pt;mso-position-horizontal-relative:page;mso-position-vertical-relative:page;z-index:-684232" coordorigin="3616,9028" coordsize="851,818">
            <v:group style="position:absolute;left:3627;top:9040;width:2;height:393" coordorigin="3627,9040" coordsize="2,393">
              <v:shape style="position:absolute;left:3627;top:9040;width:2;height:393" coordorigin="3627,9040" coordsize="0,393" path="m3627,9040l3627,9432e" filled="false" stroked="true" strokeweight="1.140pt" strokecolor="#ffffff">
                <v:path arrowok="t"/>
              </v:shape>
            </v:group>
            <v:group style="position:absolute;left:3638;top:9040;width:828;height:393" coordorigin="3638,9040" coordsize="828,393">
              <v:shape style="position:absolute;left:3638;top:9040;width:828;height:393" coordorigin="3638,9040" coordsize="828,393" path="m3638,9432l4466,9432,4466,9040,3638,9040,3638,9432xe" filled="true" fillcolor="#ffffff" stroked="false">
                <v:path arrowok="t"/>
                <v:fill type="solid"/>
              </v:shape>
            </v:group>
            <v:group style="position:absolute;left:3627;top:9442;width:2;height:393" coordorigin="3627,9442" coordsize="2,393">
              <v:shape style="position:absolute;left:3627;top:9442;width:2;height:393" coordorigin="3627,9442" coordsize="0,393" path="m3627,9442l3627,9834e" filled="false" stroked="true" strokeweight="1.140pt" strokecolor="#ffffff">
                <v:path arrowok="t"/>
              </v:shape>
            </v:group>
            <v:group style="position:absolute;left:3638;top:9442;width:828;height:393" coordorigin="3638,9442" coordsize="828,393">
              <v:shape style="position:absolute;left:3638;top:9442;width:828;height:393" coordorigin="3638,9442" coordsize="828,393" path="m3638,9834l4466,9834,4466,9442,3638,9442,3638,983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96,227,998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21,760,565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5,887,067.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-20,670,47</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1.15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103,205,16</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0.61</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-5,537,654.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-5,537,654.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-5,537,654.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-5,537,654.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-5,537,654.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-5,537,654.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96,227,998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21,760,565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5,887,067.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-26,208,12</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5.23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97,667,506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r>
    </w:tbl>
    <w:p>
      <w:pPr>
        <w:pStyle w:val="BodyText"/>
        <w:spacing w:line="240" w:lineRule="auto" w:before="51"/>
        <w:ind w:right="0"/>
        <w:jc w:val="left"/>
      </w:pPr>
      <w:r>
        <w:rPr/>
        <w:t>上年金额</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874"/>
        <w:gridCol w:w="896"/>
        <w:gridCol w:w="886"/>
        <w:gridCol w:w="883"/>
        <w:gridCol w:w="896"/>
        <w:gridCol w:w="872"/>
        <w:gridCol w:w="884"/>
        <w:gridCol w:w="870"/>
      </w:tblGrid>
      <w:tr>
        <w:trPr>
          <w:trHeight w:val="402" w:hRule="exact"/>
        </w:trPr>
        <w:tc>
          <w:tcPr>
            <w:tcW w:w="2483" w:type="dxa"/>
            <w:tcBorders>
              <w:top w:val="single" w:sz="4" w:space="0" w:color="000000"/>
              <w:left w:val="single" w:sz="4" w:space="0" w:color="000000"/>
              <w:bottom w:val="nil" w:sz="6" w:space="0" w:color="auto"/>
              <w:right w:val="single" w:sz="4" w:space="0" w:color="000000"/>
            </w:tcBorders>
            <w:shd w:val="clear" w:color="auto" w:fill="D3D3D3"/>
          </w:tcPr>
          <w:p>
            <w:pPr/>
          </w:p>
        </w:tc>
        <w:tc>
          <w:tcPr>
            <w:tcW w:w="7061"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1" w:hRule="exact"/>
        </w:trPr>
        <w:tc>
          <w:tcPr>
            <w:tcW w:w="24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8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9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6" w:type="dxa"/>
            <w:tcBorders>
              <w:top w:val="single" w:sz="4" w:space="0" w:color="000000"/>
              <w:left w:val="single" w:sz="4" w:space="0" w:color="000000"/>
              <w:bottom w:val="nil" w:sz="6" w:space="0" w:color="auto"/>
              <w:right w:val="single" w:sz="4" w:space="0" w:color="000000"/>
            </w:tcBorders>
            <w:shd w:val="clear" w:color="auto" w:fill="D3D3D3"/>
          </w:tcPr>
          <w:p>
            <w:pPr/>
          </w:p>
        </w:tc>
        <w:tc>
          <w:tcPr>
            <w:tcW w:w="87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45"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47" w:right="75"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66" w:right="62"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83" w:type="dxa"/>
            <w:vMerge/>
            <w:tcBorders>
              <w:left w:val="single" w:sz="4" w:space="0" w:color="000000"/>
              <w:bottom w:val="nil" w:sz="6" w:space="0" w:color="auto"/>
              <w:right w:val="single" w:sz="4" w:space="0" w:color="000000"/>
            </w:tcBorders>
            <w:shd w:val="clear" w:color="auto" w:fill="D3D3D3"/>
          </w:tcPr>
          <w:p>
            <w:pPr/>
          </w:p>
        </w:tc>
        <w:tc>
          <w:tcPr>
            <w:tcW w:w="874" w:type="dxa"/>
            <w:vMerge/>
            <w:tcBorders>
              <w:left w:val="single" w:sz="4" w:space="0" w:color="000000"/>
              <w:right w:val="single" w:sz="4" w:space="0" w:color="000000"/>
            </w:tcBorders>
            <w:shd w:val="clear" w:color="auto" w:fill="D3D3D3"/>
          </w:tcPr>
          <w:p>
            <w:pPr/>
          </w:p>
        </w:tc>
        <w:tc>
          <w:tcPr>
            <w:tcW w:w="896"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1"/>
              <w:ind w:left="88"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4"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72" w:type="dxa"/>
            <w:vMerge/>
            <w:tcBorders>
              <w:left w:val="single" w:sz="4" w:space="0" w:color="000000"/>
              <w:right w:val="single" w:sz="4" w:space="0" w:color="000000"/>
            </w:tcBorders>
            <w:shd w:val="clear" w:color="auto" w:fill="D3D3D3"/>
          </w:tcPr>
          <w:p>
            <w:pPr/>
          </w:p>
        </w:tc>
        <w:tc>
          <w:tcPr>
            <w:tcW w:w="884" w:type="dxa"/>
            <w:vMerge/>
            <w:tcBorders>
              <w:left w:val="single" w:sz="4" w:space="0" w:color="000000"/>
              <w:right w:val="single" w:sz="4" w:space="0" w:color="000000"/>
            </w:tcBorders>
            <w:shd w:val="clear" w:color="auto" w:fill="D3D3D3"/>
          </w:tcPr>
          <w:p>
            <w:pPr/>
          </w:p>
        </w:tc>
        <w:tc>
          <w:tcPr>
            <w:tcW w:w="870" w:type="dxa"/>
            <w:vMerge/>
            <w:tcBorders>
              <w:left w:val="single" w:sz="4" w:space="0" w:color="000000"/>
              <w:right w:val="single" w:sz="4" w:space="0" w:color="000000"/>
            </w:tcBorders>
            <w:shd w:val="clear" w:color="auto" w:fill="D3D3D3"/>
          </w:tcPr>
          <w:p>
            <w:pPr/>
          </w:p>
        </w:tc>
      </w:tr>
      <w:tr>
        <w:trPr>
          <w:trHeight w:val="200" w:hRule="exact"/>
        </w:trPr>
        <w:tc>
          <w:tcPr>
            <w:tcW w:w="2483" w:type="dxa"/>
            <w:vMerge w:val="restart"/>
            <w:tcBorders>
              <w:top w:val="nil" w:sz="6" w:space="0" w:color="auto"/>
              <w:left w:val="single" w:sz="4" w:space="0" w:color="000000"/>
              <w:right w:val="single" w:sz="4" w:space="0" w:color="000000"/>
            </w:tcBorders>
            <w:shd w:val="clear" w:color="auto" w:fill="D3D3D3"/>
          </w:tcPr>
          <w:p>
            <w:pPr/>
          </w:p>
        </w:tc>
        <w:tc>
          <w:tcPr>
            <w:tcW w:w="874" w:type="dxa"/>
            <w:vMerge/>
            <w:tcBorders>
              <w:left w:val="single" w:sz="4" w:space="0" w:color="000000"/>
              <w:right w:val="single" w:sz="4" w:space="0" w:color="000000"/>
            </w:tcBorders>
            <w:shd w:val="clear" w:color="auto" w:fill="D3D3D3"/>
          </w:tcPr>
          <w:p>
            <w:pPr/>
          </w:p>
        </w:tc>
        <w:tc>
          <w:tcPr>
            <w:tcW w:w="896"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3" w:type="dxa"/>
            <w:vMerge/>
            <w:tcBorders>
              <w:left w:val="single" w:sz="4" w:space="0" w:color="000000"/>
              <w:bottom w:val="nil" w:sz="6" w:space="0" w:color="auto"/>
              <w:right w:val="single" w:sz="4" w:space="0" w:color="000000"/>
            </w:tcBorders>
            <w:shd w:val="clear" w:color="auto" w:fill="D3D3D3"/>
          </w:tcPr>
          <w:p>
            <w:pPr/>
          </w:p>
        </w:tc>
        <w:tc>
          <w:tcPr>
            <w:tcW w:w="896" w:type="dxa"/>
            <w:vMerge/>
            <w:tcBorders>
              <w:left w:val="single" w:sz="4" w:space="0" w:color="000000"/>
              <w:bottom w:val="nil" w:sz="6" w:space="0" w:color="auto"/>
              <w:right w:val="single" w:sz="4" w:space="0" w:color="000000"/>
            </w:tcBorders>
            <w:shd w:val="clear" w:color="auto" w:fill="D3D3D3"/>
          </w:tcPr>
          <w:p>
            <w:pPr/>
          </w:p>
        </w:tc>
        <w:tc>
          <w:tcPr>
            <w:tcW w:w="872" w:type="dxa"/>
            <w:vMerge/>
            <w:tcBorders>
              <w:left w:val="single" w:sz="4" w:space="0" w:color="000000"/>
              <w:right w:val="single" w:sz="4" w:space="0" w:color="000000"/>
            </w:tcBorders>
            <w:shd w:val="clear" w:color="auto" w:fill="D3D3D3"/>
          </w:tcPr>
          <w:p>
            <w:pPr/>
          </w:p>
        </w:tc>
        <w:tc>
          <w:tcPr>
            <w:tcW w:w="884" w:type="dxa"/>
            <w:vMerge/>
            <w:tcBorders>
              <w:left w:val="single" w:sz="4" w:space="0" w:color="000000"/>
              <w:right w:val="single" w:sz="4" w:space="0" w:color="000000"/>
            </w:tcBorders>
            <w:shd w:val="clear" w:color="auto" w:fill="D3D3D3"/>
          </w:tcPr>
          <w:p>
            <w:pPr/>
          </w:p>
        </w:tc>
        <w:tc>
          <w:tcPr>
            <w:tcW w:w="870" w:type="dxa"/>
            <w:vMerge/>
            <w:tcBorders>
              <w:left w:val="single" w:sz="4" w:space="0" w:color="000000"/>
              <w:right w:val="single" w:sz="4" w:space="0" w:color="000000"/>
            </w:tcBorders>
            <w:shd w:val="clear" w:color="auto" w:fill="D3D3D3"/>
          </w:tcPr>
          <w:p>
            <w:pPr/>
          </w:p>
        </w:tc>
      </w:tr>
      <w:tr>
        <w:trPr>
          <w:trHeight w:val="160" w:hRule="exact"/>
        </w:trPr>
        <w:tc>
          <w:tcPr>
            <w:tcW w:w="2483" w:type="dxa"/>
            <w:vMerge/>
            <w:tcBorders>
              <w:left w:val="single" w:sz="4" w:space="0" w:color="000000"/>
              <w:bottom w:val="single" w:sz="4" w:space="0" w:color="000000"/>
              <w:right w:val="single" w:sz="4" w:space="0" w:color="000000"/>
            </w:tcBorders>
            <w:shd w:val="clear" w:color="auto" w:fill="D3D3D3"/>
          </w:tcPr>
          <w:p>
            <w:pPr/>
          </w:p>
        </w:tc>
        <w:tc>
          <w:tcPr>
            <w:tcW w:w="874" w:type="dxa"/>
            <w:vMerge/>
            <w:tcBorders>
              <w:left w:val="single" w:sz="4" w:space="0" w:color="000000"/>
              <w:bottom w:val="single" w:sz="4" w:space="0" w:color="000000"/>
              <w:right w:val="single" w:sz="4" w:space="0" w:color="000000"/>
            </w:tcBorders>
            <w:shd w:val="clear" w:color="auto" w:fill="D3D3D3"/>
          </w:tcPr>
          <w:p>
            <w:pPr/>
          </w:p>
        </w:tc>
        <w:tc>
          <w:tcPr>
            <w:tcW w:w="89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6" w:type="dxa"/>
            <w:tcBorders>
              <w:top w:val="nil" w:sz="6" w:space="0" w:color="auto"/>
              <w:left w:val="single" w:sz="4" w:space="0" w:color="000000"/>
              <w:bottom w:val="single" w:sz="4" w:space="0" w:color="000000"/>
              <w:right w:val="single" w:sz="4" w:space="0" w:color="000000"/>
            </w:tcBorders>
            <w:shd w:val="clear" w:color="auto" w:fill="D3D3D3"/>
          </w:tcPr>
          <w:p>
            <w:pPr/>
          </w:p>
        </w:tc>
        <w:tc>
          <w:tcPr>
            <w:tcW w:w="872"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1"/>
              <w:ind w:left="30" w:right="0"/>
              <w:jc w:val="left"/>
              <w:rPr>
                <w:rFonts w:ascii="Times New Roman" w:hAnsi="Times New Roman" w:cs="Times New Roman" w:eastAsia="Times New Roman" w:hint="default"/>
                <w:sz w:val="18"/>
                <w:szCs w:val="18"/>
              </w:rPr>
            </w:pPr>
            <w:r>
              <w:rPr>
                <w:rFonts w:ascii="Times New Roman"/>
                <w:sz w:val="18"/>
              </w:rPr>
              <w:t>96,227,998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3" w:right="0"/>
              <w:jc w:val="left"/>
              <w:rPr>
                <w:rFonts w:ascii="Times New Roman" w:hAnsi="Times New Roman" w:cs="Times New Roman" w:eastAsia="Times New Roman" w:hint="default"/>
                <w:sz w:val="18"/>
                <w:szCs w:val="18"/>
              </w:rPr>
            </w:pPr>
            <w:r>
              <w:rPr>
                <w:rFonts w:ascii="Times New Roman"/>
                <w:sz w:val="18"/>
              </w:rPr>
              <w:t>21,760,565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5,887,067.</w:t>
            </w:r>
          </w:p>
        </w:tc>
        <w:tc>
          <w:tcPr>
            <w:tcW w:w="872"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-16,747,87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9" w:right="0"/>
              <w:jc w:val="left"/>
              <w:rPr>
                <w:rFonts w:ascii="Times New Roman" w:hAnsi="Times New Roman" w:cs="Times New Roman" w:eastAsia="Times New Roman" w:hint="default"/>
                <w:sz w:val="18"/>
                <w:szCs w:val="18"/>
              </w:rPr>
            </w:pPr>
            <w:r>
              <w:rPr>
                <w:rFonts w:ascii="Times New Roman"/>
                <w:sz w:val="18"/>
              </w:rPr>
              <w:t>107,127,75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181.679993pt;margin-top:529.830017pt;width:42.6pt;height:40.9pt;mso-position-horizontal-relative:page;mso-position-vertical-relative:page;z-index:-684208" coordorigin="3634,10597" coordsize="852,818">
            <v:group style="position:absolute;left:3645;top:10608;width:2;height:393" coordorigin="3645,10608" coordsize="2,393">
              <v:shape style="position:absolute;left:3645;top:10608;width:2;height:393" coordorigin="3645,10608" coordsize="0,393" path="m3645,10608l3645,11000e" filled="false" stroked="true" strokeweight="1.140pt" strokecolor="#ffffff">
                <v:path arrowok="t"/>
              </v:shape>
            </v:group>
            <v:group style="position:absolute;left:3656;top:10608;width:830;height:393" coordorigin="3656,10608" coordsize="830,393">
              <v:shape style="position:absolute;left:3656;top:10608;width:830;height:393" coordorigin="3656,10608" coordsize="830,393" path="m3656,11000l4486,11000,4486,10608,3656,10608,3656,11000xe" filled="true" fillcolor="#ffffff" stroked="false">
                <v:path arrowok="t"/>
                <v:fill type="solid"/>
              </v:shape>
            </v:group>
            <v:group style="position:absolute;left:3645;top:11010;width:2;height:393" coordorigin="3645,11010" coordsize="2,393">
              <v:shape style="position:absolute;left:3645;top:11010;width:2;height:393" coordorigin="3645,11010" coordsize="0,393" path="m3645,11010l3645,11402e" filled="false" stroked="true" strokeweight="1.140pt" strokecolor="#ffffff">
                <v:path arrowok="t"/>
              </v:shape>
            </v:group>
            <v:group style="position:absolute;left:3656;top:11010;width:830;height:393" coordorigin="3656,11010" coordsize="830,393">
              <v:shape style="position:absolute;left:3656;top:11010;width:830;height:393" coordorigin="3656,11010" coordsize="830,393" path="m3656,11402l4486,11402,4486,11010,3656,11010,3656,1140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36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.81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6" w:right="0"/>
              <w:jc w:val="left"/>
              <w:rPr>
                <w:rFonts w:ascii="Times New Roman" w:hAnsi="Times New Roman" w:cs="Times New Roman" w:eastAsia="Times New Roman" w:hint="default"/>
                <w:sz w:val="18"/>
                <w:szCs w:val="18"/>
              </w:rPr>
            </w:pPr>
            <w:r>
              <w:rPr>
                <w:rFonts w:ascii="Times New Roman"/>
                <w:sz w:val="18"/>
              </w:rPr>
              <w:t>2.95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5" w:right="0"/>
              <w:jc w:val="left"/>
              <w:rPr>
                <w:rFonts w:ascii="Times New Roman" w:hAnsi="Times New Roman" w:cs="Times New Roman" w:eastAsia="Times New Roman" w:hint="default"/>
                <w:sz w:val="18"/>
                <w:szCs w:val="18"/>
              </w:rPr>
            </w:pPr>
            <w:r>
              <w:rPr>
                <w:rFonts w:ascii="Times New Roman"/>
                <w:sz w:val="18"/>
              </w:rPr>
              <w:t>8.81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96,227,998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21,760,565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5,887,067.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-16,747,87</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2.95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107,127,75</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8.81</w:t>
            </w: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-3,922,598.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-3,922,598.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-3,922,598.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-3,922,598.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-3,922,598.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-3,922,598.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96,227,998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21,760,565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5,887,067.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-20,670,47</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1.15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103,205,16</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0.61</w:t>
            </w:r>
          </w:p>
        </w:tc>
      </w:tr>
    </w:tbl>
    <w:p>
      <w:pPr>
        <w:spacing w:line="240" w:lineRule="auto" w:before="6"/>
        <w:rPr>
          <w:rFonts w:ascii="宋体" w:hAnsi="宋体" w:cs="宋体" w:eastAsia="宋体" w:hint="default"/>
          <w:sz w:val="20"/>
          <w:szCs w:val="20"/>
        </w:rPr>
      </w:pPr>
    </w:p>
    <w:p>
      <w:pPr>
        <w:pStyle w:val="BodyText"/>
        <w:tabs>
          <w:tab w:pos="3663" w:val="left" w:leader="none"/>
          <w:tab w:pos="7893" w:val="left" w:leader="none"/>
        </w:tabs>
        <w:spacing w:line="240" w:lineRule="auto" w:before="44"/>
        <w:ind w:right="0"/>
        <w:jc w:val="left"/>
      </w:pPr>
      <w:r>
        <w:rPr/>
        <w:t>法定代表人：许亚楠</w:t>
        <w:tab/>
        <w:t>主管会计工作负责人：易平良</w:t>
        <w:tab/>
        <w:t>会计机构负责人：陈璇</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84"/>
        <w:jc w:val="left"/>
        <w:rPr>
          <w:b w:val="0"/>
          <w:bCs w:val="0"/>
        </w:rPr>
      </w:pPr>
      <w:r>
        <w:rPr/>
        <w:t>三、公司主要会计政策、会计估计和前期差错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84"/>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81"/>
        <w:jc w:val="left"/>
      </w:pPr>
      <w:r>
        <w:rPr/>
        <w:t>本公司财务报表系以持续经营为基础，根据实际发生的交易和事项，按照财政部</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月颁布的《企业会计准则</w:t>
      </w:r>
      <w:r>
        <w:rPr>
          <w:rFonts w:ascii="Times New Roman" w:hAnsi="Times New Roman" w:cs="Times New Roman" w:eastAsia="Times New Roman" w:hint="default"/>
        </w:rPr>
        <w:t>—</w:t>
      </w:r>
      <w:r>
        <w:rPr/>
        <w:t>基本准 则》和</w:t>
      </w:r>
      <w:r>
        <w:rPr>
          <w:rFonts w:ascii="Times New Roman" w:hAnsi="Times New Roman" w:cs="Times New Roman" w:eastAsia="Times New Roman" w:hint="default"/>
        </w:rPr>
        <w:t>38</w:t>
      </w:r>
      <w:r>
        <w:rPr/>
        <w:t>项具体会计准则及其应用指南、解释以及其他相关规定编制。</w:t>
      </w:r>
    </w:p>
    <w:p>
      <w:pPr>
        <w:spacing w:line="240" w:lineRule="auto" w:before="1"/>
        <w:rPr>
          <w:rFonts w:ascii="宋体" w:hAnsi="宋体" w:cs="宋体" w:eastAsia="宋体" w:hint="default"/>
          <w:sz w:val="22"/>
          <w:szCs w:val="22"/>
        </w:rPr>
      </w:pPr>
    </w:p>
    <w:p>
      <w:pPr>
        <w:pStyle w:val="Heading4"/>
        <w:spacing w:line="240" w:lineRule="auto"/>
        <w:ind w:right="184"/>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本公司财务报表的编制符合企业会计准则的要求，真实、完整地反映了公司的财务状况、经营成果和现金流量等有关信息。</w:t>
      </w:r>
    </w:p>
    <w:p>
      <w:pPr>
        <w:spacing w:line="240" w:lineRule="auto" w:before="12"/>
        <w:rPr>
          <w:rFonts w:ascii="宋体" w:hAnsi="宋体" w:cs="宋体" w:eastAsia="宋体" w:hint="default"/>
          <w:sz w:val="26"/>
          <w:szCs w:val="26"/>
        </w:rPr>
      </w:pPr>
    </w:p>
    <w:p>
      <w:pPr>
        <w:spacing w:line="547" w:lineRule="auto" w:before="0"/>
        <w:ind w:left="154" w:right="47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b/>
          <w:bCs/>
          <w:spacing w:val="1"/>
          <w:w w:val="99"/>
          <w:sz w:val="21"/>
          <w:szCs w:val="21"/>
        </w:rPr>
        <w:t> </w:t>
      </w:r>
      <w:r>
        <w:rPr>
          <w:rFonts w:ascii="宋体" w:hAnsi="宋体" w:cs="宋体" w:eastAsia="宋体" w:hint="default"/>
          <w:sz w:val="18"/>
          <w:szCs w:val="18"/>
        </w:rPr>
        <w:t>本公司以公历年度为会计期间，即每年自</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49"/>
        <w:ind w:right="184"/>
        <w:jc w:val="left"/>
      </w:pPr>
      <w:r>
        <w:rPr/>
        <w:t>本公司采用人民币为记账本位币。</w:t>
      </w:r>
    </w:p>
    <w:p>
      <w:pPr>
        <w:spacing w:line="240" w:lineRule="auto" w:before="12"/>
        <w:rPr>
          <w:rFonts w:ascii="宋体" w:hAnsi="宋体" w:cs="宋体" w:eastAsia="宋体" w:hint="default"/>
          <w:sz w:val="26"/>
          <w:szCs w:val="26"/>
        </w:rPr>
      </w:pPr>
    </w:p>
    <w:p>
      <w:pPr>
        <w:pStyle w:val="Heading4"/>
        <w:spacing w:line="240" w:lineRule="auto"/>
        <w:ind w:right="18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84"/>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184" w:firstLine="290"/>
        <w:jc w:val="left"/>
      </w:pPr>
      <w:r>
        <w:rPr>
          <w:spacing w:val="-1"/>
        </w:rPr>
        <w:t>本公司对同一控制下的企业合并采用权益结合法进行会计处理。通过合并取得的被合并方的资产、负债，除因会计政策</w:t>
      </w:r>
      <w:r>
        <w:rPr/>
        <w:t> </w:t>
      </w:r>
      <w:r>
        <w:rPr>
          <w:spacing w:val="-2"/>
        </w:rPr>
        <w:t>不同而进行的必要调整外，本公司按合并日被合并方的原账面价值计量。合并对价的账面价值（或发行股份面值总额）与合</w:t>
      </w:r>
      <w:r>
        <w:rPr>
          <w:spacing w:val="-66"/>
        </w:rPr>
        <w:t> </w:t>
      </w:r>
      <w:r>
        <w:rPr>
          <w:spacing w:val="-66"/>
        </w:rPr>
      </w:r>
      <w:r>
        <w:rPr/>
        <w:t>并中取得的净资产账面价值份额的差额调整资本公积，资本公积不足冲减的，调整留存收益。 </w:t>
      </w:r>
      <w:r>
        <w:rPr>
          <w:spacing w:val="-2"/>
        </w:rPr>
        <w:t>本公司作为合并方为进行企业合并发生的审计、法律服务、评估咨询等中介费用以及其他相关管理费用，于发生时计入当期</w:t>
      </w:r>
      <w:r>
        <w:rPr>
          <w:spacing w:val="-66"/>
        </w:rPr>
        <w:t> </w:t>
      </w:r>
      <w:r>
        <w:rPr>
          <w:spacing w:val="-66"/>
        </w:rPr>
      </w:r>
      <w:r>
        <w:rPr>
          <w:spacing w:val="-2"/>
        </w:rPr>
        <w:t>损益。为企业合并发行的债券或承担其他债务支付的手续费、佣金等，计入所发行债券及其他债务的初始计量金额。企业合</w:t>
      </w:r>
      <w:r>
        <w:rPr>
          <w:spacing w:val="-66"/>
        </w:rPr>
        <w:t> </w:t>
      </w:r>
      <w:r>
        <w:rPr>
          <w:spacing w:val="-66"/>
        </w:rPr>
      </w:r>
      <w:r>
        <w:rPr/>
        <w:t>并中发行权益性证券发生的手续费、佣金等费用，应当递减权益性证券溢价收入，溢价收入不足冲减的，冲减留存收益。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4"/>
        <w:spacing w:line="240" w:lineRule="auto"/>
        <w:ind w:right="184"/>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91" w:firstLine="290"/>
        <w:jc w:val="left"/>
      </w:pPr>
      <w:r>
        <w:rPr/>
        <w:t>本公司对非同一控制下的企业合并采用购买法进行会计处理。合并成本为本公司在购买日为取得被购买方的控制权而支 </w:t>
      </w:r>
      <w:r>
        <w:rPr>
          <w:spacing w:val="-4"/>
        </w:rPr>
        <w:t>付的现金或非现金资产、发行或承担的债务以及发行的权益性证券等的公允价值。本公司作为购买方为企业合并发生的审计、</w:t>
      </w:r>
      <w:r>
        <w:rPr>
          <w:spacing w:val="-44"/>
        </w:rPr>
        <w:t> </w:t>
      </w:r>
      <w:r>
        <w:rPr>
          <w:spacing w:val="-44"/>
        </w:rPr>
      </w:r>
      <w:r>
        <w:rPr>
          <w:spacing w:val="-2"/>
        </w:rPr>
        <w:t>法律服务、评估咨询等中介费用以及其他相关管理费用，于发生时计入当期损益；本公司作为合并对价发行的权益性证券或</w:t>
      </w:r>
      <w:r>
        <w:rPr>
          <w:spacing w:val="-66"/>
        </w:rPr>
        <w:t> </w:t>
      </w:r>
      <w:r>
        <w:rPr>
          <w:spacing w:val="-66"/>
        </w:rPr>
      </w:r>
      <w:r>
        <w:rPr/>
        <w:t>债务性证券的交易费用，应当计入权益性证券或债务性证券的初始确认金额。 </w:t>
      </w:r>
      <w:r>
        <w:rPr>
          <w:spacing w:val="-2"/>
        </w:rPr>
        <w:t>本公司以购买日确定的合并成本作为非同一控制下的控股合并取得的长期股权投资的初始投资成本，本公司对通过非同一控</w:t>
      </w:r>
      <w:r>
        <w:rPr>
          <w:spacing w:val="-64"/>
        </w:rPr>
        <w:t> </w:t>
      </w:r>
      <w:r>
        <w:rPr>
          <w:spacing w:val="-64"/>
        </w:rPr>
      </w:r>
      <w:r>
        <w:rPr>
          <w:spacing w:val="-2"/>
        </w:rPr>
        <w:t>制下的吸收合并取得的各项可辨认资产、负债以其在购买日的公允价值确计量。合并成本大于合并中取得的被购买方可辨认</w:t>
      </w:r>
      <w:r>
        <w:rPr>
          <w:spacing w:val="-64"/>
        </w:rPr>
        <w:t> </w:t>
      </w:r>
      <w:r>
        <w:rPr>
          <w:spacing w:val="-64"/>
        </w:rPr>
      </w:r>
      <w:r>
        <w:rPr>
          <w:spacing w:val="-2"/>
        </w:rPr>
        <w:t>净资产公允价值份额的差额，确认为商誉；合并成本小于合并中取得的被购买方可辨认净资产公允价值份额的差额，经复核</w:t>
      </w:r>
      <w:r>
        <w:rPr>
          <w:spacing w:val="-66"/>
        </w:rPr>
        <w:t> </w:t>
      </w:r>
      <w:r>
        <w:rPr>
          <w:spacing w:val="-66"/>
        </w:rPr>
      </w:r>
      <w:r>
        <w:rPr/>
        <w:t>后计入合并当期损益。</w:t>
      </w:r>
    </w:p>
    <w:p>
      <w:pPr>
        <w:spacing w:after="0" w:line="316"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18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84"/>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290"/>
        <w:jc w:val="both"/>
      </w:pPr>
      <w:r>
        <w:rPr>
          <w:spacing w:val="-1"/>
        </w:rPr>
        <w:t>合并财务报表以本公司和子公司的个别财务报表为基础，根据其他有关资料，按照权益法调整对子公司的长期股权投资</w:t>
      </w:r>
      <w:r>
        <w:rPr/>
        <w:t> </w:t>
      </w:r>
      <w:r>
        <w:rPr>
          <w:spacing w:val="-2"/>
        </w:rPr>
        <w:t>后由本公司编制。编制合并财务报表时，对与本公司会计政策和会计期间不一致的子公司财务报表按本公司的统一要求进行</w:t>
      </w:r>
      <w:r>
        <w:rPr>
          <w:spacing w:val="-64"/>
        </w:rPr>
        <w:t> </w:t>
      </w:r>
      <w:r>
        <w:rPr>
          <w:spacing w:val="-64"/>
        </w:rPr>
      </w:r>
      <w:r>
        <w:rPr>
          <w:spacing w:val="-2"/>
        </w:rPr>
        <w:t>必要的调整；对合并范围内各公司之间的内部交易或事项以及内部债权债务均进行抵销；子公司的股东权益中不属于母公司</w:t>
      </w:r>
      <w:r>
        <w:rPr>
          <w:spacing w:val="-64"/>
        </w:rPr>
        <w:t> </w:t>
      </w:r>
      <w:r>
        <w:rPr>
          <w:spacing w:val="-64"/>
        </w:rPr>
      </w:r>
      <w:r>
        <w:rPr>
          <w:spacing w:val="-2"/>
        </w:rPr>
        <w:t>所拥有的部分，作为少数股东权益在合并财务报表中的股东权益项下单独列示；若子公司少数股东分担的当期亏损超过了少</w:t>
      </w:r>
      <w:r>
        <w:rPr>
          <w:spacing w:val="-64"/>
        </w:rPr>
        <w:t> </w:t>
      </w:r>
      <w:r>
        <w:rPr>
          <w:spacing w:val="-64"/>
        </w:rPr>
      </w:r>
      <w:r>
        <w:rPr/>
        <w:t>数股东在该子公司年初所有者权益中所享有的份额的，其余额仍应当冲减少数股东权益。</w:t>
      </w:r>
    </w:p>
    <w:p>
      <w:pPr>
        <w:spacing w:line="240" w:lineRule="auto" w:before="7"/>
        <w:rPr>
          <w:rFonts w:ascii="宋体" w:hAnsi="宋体" w:cs="宋体" w:eastAsia="宋体" w:hint="default"/>
          <w:sz w:val="22"/>
          <w:szCs w:val="22"/>
        </w:rPr>
      </w:pPr>
    </w:p>
    <w:p>
      <w:pPr>
        <w:pStyle w:val="Heading4"/>
        <w:spacing w:line="240" w:lineRule="auto"/>
        <w:ind w:right="184"/>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0" w:firstLine="290"/>
        <w:jc w:val="both"/>
      </w:pPr>
      <w:r>
        <w:rPr/>
        <w:t>本公司在编制现金流量表时，将同时具备期限短（从购买日起三个月内到期）、流动性强、易于转换为已知金额现金、 价值变动风险很小等四个条件的投资确定为现金等价物。</w:t>
      </w:r>
    </w:p>
    <w:p>
      <w:pPr>
        <w:spacing w:line="240" w:lineRule="auto" w:before="7"/>
        <w:rPr>
          <w:rFonts w:ascii="宋体" w:hAnsi="宋体" w:cs="宋体" w:eastAsia="宋体" w:hint="default"/>
          <w:sz w:val="22"/>
          <w:szCs w:val="22"/>
        </w:rPr>
      </w:pPr>
    </w:p>
    <w:p>
      <w:pPr>
        <w:pStyle w:val="Heading4"/>
        <w:spacing w:line="240" w:lineRule="auto"/>
        <w:ind w:right="184"/>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84"/>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91"/>
        <w:jc w:val="left"/>
      </w:pPr>
      <w:r>
        <w:rPr/>
        <w:t>本公司对于发生的外币业务，按交易发生日的即期汇率或即期汇率的近似汇率折算为记账本位币金额。 </w:t>
      </w:r>
      <w:r>
        <w:rPr>
          <w:spacing w:val="-2"/>
        </w:rPr>
        <w:t>在资产负债表日，对于外币货币性项目，采用资产负债表日即期汇率折算，因资产负债表日即期汇率与初始确认时或前一资</w:t>
      </w:r>
      <w:r>
        <w:rPr>
          <w:spacing w:val="-66"/>
        </w:rPr>
        <w:t> </w:t>
      </w:r>
      <w:r>
        <w:rPr>
          <w:spacing w:val="-66"/>
        </w:rPr>
      </w:r>
      <w:r>
        <w:rPr>
          <w:spacing w:val="-2"/>
        </w:rPr>
        <w:t>产负债表日即期汇率不同而产生的汇兑差额计入财务费用；以历史成本计量的外币非货币性项目，仍按交易发生日的即期汇</w:t>
      </w:r>
      <w:r>
        <w:rPr>
          <w:spacing w:val="-64"/>
        </w:rPr>
        <w:t> </w:t>
      </w:r>
      <w:r>
        <w:rPr>
          <w:spacing w:val="-64"/>
        </w:rPr>
      </w:r>
      <w:r>
        <w:rPr>
          <w:spacing w:val="-2"/>
        </w:rPr>
        <w:t>率折算；以公允价值计量的外币非货币性项目，按公允价值确定日的即期汇率折算，折算后的记账本位币金额与原账面记账</w:t>
      </w:r>
      <w:r>
        <w:rPr>
          <w:spacing w:val="-66"/>
        </w:rPr>
        <w:t> </w:t>
      </w:r>
      <w:r>
        <w:rPr>
          <w:spacing w:val="-66"/>
        </w:rPr>
      </w:r>
      <w:r>
        <w:rPr>
          <w:spacing w:val="-4"/>
        </w:rPr>
        <w:t>本位币金额的差额，作为公允价值变动收益计入当期损益，但与可供出售外币非货币性项目相关的汇兑差额应计入资本公积。</w:t>
      </w:r>
    </w:p>
    <w:p>
      <w:pPr>
        <w:spacing w:line="240" w:lineRule="auto" w:before="7"/>
        <w:rPr>
          <w:rFonts w:ascii="宋体" w:hAnsi="宋体" w:cs="宋体" w:eastAsia="宋体" w:hint="default"/>
          <w:sz w:val="22"/>
          <w:szCs w:val="22"/>
        </w:rPr>
      </w:pPr>
    </w:p>
    <w:p>
      <w:pPr>
        <w:pStyle w:val="Heading4"/>
        <w:spacing w:line="240" w:lineRule="auto"/>
        <w:ind w:right="184"/>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710"/>
        <w:jc w:val="left"/>
      </w:pPr>
      <w:r>
        <w:rPr/>
        <w:t>（</w:t>
      </w:r>
      <w:r>
        <w:rPr>
          <w:rFonts w:ascii="Times New Roman" w:hAnsi="Times New Roman" w:cs="Times New Roman" w:eastAsia="Times New Roman" w:hint="default"/>
        </w:rPr>
        <w:t>1</w:t>
      </w:r>
      <w:r>
        <w:rPr/>
        <w:t>）外币业务 本公司对于发生的外币业务，按交易发生日的即期汇率或即期汇率的近似汇率折算为记账本位币金额。</w:t>
      </w:r>
    </w:p>
    <w:p>
      <w:pPr>
        <w:pStyle w:val="BodyText"/>
        <w:spacing w:line="316" w:lineRule="auto" w:before="31"/>
        <w:ind w:left="153" w:right="101"/>
        <w:jc w:val="both"/>
      </w:pPr>
      <w:r>
        <w:rPr>
          <w:spacing w:val="-2"/>
        </w:rPr>
        <w:t>在资产负债表日，对于外币货币性项目，采用资产负债表日即期汇率折算，因资产负债表日即期汇率与初始确认时或前一资</w:t>
      </w:r>
      <w:r>
        <w:rPr>
          <w:spacing w:val="-66"/>
        </w:rPr>
        <w:t> </w:t>
      </w:r>
      <w:r>
        <w:rPr>
          <w:spacing w:val="-66"/>
        </w:rPr>
      </w:r>
      <w:r>
        <w:rPr>
          <w:spacing w:val="-2"/>
        </w:rPr>
        <w:t>产负债表日即期汇率不同而产生的汇兑差额计入财务费用；以历史成本计量的外币非货币性项目，仍按交易发生日的即期汇</w:t>
      </w:r>
      <w:r>
        <w:rPr>
          <w:spacing w:val="-64"/>
        </w:rPr>
        <w:t> </w:t>
      </w:r>
      <w:r>
        <w:rPr>
          <w:spacing w:val="-64"/>
        </w:rPr>
      </w:r>
      <w:r>
        <w:rPr>
          <w:spacing w:val="-2"/>
        </w:rPr>
        <w:t>率折算；以公允价值计量的外币非货币性项目，按公允价值确定日的即期汇率折算，折算后的记账本位币金额与原账面记账</w:t>
      </w:r>
      <w:r>
        <w:rPr>
          <w:spacing w:val="-66"/>
        </w:rPr>
        <w:t> </w:t>
      </w:r>
      <w:r>
        <w:rPr>
          <w:spacing w:val="-66"/>
        </w:rPr>
      </w:r>
      <w:r>
        <w:rPr>
          <w:spacing w:val="-4"/>
        </w:rPr>
        <w:t>本位币金额的差额，作为公允价值变动收益计入当期损益，但与可供出售外币非货币性项目相关的汇兑差额应计入资本公积。</w:t>
      </w:r>
    </w:p>
    <w:p>
      <w:pPr>
        <w:pStyle w:val="BodyText"/>
        <w:spacing w:line="307" w:lineRule="auto" w:before="19"/>
        <w:ind w:right="184"/>
        <w:jc w:val="left"/>
      </w:pPr>
      <w:r>
        <w:rPr/>
        <w:t>（</w:t>
      </w:r>
      <w:r>
        <w:rPr>
          <w:rFonts w:ascii="Times New Roman" w:hAnsi="Times New Roman" w:cs="Times New Roman" w:eastAsia="Times New Roman" w:hint="default"/>
        </w:rPr>
        <w:t>2</w:t>
      </w:r>
      <w:r>
        <w:rPr/>
        <w:t>）外币报表折算 </w:t>
      </w:r>
      <w:r>
        <w:rPr>
          <w:spacing w:val="-2"/>
        </w:rPr>
        <w:t>本公司对境外子公司外币财务报表进行折算时，资产负债表中的资产和负债项目，采用资产负债表日的即期汇率折算，股东</w:t>
      </w:r>
      <w:r>
        <w:rPr>
          <w:spacing w:val="-66"/>
        </w:rPr>
        <w:t> </w:t>
      </w:r>
      <w:r>
        <w:rPr>
          <w:spacing w:val="-66"/>
        </w:rPr>
      </w:r>
      <w:r>
        <w:rPr>
          <w:spacing w:val="-2"/>
        </w:rPr>
        <w:t>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项目外，其他项目采用发生时的即期汇率折算；利润表中的收入和费用项目，采用交易发生日的即</w:t>
      </w:r>
      <w:r>
        <w:rPr>
          <w:spacing w:val="-43"/>
        </w:rPr>
        <w:t> </w:t>
      </w:r>
      <w:r>
        <w:rPr>
          <w:spacing w:val="-43"/>
        </w:rPr>
      </w:r>
      <w:r>
        <w:rPr>
          <w:spacing w:val="-2"/>
        </w:rPr>
        <w:t>期汇率或即期汇率的近似汇率折算；现金流量表所有项目均按照现金流量发生日的即期汇率或即期汇率的近似汇率折算。汇</w:t>
      </w:r>
      <w:r>
        <w:rPr>
          <w:spacing w:val="-64"/>
        </w:rPr>
        <w:t> </w:t>
      </w:r>
      <w:r>
        <w:rPr>
          <w:spacing w:val="-64"/>
        </w:rPr>
      </w:r>
      <w:r>
        <w:rPr/>
        <w:t>率变动对现金的影响额作为调节项目，在现金流量表中单独列示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t>项目反映。 由于外币财务报表折算产生的差额，在合并资产负债表的股东权益项目下单独作为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项目列示。</w:t>
      </w:r>
    </w:p>
    <w:p>
      <w:pPr>
        <w:spacing w:line="240" w:lineRule="auto" w:before="8"/>
        <w:rPr>
          <w:rFonts w:ascii="宋体" w:hAnsi="宋体" w:cs="宋体" w:eastAsia="宋体" w:hint="default"/>
          <w:sz w:val="21"/>
          <w:szCs w:val="21"/>
        </w:rPr>
      </w:pPr>
    </w:p>
    <w:p>
      <w:pPr>
        <w:pStyle w:val="Heading4"/>
        <w:spacing w:line="240" w:lineRule="auto"/>
        <w:ind w:right="184"/>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84"/>
        <w:jc w:val="left"/>
      </w:pPr>
      <w:r>
        <w:rPr/>
        <w:t>金融工具是指形成一个企业的金融资产、并形成其他单位的金融负债或权益工具的合同。</w:t>
      </w:r>
    </w:p>
    <w:p>
      <w:pPr>
        <w:spacing w:after="0" w:line="240"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184"/>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jc w:val="left"/>
      </w:pPr>
      <w:r>
        <w:rPr/>
        <w:t>本公司的金融资产和金融负债于初始确认时分为以下五类：以公允价值计量且其变动计入当期损益的金融资产或金融负债、 </w:t>
      </w:r>
      <w:r>
        <w:rPr>
          <w:spacing w:val="-2"/>
        </w:rPr>
        <w:t>持有至到期投资、应收款项、可供出售金融资产和其他金融负债。金融资产或金融负债在初始确认时以公允价值计量。对于</w:t>
      </w:r>
      <w:r>
        <w:rPr>
          <w:spacing w:val="-66"/>
        </w:rPr>
        <w:t> </w:t>
      </w:r>
      <w:r>
        <w:rPr>
          <w:spacing w:val="-66"/>
        </w:rPr>
      </w:r>
      <w:r>
        <w:rPr>
          <w:spacing w:val="-2"/>
        </w:rPr>
        <w:t>以公允价值计量且其变动计入当期损益的金融资产或金融负债，相关交易费用直接计入当期损益，其他类别的金融资产或金</w:t>
      </w:r>
      <w:r>
        <w:rPr>
          <w:spacing w:val="-64"/>
        </w:rPr>
        <w:t> </w:t>
      </w:r>
      <w:r>
        <w:rPr>
          <w:spacing w:val="-64"/>
        </w:rPr>
      </w:r>
      <w:r>
        <w:rPr/>
        <w:t>融负债的相关交易费用计入其初始确认金额。</w:t>
      </w:r>
    </w:p>
    <w:p>
      <w:pPr>
        <w:pStyle w:val="BodyText"/>
        <w:spacing w:line="316" w:lineRule="auto" w:before="19"/>
        <w:ind w:left="153" w:right="184"/>
        <w:jc w:val="left"/>
      </w:pPr>
      <w:r>
        <w:rPr/>
        <w:t>①以公允价值计量且其变动计入当期损益的金融资产或金融负债 </w:t>
      </w:r>
      <w:r>
        <w:rPr>
          <w:spacing w:val="-2"/>
        </w:rPr>
        <w:t>以公允价值计量且其变动计入当期损益的金融资产或金融负债，包括交易性金融资产或金融负债和直接指定为以公允价值计</w:t>
      </w:r>
      <w:r>
        <w:rPr>
          <w:spacing w:val="-64"/>
        </w:rPr>
        <w:t> </w:t>
      </w:r>
      <w:r>
        <w:rPr>
          <w:spacing w:val="-64"/>
        </w:rPr>
      </w:r>
      <w:r>
        <w:rPr>
          <w:spacing w:val="-2"/>
        </w:rPr>
        <w:t>量且其变动计入当期损益的金融资产或金融负债。交易性金融资产，主要指企业为了近期内出售而持有的股票、债券、基金</w:t>
      </w:r>
      <w:r>
        <w:rPr>
          <w:spacing w:val="-66"/>
        </w:rPr>
        <w:t> </w:t>
      </w:r>
      <w:r>
        <w:rPr>
          <w:spacing w:val="-66"/>
        </w:rPr>
      </w:r>
      <w:r>
        <w:rPr>
          <w:spacing w:val="-2"/>
        </w:rPr>
        <w:t>以及不作为有效套期工具的衍生工具或近期内回购而承担的金融负债；直接指定以公允价值计量且其变动计入当期损益的金</w:t>
      </w:r>
      <w:r>
        <w:rPr>
          <w:spacing w:val="-64"/>
        </w:rPr>
        <w:t> </w:t>
      </w:r>
      <w:r>
        <w:rPr>
          <w:spacing w:val="-64"/>
        </w:rPr>
      </w:r>
      <w:r>
        <w:rPr/>
        <w:t>融资产或金融负债，主要是指本公司基于风险管理，战略投资需要等所作的指定。 </w:t>
      </w:r>
      <w:r>
        <w:rPr>
          <w:spacing w:val="-2"/>
        </w:rPr>
        <w:t>此类金融资产或金融负债采用公允价值进行后续计量。除作为有效的套期工具外，此类金融资产或金融负债所有已实现和未</w:t>
      </w:r>
      <w:r>
        <w:rPr>
          <w:spacing w:val="-64"/>
        </w:rPr>
        <w:t> </w:t>
      </w:r>
      <w:r>
        <w:rPr>
          <w:spacing w:val="-64"/>
        </w:rPr>
      </w:r>
      <w:r>
        <w:rPr/>
        <w:t>实现损益均计入当期损益。</w:t>
      </w:r>
    </w:p>
    <w:p>
      <w:pPr>
        <w:pStyle w:val="BodyText"/>
        <w:spacing w:line="316" w:lineRule="auto" w:before="19"/>
        <w:ind w:left="153" w:right="91"/>
        <w:jc w:val="left"/>
      </w:pPr>
      <w:r>
        <w:rPr/>
        <w:t>②持有至到期投资 </w:t>
      </w:r>
      <w:r>
        <w:rPr>
          <w:spacing w:val="-2"/>
        </w:rPr>
        <w:t>持有至到期投资，是指本公司购入的到期日固定、回收金额固定或可确定，且本公司有明确意图和能力持有至到期的固定利</w:t>
      </w:r>
      <w:r>
        <w:rPr>
          <w:spacing w:val="-66"/>
        </w:rPr>
        <w:t> </w:t>
      </w:r>
      <w:r>
        <w:rPr>
          <w:spacing w:val="-66"/>
        </w:rPr>
      </w:r>
      <w:r>
        <w:rPr/>
        <w:t>率国债、浮动利率公司债券等非衍生金融资产。 </w:t>
      </w:r>
      <w:r>
        <w:rPr>
          <w:spacing w:val="-2"/>
        </w:rPr>
        <w:t>本公司对持有至到期投资在持有期间采用实际利率法、按照摊余成本计量。持有至到期投资发生减值、摊销或终止确认时产</w:t>
      </w:r>
      <w:r>
        <w:rPr>
          <w:spacing w:val="-66"/>
        </w:rPr>
        <w:t> </w:t>
      </w:r>
      <w:r>
        <w:rPr>
          <w:spacing w:val="-66"/>
        </w:rPr>
      </w:r>
      <w:r>
        <w:rPr>
          <w:spacing w:val="-4"/>
        </w:rPr>
        <w:t>生的利得或损失，均应当计入当期损益。处置持有至到期投资时，将所取得价款与该投资账面价值之间的差额计入投资收益。</w:t>
      </w:r>
    </w:p>
    <w:p>
      <w:pPr>
        <w:pStyle w:val="BodyText"/>
        <w:spacing w:line="316" w:lineRule="auto" w:before="19"/>
        <w:ind w:right="184"/>
        <w:jc w:val="left"/>
      </w:pPr>
      <w:r>
        <w:rPr/>
        <w:t>③应收款项 应收款项，是指本公司对外销售商品或提供劳务形成的应收账款等债权，包括应收账款、其他应收款、长期应收款等。 </w:t>
      </w:r>
      <w:r>
        <w:rPr>
          <w:spacing w:val="-2"/>
        </w:rPr>
        <w:t>应收款项按从购货方应收的合同或协议价款作为初始确认金额，在持有期间采用实际利率法，按摊余成本计量。收回或处置</w:t>
      </w:r>
      <w:r>
        <w:rPr>
          <w:spacing w:val="-66"/>
        </w:rPr>
        <w:t> </w:t>
      </w:r>
      <w:r>
        <w:rPr>
          <w:spacing w:val="-66"/>
        </w:rPr>
      </w:r>
      <w:r>
        <w:rPr/>
        <w:t>时，将取得的价款与该应收款项账面价值之间的差额计入当期损益。</w:t>
      </w:r>
    </w:p>
    <w:p>
      <w:pPr>
        <w:pStyle w:val="BodyText"/>
        <w:spacing w:line="316" w:lineRule="auto" w:before="19"/>
        <w:ind w:right="90"/>
        <w:jc w:val="left"/>
      </w:pPr>
      <w:r>
        <w:rPr/>
        <w:t>④可供出售金融资产 可供出售金融资产，是指初始确认时即指定为可供出售的非衍生金融资产，以及除上述三类金融资产类别以外的金融资产。 </w:t>
      </w:r>
      <w:r>
        <w:rPr>
          <w:spacing w:val="-2"/>
        </w:rPr>
        <w:t>对于此类金融资产，本公司采用公允价值进行后续计量，其折、溢价采用实际利率法进行摊销并确认为利息收入。除减值损</w:t>
      </w:r>
      <w:r>
        <w:rPr>
          <w:spacing w:val="-66"/>
        </w:rPr>
        <w:t> </w:t>
      </w:r>
      <w:r>
        <w:rPr>
          <w:spacing w:val="-66"/>
        </w:rPr>
      </w:r>
      <w:r>
        <w:rPr>
          <w:spacing w:val="-2"/>
        </w:rPr>
        <w:t>失及外币货币性金融资产的汇兑差额确认为当期损益外，可供出售金融资产的公允价值变动作为资本公积的单独部分予以确</w:t>
      </w:r>
      <w:r>
        <w:rPr>
          <w:spacing w:val="-64"/>
        </w:rPr>
        <w:t> </w:t>
      </w:r>
      <w:r>
        <w:rPr>
          <w:spacing w:val="-64"/>
        </w:rPr>
      </w:r>
      <w:r>
        <w:rPr>
          <w:spacing w:val="-2"/>
        </w:rPr>
        <w:t>认，直到该金融资产终止确认或发生减值时，在此之前在资本公积中确认的累计利得或损失转入当期损益。与可供出售金融</w:t>
      </w:r>
      <w:r>
        <w:rPr>
          <w:spacing w:val="-66"/>
        </w:rPr>
        <w:t> </w:t>
      </w:r>
      <w:r>
        <w:rPr>
          <w:spacing w:val="-66"/>
        </w:rPr>
      </w:r>
      <w:r>
        <w:rPr/>
        <w:t>资产相关的股利或利息收入，计入当期损益。</w:t>
      </w:r>
    </w:p>
    <w:p>
      <w:pPr>
        <w:pStyle w:val="BodyText"/>
        <w:spacing w:line="316" w:lineRule="auto" w:before="19"/>
        <w:ind w:right="3150"/>
        <w:jc w:val="left"/>
      </w:pPr>
      <w:r>
        <w:rPr/>
        <w:t>⑤其他金融负债 其他金融负债，是指没有划分为以公允价值计量且其变动计入当期损益的金融负债。</w:t>
      </w:r>
    </w:p>
    <w:p>
      <w:pPr>
        <w:pStyle w:val="BodyText"/>
        <w:spacing w:line="240" w:lineRule="auto" w:before="19"/>
        <w:ind w:right="184"/>
        <w:jc w:val="left"/>
      </w:pPr>
      <w:r>
        <w:rPr/>
        <w:t>本公司对其他负债采用摊余成本或成本计量。其他金融负债在摊销、终止确认时产生的利得或损失，应当计入当期损益。</w:t>
      </w:r>
    </w:p>
    <w:p>
      <w:pPr>
        <w:spacing w:line="240" w:lineRule="auto" w:before="12"/>
        <w:rPr>
          <w:rFonts w:ascii="宋体" w:hAnsi="宋体" w:cs="宋体" w:eastAsia="宋体" w:hint="default"/>
          <w:sz w:val="26"/>
          <w:szCs w:val="26"/>
        </w:rPr>
      </w:pPr>
    </w:p>
    <w:p>
      <w:pPr>
        <w:pStyle w:val="Heading4"/>
        <w:spacing w:line="240" w:lineRule="auto"/>
        <w:ind w:right="184"/>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4411"/>
        <w:jc w:val="left"/>
      </w:pPr>
      <w:r>
        <w:rPr/>
        <w:t>金融资产和金融负债的确认和终止确认 本公司于成为金融工具合同的一方时确认一项金融资产或金融负债。 金融资产满足下列条件之一的，终止确认：</w:t>
      </w:r>
    </w:p>
    <w:p>
      <w:pPr>
        <w:pStyle w:val="BodyText"/>
        <w:spacing w:line="240" w:lineRule="auto" w:before="19"/>
        <w:ind w:left="153" w:right="184"/>
        <w:jc w:val="left"/>
      </w:pPr>
      <w:r>
        <w:rPr/>
        <w:t>①收取该金融资产现金流量的合同权利终止；</w:t>
      </w:r>
    </w:p>
    <w:p>
      <w:pPr>
        <w:pStyle w:val="BodyText"/>
        <w:spacing w:line="316" w:lineRule="auto" w:before="76"/>
        <w:ind w:left="153" w:right="3691"/>
        <w:jc w:val="left"/>
      </w:pPr>
      <w:r>
        <w:rPr/>
        <w:t>②该金融资产已转移，且符合下述金融资产转移的终止确认条件。 金融负债的现时义务全部或部分已经解除的，终止确认该金融负债或其一部分</w:t>
      </w:r>
    </w:p>
    <w:p>
      <w:pPr>
        <w:spacing w:line="240" w:lineRule="auto" w:before="7"/>
        <w:rPr>
          <w:rFonts w:ascii="宋体" w:hAnsi="宋体" w:cs="宋体" w:eastAsia="宋体" w:hint="default"/>
          <w:sz w:val="22"/>
          <w:szCs w:val="22"/>
        </w:rPr>
      </w:pPr>
    </w:p>
    <w:p>
      <w:pPr>
        <w:pStyle w:val="Heading4"/>
        <w:spacing w:line="240" w:lineRule="auto"/>
        <w:ind w:right="184"/>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270"/>
        <w:jc w:val="left"/>
      </w:pPr>
      <w:r>
        <w:rPr/>
        <w:t>①本公司已将金融资产所有权上几乎所有的风险和报酬转移给转入方的或既没有转移也没有保留金融资产所有权上几乎所 有的风险和报酬、但放弃了对该金融资产控制的，终止对该金融资产的确认。</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9" w:lineRule="auto" w:before="44"/>
        <w:ind w:left="153" w:right="3351"/>
        <w:jc w:val="left"/>
      </w:pPr>
      <w:r>
        <w:rPr/>
        <w:t>②金融资产整体转移满足终止确认条件的，将下列两项的差额计入当期损益： </w:t>
      </w:r>
      <w:r>
        <w:rPr>
          <w:rFonts w:ascii="Times New Roman" w:hAnsi="Times New Roman" w:cs="Times New Roman" w:eastAsia="Times New Roman" w:hint="default"/>
        </w:rPr>
        <w:t>A</w:t>
      </w:r>
      <w:r>
        <w:rPr/>
        <w:t>、所转移金融资产的账面价值； </w:t>
      </w:r>
      <w:r>
        <w:rPr>
          <w:rFonts w:ascii="Times New Roman" w:hAnsi="Times New Roman" w:cs="Times New Roman" w:eastAsia="Times New Roman" w:hint="default"/>
        </w:rPr>
        <w:t>B</w:t>
      </w:r>
      <w:r>
        <w:rPr/>
        <w:t>、因转移而收到的对价，与原直接计入所有者权益的公允价值变动累计额之和。</w:t>
      </w:r>
    </w:p>
    <w:p>
      <w:pPr>
        <w:pStyle w:val="BodyText"/>
        <w:spacing w:line="316" w:lineRule="auto" w:before="5"/>
        <w:ind w:left="153" w:right="0"/>
        <w:jc w:val="left"/>
      </w:pPr>
      <w:r>
        <w:rPr>
          <w:spacing w:val="-2"/>
        </w:rPr>
        <w:t>③金融资产部分转移满足终止确认条件的，将所转移金融资产整体的账面价值，在终止确认部分和未终止确认部分之间，按</w:t>
      </w:r>
      <w:r>
        <w:rPr>
          <w:spacing w:val="-66"/>
        </w:rPr>
        <w:t> </w:t>
      </w:r>
      <w:r>
        <w:rPr>
          <w:spacing w:val="-66"/>
        </w:rPr>
      </w:r>
      <w:r>
        <w:rPr/>
        <w:t>照各自的相对公允价值进行分摊，并将差额计入当期损益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90"/>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rPr>
        <w:t>B</w:t>
      </w:r>
      <w:r>
        <w:rPr/>
        <w:t>、终止确认部分的对价，与原直接计入所有者权益的公允价值变动累计额中对应终止确认部分的金额之和。</w:t>
      </w:r>
    </w:p>
    <w:p>
      <w:pPr>
        <w:pStyle w:val="BodyText"/>
        <w:spacing w:line="240" w:lineRule="auto" w:before="13"/>
        <w:ind w:left="153" w:right="0"/>
        <w:jc w:val="left"/>
      </w:pPr>
      <w:r>
        <w:rPr/>
        <w:t>④金融资产转移不满足终止确认条件的，继续确认该金融资产，将所收到的对价确认为一项金融负债。</w:t>
      </w:r>
    </w:p>
    <w:p>
      <w:pPr>
        <w:pStyle w:val="BodyText"/>
        <w:spacing w:line="316" w:lineRule="auto" w:before="76"/>
        <w:ind w:left="153" w:right="0"/>
        <w:jc w:val="left"/>
      </w:pPr>
      <w:r>
        <w:rPr>
          <w:spacing w:val="-2"/>
        </w:rPr>
        <w:t>⑤对于采用继续涉入方式的金融资产转移，本公司按照继续涉入所转移金融资产的程度确认一项金融资产，同时确认一项金</w:t>
      </w:r>
      <w:r>
        <w:rPr>
          <w:spacing w:val="-64"/>
        </w:rPr>
        <w:t> </w:t>
      </w:r>
      <w:r>
        <w:rPr>
          <w:spacing w:val="-64"/>
        </w:rPr>
      </w:r>
      <w:r>
        <w:rPr/>
        <w:t>融负债。</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4</w:t>
      </w:r>
      <w:r>
        <w:rPr/>
        <w:t>）金融资产和金融负债的公允价值确定方法</w:t>
      </w:r>
    </w:p>
    <w:p>
      <w:pPr>
        <w:pStyle w:val="BodyText"/>
        <w:spacing w:line="240" w:lineRule="auto" w:before="63"/>
        <w:ind w:left="153" w:right="0"/>
        <w:jc w:val="left"/>
      </w:pPr>
      <w:r>
        <w:rPr/>
        <w:t>①存在活跃市场的金融资产或金融负债，用活跃市场中的报价来确定公允价值；</w:t>
      </w:r>
    </w:p>
    <w:p>
      <w:pPr>
        <w:pStyle w:val="BodyText"/>
        <w:spacing w:line="240" w:lineRule="auto" w:before="76"/>
        <w:ind w:left="153" w:right="0"/>
        <w:jc w:val="left"/>
      </w:pPr>
      <w:r>
        <w:rPr/>
        <w:t>②金融工具不存在活跃市场的，本公司采用估值技术确定其公允价值。</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231"/>
        <w:jc w:val="left"/>
      </w:pPr>
      <w:r>
        <w:rPr/>
        <w:t>（</w:t>
      </w:r>
      <w:r>
        <w:rPr>
          <w:rFonts w:ascii="Times New Roman" w:hAnsi="Times New Roman" w:cs="Times New Roman" w:eastAsia="Times New Roman" w:hint="default"/>
        </w:rPr>
        <w:t>5</w:t>
      </w:r>
      <w:r>
        <w:rPr/>
        <w:t>）金融资产（不含应收款项）减值测试方法 本公司在资产负债表日对金融资产（不含应收款项）的账面价值进行检查，有客观证据表明发生减值的，计提减值准备。</w:t>
      </w:r>
    </w:p>
    <w:p>
      <w:pPr>
        <w:pStyle w:val="BodyText"/>
        <w:spacing w:line="314" w:lineRule="auto" w:before="31"/>
        <w:ind w:left="153" w:right="0"/>
        <w:jc w:val="left"/>
      </w:pPr>
      <w:r>
        <w:rPr/>
        <w:t>①持有至到期投资 根据账面价值与预计未来现金流量的现值之间的差额计算确认减值损失。具体比照应收款项减值损失计量方法处理。 </w:t>
      </w:r>
      <w:r>
        <w:rPr>
          <w:spacing w:val="-1"/>
        </w:rPr>
        <w:t>如有客观证据表明该金融资产价值已恢复，且客观上与确认该损失后发生的事项有关</w:t>
      </w:r>
      <w:r>
        <w:rPr>
          <w:rFonts w:ascii="Times New Roman" w:hAnsi="Times New Roman" w:cs="Times New Roman" w:eastAsia="Times New Roman" w:hint="default"/>
          <w:spacing w:val="-1"/>
        </w:rPr>
        <w:t>(</w:t>
      </w:r>
      <w:r>
        <w:rPr>
          <w:spacing w:val="-1"/>
        </w:rPr>
        <w:t>如债务人的信用评级已提高等</w:t>
      </w:r>
      <w:r>
        <w:rPr>
          <w:rFonts w:ascii="Times New Roman" w:hAnsi="Times New Roman" w:cs="Times New Roman" w:eastAsia="Times New Roman" w:hint="default"/>
          <w:spacing w:val="-1"/>
        </w:rPr>
        <w:t>)</w:t>
      </w:r>
      <w:r>
        <w:rPr>
          <w:spacing w:val="-1"/>
        </w:rPr>
        <w:t>，原确</w:t>
      </w:r>
      <w:r>
        <w:rPr>
          <w:spacing w:val="-57"/>
        </w:rPr>
        <w:t> </w:t>
      </w:r>
      <w:r>
        <w:rPr>
          <w:spacing w:val="-57"/>
        </w:rPr>
      </w:r>
      <w:r>
        <w:rPr>
          <w:spacing w:val="-2"/>
        </w:rPr>
        <w:t>认的减值损失应当予以转回，计人当期损益。但是，该转回后的账面价值不应当超过假定不计提减值准备情况下该金融资产</w:t>
      </w:r>
      <w:r>
        <w:rPr>
          <w:spacing w:val="-66"/>
        </w:rPr>
        <w:t> </w:t>
      </w:r>
      <w:r>
        <w:rPr>
          <w:spacing w:val="-66"/>
        </w:rPr>
      </w:r>
      <w:r>
        <w:rPr/>
        <w:t>在转回日的摊余成本。</w:t>
      </w:r>
    </w:p>
    <w:p>
      <w:pPr>
        <w:pStyle w:val="BodyText"/>
        <w:spacing w:line="316" w:lineRule="auto" w:before="20"/>
        <w:ind w:left="153" w:right="0"/>
        <w:jc w:val="left"/>
      </w:pPr>
      <w:r>
        <w:rPr/>
        <w:t>②可供出售金融资产 </w:t>
      </w:r>
      <w:r>
        <w:rPr>
          <w:spacing w:val="-2"/>
        </w:rPr>
        <w:t>有客观证据表明可供出售金融资产公允价值发生较大幅度下降，并预期这种下降趋势属于非暂时性的，可以认定该可供出售</w:t>
      </w:r>
      <w:r>
        <w:rPr>
          <w:spacing w:val="-64"/>
        </w:rPr>
        <w:t> </w:t>
      </w:r>
      <w:r>
        <w:rPr>
          <w:spacing w:val="-64"/>
        </w:rPr>
      </w:r>
      <w:r>
        <w:rPr>
          <w:spacing w:val="-2"/>
        </w:rPr>
        <w:t>金融资产已发生减值，确认减值损失。可供出售金融资产发生减值的，在确认减值损失时，应当将原直接计入所有者权益的</w:t>
      </w:r>
      <w:r>
        <w:rPr>
          <w:spacing w:val="-66"/>
        </w:rPr>
        <w:t> </w:t>
      </w:r>
      <w:r>
        <w:rPr>
          <w:spacing w:val="-66"/>
        </w:rPr>
      </w:r>
      <w:r>
        <w:rPr>
          <w:spacing w:val="-2"/>
        </w:rPr>
        <w:t>公允价值下降形成的累计损失一并转出，计入减值损失。该转出的累计损失，等于可供出售金融资产的初始取得成本扣除已</w:t>
      </w:r>
      <w:r>
        <w:rPr>
          <w:spacing w:val="-66"/>
        </w:rPr>
        <w:t> </w:t>
      </w:r>
      <w:r>
        <w:rPr>
          <w:spacing w:val="-66"/>
        </w:rPr>
      </w:r>
      <w:r>
        <w:rPr/>
        <w:t>收回本金和已摊销金额、当前公允价值和原已计入损益的减值损失后的余额。 </w:t>
      </w:r>
      <w:r>
        <w:rPr>
          <w:spacing w:val="-2"/>
        </w:rPr>
        <w:t>对于已确认减值损失的可供出售债务工具，在随后的会计期间公允价值已上升且客观上与确认原减值损失后发生的事项有关</w:t>
      </w:r>
      <w:r>
        <w:rPr>
          <w:spacing w:val="-64"/>
        </w:rPr>
        <w:t> </w:t>
      </w:r>
      <w:r>
        <w:rPr>
          <w:spacing w:val="-64"/>
        </w:rPr>
      </w:r>
      <w:r>
        <w:rPr>
          <w:spacing w:val="-2"/>
        </w:rPr>
        <w:t>的，原确认的减值损失予以转回，计入当期损益。可供出售权益工具投资发生的减值损失，在该权益工具价值回升时，通过</w:t>
      </w:r>
      <w:r>
        <w:rPr>
          <w:spacing w:val="-66"/>
        </w:rPr>
        <w:t> </w:t>
      </w:r>
      <w:r>
        <w:rPr>
          <w:spacing w:val="-66"/>
        </w:rPr>
      </w:r>
      <w:r>
        <w:rPr/>
        <w:t>权益转回，不通过损益转回。</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9"/>
        <w:jc w:val="both"/>
      </w:pPr>
      <w:r>
        <w:rPr>
          <w:spacing w:val="-2"/>
        </w:rPr>
        <w:t>本公司对单项金额重大的应收款项单独进行减值测试，如有客观证据表明其发生了减值的，根据其未来现金流量现值低于其</w:t>
      </w:r>
      <w:r>
        <w:rPr>
          <w:spacing w:val="-64"/>
        </w:rPr>
        <w:t> </w:t>
      </w:r>
      <w:r>
        <w:rPr>
          <w:spacing w:val="-64"/>
        </w:rPr>
      </w:r>
      <w:r>
        <w:rPr>
          <w:spacing w:val="-2"/>
        </w:rPr>
        <w:t>账面价值的差额，确认减值损失，计提坏账准备。经单独测试后未减值的单项金额重大的应收款项，按照账分析法计提坏账</w:t>
      </w:r>
      <w:r>
        <w:rPr>
          <w:spacing w:val="-66"/>
        </w:rPr>
        <w:t> </w:t>
      </w:r>
      <w:r>
        <w:rPr>
          <w:spacing w:val="-66"/>
        </w:rPr>
      </w:r>
      <w:r>
        <w:rPr/>
        <w:t>准备。</w:t>
      </w:r>
    </w:p>
    <w:p>
      <w:pPr>
        <w:spacing w:after="0" w:line="316" w:lineRule="auto"/>
        <w:jc w:val="both"/>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1</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17" w:right="97"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bl>
    <w:p>
      <w:pPr>
        <w:pStyle w:val="BodyText"/>
        <w:spacing w:line="240" w:lineRule="auto" w:before="51"/>
        <w:ind w:right="0"/>
        <w:jc w:val="left"/>
      </w:pPr>
      <w:r>
        <w:rPr/>
        <w:t>组合中，采用账龄分析法计提坏账准备的</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76"/>
        <w:gridCol w:w="2987"/>
        <w:gridCol w:w="3994"/>
      </w:tblGrid>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1"/>
        <w:ind w:right="0"/>
        <w:jc w:val="left"/>
      </w:pPr>
      <w:r>
        <w:rPr/>
        <w:t>组合中，采用余额百分比法计提坏账准备的</w:t>
      </w:r>
    </w:p>
    <w:p>
      <w:pPr>
        <w:pStyle w:val="BodyText"/>
        <w:spacing w:line="340" w:lineRule="auto" w:before="116"/>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本公司将存货分为原材料、开发产品、在建开发产品、拟开发产品、低值易耗品、库存商品等大类。</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3831"/>
        <w:jc w:val="left"/>
      </w:pPr>
      <w:r>
        <w:rPr/>
        <w:t>计价方法：个别认定法 发出存货时按各类存货取得时按实际成本计价，发出时按个别认定法计价。</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0"/>
        <w:jc w:val="left"/>
      </w:pPr>
      <w:r>
        <w:rPr>
          <w:spacing w:val="-2"/>
        </w:rPr>
        <w:t>存货可变现净值的确定依据：①产成品可变现净值为估计售价减去相关税费后金额；②为生产而持有的材料等，当用其生产</w:t>
      </w:r>
      <w:r>
        <w:rPr>
          <w:spacing w:val="-66"/>
        </w:rPr>
        <w:t> </w:t>
      </w:r>
      <w:r>
        <w:rPr>
          <w:spacing w:val="-66"/>
        </w:rPr>
      </w:r>
      <w:r>
        <w:rPr>
          <w:spacing w:val="-2"/>
        </w:rPr>
        <w:t>的产成品的可变现净值高于成本时按照成本计量；当材料价格下降表明产成品的可变现净值低于成本时，可变现净值为估计</w:t>
      </w:r>
      <w:r>
        <w:rPr>
          <w:spacing w:val="-64"/>
        </w:rPr>
        <w:t> </w:t>
      </w:r>
      <w:r>
        <w:rPr>
          <w:spacing w:val="-64"/>
        </w:rPr>
      </w:r>
      <w:r>
        <w:rPr/>
        <w:t>售价减去至完工时估计将要发生的成本、估计的销售费用以及相关税费后的金额确定。 </w:t>
      </w:r>
      <w:r>
        <w:rPr>
          <w:spacing w:val="-2"/>
        </w:rPr>
        <w:t>存货跌价准备的计提方法：本公司于每年中期期末及年度终了在对存货进行全面盘点的基础上，对遭受损失，全部或部分陈</w:t>
      </w:r>
      <w:r>
        <w:rPr>
          <w:spacing w:val="-66"/>
        </w:rPr>
        <w:t> </w:t>
      </w:r>
      <w:r>
        <w:rPr>
          <w:spacing w:val="-66"/>
        </w:rPr>
      </w:r>
      <w:r>
        <w:rPr>
          <w:spacing w:val="-2"/>
        </w:rPr>
        <w:t>旧过时或销售价格低于成本的存货，根据存货成本与可变现净值孰低计量，按单个存货项目对同类存货项目的可变现净值低</w:t>
      </w:r>
      <w:r>
        <w:rPr>
          <w:spacing w:val="-64"/>
        </w:rPr>
        <w:t> </w:t>
      </w:r>
      <w:r>
        <w:rPr>
          <w:spacing w:val="-64"/>
        </w:rPr>
      </w:r>
      <w:r>
        <w:rPr>
          <w:spacing w:val="-2"/>
        </w:rPr>
        <w:t>于存货成本的差额计提存货跌价准备，并计入当期损益。确定可变现净值时，除考虑持有目的和资产负债表日该存货的价格</w:t>
      </w:r>
      <w:r>
        <w:rPr>
          <w:spacing w:val="-66"/>
        </w:rPr>
        <w:t> </w:t>
      </w:r>
      <w:r>
        <w:rPr>
          <w:spacing w:val="-66"/>
        </w:rPr>
      </w:r>
      <w:r>
        <w:rPr/>
        <w:t>与成本波动外，还需要考虑未来事项的影响。</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7071"/>
        <w:jc w:val="left"/>
      </w:pPr>
      <w:r>
        <w:rPr/>
        <w:t>盘存制度：永续盘存制 存货的盘存制度采用永续盘存法。</w:t>
      </w:r>
    </w:p>
    <w:p>
      <w:pPr>
        <w:spacing w:after="0" w:line="357"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184"/>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010"/>
        <w:jc w:val="left"/>
      </w:pPr>
      <w:r>
        <w:rPr/>
        <w:t>低值易耗品 摊销方法：一次摊销法</w:t>
      </w:r>
    </w:p>
    <w:p>
      <w:pPr>
        <w:pStyle w:val="BodyText"/>
        <w:spacing w:line="360" w:lineRule="auto" w:before="28"/>
        <w:ind w:left="153" w:right="6391"/>
        <w:jc w:val="left"/>
      </w:pPr>
      <w:r>
        <w:rPr/>
        <w:t>低值易耗品在领用时采用一次摊销法摊销。 包装物</w:t>
      </w:r>
    </w:p>
    <w:p>
      <w:pPr>
        <w:pStyle w:val="BodyText"/>
        <w:spacing w:line="357" w:lineRule="auto" w:before="26"/>
        <w:ind w:left="153" w:right="6751"/>
        <w:jc w:val="left"/>
      </w:pPr>
      <w:r>
        <w:rPr/>
        <w:t>摊销方法：一次摊销法 包装物在领用时采用一次摊销法摊销。</w:t>
      </w:r>
    </w:p>
    <w:p>
      <w:pPr>
        <w:spacing w:line="240" w:lineRule="auto" w:before="2"/>
        <w:rPr>
          <w:rFonts w:ascii="宋体" w:hAnsi="宋体" w:cs="宋体" w:eastAsia="宋体" w:hint="default"/>
          <w:sz w:val="20"/>
          <w:szCs w:val="20"/>
        </w:rPr>
      </w:pPr>
    </w:p>
    <w:p>
      <w:pPr>
        <w:pStyle w:val="Heading4"/>
        <w:spacing w:line="240" w:lineRule="auto"/>
        <w:ind w:right="184"/>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84"/>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7"/>
        <w:rPr>
          <w:rFonts w:ascii="宋体" w:hAnsi="宋体" w:cs="宋体" w:eastAsia="宋体" w:hint="default"/>
          <w:b/>
          <w:bCs/>
          <w:sz w:val="26"/>
          <w:szCs w:val="26"/>
        </w:rPr>
      </w:pPr>
    </w:p>
    <w:p>
      <w:pPr>
        <w:pStyle w:val="BodyText"/>
        <w:tabs>
          <w:tab w:pos="1892" w:val="left" w:leader="none"/>
        </w:tabs>
        <w:spacing w:line="316" w:lineRule="auto"/>
        <w:ind w:left="153" w:right="191"/>
        <w:jc w:val="left"/>
      </w:pPr>
      <w:r>
        <w:rPr/>
        <w:t>①同一控制下的企业合并取得的长期股权投资</w:t>
      </w:r>
      <w:r>
        <w:rPr>
          <w:spacing w:val="10"/>
        </w:rPr>
        <w:t> </w:t>
      </w:r>
      <w:r>
        <w:rPr/>
        <w:t>通过同一控制下企业合并取得的长期股权投资，以本公司在被合并方于合并</w:t>
      </w:r>
      <w:r>
        <w:rPr/>
        <w:t> 日按本公司会计政策调整后的账面净资产中所享有的份额作为初始投资成本。</w:t>
      </w:r>
      <w:r>
        <w:rPr>
          <w:spacing w:val="8"/>
        </w:rPr>
        <w:t> </w:t>
      </w:r>
      <w:r>
        <w:rPr/>
        <w:t>②非同一控制下的企业合并取得的长期股权</w:t>
      </w:r>
      <w:r>
        <w:rPr/>
        <w:t> 投资 通过非同一控制下的控股合并取得的长期股权投资，以购买日确定的合并成本作为初始投资成本。</w:t>
      </w:r>
      <w:r>
        <w:rPr>
          <w:spacing w:val="7"/>
        </w:rPr>
        <w:t> </w:t>
      </w:r>
      <w:r>
        <w:rPr/>
        <w:t>通过多次交易分</w:t>
      </w:r>
      <w:r>
        <w:rPr/>
        <w:t> </w:t>
      </w:r>
      <w:r>
        <w:rPr>
          <w:spacing w:val="-2"/>
        </w:rPr>
        <w:t>步实现非同一控制下企业合并的，应当以购买日之前所持被购买方的股权投资的账面价值与购买日新增投资成本之和作为该</w:t>
      </w:r>
      <w:r>
        <w:rPr>
          <w:spacing w:val="-64"/>
        </w:rPr>
        <w:t> </w:t>
      </w:r>
      <w:r>
        <w:rPr>
          <w:spacing w:val="-64"/>
        </w:rPr>
      </w:r>
      <w:r>
        <w:rPr/>
        <w:t>项投资的初始投资成本。 ③其他方式取得的长期股权投资</w:t>
      </w:r>
      <w:r>
        <w:rPr>
          <w:spacing w:val="7"/>
        </w:rPr>
        <w:t> </w:t>
      </w:r>
      <w:r>
        <w:rPr/>
        <w:t>以支付现金取得的长期股权投资，按照实际支付的购买价款作</w:t>
      </w:r>
      <w:r>
        <w:rPr/>
        <w:t> 为初始投资成本。</w:t>
      </w:r>
      <w:r>
        <w:rPr>
          <w:spacing w:val="8"/>
        </w:rPr>
        <w:t> </w:t>
      </w:r>
      <w:r>
        <w:rPr/>
        <w:t>以发行权益性证券取得的长期股权投资，按照所发行权益性证券的公允价值（不包括自被投资单位收取</w:t>
      </w:r>
      <w:r>
        <w:rPr/>
        <w:t> 的已宣告但未发放的现金股利或利润）作为初始投资成本。</w:t>
      </w:r>
      <w:r>
        <w:rPr>
          <w:spacing w:val="8"/>
        </w:rPr>
        <w:t> </w:t>
      </w:r>
      <w:r>
        <w:rPr/>
        <w:t>投资者投入的长期股权投资，按照投资合同或协议约定的价值</w:t>
      </w:r>
      <w:r>
        <w:rPr/>
        <w:t> 作为初始投资成本，但合同或协议约定的价值不公允的除外。</w:t>
      </w:r>
      <w:r>
        <w:rPr>
          <w:spacing w:val="7"/>
        </w:rPr>
        <w:t> </w:t>
      </w:r>
      <w:r>
        <w:rPr/>
        <w:t>在非货币性资产交换具备商业实质和换入资产或换出资产的</w:t>
      </w:r>
      <w:r>
        <w:rPr/>
        <w:t> 公允价值能够可靠计量的前提下，非货币性资产交换换入的长期股权投资以换出资产的公允价值为基础确定其初始投资成 </w:t>
      </w:r>
      <w:r>
        <w:rPr>
          <w:spacing w:val="-2"/>
        </w:rPr>
        <w:t>本，除非有确凿证据表明换入资产的公允价值更加可靠；不满足上述前提的非货币性资产交换，以换出资产的账面价值和应</w:t>
      </w:r>
      <w:r>
        <w:rPr>
          <w:spacing w:val="-66"/>
        </w:rPr>
        <w:t> </w:t>
      </w:r>
      <w:r>
        <w:rPr>
          <w:spacing w:val="-66"/>
        </w:rPr>
      </w:r>
      <w:r>
        <w:rPr/>
        <w:t>支付的相关税费作为换入长期股权投资的初始投资成本。</w:t>
      </w:r>
      <w:r>
        <w:rPr>
          <w:spacing w:val="7"/>
        </w:rPr>
        <w:t> </w:t>
      </w:r>
      <w:r>
        <w:rPr/>
        <w:t>通过债务重组取得的长期股权投资，其初始投资成本按照公允价</w:t>
      </w:r>
      <w:r>
        <w:rPr/>
        <w:t> 值为基础确定。</w:t>
        <w:tab/>
      </w:r>
      <w:r>
        <w:rPr>
          <w:spacing w:val="-1"/>
        </w:rPr>
        <w:t>在非货币性资产交换具备商业实质和换入资产或换出资产的公允价值能够可靠计量的前提下，非货币</w:t>
      </w:r>
      <w:r>
        <w:rPr>
          <w:spacing w:val="-68"/>
        </w:rPr>
        <w:t> </w:t>
      </w:r>
      <w:r>
        <w:rPr>
          <w:spacing w:val="-68"/>
        </w:rPr>
      </w:r>
      <w:r>
        <w:rPr>
          <w:spacing w:val="-2"/>
        </w:rPr>
        <w:t>性资产交换换入的长期股权投资以换出资产的公允价值为基础确定其初始投资成本，除非有确凿证据表明换入资产的公允价</w:t>
      </w:r>
      <w:r>
        <w:rPr>
          <w:spacing w:val="-64"/>
        </w:rPr>
        <w:t> </w:t>
      </w:r>
      <w:r>
        <w:rPr>
          <w:spacing w:val="-64"/>
        </w:rPr>
      </w:r>
      <w:r>
        <w:rPr>
          <w:spacing w:val="-2"/>
        </w:rPr>
        <w:t>值更加可靠；不满足上述前提的非货币性资产交换，以换出资产的账面价值和应支付的相关税费作为换入长期股权投资的初</w:t>
      </w:r>
      <w:r>
        <w:rPr>
          <w:spacing w:val="-64"/>
        </w:rPr>
        <w:t> </w:t>
      </w:r>
      <w:r>
        <w:rPr>
          <w:spacing w:val="-64"/>
        </w:rPr>
      </w:r>
      <w:r>
        <w:rPr/>
        <w:t>始投资成本。</w:t>
      </w:r>
      <w:r>
        <w:rPr>
          <w:spacing w:val="50"/>
        </w:rPr>
        <w:t> </w:t>
      </w:r>
      <w:r>
        <w:rPr/>
        <w:t>通过债务重组取得的长期股权投资，其初始投资成本按照公允价值为基础确定。</w:t>
      </w:r>
    </w:p>
    <w:p>
      <w:pPr>
        <w:spacing w:line="240" w:lineRule="auto" w:before="4"/>
        <w:rPr>
          <w:rFonts w:ascii="宋体" w:hAnsi="宋体" w:cs="宋体" w:eastAsia="宋体" w:hint="default"/>
          <w:sz w:val="22"/>
          <w:szCs w:val="22"/>
        </w:rPr>
      </w:pPr>
    </w:p>
    <w:p>
      <w:pPr>
        <w:pStyle w:val="Heading4"/>
        <w:spacing w:line="240" w:lineRule="auto"/>
        <w:ind w:right="184"/>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91"/>
        <w:jc w:val="left"/>
      </w:pPr>
      <w:r>
        <w:rPr>
          <w:spacing w:val="-2"/>
        </w:rPr>
        <w:t>本公司对子公司的投资，以及对被投资单位不具有共同控制或重大影响，并且在活跃市场中没有报价、公允价值不能可靠计</w:t>
      </w:r>
      <w:r>
        <w:rPr>
          <w:spacing w:val="-66"/>
        </w:rPr>
        <w:t> </w:t>
      </w:r>
      <w:r>
        <w:rPr>
          <w:spacing w:val="-66"/>
        </w:rPr>
      </w:r>
      <w:r>
        <w:rPr/>
        <w:t>量的长期股权投资，采用成本法核算。本公司对被投资单位具有共同控制或重大影响的长期股权投资，采用权益法核算。</w:t>
      </w:r>
      <w:r>
        <w:rPr/>
        <w:t> 按权益法核算长期股权投资时： ①</w:t>
      </w:r>
      <w:r>
        <w:rPr>
          <w:spacing w:val="-40"/>
        </w:rPr>
        <w:t> </w:t>
      </w:r>
      <w:r>
        <w:rPr/>
        <w:t>长期股权投资的初始投资成本大于投资时应享有被投资单位可辨认净资产公允价值份</w:t>
      </w:r>
      <w:r>
        <w:rPr/>
        <w:t> </w:t>
      </w:r>
      <w:r>
        <w:rPr>
          <w:spacing w:val="-2"/>
        </w:rPr>
        <w:t>额的，不调整长期股权投资的初始投资成本；长期股权投资的初始投资成本小于投资时应享有被投资单位可辨认净资产公允</w:t>
      </w:r>
      <w:r>
        <w:rPr>
          <w:spacing w:val="-64"/>
        </w:rPr>
        <w:t> </w:t>
      </w:r>
      <w:r>
        <w:rPr>
          <w:spacing w:val="-64"/>
        </w:rPr>
      </w:r>
      <w:r>
        <w:rPr/>
        <w:t>价值份额的，其差额应当计入当期损益，同时调整长期股权投资的成本。 ②</w:t>
      </w:r>
      <w:r>
        <w:rPr>
          <w:spacing w:val="-40"/>
        </w:rPr>
        <w:t> </w:t>
      </w:r>
      <w:r>
        <w:rPr/>
        <w:t>取得长期股权投资后，按照应享有或应分担</w:t>
      </w:r>
      <w:r>
        <w:rPr/>
        <w:t> </w:t>
      </w:r>
      <w:r>
        <w:rPr>
          <w:spacing w:val="-2"/>
        </w:rPr>
        <w:t>的被投资单位实现的净损益的份额，确认投资损益并调整长期股权投资的账面价值。在确认应享有或应分担的被投资单位实</w:t>
      </w:r>
      <w:r>
        <w:rPr>
          <w:spacing w:val="-64"/>
        </w:rPr>
        <w:t> </w:t>
      </w:r>
      <w:r>
        <w:rPr>
          <w:spacing w:val="-64"/>
        </w:rPr>
      </w:r>
      <w:r>
        <w:rPr>
          <w:spacing w:val="-2"/>
        </w:rPr>
        <w:t>现的净损益的份额时，以取得投资时被投资单位各项可辨认资产的公允价值为基础，按照本公司的会计政策及会计期间，并</w:t>
      </w:r>
      <w:r>
        <w:rPr>
          <w:spacing w:val="-66"/>
        </w:rPr>
        <w:t> </w:t>
      </w:r>
      <w:r>
        <w:rPr>
          <w:spacing w:val="-66"/>
        </w:rPr>
      </w:r>
      <w:r>
        <w:rPr>
          <w:spacing w:val="-2"/>
        </w:rPr>
        <w:t>抵消与联营企业及合营企业之间发生的未实现内部交易损益按照持股比例计算归属于本公司的部分（但未实现内部交易损失</w:t>
      </w:r>
      <w:r>
        <w:rPr>
          <w:spacing w:val="-64"/>
        </w:rPr>
        <w:t> </w:t>
      </w:r>
      <w:r>
        <w:rPr>
          <w:spacing w:val="-64"/>
        </w:rPr>
      </w:r>
      <w:r>
        <w:rPr>
          <w:spacing w:val="-3"/>
        </w:rPr>
        <w:t>属于资产减值损失的，应全额确认），对被投资单位的净利润进行调整后确认。</w:t>
      </w:r>
      <w:r>
        <w:rPr>
          <w:spacing w:val="57"/>
        </w:rPr>
        <w:t> </w:t>
      </w:r>
      <w:r>
        <w:rPr/>
        <w:t>③确认被投资单位发生的净亏损，以长期</w:t>
      </w:r>
      <w:r>
        <w:rPr>
          <w:spacing w:val="-83"/>
        </w:rPr>
        <w:t> </w:t>
      </w:r>
      <w:r>
        <w:rPr>
          <w:spacing w:val="-83"/>
        </w:rPr>
      </w:r>
      <w:r>
        <w:rPr>
          <w:spacing w:val="-2"/>
        </w:rPr>
        <w:t>股权投资的账面价值以及其他实质上构成对被投资单位净投资的长期权益减记至零为限，但合同或协议约定负有承担额外损</w:t>
      </w:r>
      <w:r>
        <w:rPr>
          <w:spacing w:val="-64"/>
        </w:rPr>
        <w:t> </w:t>
      </w:r>
      <w:r>
        <w:rPr>
          <w:spacing w:val="-64"/>
        </w:rPr>
      </w:r>
      <w:r>
        <w:rPr/>
        <w:t>失义务的除外。被投资单位以后实现净利润的，本公司在其收益分享额弥补未确认的亏损分担额后，恢复确认收益分享额。</w:t>
      </w:r>
    </w:p>
    <w:p>
      <w:pPr>
        <w:pStyle w:val="BodyText"/>
        <w:spacing w:line="316" w:lineRule="auto" w:before="19"/>
        <w:ind w:left="153" w:right="174" w:firstLine="140"/>
        <w:jc w:val="left"/>
      </w:pPr>
      <w:r>
        <w:rPr/>
        <w:t>④被投资单位宣告分派的利润或现金股利计算应分得的部分，相应冲减长期股权投资的账面价值。</w:t>
      </w:r>
      <w:r>
        <w:rPr>
          <w:spacing w:val="47"/>
        </w:rPr>
        <w:t> </w:t>
      </w:r>
      <w:r>
        <w:rPr/>
        <w:t>⑤对于被投资单位除</w:t>
      </w:r>
      <w:r>
        <w:rPr/>
        <w:t> </w:t>
      </w:r>
      <w:r>
        <w:rPr>
          <w:spacing w:val="-2"/>
        </w:rPr>
        <w:t>净损益以外所有者权益的其他变动，在持股比例不变的情况下，本公司按照持股比例计算应享有或承担的部分，调整长期股</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9" w:lineRule="auto" w:before="44"/>
        <w:ind w:left="153" w:right="150"/>
        <w:jc w:val="both"/>
      </w:pPr>
      <w:r>
        <w:rPr/>
        <w:t>权投资的账面价值，同时增加或减少资本公积。</w:t>
      </w:r>
      <w:r>
        <w:rPr>
          <w:spacing w:val="8"/>
        </w:rPr>
        <w:t> </w:t>
      </w:r>
      <w:r>
        <w:rPr/>
        <w:t>持股比例减少后被投资单位仍然是本公司的联营企业或合营企业时，本公</w:t>
      </w:r>
      <w:r>
        <w:rPr/>
        <w:t> </w:t>
      </w:r>
      <w:r>
        <w:rPr>
          <w:spacing w:val="-2"/>
        </w:rPr>
        <w:t>司应当继续采用权益法核算剩余投资，并按处置投资的比例将以前在其他综合收益（资本公积）中确认的利得或损失结转至</w:t>
      </w:r>
      <w:r>
        <w:rPr>
          <w:spacing w:val="-66"/>
        </w:rPr>
        <w:t> </w:t>
      </w:r>
      <w:r>
        <w:rPr>
          <w:spacing w:val="-66"/>
        </w:rPr>
      </w:r>
      <w:r>
        <w:rPr/>
        <w:t>当期损益。</w:t>
      </w:r>
      <w:r>
        <w:rPr>
          <w:spacing w:val="7"/>
        </w:rPr>
        <w:t> </w:t>
      </w:r>
      <w:r>
        <w:rPr/>
        <w:t>持股比例增加后被投资单位仍然是本公司的联营企业或合营企业时，本公司应当按照新的持股比例对投资继续</w:t>
      </w:r>
      <w:r>
        <w:rPr/>
        <w:t> </w:t>
      </w:r>
      <w:r>
        <w:rPr>
          <w:spacing w:val="-2"/>
        </w:rPr>
        <w:t>采用权益法进行核算。在新增投资日，新增投资成本与按新增持股比例计算的被投资单位可辨认净资产公允价值份额的差额</w:t>
      </w:r>
      <w:r>
        <w:rPr>
          <w:spacing w:val="-64"/>
        </w:rPr>
        <w:t> </w:t>
      </w:r>
      <w:r>
        <w:rPr>
          <w:spacing w:val="-64"/>
        </w:rPr>
      </w:r>
      <w:r>
        <w:rPr>
          <w:spacing w:val="-2"/>
        </w:rPr>
        <w:t>按照前述原则处理；该项长期股权投资取得新增投资时的原账面价值与按增资后持股比例扣除新增持股比例后的持股比例计</w:t>
      </w:r>
      <w:r>
        <w:rPr>
          <w:spacing w:val="-64"/>
        </w:rPr>
        <w:t> </w:t>
      </w:r>
      <w:r>
        <w:rPr>
          <w:spacing w:val="-64"/>
        </w:rPr>
      </w:r>
      <w:r>
        <w:rPr/>
        <w:t>算应享有的被投资单位可辨认净资产公允价值份额之间的差额，应当调整长期股权投资账面价值和资本公积。</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8"/>
        <w:rPr>
          <w:rFonts w:ascii="宋体" w:hAnsi="宋体" w:cs="宋体" w:eastAsia="宋体" w:hint="default"/>
          <w:b/>
          <w:bCs/>
          <w:sz w:val="26"/>
          <w:szCs w:val="26"/>
        </w:rPr>
      </w:pPr>
    </w:p>
    <w:p>
      <w:pPr>
        <w:pStyle w:val="BodyText"/>
        <w:spacing w:line="312" w:lineRule="auto"/>
        <w:ind w:right="150"/>
        <w:jc w:val="both"/>
      </w:pPr>
      <w:r>
        <w:rPr/>
        <w:t>① 共同控制的判断依据</w:t>
      </w:r>
      <w:r>
        <w:rPr>
          <w:spacing w:val="50"/>
        </w:rPr>
        <w:t> </w:t>
      </w:r>
      <w:r>
        <w:rPr/>
        <w:t>共同控制，是指任何一个合营方均不能单独控制合营企业的生产经营活动，涉及合营企业基本经</w:t>
      </w:r>
      <w:r>
        <w:rPr/>
        <w:t> 营活动的决策需要各合营方一致同意等。 ② 重大影响的判断依据</w:t>
      </w:r>
      <w:r>
        <w:rPr>
          <w:spacing w:val="10"/>
        </w:rPr>
        <w:t> </w:t>
      </w:r>
      <w:r>
        <w:rPr/>
        <w:t>重大影响，是指对一个企业的财务和经营政策有参与</w:t>
      </w:r>
      <w:r>
        <w:rPr/>
        <w:t> </w:t>
      </w:r>
      <w:r>
        <w:rPr>
          <w:spacing w:val="-2"/>
        </w:rPr>
        <w:t>决策的权力，但并不能够控制或者与其他方一起共同控制这些政策的制定。当本公司直接或通过子公司间接拥有被投资单位</w:t>
      </w:r>
      <w:r>
        <w:rPr>
          <w:spacing w:val="-64"/>
        </w:rPr>
        <w:t> </w:t>
      </w:r>
      <w:r>
        <w:rPr>
          <w:spacing w:val="-64"/>
        </w:rPr>
      </w:r>
      <w:r>
        <w:rPr>
          <w:rFonts w:ascii="Times New Roman" w:hAnsi="Times New Roman" w:cs="Times New Roman" w:eastAsia="Times New Roman" w:hint="default"/>
        </w:rPr>
        <w:t>20</w:t>
      </w:r>
      <w:r>
        <w:rPr/>
        <w:t>％（含</w:t>
      </w:r>
      <w:r>
        <w:rPr>
          <w:spacing w:val="-46"/>
        </w:rPr>
        <w:t> </w:t>
      </w:r>
      <w:r>
        <w:rPr>
          <w:rFonts w:ascii="Times New Roman" w:hAnsi="Times New Roman" w:cs="Times New Roman" w:eastAsia="Times New Roman" w:hint="default"/>
        </w:rPr>
        <w:t>20%</w:t>
      </w:r>
      <w:r>
        <w:rPr/>
        <w:t>）以上但低于</w:t>
      </w:r>
      <w:r>
        <w:rPr>
          <w:spacing w:val="-46"/>
        </w:rPr>
        <w:t> </w:t>
      </w:r>
      <w:r>
        <w:rPr>
          <w:rFonts w:ascii="Times New Roman" w:hAnsi="Times New Roman" w:cs="Times New Roman" w:eastAsia="Times New Roman" w:hint="default"/>
        </w:rPr>
        <w:t>50</w:t>
      </w:r>
      <w:r>
        <w:rPr/>
        <w:t>％的表决权股份时，除非有明确证据表明该种情况下不能参与被投资单位的生产经营决策从 而不形成重大影响外，均确定对被投资单位具有重大影响；本公司拥有被投资单位</w:t>
      </w:r>
      <w:r>
        <w:rPr>
          <w:spacing w:val="-46"/>
        </w:rPr>
        <w:t> </w:t>
      </w:r>
      <w:r>
        <w:rPr>
          <w:rFonts w:ascii="Times New Roman" w:hAnsi="Times New Roman" w:cs="Times New Roman" w:eastAsia="Times New Roman" w:hint="default"/>
        </w:rPr>
        <w:t>20</w:t>
      </w:r>
      <w:r>
        <w:rPr/>
        <w:t>％（不含）以下的表决权股份，一般 </w:t>
      </w:r>
      <w:r>
        <w:rPr>
          <w:spacing w:val="-2"/>
        </w:rPr>
        <w:t>不认为对被投资单位具有重大影响，除非有明确证据表明该种情况下能够参与被投资单位的生产经营决策，能够形成重大影</w:t>
      </w:r>
      <w:r>
        <w:rPr>
          <w:spacing w:val="-64"/>
        </w:rPr>
        <w:t> </w:t>
      </w:r>
      <w:r>
        <w:rPr>
          <w:spacing w:val="-64"/>
        </w:rPr>
      </w:r>
      <w:r>
        <w:rPr/>
        <w:t>响。</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left="153" w:right="0"/>
        <w:jc w:val="left"/>
      </w:pPr>
      <w:r>
        <w:rPr/>
        <w:t>对子公司、合营企业和联营企业的长期股权投资，本公司按照附注二、</w:t>
      </w:r>
      <w:r>
        <w:rPr>
          <w:rFonts w:ascii="Times New Roman" w:hAnsi="Times New Roman" w:cs="Times New Roman" w:eastAsia="Times New Roman" w:hint="default"/>
        </w:rPr>
        <w:t>23</w:t>
      </w:r>
      <w:r>
        <w:rPr/>
        <w:t>所述方法计提减值准备。 </w:t>
      </w:r>
      <w:r>
        <w:rPr>
          <w:spacing w:val="-2"/>
        </w:rPr>
        <w:t>对持有的对被投资单位不具有共同控制或重大影响、在活跃市场中没有报价、公允价值不能可靠计量的长期股权投资，本公</w:t>
      </w:r>
      <w:r>
        <w:rPr>
          <w:spacing w:val="-66"/>
        </w:rPr>
        <w:t> </w:t>
      </w:r>
      <w:r>
        <w:rPr>
          <w:spacing w:val="-66"/>
        </w:rPr>
      </w:r>
      <w:r>
        <w:rPr/>
        <w:t>司按照附注二、</w:t>
      </w:r>
      <w:r>
        <w:rPr>
          <w:rFonts w:ascii="Times New Roman" w:hAnsi="Times New Roman" w:cs="Times New Roman" w:eastAsia="Times New Roman" w:hint="default"/>
        </w:rPr>
        <w:t>9</w:t>
      </w:r>
      <w:r>
        <w:rPr/>
        <w:t>（</w:t>
      </w:r>
      <w:r>
        <w:rPr>
          <w:rFonts w:ascii="Times New Roman" w:hAnsi="Times New Roman" w:cs="Times New Roman" w:eastAsia="Times New Roman" w:hint="default"/>
        </w:rPr>
        <w:t>5</w:t>
      </w:r>
      <w:r>
        <w:rPr/>
        <w:t>）的方法计提资产减值准备。</w:t>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0"/>
        <w:jc w:val="left"/>
      </w:pPr>
      <w:r>
        <w:rPr>
          <w:spacing w:val="-2"/>
        </w:rPr>
        <w:t>投资性房地产是指为赚取租金或资本增值，或两者兼有而持有的房地产。本公司投资性房地产包括已出租的土地使用权、持</w:t>
      </w:r>
      <w:r>
        <w:rPr>
          <w:spacing w:val="-66"/>
        </w:rPr>
        <w:t> </w:t>
      </w:r>
      <w:r>
        <w:rPr>
          <w:spacing w:val="-66"/>
        </w:rPr>
      </w:r>
      <w:r>
        <w:rPr/>
        <w:t>有并准备增值后转让的土地使用权、已出租的建筑物。 本公司对投资性房地产按照取得时的成本进行初始计量，并按照固定资产或无形资产的有关规定，按期计提折旧或摊销。 采用成本模式进行后续计量的投资性房地产，计提资产减值方法见本附注二、</w:t>
      </w:r>
      <w:r>
        <w:rPr>
          <w:rFonts w:ascii="Times New Roman" w:hAnsi="Times New Roman" w:cs="Times New Roman" w:eastAsia="Times New Roman" w:hint="default"/>
        </w:rPr>
        <w:t>23</w:t>
      </w:r>
      <w:r>
        <w:rPr/>
        <w:t>。</w:t>
      </w:r>
    </w:p>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47" w:firstLine="360"/>
        <w:jc w:val="both"/>
      </w:pPr>
      <w:r>
        <w:rPr>
          <w:spacing w:val="-2"/>
        </w:rPr>
        <w:t>固定资产，是指为生产商品、提供劳务、出租或经营管理，使用寿命超过一个会计年度而持有的有形资产。固定资产在</w:t>
      </w:r>
      <w:r>
        <w:rPr/>
        <w:t> 满足下列条件时予以确认：  ①与该固定资产有关的经济利益很可能流入本公司；</w:t>
      </w:r>
      <w:r>
        <w:rPr>
          <w:spacing w:val="10"/>
        </w:rPr>
        <w:t> </w:t>
      </w:r>
      <w:r>
        <w:rPr/>
        <w:t>②该固定资产的成本能够可靠地计量。</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51" w:firstLine="360"/>
        <w:jc w:val="both"/>
      </w:pPr>
      <w:r>
        <w:rPr/>
        <w:t>本公司在承租开始日，将租赁资产公允价值与最低租赁付款额现值两者中较低者作为租入资产的入账价值。</w:t>
      </w:r>
      <w:r>
        <w:rPr>
          <w:spacing w:val="7"/>
        </w:rPr>
        <w:t> </w:t>
      </w:r>
      <w:r>
        <w:rPr/>
        <w:t>融资租赁</w:t>
      </w:r>
      <w:r>
        <w:rPr/>
        <w:t> </w:t>
      </w:r>
      <w:r>
        <w:rPr>
          <w:spacing w:val="-2"/>
        </w:rPr>
        <w:t>方式租入的固定资产，能合理确定租赁期届满时将会取得租赁资产所有权的，在租赁资产尚可使用年限内计提折旧；无法合</w:t>
      </w:r>
      <w:r>
        <w:rPr>
          <w:spacing w:val="-66"/>
        </w:rPr>
        <w:t> </w:t>
      </w:r>
      <w:r>
        <w:rPr>
          <w:spacing w:val="-66"/>
        </w:rPr>
      </w:r>
      <w:r>
        <w:rPr/>
        <w:t>理确定租赁期届满时能够取得租赁资产所有权的，在租赁期与租赁资产尚可使用年限两者中较短的期间内计提折旧。</w:t>
      </w:r>
    </w:p>
    <w:p>
      <w:pPr>
        <w:spacing w:after="0" w:line="319"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184"/>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184" w:firstLine="578"/>
        <w:jc w:val="left"/>
      </w:pPr>
      <w:r>
        <w:rPr/>
        <w:t>固定资产折旧采用年限平均法分类计提。固定资产自达到预定可使用状态时开始计提折旧，终止确认时或划分为持 </w:t>
      </w:r>
      <w:r>
        <w:rPr>
          <w:spacing w:val="-2"/>
        </w:rPr>
        <w:t>有待售非流动资产时停止计提折旧（已提足折旧仍继续使用的固定支持和单独计价入账的土地除外）。在不考虑减值准备的</w:t>
      </w:r>
      <w:r>
        <w:rPr>
          <w:spacing w:val="-66"/>
        </w:rPr>
        <w:t> </w:t>
      </w:r>
      <w:r>
        <w:rPr>
          <w:spacing w:val="-66"/>
        </w:rPr>
      </w:r>
      <w:r>
        <w:rPr/>
        <w:t>情况下，按固定资产类别、预计使用寿命和预计残值，本公司确定各类固定资产的年折旧率</w:t>
      </w: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494"/>
        <w:gridCol w:w="2117"/>
        <w:gridCol w:w="2220"/>
        <w:gridCol w:w="2725"/>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r>
    </w:tbl>
    <w:p>
      <w:pPr>
        <w:spacing w:line="240" w:lineRule="auto" w:before="2"/>
        <w:rPr>
          <w:rFonts w:ascii="宋体" w:hAnsi="宋体" w:cs="宋体" w:eastAsia="宋体" w:hint="default"/>
          <w:sz w:val="19"/>
          <w:szCs w:val="19"/>
        </w:rPr>
      </w:pPr>
    </w:p>
    <w:p>
      <w:pPr>
        <w:pStyle w:val="Heading4"/>
        <w:spacing w:line="240" w:lineRule="auto" w:before="35"/>
        <w:ind w:right="184"/>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4"/>
        <w:jc w:val="left"/>
      </w:pPr>
      <w:r>
        <w:rPr/>
        <w:t>本公司固定资产减值准备的计提方法见本附注二、</w:t>
      </w:r>
      <w:r>
        <w:rPr>
          <w:rFonts w:ascii="Times New Roman" w:hAnsi="Times New Roman" w:cs="Times New Roman" w:eastAsia="Times New Roman" w:hint="default"/>
        </w:rPr>
        <w:t>23</w:t>
      </w:r>
      <w:r>
        <w:rPr/>
        <w:t>。</w:t>
      </w:r>
    </w:p>
    <w:p>
      <w:pPr>
        <w:spacing w:line="240" w:lineRule="auto" w:before="11"/>
        <w:rPr>
          <w:rFonts w:ascii="宋体" w:hAnsi="宋体" w:cs="宋体" w:eastAsia="宋体" w:hint="default"/>
          <w:sz w:val="25"/>
          <w:szCs w:val="25"/>
        </w:rPr>
      </w:pPr>
    </w:p>
    <w:p>
      <w:pPr>
        <w:pStyle w:val="Heading4"/>
        <w:spacing w:line="240" w:lineRule="auto"/>
        <w:ind w:right="184"/>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91"/>
        <w:jc w:val="left"/>
      </w:pPr>
      <w:r>
        <w:rPr>
          <w:spacing w:val="-4"/>
        </w:rPr>
        <w:t>①每年年度终了，本公司对固定资产的使用寿命、预计净残值和折旧方法进行复核。使用寿命预计数与原先估计数有差异的，</w:t>
      </w:r>
      <w:r>
        <w:rPr>
          <w:spacing w:val="-44"/>
        </w:rPr>
        <w:t> </w:t>
      </w:r>
      <w:r>
        <w:rPr>
          <w:spacing w:val="-44"/>
        </w:rPr>
      </w:r>
      <w:r>
        <w:rPr/>
        <w:t>调整固定资产使用寿命；预计净残值预计数与原先估计数有差异的，调整预计净残值。</w:t>
      </w:r>
    </w:p>
    <w:p>
      <w:pPr>
        <w:pStyle w:val="BodyText"/>
        <w:spacing w:line="316" w:lineRule="auto" w:before="19"/>
        <w:ind w:left="153" w:right="184"/>
        <w:jc w:val="left"/>
      </w:pPr>
      <w:r>
        <w:rPr>
          <w:spacing w:val="-2"/>
        </w:rPr>
        <w:t>②固定资产发生的修理费用，符合固定资产确认条件的计入固定资产成本，不符合规定的固定资产确认条件的在发生时直接</w:t>
      </w:r>
      <w:r>
        <w:rPr>
          <w:spacing w:val="-64"/>
        </w:rPr>
        <w:t> </w:t>
      </w:r>
      <w:r>
        <w:rPr>
          <w:spacing w:val="-64"/>
        </w:rPr>
      </w:r>
      <w:r>
        <w:rPr/>
        <w:t>计入当期成本、费用。</w:t>
      </w:r>
    </w:p>
    <w:p>
      <w:pPr>
        <w:pStyle w:val="BodyText"/>
        <w:spacing w:line="316" w:lineRule="auto" w:before="19"/>
        <w:ind w:left="153" w:right="184"/>
        <w:jc w:val="left"/>
      </w:pPr>
      <w:r>
        <w:rPr>
          <w:spacing w:val="-2"/>
        </w:rPr>
        <w:t>③符合资本化条件的固定资产装修费用：在两次装修期间与固定资产尚可使用年限两者中较短的期间内，采用年限平均法单</w:t>
      </w:r>
      <w:r>
        <w:rPr>
          <w:spacing w:val="-64"/>
        </w:rPr>
        <w:t> </w:t>
      </w:r>
      <w:r>
        <w:rPr>
          <w:spacing w:val="-64"/>
        </w:rPr>
      </w:r>
      <w:r>
        <w:rPr/>
        <w:t>独计提折旧。</w:t>
      </w:r>
    </w:p>
    <w:p>
      <w:pPr>
        <w:spacing w:line="240" w:lineRule="auto" w:before="7"/>
        <w:rPr>
          <w:rFonts w:ascii="宋体" w:hAnsi="宋体" w:cs="宋体" w:eastAsia="宋体" w:hint="default"/>
          <w:sz w:val="22"/>
          <w:szCs w:val="22"/>
        </w:rPr>
      </w:pPr>
    </w:p>
    <w:p>
      <w:pPr>
        <w:pStyle w:val="Heading4"/>
        <w:spacing w:line="240" w:lineRule="auto"/>
        <w:ind w:right="184"/>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84"/>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84"/>
        <w:jc w:val="left"/>
      </w:pPr>
      <w:r>
        <w:rPr/>
        <w:t>本公司在建工程按实际成本计量，按立项项目分类核算</w:t>
      </w:r>
    </w:p>
    <w:p>
      <w:pPr>
        <w:spacing w:line="240" w:lineRule="auto" w:before="10"/>
        <w:rPr>
          <w:rFonts w:ascii="宋体" w:hAnsi="宋体" w:cs="宋体" w:eastAsia="宋体" w:hint="default"/>
          <w:sz w:val="26"/>
          <w:szCs w:val="26"/>
        </w:rPr>
      </w:pPr>
    </w:p>
    <w:p>
      <w:pPr>
        <w:pStyle w:val="Heading4"/>
        <w:spacing w:line="240" w:lineRule="auto"/>
        <w:ind w:right="184"/>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89" w:firstLine="540"/>
        <w:jc w:val="both"/>
      </w:pPr>
      <w:r>
        <w:rPr>
          <w:spacing w:val="-2"/>
        </w:rPr>
        <w:t>在建工程达到预定可使用状态时，按实际发生的全部支出转入固定资产核算。若在建工程已达到预定可使用状态，但</w:t>
      </w:r>
      <w:r>
        <w:rPr/>
        <w:t> </w:t>
      </w:r>
      <w:r>
        <w:rPr>
          <w:spacing w:val="-2"/>
        </w:rPr>
        <w:t>尚未办理竣工决算的，自达到预定可使用状态之日起，根据工程预算、造价或者工程实际成本等，按估计的价值转入固定资</w:t>
      </w:r>
      <w:r>
        <w:rPr>
          <w:spacing w:val="-66"/>
        </w:rPr>
        <w:t> </w:t>
      </w:r>
      <w:r>
        <w:rPr>
          <w:spacing w:val="-66"/>
        </w:rPr>
      </w:r>
      <w:r>
        <w:rPr>
          <w:spacing w:val="-2"/>
        </w:rPr>
        <w:t>产，并按本公司固定资产折旧政策计提固定资产折旧，待办理竣工决算后，再按实际成本调整原来的暂估价值，但不调整原</w:t>
      </w:r>
      <w:r>
        <w:rPr>
          <w:spacing w:val="-66"/>
        </w:rPr>
        <w:t> </w:t>
      </w:r>
      <w:r>
        <w:rPr>
          <w:spacing w:val="-66"/>
        </w:rPr>
      </w:r>
      <w:r>
        <w:rPr/>
        <w:t>已计提的折旧额。</w:t>
      </w:r>
    </w:p>
    <w:p>
      <w:pPr>
        <w:spacing w:line="240" w:lineRule="auto" w:before="3"/>
        <w:rPr>
          <w:rFonts w:ascii="宋体" w:hAnsi="宋体" w:cs="宋体" w:eastAsia="宋体" w:hint="default"/>
          <w:sz w:val="22"/>
          <w:szCs w:val="22"/>
        </w:rPr>
      </w:pPr>
    </w:p>
    <w:p>
      <w:pPr>
        <w:pStyle w:val="Heading4"/>
        <w:spacing w:line="240" w:lineRule="auto"/>
        <w:ind w:right="184"/>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84"/>
        <w:jc w:val="left"/>
      </w:pPr>
      <w:r>
        <w:rPr/>
        <w:t>本公司在建工程减值准备的计提方法见本附注二、</w:t>
      </w:r>
      <w:r>
        <w:rPr>
          <w:rFonts w:ascii="Times New Roman" w:hAnsi="Times New Roman" w:cs="Times New Roman" w:eastAsia="Times New Roman" w:hint="default"/>
        </w:rPr>
        <w:t>23</w:t>
      </w:r>
      <w:r>
        <w:rPr/>
        <w:t>。</w:t>
      </w:r>
    </w:p>
    <w:p>
      <w:pPr>
        <w:spacing w:after="0" w:line="240"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184"/>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84"/>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jc w:val="left"/>
      </w:pPr>
      <w:r>
        <w:rPr>
          <w:spacing w:val="-2"/>
        </w:rPr>
        <w:t>符合资本化条件的资产，是指需要经过相当长时间的购建或者生产活动才能达到预定可使用或者可销售状态的固定资产、投</w:t>
      </w:r>
      <w:r>
        <w:rPr>
          <w:spacing w:val="-64"/>
        </w:rPr>
        <w:t> </w:t>
      </w:r>
      <w:r>
        <w:rPr>
          <w:spacing w:val="-64"/>
        </w:rPr>
      </w:r>
      <w:r>
        <w:rPr/>
        <w:t>资性房地产和存货等资产。借款费用包括借款利息、折价或者溢价的摊销、辅助费用以及因外币借款而发生的汇兑差额等。 </w:t>
      </w:r>
      <w:r>
        <w:rPr>
          <w:spacing w:val="-2"/>
        </w:rPr>
        <w:t>本公司发生的借款费用，可直接归属于符合资本化条件的资产的购建或者生产的，予以资本化，计入相关资产成本；其他借</w:t>
      </w:r>
      <w:r>
        <w:rPr>
          <w:spacing w:val="-66"/>
        </w:rPr>
        <w:t> </w:t>
      </w:r>
      <w:r>
        <w:rPr>
          <w:spacing w:val="-66"/>
        </w:rPr>
      </w:r>
      <w:r>
        <w:rPr/>
        <w:t>款费用在发生时根据其发生额确认为费用，计入当期损益。</w:t>
      </w:r>
    </w:p>
    <w:p>
      <w:pPr>
        <w:spacing w:line="240" w:lineRule="auto" w:before="7"/>
        <w:rPr>
          <w:rFonts w:ascii="宋体" w:hAnsi="宋体" w:cs="宋体" w:eastAsia="宋体" w:hint="default"/>
          <w:sz w:val="22"/>
          <w:szCs w:val="22"/>
        </w:rPr>
      </w:pPr>
    </w:p>
    <w:p>
      <w:pPr>
        <w:pStyle w:val="Heading4"/>
        <w:spacing w:line="240" w:lineRule="auto"/>
        <w:ind w:right="184"/>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4"/>
        <w:jc w:val="left"/>
      </w:pPr>
      <w:r>
        <w:rPr>
          <w:spacing w:val="-2"/>
        </w:rPr>
        <w:t>①资产支出已经发生，资产支出包括为购建或者生产符合资本化条件的资产而以支付现金、转移非现金资产或者承担带息债</w:t>
      </w:r>
      <w:r>
        <w:rPr>
          <w:spacing w:val="-64"/>
        </w:rPr>
        <w:t> </w:t>
      </w:r>
      <w:r>
        <w:rPr>
          <w:spacing w:val="-64"/>
        </w:rPr>
      </w:r>
      <w:r>
        <w:rPr/>
        <w:t>务形式发生的支出；</w:t>
      </w:r>
    </w:p>
    <w:p>
      <w:pPr>
        <w:pStyle w:val="BodyText"/>
        <w:spacing w:line="240" w:lineRule="auto" w:before="19"/>
        <w:ind w:left="153" w:right="184"/>
        <w:jc w:val="left"/>
      </w:pPr>
      <w:r>
        <w:rPr/>
        <w:t>②借款费用已经发生；</w:t>
      </w:r>
    </w:p>
    <w:p>
      <w:pPr>
        <w:pStyle w:val="BodyText"/>
        <w:spacing w:line="240" w:lineRule="auto" w:before="76"/>
        <w:ind w:left="153" w:right="184"/>
        <w:jc w:val="left"/>
      </w:pPr>
      <w:r>
        <w:rPr/>
        <w:t>③为使资产达到预定可使用或者可销售状态所必要的购建或者生产活动已经开始。</w:t>
      </w:r>
    </w:p>
    <w:p>
      <w:pPr>
        <w:pStyle w:val="BodyText"/>
        <w:spacing w:line="309" w:lineRule="auto" w:before="76"/>
        <w:ind w:left="153" w:right="184"/>
        <w:jc w:val="left"/>
      </w:pPr>
      <w:r>
        <w:rPr/>
        <w:t>（</w:t>
      </w:r>
      <w:r>
        <w:rPr>
          <w:rFonts w:ascii="Times New Roman" w:hAnsi="Times New Roman" w:cs="Times New Roman" w:eastAsia="Times New Roman" w:hint="default"/>
        </w:rPr>
        <w:t>2</w:t>
      </w:r>
      <w:r>
        <w:rPr/>
        <w:t>）借款费用资本化期间 </w:t>
      </w:r>
      <w:r>
        <w:rPr>
          <w:spacing w:val="-2"/>
        </w:rPr>
        <w:t>为购建或者生产符合资本化条件的资产发生的借款费用，在该资产达到预定可使用或者可销售状态前发生的，计入该资产的</w:t>
      </w:r>
      <w:r>
        <w:rPr>
          <w:spacing w:val="-64"/>
        </w:rPr>
        <w:t> </w:t>
      </w:r>
      <w:r>
        <w:rPr>
          <w:spacing w:val="-64"/>
        </w:rPr>
      </w:r>
      <w:r>
        <w:rPr/>
        <w:t>成本；在该资产达到预定可使用或者可销售状态后发生的，计入当期损益。</w:t>
      </w:r>
    </w:p>
    <w:p>
      <w:pPr>
        <w:spacing w:line="240" w:lineRule="auto" w:before="12"/>
        <w:rPr>
          <w:rFonts w:ascii="宋体" w:hAnsi="宋体" w:cs="宋体" w:eastAsia="宋体" w:hint="default"/>
          <w:sz w:val="22"/>
          <w:szCs w:val="22"/>
        </w:rPr>
      </w:pPr>
    </w:p>
    <w:p>
      <w:pPr>
        <w:pStyle w:val="Heading4"/>
        <w:spacing w:line="240" w:lineRule="auto"/>
        <w:ind w:right="184"/>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81"/>
        <w:jc w:val="left"/>
      </w:pPr>
      <w:r>
        <w:rPr/>
        <w:t>符合资本化条件的资产在购建或者生产过程中发生非正常中断、且中断时间连续超过</w:t>
      </w:r>
      <w:r>
        <w:rPr>
          <w:rFonts w:ascii="Times New Roman" w:hAnsi="Times New Roman" w:cs="Times New Roman" w:eastAsia="Times New Roman" w:hint="default"/>
        </w:rPr>
        <w:t>3</w:t>
      </w:r>
      <w:r>
        <w:rPr/>
        <w:t>个月的，借款费用暂停资本化。当购 建或者生产符合资本化条件的资产中部分项目分别完工且可单独使用时，该部分资产借款费用停止资本化。</w:t>
      </w:r>
    </w:p>
    <w:p>
      <w:pPr>
        <w:spacing w:line="240" w:lineRule="auto" w:before="6"/>
        <w:rPr>
          <w:rFonts w:ascii="宋体" w:hAnsi="宋体" w:cs="宋体" w:eastAsia="宋体" w:hint="default"/>
          <w:sz w:val="23"/>
          <w:szCs w:val="23"/>
        </w:rPr>
      </w:pPr>
    </w:p>
    <w:p>
      <w:pPr>
        <w:pStyle w:val="Heading4"/>
        <w:spacing w:line="240" w:lineRule="auto"/>
        <w:ind w:right="184"/>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84"/>
        <w:jc w:val="left"/>
      </w:pPr>
      <w:r>
        <w:rPr/>
        <w:t>本公司按月计算借款费用资本化金额。 </w:t>
      </w:r>
      <w:r>
        <w:rPr>
          <w:spacing w:val="-2"/>
        </w:rPr>
        <w:t>专门借款的利息费用（扣除尚未动用的借款资金存入银行取得的利息收入或者进行暂时性投资取得的投资收益）及其辅助费</w:t>
      </w:r>
      <w:r>
        <w:rPr>
          <w:spacing w:val="-64"/>
        </w:rPr>
        <w:t> </w:t>
      </w:r>
      <w:r>
        <w:rPr>
          <w:spacing w:val="-64"/>
        </w:rPr>
      </w:r>
      <w:r>
        <w:rPr/>
        <w:t>用在所购建或者生产的符合资本化条件的资产达到预定可使用或者可销售状态前，予以资本化。 </w:t>
      </w:r>
      <w:r>
        <w:rPr>
          <w:spacing w:val="-2"/>
        </w:rPr>
        <w:t>根据累计资产支出超过专门借款部分的资产支出加权平均数乘以所占用一般借款的资本化率，计算确定一般借款应予资本化</w:t>
      </w:r>
      <w:r>
        <w:rPr>
          <w:spacing w:val="-64"/>
        </w:rPr>
        <w:t> </w:t>
      </w:r>
      <w:r>
        <w:rPr>
          <w:spacing w:val="-64"/>
        </w:rPr>
      </w:r>
      <w:r>
        <w:rPr/>
        <w:t>的利息金额。资本化率根据一般借款加权平均利率计算确定。 借款存在折价或者溢价的，按照实际利率法确定每一会计期间应摊销的折价或者溢价金额，调整每期利息金额。 在资本化期间内，外币专门借款本金及利息的汇兑差额，应当予以资本化，计入符合资本化条件的资产成本。</w:t>
      </w:r>
    </w:p>
    <w:p>
      <w:pPr>
        <w:spacing w:line="240" w:lineRule="auto" w:before="7"/>
        <w:rPr>
          <w:rFonts w:ascii="宋体" w:hAnsi="宋体" w:cs="宋体" w:eastAsia="宋体" w:hint="default"/>
          <w:sz w:val="22"/>
          <w:szCs w:val="22"/>
        </w:rPr>
      </w:pPr>
    </w:p>
    <w:p>
      <w:pPr>
        <w:pStyle w:val="Heading4"/>
        <w:spacing w:line="240" w:lineRule="auto"/>
        <w:ind w:right="184"/>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84"/>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91"/>
        <w:jc w:val="left"/>
      </w:pPr>
      <w:r>
        <w:rPr>
          <w:spacing w:val="-2"/>
        </w:rPr>
        <w:t>本公司无形资产按照实际成本进行初始计量。购买无形资产的价款超过正常信用条件延期支付，实质上具有融资性质的，无</w:t>
      </w:r>
      <w:r>
        <w:rPr>
          <w:spacing w:val="-66"/>
        </w:rPr>
        <w:t> </w:t>
      </w:r>
      <w:r>
        <w:rPr>
          <w:spacing w:val="-66"/>
        </w:rPr>
      </w:r>
      <w:r>
        <w:rPr/>
        <w:t>形资产的成本为购买价款的现值。 </w:t>
      </w:r>
      <w:r>
        <w:rPr>
          <w:spacing w:val="-2"/>
        </w:rPr>
        <w:t>通过债务重组取得债务人用以抵债的无形资产，以该无形资产的公允价值为基础确定其入账价值；在非货币性资产交换具备</w:t>
      </w:r>
      <w:r>
        <w:rPr>
          <w:spacing w:val="-64"/>
        </w:rPr>
        <w:t> </w:t>
      </w:r>
      <w:r>
        <w:rPr>
          <w:spacing w:val="-64"/>
        </w:rPr>
      </w:r>
      <w:r>
        <w:rPr>
          <w:spacing w:val="-2"/>
        </w:rPr>
        <w:t>商业实质和换入资产或换出资产的公允价值能够可靠计量的前提下，非货币性资产交换换入的无形资产通常以换出资产的公</w:t>
      </w:r>
      <w:r>
        <w:rPr>
          <w:spacing w:val="-64"/>
        </w:rPr>
        <w:t> </w:t>
      </w:r>
      <w:r>
        <w:rPr>
          <w:spacing w:val="-64"/>
        </w:rPr>
      </w:r>
      <w:r>
        <w:rPr/>
        <w:t>允价值为基础确定其入账价值，除非有确凿证据表明换入资产的公允价值更加可靠；不满足上述前提的非货币性资产交换， 以换出资产的账面价值和应支付的相关税费作为换入无形资产的成本，不确认损益。</w:t>
      </w:r>
    </w:p>
    <w:p>
      <w:pPr>
        <w:spacing w:after="0" w:line="316"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本公司于取得无形资产时分析判断其使用寿命。无形资产的使用寿命如为有限的，本公司估计该使用寿命的年限或者构成使</w:t>
      </w:r>
      <w:r>
        <w:rPr>
          <w:spacing w:val="-64"/>
        </w:rPr>
        <w:t> </w:t>
      </w:r>
      <w:r>
        <w:rPr>
          <w:spacing w:val="-64"/>
        </w:rPr>
      </w:r>
      <w:r>
        <w:rPr/>
        <w:t>用寿命的产量等类似计量单位数量，无法预见无形资产为本公司带来经济利益期限的，视为使用寿命不确定的无形资产。 无形资产的摊销 </w:t>
      </w:r>
      <w:r>
        <w:rPr>
          <w:spacing w:val="-2"/>
        </w:rPr>
        <w:t>使用寿命有限的无形资产，自取得当月起在预计使用寿命内采用直线法摊销；使用寿命不确定的无形资产，不予摊销，期末</w:t>
      </w:r>
      <w:r>
        <w:rPr>
          <w:spacing w:val="-66"/>
        </w:rPr>
        <w:t> </w:t>
      </w:r>
      <w:r>
        <w:rPr>
          <w:spacing w:val="-66"/>
        </w:rPr>
      </w:r>
      <w:r>
        <w:rPr/>
        <w:t>进行减值测试。</w:t>
      </w:r>
    </w:p>
    <w:p>
      <w:pPr>
        <w:pStyle w:val="BodyText"/>
        <w:spacing w:line="316" w:lineRule="auto" w:before="19"/>
        <w:ind w:left="227" w:right="517" w:hanging="74"/>
        <w:jc w:val="left"/>
      </w:pPr>
      <w:r>
        <w:rPr/>
        <w:t>本公司至少于每年年度终了时，对无形资产的使用寿命及摊销方法进行复核，必要时进行调整。 本公司期末预计某项无形资产已经不能给企业带来未来经济利益的，将该项无形资产的账面价值全部转入当期损益。</w:t>
      </w: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line="240" w:lineRule="auto" w:before="11"/>
        <w:rPr>
          <w:rFonts w:ascii="宋体" w:hAnsi="宋体" w:cs="宋体" w:eastAsia="宋体" w:hint="default"/>
          <w:sz w:val="19"/>
          <w:szCs w:val="19"/>
        </w:rPr>
      </w:pPr>
    </w:p>
    <w:p>
      <w:pPr>
        <w:spacing w:line="547" w:lineRule="auto" w:before="35"/>
        <w:ind w:left="154" w:right="563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）无形资产减值准备的计提</w:t>
      </w:r>
      <w:r>
        <w:rPr>
          <w:rFonts w:ascii="宋体" w:hAnsi="宋体" w:cs="宋体" w:eastAsia="宋体" w:hint="default"/>
          <w:b/>
          <w:bCs/>
          <w:spacing w:val="1"/>
          <w:w w:val="99"/>
          <w:sz w:val="21"/>
          <w:szCs w:val="21"/>
        </w:rPr>
        <w:t> </w:t>
      </w:r>
      <w:r>
        <w:rPr>
          <w:rFonts w:ascii="宋体" w:hAnsi="宋体" w:cs="宋体" w:eastAsia="宋体" w:hint="default"/>
          <w:sz w:val="18"/>
          <w:szCs w:val="18"/>
        </w:rPr>
        <w:t>本公司无形资产的减值准备计提方法见附注二、</w:t>
      </w:r>
      <w:r>
        <w:rPr>
          <w:rFonts w:ascii="Times New Roman" w:hAnsi="Times New Roman" w:cs="Times New Roman" w:eastAsia="Times New Roman" w:hint="default"/>
          <w:sz w:val="18"/>
          <w:szCs w:val="18"/>
        </w:rPr>
        <w:t>23</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316" w:lineRule="auto" w:before="50"/>
        <w:ind w:left="153" w:right="0"/>
        <w:jc w:val="left"/>
      </w:pPr>
      <w:r>
        <w:rPr>
          <w:spacing w:val="-2"/>
        </w:rPr>
        <w:t>长期待摊费用是指本公司已经发生但应由本期和以后各期负担的期限在一年以上的各项费用。长期待摊费用在受益期内平均</w:t>
      </w:r>
      <w:r>
        <w:rPr>
          <w:spacing w:val="-64"/>
        </w:rPr>
        <w:t> </w:t>
      </w:r>
      <w:r>
        <w:rPr>
          <w:spacing w:val="-64"/>
        </w:rPr>
      </w:r>
      <w:r>
        <w:rPr/>
        <w:t>摊销，其中：</w:t>
      </w:r>
    </w:p>
    <w:p>
      <w:pPr>
        <w:pStyle w:val="BodyText"/>
        <w:spacing w:line="240" w:lineRule="auto" w:before="19"/>
        <w:ind w:left="153" w:right="0"/>
        <w:jc w:val="left"/>
      </w:pPr>
      <w:r>
        <w:rPr/>
        <w:t>（</w:t>
      </w:r>
      <w:r>
        <w:rPr>
          <w:rFonts w:ascii="Times New Roman" w:hAnsi="Times New Roman" w:cs="Times New Roman" w:eastAsia="Times New Roman" w:hint="default"/>
        </w:rPr>
        <w:t>1</w:t>
      </w:r>
      <w:r>
        <w:rPr/>
        <w:t>）预付经营租入固定资产的租金，按租赁合同规定的期限平均摊销。</w:t>
      </w:r>
    </w:p>
    <w:p>
      <w:pPr>
        <w:pStyle w:val="BodyText"/>
        <w:spacing w:line="240" w:lineRule="auto" w:before="63"/>
        <w:ind w:left="153" w:right="0"/>
        <w:jc w:val="left"/>
      </w:pPr>
      <w:r>
        <w:rPr/>
        <w:t>（</w:t>
      </w:r>
      <w:r>
        <w:rPr>
          <w:rFonts w:ascii="Times New Roman" w:hAnsi="Times New Roman" w:cs="Times New Roman" w:eastAsia="Times New Roman" w:hint="default"/>
        </w:rPr>
        <w:t>2</w:t>
      </w:r>
      <w:r>
        <w:rPr/>
        <w:t>）经营租赁方式租入的固定资产改良支出，按剩余租赁期与租赁资产尚可使用年限两者中较短的期限平均摊销。</w:t>
      </w:r>
    </w:p>
    <w:p>
      <w:pPr>
        <w:pStyle w:val="BodyText"/>
        <w:spacing w:line="300" w:lineRule="auto" w:before="63"/>
        <w:ind w:left="153" w:right="141"/>
        <w:jc w:val="left"/>
      </w:pPr>
      <w:r>
        <w:rPr/>
        <w:t>（</w:t>
      </w:r>
      <w:r>
        <w:rPr>
          <w:rFonts w:ascii="Times New Roman" w:hAnsi="Times New Roman" w:cs="Times New Roman" w:eastAsia="Times New Roman" w:hint="default"/>
        </w:rPr>
        <w:t>3</w:t>
      </w:r>
      <w:r>
        <w:rPr/>
        <w:t>）融资租赁方式租入的固定资产，其符合资本化条件的装修费用，在两次装修间隔期间、剩余租赁期和固定资产尚可使 用年限三者中较短的期限平均摊销。</w:t>
      </w:r>
    </w:p>
    <w:p>
      <w:pPr>
        <w:pStyle w:val="BodyText"/>
        <w:spacing w:line="240" w:lineRule="auto" w:before="31"/>
        <w:ind w:left="153" w:right="0"/>
        <w:jc w:val="left"/>
      </w:pPr>
      <w:r>
        <w:rPr/>
        <w:t>对不能使以后会计期间受益的长期待摊费用项目，其摊余价值全部计入当期损益。</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19</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因未决诉讼、产品质量保证、亏损合同、油气资产弃置义务等形成的现实义务，其履行很可能导致经济利益的流出，在该义</w:t>
      </w:r>
      <w:r>
        <w:rPr>
          <w:spacing w:val="-66"/>
        </w:rPr>
        <w:t> </w:t>
      </w:r>
      <w:r>
        <w:rPr>
          <w:spacing w:val="-66"/>
        </w:rPr>
      </w:r>
      <w:r>
        <w:rPr/>
        <w:t>务的金额能够可靠计量时，确认为预计负债。</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0"/>
        <w:jc w:val="left"/>
      </w:pPr>
      <w:r>
        <w:rPr>
          <w:spacing w:val="-2"/>
        </w:rPr>
        <w:t>预计负债按照履行相关现实义务所需支出的最佳估计数进行初始计量，并综合考虑或有事项有关的风险、不确定性和货币时</w:t>
      </w:r>
      <w:r>
        <w:rPr>
          <w:spacing w:val="-64"/>
        </w:rPr>
        <w:t> </w:t>
      </w:r>
      <w:r>
        <w:rPr>
          <w:spacing w:val="-64"/>
        </w:rPr>
      </w:r>
      <w:r>
        <w:rPr/>
        <w:t>间价值等因素。货币时间价值影响重大的，通过对相关未来现金流出进行折现后确定最佳估计数。 </w:t>
      </w:r>
      <w:r>
        <w:rPr>
          <w:spacing w:val="-2"/>
        </w:rPr>
        <w:t>满足预计负债确认条件的油气资产弃置义务确认为预计负债，同时计入相关油气资产的原价，金额等于根据当地条件及相关</w:t>
      </w:r>
      <w:r>
        <w:rPr>
          <w:spacing w:val="-64"/>
        </w:rPr>
        <w:t> </w:t>
      </w:r>
      <w:r>
        <w:rPr>
          <w:spacing w:val="-64"/>
        </w:rPr>
      </w:r>
      <w:r>
        <w:rPr/>
        <w:t>要求作出的预计未来支出的现值。</w:t>
      </w:r>
    </w:p>
    <w:p>
      <w:pPr>
        <w:pStyle w:val="BodyText"/>
        <w:spacing w:line="240" w:lineRule="auto" w:before="19"/>
        <w:ind w:left="350" w:right="194"/>
        <w:jc w:val="center"/>
      </w:pPr>
      <w:r>
        <w:rPr/>
        <w:t>不符合预计负债确认条件的，在废弃时发生的拆卸、搬移、场地清理等支出在实际发生时作为清理费用计入当期损益。</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20</w:t>
      </w:r>
      <w:r>
        <w:rPr/>
        <w:t>、收入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销售商品收入，同时满足下列条件时予以确认：已将商品所有权上的主要风险和报酬转移给购买方；既没有保留通常与所有</w:t>
      </w:r>
      <w:r>
        <w:rPr>
          <w:spacing w:val="-66"/>
        </w:rPr>
        <w:t> </w:t>
      </w:r>
      <w:r>
        <w:rPr>
          <w:spacing w:val="-66"/>
        </w:rPr>
      </w:r>
      <w:r>
        <w:rPr>
          <w:spacing w:val="-2"/>
        </w:rPr>
        <w:t>权相联系的继续管理权，也没有对已售出的商品实施有效控制；相关的经济利益很可能流入本公司；相关的收入和成本能够</w:t>
      </w:r>
    </w:p>
    <w:p>
      <w:pPr>
        <w:spacing w:after="0" w:line="316"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4" w:lineRule="auto" w:before="44"/>
        <w:ind w:left="153" w:right="173"/>
        <w:jc w:val="left"/>
      </w:pPr>
      <w:r>
        <w:rPr/>
        <w:t>可靠的计量。 （</w:t>
      </w:r>
      <w:r>
        <w:rPr>
          <w:rFonts w:ascii="Times New Roman" w:hAnsi="Times New Roman" w:cs="Times New Roman" w:eastAsia="Times New Roman" w:hint="default"/>
        </w:rPr>
        <w:t>2</w:t>
      </w:r>
      <w:r>
        <w:rPr/>
        <w:t>）提供劳务</w:t>
      </w:r>
      <w:r>
        <w:rPr>
          <w:spacing w:val="10"/>
        </w:rPr>
        <w:t> </w:t>
      </w:r>
      <w:r>
        <w:rPr/>
        <w:t>在资产负债表日提供劳务交易的结果能够可靠估计的，采用完工百分比法确认。按照从接</w:t>
      </w:r>
      <w:r>
        <w:rPr/>
        <w:t> 受劳务方已收或应收的合同或协议价款确定提供劳务收入总额，但已收或应收的合同或协议价款不公允的除外。</w:t>
      </w:r>
      <w:r>
        <w:rPr>
          <w:spacing w:val="7"/>
        </w:rPr>
        <w:t> </w:t>
      </w:r>
      <w:r>
        <w:rPr/>
        <w:t>在资产负</w:t>
      </w:r>
      <w:r>
        <w:rPr/>
        <w:t> 债表日提供劳务交易结果不能够可靠估计的，分别下列情况处理：</w:t>
      </w:r>
      <w:r>
        <w:rPr>
          <w:spacing w:val="8"/>
        </w:rPr>
        <w:t> </w:t>
      </w:r>
      <w:r>
        <w:rPr/>
        <w:t>①已发生的劳务成本预计能够得到补偿的，按照已经发</w:t>
      </w:r>
      <w:r>
        <w:rPr/>
        <w:t> 生的劳务成本金额确认提供劳务收入，并按相同金额结转劳务成本。</w:t>
      </w:r>
      <w:r>
        <w:rPr>
          <w:spacing w:val="8"/>
        </w:rPr>
        <w:t> </w:t>
      </w:r>
      <w:r>
        <w:rPr/>
        <w:t>②已发生的劳务成本预计不能够得到补偿的，将已经</w:t>
      </w:r>
      <w:r>
        <w:rPr/>
        <w:t> 发生的劳务成本计入当期损益，不确认提供劳务收入。</w:t>
      </w:r>
    </w:p>
    <w:p>
      <w:pPr>
        <w:spacing w:line="240" w:lineRule="auto" w:before="6"/>
        <w:rPr>
          <w:rFonts w:ascii="宋体" w:hAnsi="宋体" w:cs="宋体" w:eastAsia="宋体" w:hint="default"/>
          <w:sz w:val="22"/>
          <w:szCs w:val="22"/>
        </w:rPr>
      </w:pPr>
    </w:p>
    <w:p>
      <w:pPr>
        <w:pStyle w:val="Heading4"/>
        <w:spacing w:line="240" w:lineRule="auto"/>
        <w:ind w:right="184"/>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84"/>
        <w:jc w:val="left"/>
      </w:pPr>
      <w:r>
        <w:rPr/>
        <w:t>与交易相关的经济利益很可能流入本公司，收入的金额能够可靠地计量时，分别下列情况确定让渡资产使用权收入金额：</w:t>
      </w:r>
    </w:p>
    <w:p>
      <w:pPr>
        <w:pStyle w:val="BodyText"/>
        <w:spacing w:line="240" w:lineRule="auto" w:before="76"/>
        <w:ind w:right="184"/>
        <w:jc w:val="left"/>
      </w:pPr>
      <w:r>
        <w:rPr/>
        <w:t>①利息收入金额，按照他人使用本公司货币资金的时间和实际利率计算确定。</w:t>
      </w:r>
    </w:p>
    <w:p>
      <w:pPr>
        <w:pStyle w:val="BodyText"/>
        <w:spacing w:line="240" w:lineRule="auto" w:before="76"/>
        <w:ind w:right="184"/>
        <w:jc w:val="left"/>
      </w:pPr>
      <w:r>
        <w:rPr/>
        <w:t>②使用费收入金额，按照有关合同或协议约定的收费时间和方法计算确定。</w:t>
      </w:r>
    </w:p>
    <w:p>
      <w:pPr>
        <w:spacing w:line="240" w:lineRule="auto" w:before="12"/>
        <w:rPr>
          <w:rFonts w:ascii="宋体" w:hAnsi="宋体" w:cs="宋体" w:eastAsia="宋体" w:hint="default"/>
          <w:sz w:val="26"/>
          <w:szCs w:val="26"/>
        </w:rPr>
      </w:pPr>
    </w:p>
    <w:p>
      <w:pPr>
        <w:pStyle w:val="Heading4"/>
        <w:spacing w:line="240" w:lineRule="auto"/>
        <w:ind w:right="184"/>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4"/>
        <w:jc w:val="left"/>
      </w:pPr>
      <w:r>
        <w:rPr>
          <w:spacing w:val="-2"/>
        </w:rPr>
        <w:t>房地产销售在房产完工并验收合格，达到了销售合同约定的交付条件，收到了买方按销售合同约定交付房产的款项时，已向</w:t>
      </w:r>
      <w:r>
        <w:rPr>
          <w:spacing w:val="-66"/>
        </w:rPr>
        <w:t> </w:t>
      </w:r>
      <w:r>
        <w:rPr>
          <w:spacing w:val="-66"/>
        </w:rPr>
      </w:r>
      <w:r>
        <w:rPr/>
        <w:t>购买方发出书面交房通知</w:t>
      </w:r>
      <w:r>
        <w:rPr>
          <w:rFonts w:ascii="Times New Roman" w:hAnsi="Times New Roman" w:cs="Times New Roman" w:eastAsia="Times New Roman" w:hint="default"/>
        </w:rPr>
        <w:t>,</w:t>
      </w:r>
      <w:r>
        <w:rPr/>
        <w:t>于书面交房通知确定的交付使用时限结束后，确认销售收入的实现。</w:t>
      </w:r>
    </w:p>
    <w:p>
      <w:pPr>
        <w:spacing w:line="240" w:lineRule="auto" w:before="0"/>
        <w:rPr>
          <w:rFonts w:ascii="宋体" w:hAnsi="宋体" w:cs="宋体" w:eastAsia="宋体" w:hint="default"/>
          <w:sz w:val="21"/>
          <w:szCs w:val="21"/>
        </w:rPr>
      </w:pPr>
    </w:p>
    <w:p>
      <w:pPr>
        <w:pStyle w:val="Heading4"/>
        <w:spacing w:line="240" w:lineRule="auto"/>
        <w:ind w:right="184"/>
        <w:jc w:val="left"/>
        <w:rPr>
          <w:b w:val="0"/>
          <w:bCs w:val="0"/>
        </w:rPr>
      </w:pPr>
      <w:r>
        <w:rPr>
          <w:rFonts w:ascii="Times New Roman" w:hAnsi="Times New Roman" w:cs="Times New Roman" w:eastAsia="Times New Roman" w:hint="default"/>
        </w:rPr>
        <w:t>21</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84"/>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84"/>
        <w:jc w:val="left"/>
      </w:pPr>
      <w:r>
        <w:rPr/>
        <w:t>政府补助分为与资产相关的政府补助和与收益相关的政府补助</w:t>
      </w:r>
    </w:p>
    <w:p>
      <w:pPr>
        <w:spacing w:line="240" w:lineRule="auto" w:before="11"/>
        <w:rPr>
          <w:rFonts w:ascii="宋体" w:hAnsi="宋体" w:cs="宋体" w:eastAsia="宋体" w:hint="default"/>
          <w:sz w:val="26"/>
          <w:szCs w:val="26"/>
        </w:rPr>
      </w:pPr>
    </w:p>
    <w:p>
      <w:pPr>
        <w:pStyle w:val="Heading4"/>
        <w:spacing w:line="240" w:lineRule="auto"/>
        <w:ind w:right="184"/>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5491"/>
        <w:jc w:val="left"/>
      </w:pPr>
      <w:r>
        <w:rPr/>
        <w:t>（</w:t>
      </w:r>
      <w:r>
        <w:rPr>
          <w:rFonts w:ascii="Times New Roman" w:hAnsi="Times New Roman" w:cs="Times New Roman" w:eastAsia="Times New Roman" w:hint="default"/>
        </w:rPr>
        <w:t>1</w:t>
      </w:r>
      <w:r>
        <w:rPr/>
        <w:t>）政府补助的确认与计量 政府补助在满足政府补助所附条件并能够收到时确认。</w:t>
      </w:r>
    </w:p>
    <w:p>
      <w:pPr>
        <w:pStyle w:val="BodyText"/>
        <w:spacing w:line="316" w:lineRule="auto" w:before="31"/>
        <w:ind w:left="153" w:right="91"/>
        <w:jc w:val="left"/>
      </w:pPr>
      <w:r>
        <w:rPr/>
        <w:t>政府补助为货币性资产的，按照收到或应收的金额计量（其中，存在确凿证据表明该项补助是按照固定的定额标准拨付的， </w:t>
      </w:r>
      <w:r>
        <w:rPr>
          <w:spacing w:val="-2"/>
        </w:rPr>
        <w:t>可以按照应收的金额计量，否则应当按照实际收到的金额计量）；政府补助为非货币性资产的，按照公允价值计量；公允价</w:t>
      </w:r>
      <w:r>
        <w:rPr>
          <w:spacing w:val="-66"/>
        </w:rPr>
        <w:t> </w:t>
      </w:r>
      <w:r>
        <w:rPr>
          <w:spacing w:val="-66"/>
        </w:rPr>
      </w:r>
      <w:r>
        <w:rPr/>
        <w:t>值不能可靠取得的，按照名义金额计量。</w:t>
      </w:r>
    </w:p>
    <w:p>
      <w:pPr>
        <w:pStyle w:val="BodyText"/>
        <w:spacing w:line="309" w:lineRule="auto" w:before="19"/>
        <w:ind w:left="153" w:right="2251"/>
        <w:jc w:val="left"/>
      </w:pPr>
      <w:r>
        <w:rPr/>
        <w:t>（</w:t>
      </w:r>
      <w:r>
        <w:rPr>
          <w:rFonts w:ascii="Times New Roman" w:hAnsi="Times New Roman" w:cs="Times New Roman" w:eastAsia="Times New Roman" w:hint="default"/>
        </w:rPr>
        <w:t>2</w:t>
      </w:r>
      <w:r>
        <w:rPr/>
        <w:t>）政府补助的会计处理 与资产相关的政府补助，确认为递延收益，并在相关资产适用寿命内平均分配，计入当期损益。 按照名义金额计量的政府补助，直接计入当期损益。</w:t>
      </w:r>
    </w:p>
    <w:p>
      <w:pPr>
        <w:pStyle w:val="BodyText"/>
        <w:spacing w:line="316" w:lineRule="auto" w:before="24"/>
        <w:ind w:left="153" w:right="184"/>
        <w:jc w:val="left"/>
      </w:pPr>
      <w:r>
        <w:rPr>
          <w:spacing w:val="-2"/>
        </w:rPr>
        <w:t>与收益相关的政府补助，用于补偿企业以后期间的相关费用或损失的，确认为递延收益，并在确认相关费用的期间，计入当</w:t>
      </w:r>
      <w:r>
        <w:rPr>
          <w:spacing w:val="-66"/>
        </w:rPr>
        <w:t> </w:t>
      </w:r>
      <w:r>
        <w:rPr>
          <w:spacing w:val="-66"/>
        </w:rPr>
      </w:r>
      <w:r>
        <w:rPr/>
        <w:t>期损益；用于补偿企业已发生的相关费用或损失的，直接计入当期损益。</w:t>
      </w:r>
    </w:p>
    <w:p>
      <w:pPr>
        <w:spacing w:line="240" w:lineRule="auto" w:before="7"/>
        <w:rPr>
          <w:rFonts w:ascii="宋体" w:hAnsi="宋体" w:cs="宋体" w:eastAsia="宋体" w:hint="default"/>
          <w:sz w:val="22"/>
          <w:szCs w:val="22"/>
        </w:rPr>
      </w:pPr>
    </w:p>
    <w:p>
      <w:pPr>
        <w:pStyle w:val="Heading4"/>
        <w:spacing w:line="240" w:lineRule="auto"/>
        <w:ind w:right="184"/>
        <w:jc w:val="left"/>
        <w:rPr>
          <w:b w:val="0"/>
          <w:bCs w:val="0"/>
        </w:rPr>
      </w:pPr>
      <w:r>
        <w:rPr>
          <w:rFonts w:ascii="Times New Roman" w:hAnsi="Times New Roman" w:cs="Times New Roman" w:eastAsia="Times New Roman" w:hint="default"/>
        </w:rPr>
        <w:t>22</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4"/>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90"/>
        <w:jc w:val="left"/>
      </w:pPr>
      <w:r>
        <w:rPr/>
        <w:t>本公司根据资产、负债于资产负债表日的账面价值与计税基础之间的暂时性差异，采用资产负债表债务法确认递延所得税。 </w:t>
      </w:r>
      <w:r>
        <w:rPr>
          <w:spacing w:val="-2"/>
        </w:rPr>
        <w:t>除由于企业合并产生的调整商誉，或与直接计入所有者权益的交易或者事项相关的递延所得税计入所有者权益外，递延所得</w:t>
      </w:r>
      <w:r>
        <w:rPr>
          <w:spacing w:val="-64"/>
        </w:rPr>
        <w:t> </w:t>
      </w:r>
      <w:r>
        <w:rPr>
          <w:spacing w:val="-64"/>
        </w:rPr>
      </w:r>
      <w:r>
        <w:rPr/>
        <w:t>税均作为所得税费用计入当期损益。</w:t>
      </w:r>
    </w:p>
    <w:p>
      <w:pPr>
        <w:spacing w:after="0" w:line="319" w:lineRule="auto"/>
        <w:jc w:val="left"/>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Heading4"/>
        <w:spacing w:line="240" w:lineRule="auto" w:before="35"/>
        <w:ind w:right="184"/>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8"/>
        <w:rPr>
          <w:rFonts w:ascii="宋体" w:hAnsi="宋体" w:cs="宋体" w:eastAsia="宋体" w:hint="default"/>
          <w:b/>
          <w:bCs/>
          <w:sz w:val="26"/>
          <w:szCs w:val="26"/>
        </w:rPr>
      </w:pPr>
    </w:p>
    <w:p>
      <w:pPr>
        <w:pStyle w:val="BodyText"/>
        <w:spacing w:line="312" w:lineRule="auto"/>
        <w:ind w:right="108" w:hanging="130"/>
        <w:jc w:val="center"/>
      </w:pPr>
      <w:r>
        <w:rPr/>
        <w:t>各项应纳税暂时性差异均确认相关的递延所得税负债，除非该应纳税暂时性差异是在以下交易中产生的：</w:t>
      </w:r>
      <w:r>
        <w:rPr>
          <w:spacing w:val="50"/>
        </w:rPr>
        <w:t> </w:t>
      </w:r>
      <w:r>
        <w:rPr/>
        <w:t>（</w:t>
      </w:r>
      <w:r>
        <w:rPr>
          <w:rFonts w:ascii="Times New Roman" w:hAnsi="Times New Roman" w:cs="Times New Roman" w:eastAsia="Times New Roman" w:hint="default"/>
        </w:rPr>
        <w:t>1</w:t>
      </w:r>
      <w:r>
        <w:rPr/>
        <w:t>）商誉的初 </w:t>
      </w:r>
      <w:r>
        <w:rPr>
          <w:spacing w:val="-2"/>
        </w:rPr>
        <w:t>始确认，或者具有以下特征的交易中产生的资产或负债的初始确认：该交易不是企业合并，并且交易发生时既不影响会计利</w:t>
      </w:r>
      <w:r>
        <w:rPr/>
        <w:t> 润也不影响应纳税所得额；</w:t>
      </w:r>
      <w:r>
        <w:rPr>
          <w:spacing w:val="50"/>
        </w:rPr>
        <w:t> </w:t>
      </w:r>
      <w:r>
        <w:rPr/>
        <w:t>（</w:t>
      </w:r>
      <w:r>
        <w:rPr>
          <w:rFonts w:ascii="Times New Roman" w:hAnsi="Times New Roman" w:cs="Times New Roman" w:eastAsia="Times New Roman" w:hint="default"/>
        </w:rPr>
        <w:t>2</w:t>
      </w:r>
      <w:r>
        <w:rPr/>
        <w:t>）具有以下特征的交易中产生的资产或负债的初始确认：该交易不是企业合并，并且交易 发生时既不影响会计利润也不影响应纳税所得额；</w:t>
      </w:r>
      <w:r>
        <w:rPr>
          <w:spacing w:val="50"/>
        </w:rPr>
        <w:t> </w:t>
      </w:r>
      <w:r>
        <w:rPr/>
        <w:t>（</w:t>
      </w:r>
      <w:r>
        <w:rPr>
          <w:rFonts w:ascii="Times New Roman" w:hAnsi="Times New Roman" w:cs="Times New Roman" w:eastAsia="Times New Roman" w:hint="default"/>
        </w:rPr>
        <w:t>3</w:t>
      </w:r>
      <w:r>
        <w:rPr/>
        <w:t>）对于与子公司、合营企业及联营企业投资相关的应纳税暂时性差 异，该暂时性差异转回的时间能够控制并且该暂时性差异在可预见的未来很可能不会转回。</w:t>
      </w:r>
      <w:r>
        <w:rPr>
          <w:spacing w:val="14"/>
        </w:rPr>
        <w:t> </w:t>
      </w:r>
      <w:r>
        <w:rPr/>
        <w:t>对于可抵扣暂时性差异、能够</w:t>
      </w:r>
      <w:r>
        <w:rPr/>
        <w:t> </w:t>
      </w:r>
      <w:r>
        <w:rPr>
          <w:spacing w:val="-2"/>
        </w:rPr>
        <w:t>结转以后年度的可抵扣亏损和税款抵减，本公司以很可能取得用来抵扣可抵扣暂时性差异、可抵扣亏损和税款抵减的未来应</w:t>
      </w:r>
      <w:r>
        <w:rPr/>
        <w:t> 纳税所得额为限，确认由此产生的递延所得税资产，除非该可抵扣暂时性差异是在以下交易中产生的：</w:t>
      </w:r>
      <w:r>
        <w:rPr>
          <w:spacing w:val="50"/>
        </w:rPr>
        <w:t> </w:t>
      </w:r>
      <w:r>
        <w:rPr/>
        <w:t>（</w:t>
      </w:r>
      <w:r>
        <w:rPr>
          <w:rFonts w:ascii="Times New Roman" w:hAnsi="Times New Roman" w:cs="Times New Roman" w:eastAsia="Times New Roman" w:hint="default"/>
        </w:rPr>
        <w:t>1</w:t>
      </w:r>
      <w:r>
        <w:rPr/>
        <w:t>）该交易不是 企业合并，并且交易发生时既不影响会计利润也不影响应纳税所得额；</w:t>
      </w:r>
      <w:r>
        <w:rPr>
          <w:spacing w:val="50"/>
        </w:rPr>
        <w:t> </w:t>
      </w:r>
      <w:r>
        <w:rPr/>
        <w:t>（</w:t>
      </w:r>
      <w:r>
        <w:rPr>
          <w:rFonts w:ascii="Times New Roman" w:hAnsi="Times New Roman" w:cs="Times New Roman" w:eastAsia="Times New Roman" w:hint="default"/>
        </w:rPr>
        <w:t>2</w:t>
      </w:r>
      <w:r>
        <w:rPr/>
        <w:t>）对于与子公司、合营企业及联营企业投资相 </w:t>
      </w:r>
      <w:r>
        <w:rPr>
          <w:spacing w:val="-2"/>
        </w:rPr>
        <w:t>关的可抵扣暂时性差异，同时满足下列条件的，确认相应的递延所得税资产：暂时性差异在可预见的未来很可能转回，且未</w:t>
      </w:r>
      <w:r>
        <w:rPr/>
        <w:t> 来很可能获得用来抵扣可抵扣暂时性差异的应纳税所得额。</w:t>
      </w:r>
      <w:r>
        <w:rPr>
          <w:spacing w:val="50"/>
        </w:rPr>
        <w:t> </w:t>
      </w:r>
      <w:r>
        <w:rPr/>
        <w:t>资产负债表日，本公司对递延所得税资产和递延所得税负债，</w:t>
      </w:r>
      <w:r>
        <w:rPr/>
        <w:t> 按照预期收回该资产或清偿该负债期间的适用税率计量，并反映资产负债表日预期收回资产或清偿负债方式的所得税影响。 本公司在资产负债表日对递延所得税资产的账面价值进行复核。如果未来期间很可能无法取得足够的应纳税所得额用以抵 </w:t>
      </w:r>
      <w:r>
        <w:rPr>
          <w:spacing w:val="-2"/>
        </w:rPr>
        <w:t>扣递延所得税资产的利益，则减记递延所得税资产的账面价值，减记的金额计入当期的所得税费用。原确认时计入所有者权</w:t>
      </w:r>
      <w:r>
        <w:rPr/>
        <w:t> </w:t>
      </w:r>
      <w:r>
        <w:rPr>
          <w:spacing w:val="-2"/>
        </w:rPr>
        <w:t>益的递延所得税资产部分，其减记金额也应计入所有者权益。在很可能取得足够的应纳税所得额时，减记的递延所得税资产</w:t>
      </w:r>
    </w:p>
    <w:p>
      <w:pPr>
        <w:pStyle w:val="BodyText"/>
        <w:spacing w:line="240" w:lineRule="auto" w:before="23"/>
        <w:ind w:right="184"/>
        <w:jc w:val="left"/>
      </w:pPr>
      <w:r>
        <w:rPr/>
        <w:t>账面价值可以恢复。</w:t>
      </w:r>
    </w:p>
    <w:p>
      <w:pPr>
        <w:spacing w:line="240" w:lineRule="auto" w:before="13"/>
        <w:rPr>
          <w:rFonts w:ascii="宋体" w:hAnsi="宋体" w:cs="宋体" w:eastAsia="宋体" w:hint="default"/>
          <w:sz w:val="24"/>
          <w:szCs w:val="24"/>
        </w:rPr>
      </w:pPr>
    </w:p>
    <w:p>
      <w:pPr>
        <w:pStyle w:val="Heading2"/>
        <w:spacing w:line="240" w:lineRule="auto"/>
        <w:ind w:right="184"/>
        <w:jc w:val="left"/>
        <w:rPr>
          <w:b w:val="0"/>
          <w:bCs w:val="0"/>
        </w:rPr>
      </w:pPr>
      <w:r>
        <w:rPr/>
        <w:t>四、税项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84"/>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492"/>
        <w:gridCol w:w="3038"/>
        <w:gridCol w:w="3026"/>
      </w:tblGrid>
      <w:tr>
        <w:trPr>
          <w:trHeight w:val="402" w:hRule="exact"/>
        </w:trPr>
        <w:tc>
          <w:tcPr>
            <w:tcW w:w="3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0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商品、产品销售收入以及进出口货物</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提供劳务、销售不动产、租赁不动产</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应交增值税、营业税等流转税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房地产销售收入</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2%~3.5%</w:t>
            </w:r>
            <w:r>
              <w:rPr>
                <w:rFonts w:ascii="宋体" w:hAnsi="宋体" w:cs="宋体" w:eastAsia="宋体" w:hint="default"/>
                <w:sz w:val="18"/>
                <w:szCs w:val="18"/>
              </w:rPr>
              <w:t>预缴</w:t>
            </w:r>
          </w:p>
        </w:tc>
      </w:tr>
    </w:tbl>
    <w:p>
      <w:pPr>
        <w:pStyle w:val="BodyText"/>
        <w:spacing w:line="240" w:lineRule="auto" w:before="51"/>
        <w:ind w:right="184"/>
        <w:jc w:val="left"/>
      </w:pPr>
      <w:r>
        <w:rPr/>
        <w:t>各分公司、分厂执行的所得税税率</w:t>
      </w:r>
    </w:p>
    <w:p>
      <w:pPr>
        <w:pStyle w:val="BodyText"/>
        <w:spacing w:line="302" w:lineRule="auto" w:before="115"/>
        <w:ind w:left="153" w:right="181"/>
        <w:jc w:val="left"/>
      </w:pPr>
      <w:r>
        <w:rPr>
          <w:spacing w:val="-2"/>
        </w:rPr>
        <w:t>根据《国家税务总局关于加强土地增值税征管工作的通知》（国税发〔</w:t>
      </w:r>
      <w:r>
        <w:rPr>
          <w:rFonts w:ascii="Times New Roman" w:hAnsi="Times New Roman" w:cs="Times New Roman" w:eastAsia="Times New Roman" w:hint="default"/>
          <w:spacing w:val="-2"/>
        </w:rPr>
        <w:t>2010</w:t>
      </w:r>
      <w:r>
        <w:rPr>
          <w:spacing w:val="-2"/>
        </w:rPr>
        <w:t>〕</w:t>
      </w:r>
      <w:r>
        <w:rPr>
          <w:rFonts w:ascii="Times New Roman" w:hAnsi="Times New Roman" w:cs="Times New Roman" w:eastAsia="Times New Roman" w:hint="default"/>
          <w:spacing w:val="-2"/>
        </w:rPr>
        <w:t>53</w:t>
      </w:r>
      <w:r>
        <w:rPr>
          <w:spacing w:val="-2"/>
        </w:rPr>
        <w:t>号）的规定，对房地产开发项目土地增值税</w:t>
      </w:r>
      <w:r>
        <w:rPr>
          <w:spacing w:val="-59"/>
        </w:rPr>
        <w:t> </w:t>
      </w:r>
      <w:r>
        <w:rPr>
          <w:spacing w:val="-59"/>
        </w:rPr>
      </w:r>
      <w:r>
        <w:rPr>
          <w:spacing w:val="-2"/>
        </w:rPr>
        <w:t>预征率调整，其中对开发建设并销售经济适用住房、廉租住房等保障性住房，仍不预征土地增值税；对开发建设并销售政府</w:t>
      </w:r>
      <w:r>
        <w:rPr>
          <w:spacing w:val="-66"/>
        </w:rPr>
        <w:t> </w:t>
      </w:r>
      <w:r>
        <w:rPr>
          <w:spacing w:val="-66"/>
        </w:rPr>
      </w:r>
      <w:r>
        <w:rPr>
          <w:spacing w:val="-2"/>
        </w:rPr>
        <w:t>限价商品住房，土地增值税预征率为</w:t>
      </w:r>
      <w:r>
        <w:rPr>
          <w:rFonts w:ascii="Times New Roman" w:hAnsi="Times New Roman" w:cs="Times New Roman" w:eastAsia="Times New Roman" w:hint="default"/>
          <w:spacing w:val="-2"/>
        </w:rPr>
        <w:t>1%</w:t>
      </w:r>
      <w:r>
        <w:rPr>
          <w:spacing w:val="-2"/>
        </w:rPr>
        <w:t>；对开发建设并销售普通住房，土地增值税预征率由现行的</w:t>
      </w:r>
      <w:r>
        <w:rPr>
          <w:rFonts w:ascii="Times New Roman" w:hAnsi="Times New Roman" w:cs="Times New Roman" w:eastAsia="Times New Roman" w:hint="default"/>
          <w:spacing w:val="-2"/>
        </w:rPr>
        <w:t>1%</w:t>
      </w:r>
      <w:r>
        <w:rPr>
          <w:spacing w:val="-2"/>
        </w:rPr>
        <w:t>调至</w:t>
      </w:r>
      <w:r>
        <w:rPr>
          <w:rFonts w:ascii="Times New Roman" w:hAnsi="Times New Roman" w:cs="Times New Roman" w:eastAsia="Times New Roman" w:hint="default"/>
          <w:spacing w:val="-2"/>
        </w:rPr>
        <w:t>2%</w:t>
      </w:r>
      <w:r>
        <w:rPr>
          <w:spacing w:val="-2"/>
        </w:rPr>
        <w:t>；对开发建设</w:t>
      </w:r>
      <w:r>
        <w:rPr>
          <w:spacing w:val="-62"/>
        </w:rPr>
        <w:t> </w:t>
      </w:r>
      <w:r>
        <w:rPr>
          <w:spacing w:val="-62"/>
        </w:rPr>
      </w:r>
      <w:r>
        <w:rPr>
          <w:spacing w:val="-4"/>
        </w:rPr>
        <w:t>并销售非普通住房（含别墅）和非住房（包括商业用房、写字楼等），土地增值税预征率由现行的</w:t>
      </w:r>
      <w:r>
        <w:rPr>
          <w:rFonts w:ascii="Times New Roman" w:hAnsi="Times New Roman" w:cs="Times New Roman" w:eastAsia="Times New Roman" w:hint="default"/>
          <w:spacing w:val="-4"/>
        </w:rPr>
        <w:t>2%</w:t>
      </w:r>
      <w:r>
        <w:rPr>
          <w:spacing w:val="-4"/>
        </w:rPr>
        <w:t>调至</w:t>
      </w:r>
      <w:r>
        <w:rPr>
          <w:rFonts w:ascii="Times New Roman" w:hAnsi="Times New Roman" w:cs="Times New Roman" w:eastAsia="Times New Roman" w:hint="default"/>
          <w:spacing w:val="-4"/>
        </w:rPr>
        <w:t>3%</w:t>
      </w:r>
      <w:r>
        <w:rPr>
          <w:spacing w:val="-4"/>
        </w:rPr>
        <w:t>，该税率从</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6"/>
        </w:rPr>
        <w:t>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日起施行。 青岛市地方税务局</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日公告，原《青岛市财政局青岛市国家税务局青岛市地方税务局关于调整我市房地产税收政 策有关问题的通知》（青财源〔</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2</w:t>
      </w:r>
      <w:r>
        <w:rPr/>
        <w:t>号）第二条停止执行，从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日起房地产开发项目土地增值税预征率按国税 </w:t>
      </w:r>
      <w:r>
        <w:rPr>
          <w:spacing w:val="-1"/>
        </w:rPr>
        <w:t>发〔</w:t>
      </w:r>
      <w:r>
        <w:rPr>
          <w:rFonts w:ascii="Times New Roman" w:hAnsi="Times New Roman" w:cs="Times New Roman" w:eastAsia="Times New Roman" w:hint="default"/>
          <w:spacing w:val="-1"/>
        </w:rPr>
        <w:t>2010</w:t>
      </w:r>
      <w:r>
        <w:rPr>
          <w:spacing w:val="-1"/>
        </w:rPr>
        <w:t>〕</w:t>
      </w:r>
      <w:r>
        <w:rPr>
          <w:rFonts w:ascii="Times New Roman" w:hAnsi="Times New Roman" w:cs="Times New Roman" w:eastAsia="Times New Roman" w:hint="default"/>
          <w:spacing w:val="-1"/>
        </w:rPr>
        <w:t>53</w:t>
      </w:r>
      <w:r>
        <w:rPr>
          <w:spacing w:val="-1"/>
        </w:rPr>
        <w:t>号执行，青岛广顺房地产有限公司土地增值税</w:t>
      </w:r>
      <w:r>
        <w:rPr>
          <w:rFonts w:ascii="Times New Roman" w:hAnsi="Times New Roman" w:cs="Times New Roman" w:eastAsia="Times New Roman" w:hint="default"/>
          <w:spacing w:val="-1"/>
        </w:rPr>
        <w:t>2011</w:t>
      </w:r>
      <w:r>
        <w:rPr>
          <w:spacing w:val="-1"/>
        </w:rPr>
        <w:t>年按照</w:t>
      </w:r>
      <w:r>
        <w:rPr>
          <w:rFonts w:ascii="Times New Roman" w:hAnsi="Times New Roman" w:cs="Times New Roman" w:eastAsia="Times New Roman" w:hint="default"/>
          <w:spacing w:val="-1"/>
        </w:rPr>
        <w:t>2%</w:t>
      </w:r>
      <w:r>
        <w:rPr>
          <w:spacing w:val="-1"/>
        </w:rPr>
        <w:t>预征率预缴，</w:t>
      </w:r>
      <w:r>
        <w:rPr>
          <w:rFonts w:ascii="Times New Roman" w:hAnsi="Times New Roman" w:cs="Times New Roman" w:eastAsia="Times New Roman" w:hint="default"/>
          <w:spacing w:val="-1"/>
        </w:rPr>
        <w:t>2012</w:t>
      </w:r>
      <w:r>
        <w:rPr>
          <w:spacing w:val="-1"/>
        </w:rPr>
        <w:t>年石雀滩</w:t>
      </w:r>
      <w:r>
        <w:rPr>
          <w:rFonts w:ascii="Times New Roman" w:hAnsi="Times New Roman" w:cs="Times New Roman" w:eastAsia="Times New Roman" w:hint="default"/>
          <w:spacing w:val="-1"/>
        </w:rPr>
        <w:t>A1</w:t>
      </w:r>
      <w:r>
        <w:rPr>
          <w:spacing w:val="-1"/>
        </w:rPr>
        <w:t>、</w:t>
      </w:r>
      <w:r>
        <w:rPr>
          <w:rFonts w:ascii="Times New Roman" w:hAnsi="Times New Roman" w:cs="Times New Roman" w:eastAsia="Times New Roman" w:hint="default"/>
          <w:spacing w:val="-1"/>
        </w:rPr>
        <w:t>A2</w:t>
      </w:r>
      <w:r>
        <w:rPr>
          <w:spacing w:val="-1"/>
        </w:rPr>
        <w:t>地块属非普通</w:t>
      </w:r>
      <w:r>
        <w:rPr>
          <w:spacing w:val="-73"/>
        </w:rPr>
        <w:t> </w:t>
      </w:r>
      <w:r>
        <w:rPr>
          <w:spacing w:val="-73"/>
        </w:rPr>
      </w:r>
      <w:r>
        <w:rPr/>
        <w:t>住房，按</w:t>
      </w:r>
      <w:r>
        <w:rPr>
          <w:rFonts w:ascii="Times New Roman" w:hAnsi="Times New Roman" w:cs="Times New Roman" w:eastAsia="Times New Roman" w:hint="default"/>
        </w:rPr>
        <w:t>3%</w:t>
      </w:r>
      <w:r>
        <w:rPr/>
        <w:t>预征率预缴。 </w:t>
      </w:r>
      <w:r>
        <w:rPr>
          <w:spacing w:val="-2"/>
        </w:rPr>
        <w:t>根据</w:t>
      </w:r>
      <w:r>
        <w:rPr>
          <w:rFonts w:ascii="Times New Roman" w:hAnsi="Times New Roman" w:cs="Times New Roman" w:eastAsia="Times New Roman" w:hint="default"/>
          <w:spacing w:val="-2"/>
        </w:rPr>
        <w:t>2004</w:t>
      </w:r>
      <w:r>
        <w:rPr>
          <w:spacing w:val="-2"/>
        </w:rPr>
        <w:t>年山东省地方税务局下发的鲁地税发【</w:t>
      </w:r>
      <w:r>
        <w:rPr>
          <w:rFonts w:ascii="Times New Roman" w:hAnsi="Times New Roman" w:cs="Times New Roman" w:eastAsia="Times New Roman" w:hint="default"/>
          <w:spacing w:val="-2"/>
        </w:rPr>
        <w:t>2004</w:t>
      </w:r>
      <w:r>
        <w:rPr>
          <w:spacing w:val="-2"/>
        </w:rPr>
        <w:t>】</w:t>
      </w:r>
      <w:r>
        <w:rPr>
          <w:rFonts w:ascii="Times New Roman" w:hAnsi="Times New Roman" w:cs="Times New Roman" w:eastAsia="Times New Roman" w:hint="default"/>
          <w:spacing w:val="-2"/>
        </w:rPr>
        <w:t>33</w:t>
      </w:r>
      <w:r>
        <w:rPr>
          <w:spacing w:val="-2"/>
        </w:rPr>
        <w:t>号文《山东省地方税务局关于房地产开发企业土地增值税预征和清</w:t>
      </w:r>
      <w:r>
        <w:rPr>
          <w:spacing w:val="-56"/>
        </w:rPr>
        <w:t> </w:t>
      </w:r>
      <w:r>
        <w:rPr>
          <w:spacing w:val="-56"/>
        </w:rPr>
      </w:r>
      <w:r>
        <w:rPr>
          <w:spacing w:val="-2"/>
        </w:rPr>
        <w:t>算管理暂行办法》，子公司济宁海情置业有限公司（原兖州海情置业有限公司）及泗水海情置业有限公司</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2010</w:t>
      </w:r>
      <w:r>
        <w:rPr>
          <w:spacing w:val="-2"/>
        </w:rPr>
        <w:t>年按</w:t>
      </w:r>
      <w:r>
        <w:rPr>
          <w:spacing w:val="-59"/>
        </w:rPr>
        <w:t> </w:t>
      </w:r>
      <w:r>
        <w:rPr/>
        <w:t>照</w:t>
      </w:r>
      <w:r>
        <w:rPr>
          <w:rFonts w:ascii="Times New Roman" w:hAnsi="Times New Roman" w:cs="Times New Roman" w:eastAsia="Times New Roman" w:hint="default"/>
        </w:rPr>
        <w:t>1%</w:t>
      </w:r>
      <w:r>
        <w:rPr/>
        <w:t>预征率预交土地增值税。 据济宁市地方税务局</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日公告（</w:t>
      </w:r>
      <w:r>
        <w:rPr>
          <w:rFonts w:ascii="Times New Roman" w:hAnsi="Times New Roman" w:cs="Times New Roman" w:eastAsia="Times New Roman" w:hint="default"/>
        </w:rPr>
        <w:t>2010</w:t>
      </w:r>
      <w:r>
        <w:rPr/>
        <w:t>年第</w:t>
      </w:r>
      <w:r>
        <w:rPr>
          <w:rFonts w:ascii="Times New Roman" w:hAnsi="Times New Roman" w:cs="Times New Roman" w:eastAsia="Times New Roman" w:hint="default"/>
        </w:rPr>
        <w:t>1</w:t>
      </w:r>
      <w:r>
        <w:rPr/>
        <w:t>号）《济宁市地方税务局关于调整土地增值税预征率核定征收率的公</w:t>
      </w:r>
    </w:p>
    <w:p>
      <w:pPr>
        <w:spacing w:after="0" w:line="302"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153" w:right="156"/>
        <w:jc w:val="left"/>
      </w:pPr>
      <w:r>
        <w:rPr/>
        <w:t>告》，济宁市城区及兖州市、曲阜市、邹城市销售住宅预征率为</w:t>
      </w:r>
      <w:r>
        <w:rPr>
          <w:rFonts w:ascii="Times New Roman" w:hAnsi="Times New Roman" w:cs="Times New Roman" w:eastAsia="Times New Roman" w:hint="default"/>
        </w:rPr>
        <w:t>3%</w:t>
      </w:r>
      <w:r>
        <w:rPr/>
        <w:t>；济宁城区销售其他类型房地产（包括写字楼、公寓、 别墅、商业营业用房、土地等，下同）预征率为</w:t>
      </w:r>
      <w:r>
        <w:rPr>
          <w:rFonts w:ascii="Times New Roman" w:hAnsi="Times New Roman" w:cs="Times New Roman" w:eastAsia="Times New Roman" w:hint="default"/>
        </w:rPr>
        <w:t>4%</w:t>
      </w:r>
      <w:r>
        <w:rPr/>
        <w:t>，兖州市、曲阜市、邹城市销售其他类型房地产预征率为</w:t>
      </w:r>
      <w:r>
        <w:rPr>
          <w:rFonts w:ascii="Times New Roman" w:hAnsi="Times New Roman" w:cs="Times New Roman" w:eastAsia="Times New Roman" w:hint="default"/>
        </w:rPr>
        <w:t>3.5%</w:t>
      </w:r>
      <w:r>
        <w:rPr/>
        <w:t>。除济宁 市城区和三市以外的各县销售住宅预征率为</w:t>
      </w:r>
      <w:r>
        <w:rPr>
          <w:rFonts w:ascii="Times New Roman" w:hAnsi="Times New Roman" w:cs="Times New Roman" w:eastAsia="Times New Roman" w:hint="default"/>
        </w:rPr>
        <w:t>2%</w:t>
      </w:r>
      <w:r>
        <w:rPr/>
        <w:t>；销售其他类型房地产预征率为</w:t>
      </w:r>
      <w:r>
        <w:rPr>
          <w:rFonts w:ascii="Times New Roman" w:hAnsi="Times New Roman" w:cs="Times New Roman" w:eastAsia="Times New Roman" w:hint="default"/>
        </w:rPr>
        <w:t>3%</w:t>
      </w:r>
      <w:r>
        <w:rPr/>
        <w:t>。 子公司济宁海情置业有限公司</w:t>
      </w:r>
      <w:r>
        <w:rPr>
          <w:rFonts w:ascii="Times New Roman" w:hAnsi="Times New Roman" w:cs="Times New Roman" w:eastAsia="Times New Roman" w:hint="default"/>
        </w:rPr>
        <w:t>2011</w:t>
      </w:r>
      <w:r>
        <w:rPr/>
        <w:t>年销售住宅按</w:t>
      </w:r>
      <w:r>
        <w:rPr>
          <w:rFonts w:ascii="Times New Roman" w:hAnsi="Times New Roman" w:cs="Times New Roman" w:eastAsia="Times New Roman" w:hint="default"/>
        </w:rPr>
        <w:t>3%</w:t>
      </w:r>
      <w:r>
        <w:rPr/>
        <w:t>预征率预缴，销售商业用房按</w:t>
      </w:r>
      <w:r>
        <w:rPr>
          <w:rFonts w:ascii="Times New Roman" w:hAnsi="Times New Roman" w:cs="Times New Roman" w:eastAsia="Times New Roman" w:hint="default"/>
        </w:rPr>
        <w:t>3.5%</w:t>
      </w:r>
      <w:r>
        <w:rPr/>
        <w:t>预征率预缴，现仍执行该税率。 孙公司泗水海情置业有限公司</w:t>
      </w:r>
      <w:r>
        <w:rPr>
          <w:rFonts w:ascii="Times New Roman" w:hAnsi="Times New Roman" w:cs="Times New Roman" w:eastAsia="Times New Roman" w:hint="default"/>
        </w:rPr>
        <w:t>2011</w:t>
      </w:r>
      <w:r>
        <w:rPr/>
        <w:t>年销售住宅按</w:t>
      </w:r>
      <w:r>
        <w:rPr>
          <w:rFonts w:ascii="Times New Roman" w:hAnsi="Times New Roman" w:cs="Times New Roman" w:eastAsia="Times New Roman" w:hint="default"/>
        </w:rPr>
        <w:t>2%</w:t>
      </w:r>
      <w:r>
        <w:rPr/>
        <w:t>预征率预缴，现仍执行该税率。</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本报告期内未享受税收优惠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五、企业合并及合并财务报表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38" w:lineRule="auto"/>
              <w:ind w:left="65"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一般项</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目经</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56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110"/>
              <w:jc w:val="both"/>
              <w:rPr>
                <w:rFonts w:ascii="宋体" w:hAnsi="宋体" w:cs="宋体" w:eastAsia="宋体" w:hint="default"/>
                <w:sz w:val="18"/>
                <w:szCs w:val="18"/>
              </w:rPr>
            </w:pPr>
            <w:r>
              <w:rPr>
                <w:rFonts w:ascii="宋体" w:hAnsi="宋体" w:cs="宋体" w:eastAsia="宋体" w:hint="default"/>
                <w:sz w:val="18"/>
                <w:szCs w:val="18"/>
              </w:rPr>
              <w:t>济宁海 情贸易 有限公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济宁市</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营：金 属材 料、建 筑装饰 材料</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（不含</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8"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危化</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7" w:hRule="exact"/>
        </w:trPr>
        <w:tc>
          <w:tcPr>
            <w:tcW w:w="685"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w:t>
            </w:r>
            <w:r>
              <w:rPr>
                <w:rFonts w:ascii="宋体" w:hAnsi="宋体" w:cs="宋体" w:eastAsia="宋体" w:hint="default"/>
                <w:spacing w:val="-90"/>
                <w:sz w:val="18"/>
                <w:szCs w:val="18"/>
              </w:rPr>
              <w:t>）</w:t>
            </w:r>
            <w:r>
              <w:rPr>
                <w:rFonts w:ascii="宋体" w:hAnsi="宋体" w:cs="宋体" w:eastAsia="宋体" w:hint="default"/>
                <w:spacing w:val="-3"/>
                <w:sz w:val="18"/>
                <w:szCs w:val="18"/>
              </w:rPr>
              <w:t>、电</w:t>
            </w:r>
            <w:r>
              <w:rPr>
                <w:rFonts w:ascii="宋体" w:hAnsi="宋体" w:cs="宋体" w:eastAsia="宋体" w:hint="default"/>
                <w:sz w:val="18"/>
                <w:szCs w:val="18"/>
              </w:rPr>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气机</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械、汽</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车（不</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含九座</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以下乘</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用车</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摩托车</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及配</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件、百</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货、五</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金交</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电、办</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公自动</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化设</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备、建</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筑材料</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（不含</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木材</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装潢材</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料（不</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含危险</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品）销</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售；房</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屋建筑</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安装施</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工；水</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电工程</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施工；</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门锁安</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观、园</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林绿化</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工程施</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工；土</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石方施</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工；室</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内外装</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饰、装</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修工程</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施工</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（以上</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凭资质</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8" w:hRule="exact"/>
        </w:trPr>
        <w:tc>
          <w:tcPr>
            <w:tcW w:w="685"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证书经</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7" w:hRule="exact"/>
        </w:trPr>
        <w:tc>
          <w:tcPr>
            <w:tcW w:w="685"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90"/>
                <w:sz w:val="18"/>
                <w:szCs w:val="18"/>
              </w:rPr>
              <w:t>）</w:t>
            </w:r>
            <w:r>
              <w:rPr>
                <w:rFonts w:ascii="宋体" w:hAnsi="宋体" w:cs="宋体" w:eastAsia="宋体" w:hint="default"/>
                <w:spacing w:val="-3"/>
                <w:sz w:val="18"/>
                <w:szCs w:val="18"/>
              </w:rPr>
              <w:t>；园</w:t>
            </w:r>
            <w:r>
              <w:rPr>
                <w:rFonts w:ascii="宋体" w:hAnsi="宋体" w:cs="宋体" w:eastAsia="宋体" w:hint="default"/>
                <w:sz w:val="18"/>
                <w:szCs w:val="18"/>
              </w:rPr>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林设计</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工程信</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息咨询</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工程机</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械租</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赁。</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338"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潍坊亚 通置业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潍坊市</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房地产 开发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房地产 开发经 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济宁海</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泗水海</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情置业</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情置业 有限公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有限公 司之全</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泗水县</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房地产 开发</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销售： 建筑材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资子公</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料、装</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饰装潢</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房产中</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介、受</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托代理</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济宁海</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设计、</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青岛大</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情贸易</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制作、</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4"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通地产 顾问有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有限公 司之全</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房产中 介</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发布、 代理国</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资子公</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内广告</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婚庆礼</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仪服</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务、房</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产营销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策划。</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通过设立或投资等方式取得的子公司的其他说明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）非同一控制下企业合并取得的子公司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73"/>
        <w:gridCol w:w="683"/>
        <w:gridCol w:w="683"/>
        <w:gridCol w:w="683"/>
        <w:gridCol w:w="683"/>
        <w:gridCol w:w="683"/>
        <w:gridCol w:w="683"/>
        <w:gridCol w:w="683"/>
        <w:gridCol w:w="683"/>
        <w:gridCol w:w="683"/>
        <w:gridCol w:w="683"/>
        <w:gridCol w:w="683"/>
        <w:gridCol w:w="683"/>
        <w:gridCol w:w="672"/>
      </w:tblGrid>
      <w:tr>
        <w:trPr>
          <w:trHeight w:val="382" w:hRule="exact"/>
        </w:trPr>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5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66"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65" w:right="0"/>
              <w:jc w:val="left"/>
              <w:rPr>
                <w:rFonts w:ascii="宋体" w:hAnsi="宋体" w:cs="宋体" w:eastAsia="宋体" w:hint="default"/>
                <w:sz w:val="18"/>
                <w:szCs w:val="18"/>
              </w:rPr>
            </w:pPr>
            <w:r>
              <w:rPr>
                <w:rFonts w:ascii="宋体" w:hAnsi="宋体" w:cs="宋体" w:eastAsia="宋体" w:hint="default"/>
                <w:sz w:val="18"/>
                <w:szCs w:val="18"/>
              </w:rPr>
              <w:t>业务性</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66" w:right="0"/>
              <w:jc w:val="left"/>
              <w:rPr>
                <w:rFonts w:ascii="宋体" w:hAnsi="宋体" w:cs="宋体" w:eastAsia="宋体" w:hint="default"/>
                <w:sz w:val="18"/>
                <w:szCs w:val="18"/>
              </w:rPr>
            </w:pPr>
            <w:r>
              <w:rPr>
                <w:rFonts w:ascii="宋体" w:hAnsi="宋体" w:cs="宋体" w:eastAsia="宋体" w:hint="default"/>
                <w:sz w:val="18"/>
                <w:szCs w:val="18"/>
              </w:rPr>
              <w:t>注册资</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66" w:right="0"/>
              <w:jc w:val="left"/>
              <w:rPr>
                <w:rFonts w:ascii="宋体" w:hAnsi="宋体" w:cs="宋体" w:eastAsia="宋体" w:hint="default"/>
                <w:sz w:val="18"/>
                <w:szCs w:val="18"/>
              </w:rPr>
            </w:pPr>
            <w:r>
              <w:rPr>
                <w:rFonts w:ascii="宋体" w:hAnsi="宋体" w:cs="宋体" w:eastAsia="宋体" w:hint="default"/>
                <w:sz w:val="18"/>
                <w:szCs w:val="18"/>
              </w:rPr>
              <w:t>经营范</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66" w:right="0"/>
              <w:jc w:val="left"/>
              <w:rPr>
                <w:rFonts w:ascii="宋体" w:hAnsi="宋体" w:cs="宋体" w:eastAsia="宋体" w:hint="default"/>
                <w:sz w:val="18"/>
                <w:szCs w:val="18"/>
              </w:rPr>
            </w:pPr>
            <w:r>
              <w:rPr>
                <w:rFonts w:ascii="宋体" w:hAnsi="宋体" w:cs="宋体" w:eastAsia="宋体" w:hint="default"/>
                <w:sz w:val="18"/>
                <w:szCs w:val="18"/>
              </w:rPr>
              <w:t>期末实</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66" w:right="0"/>
              <w:jc w:val="left"/>
              <w:rPr>
                <w:rFonts w:ascii="宋体" w:hAnsi="宋体" w:cs="宋体" w:eastAsia="宋体" w:hint="default"/>
                <w:sz w:val="18"/>
                <w:szCs w:val="18"/>
              </w:rPr>
            </w:pPr>
            <w:r>
              <w:rPr>
                <w:rFonts w:ascii="宋体" w:hAnsi="宋体" w:cs="宋体" w:eastAsia="宋体" w:hint="default"/>
                <w:sz w:val="18"/>
                <w:szCs w:val="18"/>
              </w:rPr>
              <w:t>实质上</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65" w:right="0"/>
              <w:jc w:val="left"/>
              <w:rPr>
                <w:rFonts w:ascii="宋体" w:hAnsi="宋体" w:cs="宋体" w:eastAsia="宋体" w:hint="default"/>
                <w:sz w:val="18"/>
                <w:szCs w:val="18"/>
              </w:rPr>
            </w:pPr>
            <w:r>
              <w:rPr>
                <w:rFonts w:ascii="宋体" w:hAnsi="宋体" w:cs="宋体" w:eastAsia="宋体" w:hint="default"/>
                <w:sz w:val="18"/>
                <w:szCs w:val="18"/>
              </w:rPr>
              <w:t>持股比</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65" w:right="0"/>
              <w:jc w:val="left"/>
              <w:rPr>
                <w:rFonts w:ascii="宋体" w:hAnsi="宋体" w:cs="宋体" w:eastAsia="宋体" w:hint="default"/>
                <w:sz w:val="18"/>
                <w:szCs w:val="18"/>
              </w:rPr>
            </w:pPr>
            <w:r>
              <w:rPr>
                <w:rFonts w:ascii="宋体" w:hAnsi="宋体" w:cs="宋体" w:eastAsia="宋体" w:hint="default"/>
                <w:sz w:val="18"/>
                <w:szCs w:val="18"/>
              </w:rPr>
              <w:t>表决权</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66" w:right="0"/>
              <w:jc w:val="left"/>
              <w:rPr>
                <w:rFonts w:ascii="宋体" w:hAnsi="宋体" w:cs="宋体" w:eastAsia="宋体" w:hint="default"/>
                <w:sz w:val="18"/>
                <w:szCs w:val="18"/>
              </w:rPr>
            </w:pPr>
            <w:r>
              <w:rPr>
                <w:rFonts w:ascii="宋体" w:hAnsi="宋体" w:cs="宋体" w:eastAsia="宋体" w:hint="default"/>
                <w:sz w:val="18"/>
                <w:szCs w:val="18"/>
              </w:rPr>
              <w:t>是否合</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66"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66"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66" w:right="0"/>
              <w:jc w:val="left"/>
              <w:rPr>
                <w:rFonts w:ascii="宋体" w:hAnsi="宋体" w:cs="宋体" w:eastAsia="宋体" w:hint="default"/>
                <w:sz w:val="18"/>
                <w:szCs w:val="18"/>
              </w:rPr>
            </w:pPr>
            <w:r>
              <w:rPr>
                <w:rFonts w:ascii="宋体" w:hAnsi="宋体" w:cs="宋体" w:eastAsia="宋体" w:hint="default"/>
                <w:sz w:val="18"/>
                <w:szCs w:val="18"/>
              </w:rPr>
              <w:t>从母公</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22"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157"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155"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质</w:t>
            </w: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245"/>
              <w:jc w:val="right"/>
              <w:rPr>
                <w:rFonts w:ascii="宋体" w:hAnsi="宋体" w:cs="宋体" w:eastAsia="宋体" w:hint="default"/>
                <w:sz w:val="18"/>
                <w:szCs w:val="18"/>
              </w:rPr>
            </w:pPr>
            <w:r>
              <w:rPr>
                <w:rFonts w:ascii="宋体" w:hAnsi="宋体" w:cs="宋体" w:eastAsia="宋体" w:hint="default"/>
                <w:sz w:val="18"/>
                <w:szCs w:val="18"/>
              </w:rPr>
              <w:t>本</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围</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际投资</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构成对</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1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left="15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67" w:right="0"/>
              <w:jc w:val="left"/>
              <w:rPr>
                <w:rFonts w:ascii="宋体" w:hAnsi="宋体" w:cs="宋体" w:eastAsia="宋体" w:hint="default"/>
                <w:sz w:val="18"/>
                <w:szCs w:val="18"/>
              </w:rPr>
            </w:pPr>
            <w:r>
              <w:rPr>
                <w:rFonts w:ascii="宋体" w:hAnsi="宋体" w:cs="宋体" w:eastAsia="宋体" w:hint="default"/>
                <w:sz w:val="18"/>
                <w:szCs w:val="18"/>
              </w:rPr>
              <w:t>并报表</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66"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东权益</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left="201" w:right="0"/>
              <w:jc w:val="left"/>
              <w:rPr>
                <w:rFonts w:ascii="Times New Roman" w:hAnsi="Times New Roman" w:cs="Times New Roman" w:eastAsia="Times New Roman" w:hint="default"/>
                <w:sz w:val="18"/>
                <w:szCs w:val="18"/>
              </w:rPr>
            </w:pPr>
            <w:r>
              <w:rPr>
                <w:rFonts w:ascii="Times New Roman"/>
                <w:sz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中用于</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08"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净投资</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冲减少</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的其他</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数股东</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项目余</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损益的</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数股东</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分担的</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本期亏</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损超过</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少数股</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东在该</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24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0"/>
              <w:jc w:val="both"/>
              <w:rPr>
                <w:rFonts w:ascii="宋体" w:hAnsi="宋体" w:cs="宋体" w:eastAsia="宋体" w:hint="default"/>
                <w:sz w:val="18"/>
                <w:szCs w:val="18"/>
              </w:rPr>
            </w:pPr>
            <w:r>
              <w:rPr>
                <w:rFonts w:ascii="宋体" w:hAnsi="宋体" w:cs="宋体" w:eastAsia="宋体" w:hint="default"/>
                <w:sz w:val="18"/>
                <w:szCs w:val="18"/>
              </w:rPr>
              <w:t>青岛广 顺房地 产有限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房地产 开发、 销售</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sz w:val="18"/>
              </w:rPr>
              <w:t>1000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经营； 销售： 建筑材 料、装</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8" w:right="0"/>
              <w:jc w:val="center"/>
              <w:rPr>
                <w:rFonts w:ascii="Times New Roman" w:hAnsi="Times New Roman" w:cs="Times New Roman" w:eastAsia="Times New Roman" w:hint="default"/>
                <w:sz w:val="18"/>
                <w:szCs w:val="18"/>
              </w:rPr>
            </w:pPr>
            <w:r>
              <w:rPr>
                <w:rFonts w:ascii="Times New Roman"/>
                <w:sz w:val="18"/>
              </w:rPr>
              <w:t>9,850,3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63.95</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饰装潢</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338"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济宁海 情置业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兖州市</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房地产 开发、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sz w:val="18"/>
              </w:rPr>
              <w:t>5000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房地产 开发及 商品房 销售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27,168,</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801.63</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通过非同一控制下企业合并取得的子公司的其他说明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7611"/>
        <w:jc w:val="left"/>
      </w:pPr>
      <w:r>
        <w:rPr/>
        <w:t>合并报表范围发生变更说明 无</w:t>
      </w:r>
    </w:p>
    <w:p>
      <w:pPr>
        <w:pStyle w:val="BodyText"/>
        <w:spacing w:line="240" w:lineRule="auto" w:before="29"/>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六、合并财务报表主要项目注释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3719"/>
        <w:gridCol w:w="3851"/>
      </w:tblGrid>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70"/>
        <w:gridCol w:w="1327"/>
        <w:gridCol w:w="935"/>
        <w:gridCol w:w="1474"/>
        <w:gridCol w:w="1312"/>
        <w:gridCol w:w="945"/>
        <w:gridCol w:w="1594"/>
      </w:tblGrid>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4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40,136.92</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600,383.17</w:t>
            </w: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40,136.92</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600,383.17</w:t>
            </w: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16,385,179.06</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2,364,853.71</w:t>
            </w: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16,385,179.06</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2,364,853.71</w:t>
            </w: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2,023,425.60</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6,113,817.60</w:t>
            </w: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2,023,425.60</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6,113,817.60</w:t>
            </w: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18,448,741.58</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9,079,054.48</w:t>
            </w:r>
          </w:p>
        </w:tc>
      </w:tr>
    </w:tbl>
    <w:p>
      <w:pPr>
        <w:pStyle w:val="BodyText"/>
        <w:spacing w:line="240" w:lineRule="auto" w:before="51"/>
        <w:ind w:right="184"/>
        <w:jc w:val="left"/>
      </w:pPr>
      <w:r>
        <w:rPr/>
        <w:t>如有因抵押、质押或冻结等对使用有限制、存放在境外、有潜在回收风险的款项应单独说明</w:t>
      </w:r>
    </w:p>
    <w:p>
      <w:pPr>
        <w:spacing w:line="240" w:lineRule="auto" w:before="11"/>
        <w:rPr>
          <w:rFonts w:ascii="宋体" w:hAnsi="宋体" w:cs="宋体" w:eastAsia="宋体" w:hint="default"/>
          <w:sz w:val="26"/>
          <w:szCs w:val="26"/>
        </w:rPr>
      </w:pPr>
    </w:p>
    <w:p>
      <w:pPr>
        <w:pStyle w:val="Heading4"/>
        <w:spacing w:line="240" w:lineRule="auto"/>
        <w:ind w:right="184"/>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84"/>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2"/>
        <w:gridCol w:w="1058"/>
        <w:gridCol w:w="792"/>
        <w:gridCol w:w="1057"/>
        <w:gridCol w:w="794"/>
        <w:gridCol w:w="1058"/>
        <w:gridCol w:w="925"/>
        <w:gridCol w:w="1190"/>
        <w:gridCol w:w="791"/>
      </w:tblGrid>
      <w:tr>
        <w:trPr>
          <w:trHeight w:val="402" w:hRule="exact"/>
        </w:trPr>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vMerge/>
            <w:tcBorders>
              <w:left w:val="single" w:sz="4" w:space="0" w:color="000000"/>
              <w:right w:val="single" w:sz="4" w:space="0" w:color="000000"/>
            </w:tcBorders>
            <w:shd w:val="clear" w:color="auto" w:fill="D3D3D3"/>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vMerge/>
            <w:tcBorders>
              <w:left w:val="single" w:sz="4" w:space="0" w:color="000000"/>
              <w:bottom w:val="single" w:sz="4" w:space="0" w:color="000000"/>
              <w:right w:val="single" w:sz="4" w:space="0" w:color="000000"/>
            </w:tcBorders>
            <w:shd w:val="clear" w:color="auto" w:fill="D3D3D3"/>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9,520,067.74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2,882,388.74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7,013,062.15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464,313.60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9,520,067.74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2,882,388.74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7,013,062.15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464,313.60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9,520,067.74</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2,882,388.74</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7,013,062.15</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464,313.60</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84"/>
        <w:jc w:val="left"/>
      </w:pPr>
      <w:r>
        <w:rPr/>
        <w:t>其他应收款种类的说明</w:t>
      </w:r>
    </w:p>
    <w:p>
      <w:pPr>
        <w:pStyle w:val="BodyText"/>
        <w:spacing w:line="309" w:lineRule="auto" w:before="116"/>
        <w:ind w:left="153" w:right="91"/>
        <w:jc w:val="left"/>
      </w:pPr>
      <w:r>
        <w:rPr/>
        <w:t>本公司根据公司经营规模、业务性质及客户结算状况等确定单项金额重大的其他应收款标准为单笔金额超过</w:t>
      </w:r>
      <w:r>
        <w:rPr>
          <w:rFonts w:ascii="Times New Roman" w:hAnsi="Times New Roman" w:cs="Times New Roman" w:eastAsia="Times New Roman" w:hint="default"/>
        </w:rPr>
        <w:t>50</w:t>
      </w:r>
      <w:r>
        <w:rPr/>
        <w:t>万元的款项； </w:t>
      </w:r>
      <w:r>
        <w:rPr>
          <w:spacing w:val="-2"/>
        </w:rPr>
        <w:t>无明显减值迹象的其他应收款，相同账龄的其他应收款具有类似信用风险的特征作为一个组合；单项金额虽不重大但单项计</w:t>
      </w:r>
      <w:r>
        <w:rPr>
          <w:spacing w:val="-64"/>
        </w:rPr>
        <w:t> </w:t>
      </w:r>
      <w:r>
        <w:rPr>
          <w:spacing w:val="-64"/>
        </w:rPr>
      </w:r>
      <w:r>
        <w:rPr/>
        <w:t>提坏账准备的其他应收款是指不符合单项金额重大或组合的应收账款以外有明显减值迹象的其他应收款。</w:t>
      </w:r>
    </w:p>
    <w:p>
      <w:pPr>
        <w:pStyle w:val="BodyText"/>
        <w:spacing w:line="240" w:lineRule="auto" w:before="65"/>
        <w:ind w:left="153" w:right="184"/>
        <w:jc w:val="left"/>
      </w:pPr>
      <w:r>
        <w:rPr/>
        <w:t>期末单项金额重大并单项计提坏账准备的其他应收款</w:t>
      </w:r>
    </w:p>
    <w:p>
      <w:pPr>
        <w:pStyle w:val="BodyText"/>
        <w:spacing w:line="338" w:lineRule="auto" w:before="117"/>
        <w:ind w:right="5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组合中，采用账龄分析法计提坏账准备的其他应收款</w:t>
      </w:r>
    </w:p>
    <w:p>
      <w:pPr>
        <w:pStyle w:val="BodyText"/>
        <w:spacing w:line="240" w:lineRule="auto" w:before="42"/>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8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9"/>
        <w:gridCol w:w="1447"/>
        <w:gridCol w:w="1450"/>
        <w:gridCol w:w="656"/>
        <w:gridCol w:w="1668"/>
      </w:tblGrid>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7" w:type="dxa"/>
            <w:vMerge/>
            <w:tcBorders>
              <w:left w:val="single" w:sz="4" w:space="0" w:color="000000"/>
              <w:right w:val="single" w:sz="4" w:space="0" w:color="000000"/>
            </w:tcBorders>
            <w:shd w:val="clear" w:color="auto" w:fill="D3D3D3"/>
          </w:tcPr>
          <w:p>
            <w:pPr/>
          </w:p>
        </w:tc>
        <w:tc>
          <w:tcPr>
            <w:tcW w:w="25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7" w:type="dxa"/>
            <w:vMerge/>
            <w:tcBorders>
              <w:left w:val="single" w:sz="4" w:space="0" w:color="000000"/>
              <w:bottom w:val="single" w:sz="4" w:space="0" w:color="000000"/>
              <w:right w:val="single" w:sz="4" w:space="0" w:color="000000"/>
            </w:tcBorders>
            <w:shd w:val="clear" w:color="auto" w:fill="D3D3D3"/>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8"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19"/>
        <w:gridCol w:w="1868"/>
        <w:gridCol w:w="659"/>
        <w:gridCol w:w="1447"/>
        <w:gridCol w:w="1450"/>
        <w:gridCol w:w="656"/>
        <w:gridCol w:w="1668"/>
      </w:tblGrid>
      <w:tr>
        <w:trPr>
          <w:trHeight w:val="402" w:hRule="exact"/>
        </w:trPr>
        <w:tc>
          <w:tcPr>
            <w:tcW w:w="1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2,693,512.48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28.29%</w:t>
            </w:r>
          </w:p>
        </w:tc>
        <w:tc>
          <w:tcPr>
            <w:tcW w:w="144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4,915,609.03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70.09%</w:t>
            </w: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3,421,471.14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35.94%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684,294.23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2,040,174.40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408,034.88</w:t>
            </w:r>
          </w:p>
        </w:tc>
      </w:tr>
      <w:tr>
        <w:trPr>
          <w:trHeight w:val="402" w:hRule="exact"/>
        </w:trPr>
        <w:tc>
          <w:tcPr>
            <w:tcW w:w="1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2,413,979.23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25.36%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1,206,989.62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1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991,104.89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10.41%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991,104.89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55,278.72</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55,278.72</w:t>
            </w:r>
          </w:p>
        </w:tc>
      </w:tr>
      <w:tr>
        <w:trPr>
          <w:trHeight w:val="402" w:hRule="exact"/>
        </w:trPr>
        <w:tc>
          <w:tcPr>
            <w:tcW w:w="1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9,520,067.74</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2,882,388.74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7,013,062.15</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464,313.60</w:t>
            </w:r>
          </w:p>
        </w:tc>
      </w:tr>
    </w:tbl>
    <w:p>
      <w:pPr>
        <w:pStyle w:val="BodyText"/>
        <w:spacing w:line="240" w:lineRule="auto" w:before="51"/>
        <w:ind w:right="0"/>
        <w:jc w:val="left"/>
      </w:pPr>
      <w:r>
        <w:rPr/>
        <w:t>组合中，采用余额百分比法计提坏账准备的其他应收款</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3"/>
        <w:ind w:right="52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）其他应收关联方账款情况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兖州拖欠工程款问题领导小 组办公室</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3,242,210.00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31.66%</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兖州城市小区住宅管理办公 室</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2,699,557.25</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26.36%</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兖州市新型墙体材料应用领 导小组办公室</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841,960.00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8.22%</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济宁供电公司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378,098.45</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山东省济宁市中级人民法院</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222,580.00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7,384,405.70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9"/>
        <w:gridCol w:w="3199"/>
        <w:gridCol w:w="1062"/>
        <w:gridCol w:w="3054"/>
        <w:gridCol w:w="1062"/>
      </w:tblGrid>
      <w:tr>
        <w:trPr>
          <w:trHeight w:val="205" w:hRule="exact"/>
        </w:trPr>
        <w:tc>
          <w:tcPr>
            <w:tcW w:w="1179" w:type="dxa"/>
            <w:tcBorders>
              <w:top w:val="single" w:sz="4" w:space="0" w:color="000000"/>
              <w:left w:val="single" w:sz="4" w:space="0" w:color="000000"/>
              <w:bottom w:val="nil" w:sz="6" w:space="0" w:color="auto"/>
              <w:right w:val="single" w:sz="4" w:space="0" w:color="000000"/>
            </w:tcBorders>
            <w:shd w:val="clear" w:color="auto" w:fill="D3D3D3"/>
          </w:tcPr>
          <w:p>
            <w:pPr/>
          </w:p>
        </w:tc>
        <w:tc>
          <w:tcPr>
            <w:tcW w:w="426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1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261" w:type="dxa"/>
            <w:gridSpan w:val="2"/>
            <w:vMerge/>
            <w:tcBorders>
              <w:left w:val="single" w:sz="4" w:space="0" w:color="000000"/>
              <w:bottom w:val="single" w:sz="4" w:space="0" w:color="000000"/>
              <w:right w:val="single" w:sz="4" w:space="0" w:color="000000"/>
            </w:tcBorders>
            <w:shd w:val="clear" w:color="auto" w:fill="D3D3D3"/>
          </w:tcPr>
          <w:p>
            <w:pPr/>
          </w:p>
        </w:tc>
        <w:tc>
          <w:tcPr>
            <w:tcW w:w="4116" w:type="dxa"/>
            <w:gridSpan w:val="2"/>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1179" w:type="dxa"/>
            <w:vMerge/>
            <w:tcBorders>
              <w:left w:val="single" w:sz="4" w:space="0" w:color="000000"/>
              <w:bottom w:val="nil" w:sz="6" w:space="0" w:color="auto"/>
              <w:right w:val="single" w:sz="4" w:space="0" w:color="000000"/>
            </w:tcBorders>
            <w:shd w:val="clear" w:color="auto" w:fill="D3D3D3"/>
          </w:tcPr>
          <w:p>
            <w:pPr/>
          </w:p>
        </w:tc>
        <w:tc>
          <w:tcPr>
            <w:tcW w:w="31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7" w:hRule="exact"/>
        </w:trPr>
        <w:tc>
          <w:tcPr>
            <w:tcW w:w="1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9"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3054"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13,361,094.06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51,724,965.15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99.43%</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34,541,435.26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71.87%</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237,170.74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96,167.60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48,057,996.92</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52,021,435.89</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预付款项账龄的说明</w:t>
      </w:r>
    </w:p>
    <w:p>
      <w:pPr>
        <w:pStyle w:val="BodyText"/>
        <w:spacing w:line="300" w:lineRule="auto" w:before="115"/>
        <w:ind w:left="153" w:right="216"/>
        <w:jc w:val="left"/>
      </w:pPr>
      <w:r>
        <w:rPr/>
        <w:t>账龄</w:t>
      </w:r>
      <w:r>
        <w:rPr>
          <w:rFonts w:ascii="Times New Roman" w:hAnsi="Times New Roman" w:cs="Times New Roman" w:eastAsia="Times New Roman" w:hint="default"/>
        </w:rPr>
        <w:t>1-2</w:t>
      </w:r>
      <w:r>
        <w:rPr/>
        <w:t>年预付账款中主要系预付济宁海情置业有限公司预付天元建设集团工程款</w:t>
      </w:r>
      <w:r>
        <w:rPr>
          <w:rFonts w:ascii="Times New Roman" w:hAnsi="Times New Roman" w:cs="Times New Roman" w:eastAsia="Times New Roman" w:hint="default"/>
        </w:rPr>
        <w:t>33,132,998.43</w:t>
      </w:r>
      <w:r>
        <w:rPr/>
        <w:t>元，未结算原因系：双方对 合同价款存在争议，济宁海情置业有限公司已向法院起诉天元建设集团。</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天元建设集团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37,354,866.56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未开票</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兖州市建筑安装工程总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8,575,848.58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未开票</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兖州市龙桥建筑安装有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500,302.27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未开票</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兖州龙桥街道办事处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未开票</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兖州少年儿童成长文化 教育中心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未开票</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46,720,317.41</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53" w:right="3471"/>
        <w:jc w:val="left"/>
      </w:pPr>
      <w:r>
        <w:rPr/>
        <w:t>预付款项主要单位的说明 预付账款主要系济宁海情置业有限公司投建海情康城一期项目支付的工程款项。</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6"/>
        <w:gridCol w:w="1461"/>
        <w:gridCol w:w="1194"/>
        <w:gridCol w:w="1330"/>
        <w:gridCol w:w="1327"/>
        <w:gridCol w:w="1330"/>
        <w:gridCol w:w="1328"/>
      </w:tblGrid>
      <w:tr>
        <w:trPr>
          <w:trHeight w:val="206" w:hRule="exact"/>
        </w:trPr>
        <w:tc>
          <w:tcPr>
            <w:tcW w:w="1586" w:type="dxa"/>
            <w:tcBorders>
              <w:top w:val="single" w:sz="4" w:space="0" w:color="000000"/>
              <w:left w:val="single" w:sz="4" w:space="0" w:color="000000"/>
              <w:bottom w:val="nil" w:sz="6" w:space="0" w:color="auto"/>
              <w:right w:val="single" w:sz="4" w:space="0" w:color="000000"/>
            </w:tcBorders>
            <w:shd w:val="clear" w:color="auto" w:fill="D3D3D3"/>
          </w:tcPr>
          <w:p>
            <w:pP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5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vMerge/>
            <w:tcBorders>
              <w:left w:val="single" w:sz="4" w:space="0" w:color="000000"/>
              <w:bottom w:val="single" w:sz="4" w:space="0" w:color="000000"/>
              <w:right w:val="single" w:sz="4" w:space="0" w:color="000000"/>
            </w:tcBorders>
            <w:shd w:val="clear" w:color="auto" w:fill="D3D3D3"/>
          </w:tcPr>
          <w:p>
            <w:pPr/>
          </w:p>
        </w:tc>
        <w:tc>
          <w:tcPr>
            <w:tcW w:w="3985"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586" w:type="dxa"/>
            <w:vMerge/>
            <w:tcBorders>
              <w:left w:val="single" w:sz="4" w:space="0" w:color="000000"/>
              <w:bottom w:val="nil" w:sz="6" w:space="0" w:color="auto"/>
              <w:right w:val="single" w:sz="4" w:space="0" w:color="000000"/>
            </w:tcBorders>
            <w:shd w:val="clear" w:color="auto" w:fill="D3D3D3"/>
          </w:tcPr>
          <w:p>
            <w:pPr/>
          </w:p>
        </w:tc>
        <w:tc>
          <w:tcPr>
            <w:tcW w:w="14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586"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1" w:type="dxa"/>
            <w:vMerge/>
            <w:tcBorders>
              <w:left w:val="single" w:sz="4" w:space="0" w:color="000000"/>
              <w:bottom w:val="single" w:sz="4" w:space="0" w:color="000000"/>
              <w:right w:val="single" w:sz="4" w:space="0" w:color="000000"/>
            </w:tcBorders>
            <w:shd w:val="clear" w:color="auto" w:fill="D3D3D3"/>
          </w:tcPr>
          <w:p>
            <w:pPr/>
          </w:p>
        </w:tc>
        <w:tc>
          <w:tcPr>
            <w:tcW w:w="1194"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249,141,497.33</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249,141,497.33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253,272,542.19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253,272,542.19</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1" w:type="dxa"/>
            <w:tcBorders>
              <w:top w:val="single" w:sz="4" w:space="0" w:color="000000"/>
              <w:left w:val="single" w:sz="13" w:space="0" w:color="D3D3D3"/>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70,082,737.77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70,082,737.77</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拟开发产品</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125,367,764.03</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125,367,764.03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124,847,206.62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124,847,206.62</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已开发产品</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139,465,362.55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2,054,256.65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137,411,105.90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112,311,917.47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112,311,917.47</w:t>
            </w:r>
          </w:p>
        </w:tc>
      </w:tr>
      <w:tr>
        <w:trPr>
          <w:trHeight w:val="403"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513,974,623.91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2,054,256.65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511,920,367.26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560,514,404.05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560,514,404.05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38"/>
        <w:gridCol w:w="1615"/>
        <w:gridCol w:w="1615"/>
        <w:gridCol w:w="1414"/>
        <w:gridCol w:w="1430"/>
        <w:gridCol w:w="1756"/>
      </w:tblGrid>
      <w:tr>
        <w:trPr>
          <w:trHeight w:val="402" w:hRule="exact"/>
        </w:trPr>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1738" w:type="dxa"/>
            <w:vMerge/>
            <w:tcBorders>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已开发产品</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7" w:right="0"/>
              <w:jc w:val="left"/>
              <w:rPr>
                <w:rFonts w:ascii="Times New Roman" w:hAnsi="Times New Roman" w:cs="Times New Roman" w:eastAsia="Times New Roman" w:hint="default"/>
                <w:sz w:val="18"/>
                <w:szCs w:val="18"/>
              </w:rPr>
            </w:pPr>
            <w:r>
              <w:rPr>
                <w:rFonts w:ascii="Times New Roman"/>
                <w:sz w:val="18"/>
              </w:rPr>
              <w:t>2,054,256.65</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8" w:right="0"/>
              <w:jc w:val="left"/>
              <w:rPr>
                <w:rFonts w:ascii="Times New Roman" w:hAnsi="Times New Roman" w:cs="Times New Roman" w:eastAsia="Times New Roman" w:hint="default"/>
                <w:sz w:val="18"/>
                <w:szCs w:val="18"/>
              </w:rPr>
            </w:pPr>
            <w:r>
              <w:rPr>
                <w:rFonts w:ascii="Times New Roman"/>
                <w:sz w:val="18"/>
              </w:rPr>
              <w:t>2,054,256.65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26"/>
        <w:gridCol w:w="1627"/>
        <w:gridCol w:w="1615"/>
        <w:gridCol w:w="1414"/>
        <w:gridCol w:w="1430"/>
        <w:gridCol w:w="1756"/>
      </w:tblGrid>
      <w:tr>
        <w:trPr>
          <w:trHeight w:val="402" w:hRule="exact"/>
        </w:trPr>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27" w:type="dxa"/>
            <w:tcBorders>
              <w:top w:val="single" w:sz="4" w:space="0" w:color="000000"/>
              <w:left w:val="single" w:sz="13" w:space="0" w:color="D3D3D3"/>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7" w:right="0"/>
              <w:jc w:val="left"/>
              <w:rPr>
                <w:rFonts w:ascii="Times New Roman" w:hAnsi="Times New Roman" w:cs="Times New Roman" w:eastAsia="Times New Roman" w:hint="default"/>
                <w:sz w:val="18"/>
                <w:szCs w:val="18"/>
              </w:rPr>
            </w:pPr>
            <w:r>
              <w:rPr>
                <w:rFonts w:ascii="Times New Roman"/>
                <w:sz w:val="18"/>
              </w:rPr>
              <w:t>2,054,256.65</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8" w:right="0"/>
              <w:jc w:val="left"/>
              <w:rPr>
                <w:rFonts w:ascii="Times New Roman" w:hAnsi="Times New Roman" w:cs="Times New Roman" w:eastAsia="Times New Roman" w:hint="default"/>
                <w:sz w:val="18"/>
                <w:szCs w:val="18"/>
              </w:rPr>
            </w:pPr>
            <w:r>
              <w:rPr>
                <w:rFonts w:ascii="Times New Roman"/>
                <w:sz w:val="18"/>
              </w:rPr>
              <w:t>2,054,256.65</w:t>
            </w:r>
          </w:p>
        </w:tc>
      </w:tr>
    </w:tbl>
    <w:p>
      <w:pPr>
        <w:spacing w:line="240" w:lineRule="auto" w:before="2"/>
        <w:rPr>
          <w:rFonts w:ascii="宋体" w:hAnsi="宋体" w:cs="宋体" w:eastAsia="宋体" w:hint="default"/>
          <w:sz w:val="19"/>
          <w:szCs w:val="19"/>
        </w:rPr>
      </w:pPr>
    </w:p>
    <w:p>
      <w:pPr>
        <w:pStyle w:val="Heading4"/>
        <w:spacing w:line="240" w:lineRule="auto" w:before="35"/>
        <w:ind w:right="184"/>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95" w:right="10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52"/>
        <w:ind w:right="184"/>
        <w:jc w:val="left"/>
      </w:pPr>
      <w:r>
        <w:rPr/>
        <w:t>存货的说明</w:t>
      </w:r>
    </w:p>
    <w:p>
      <w:pPr>
        <w:pStyle w:val="BodyText"/>
        <w:spacing w:line="300" w:lineRule="auto" w:before="115"/>
        <w:ind w:left="153" w:right="101" w:firstLine="290"/>
        <w:jc w:val="left"/>
      </w:pPr>
      <w:r>
        <w:rPr/>
        <w:t>泗水海情置业有限公司开发的海情圣地项目在售楼房中有</w:t>
      </w:r>
      <w:r>
        <w:rPr>
          <w:rFonts w:ascii="Times New Roman" w:hAnsi="Times New Roman" w:cs="Times New Roman" w:eastAsia="Times New Roman" w:hint="default"/>
        </w:rPr>
        <w:t>47</w:t>
      </w:r>
      <w:r>
        <w:rPr/>
        <w:t>套因山东港基建设集团有限公司诉泗水海情、济宁海情建设 </w:t>
      </w:r>
      <w:r>
        <w:rPr>
          <w:spacing w:val="-4"/>
        </w:rPr>
        <w:t>工程施工合同纠纷案被查封。诉讼详见附注八、</w:t>
      </w:r>
      <w:r>
        <w:rPr>
          <w:rFonts w:ascii="Times New Roman" w:hAnsi="Times New Roman" w:cs="Times New Roman" w:eastAsia="Times New Roman" w:hint="default"/>
          <w:spacing w:val="-4"/>
        </w:rPr>
        <w:t>1</w:t>
      </w:r>
      <w:r>
        <w:rPr>
          <w:spacing w:val="-4"/>
        </w:rPr>
        <w:t>未决诉讼仲裁形成的或有负债及其财务影响。被查封房屋明细如下：</w:t>
      </w:r>
      <w:r>
        <w:rPr>
          <w:rFonts w:ascii="Times New Roman" w:hAnsi="Times New Roman" w:cs="Times New Roman" w:eastAsia="Times New Roman" w:hint="default"/>
          <w:spacing w:val="-4"/>
        </w:rPr>
        <w:t>1</w:t>
      </w:r>
      <w:r>
        <w:rPr>
          <w:spacing w:val="-4"/>
        </w:rPr>
        <w:t>号楼：</w:t>
      </w:r>
      <w:r>
        <w:rPr>
          <w:spacing w:val="-42"/>
        </w:rPr>
        <w:t> </w:t>
      </w:r>
      <w:r>
        <w:rPr>
          <w:rFonts w:ascii="Times New Roman" w:hAnsi="Times New Roman" w:cs="Times New Roman" w:eastAsia="Times New Roman" w:hint="default"/>
          <w:spacing w:val="-5"/>
        </w:rPr>
        <w:t>1-1-401</w:t>
      </w:r>
      <w:r>
        <w:rPr>
          <w:spacing w:val="-5"/>
        </w:rPr>
        <w:t>、</w:t>
      </w:r>
      <w:r>
        <w:rPr>
          <w:rFonts w:ascii="Times New Roman" w:hAnsi="Times New Roman" w:cs="Times New Roman" w:eastAsia="Times New Roman" w:hint="default"/>
          <w:spacing w:val="-5"/>
        </w:rPr>
        <w:t>1-1-402</w:t>
      </w:r>
      <w:r>
        <w:rPr>
          <w:spacing w:val="-5"/>
        </w:rPr>
        <w:t>、</w:t>
      </w:r>
      <w:r>
        <w:rPr>
          <w:rFonts w:ascii="Times New Roman" w:hAnsi="Times New Roman" w:cs="Times New Roman" w:eastAsia="Times New Roman" w:hint="default"/>
          <w:spacing w:val="-5"/>
        </w:rPr>
        <w:t>1-2-401</w:t>
      </w:r>
      <w:r>
        <w:rPr>
          <w:spacing w:val="-5"/>
        </w:rPr>
        <w:t>、</w:t>
      </w:r>
      <w:r>
        <w:rPr>
          <w:rFonts w:ascii="Times New Roman" w:hAnsi="Times New Roman" w:cs="Times New Roman" w:eastAsia="Times New Roman" w:hint="default"/>
          <w:spacing w:val="-5"/>
        </w:rPr>
        <w:t>1-2-402</w:t>
      </w:r>
      <w:r>
        <w:rPr>
          <w:spacing w:val="-5"/>
        </w:rPr>
        <w:t>、</w:t>
      </w:r>
      <w:r>
        <w:rPr>
          <w:rFonts w:ascii="Times New Roman" w:hAnsi="Times New Roman" w:cs="Times New Roman" w:eastAsia="Times New Roman" w:hint="default"/>
          <w:spacing w:val="-5"/>
        </w:rPr>
        <w:t>1-3-402</w:t>
      </w:r>
      <w:r>
        <w:rPr>
          <w:spacing w:val="-5"/>
        </w:rPr>
        <w:t>，</w:t>
      </w:r>
      <w:r>
        <w:rPr>
          <w:rFonts w:ascii="Times New Roman" w:hAnsi="Times New Roman" w:cs="Times New Roman" w:eastAsia="Times New Roman" w:hint="default"/>
          <w:spacing w:val="-5"/>
        </w:rPr>
        <w:t>2</w:t>
      </w:r>
      <w:r>
        <w:rPr>
          <w:spacing w:val="-5"/>
        </w:rPr>
        <w:t>号楼：</w:t>
      </w:r>
      <w:r>
        <w:rPr>
          <w:rFonts w:ascii="Times New Roman" w:hAnsi="Times New Roman" w:cs="Times New Roman" w:eastAsia="Times New Roman" w:hint="default"/>
          <w:spacing w:val="-5"/>
        </w:rPr>
        <w:t>2-1-402</w:t>
      </w:r>
      <w:r>
        <w:rPr>
          <w:spacing w:val="-5"/>
        </w:rPr>
        <w:t>、</w:t>
      </w:r>
      <w:r>
        <w:rPr>
          <w:rFonts w:ascii="Times New Roman" w:hAnsi="Times New Roman" w:cs="Times New Roman" w:eastAsia="Times New Roman" w:hint="default"/>
          <w:spacing w:val="-5"/>
        </w:rPr>
        <w:t>2-2-401</w:t>
      </w:r>
      <w:r>
        <w:rPr>
          <w:spacing w:val="-5"/>
        </w:rPr>
        <w:t>、</w:t>
      </w:r>
      <w:r>
        <w:rPr>
          <w:rFonts w:ascii="Times New Roman" w:hAnsi="Times New Roman" w:cs="Times New Roman" w:eastAsia="Times New Roman" w:hint="default"/>
          <w:spacing w:val="-5"/>
        </w:rPr>
        <w:t>2-2-402</w:t>
      </w:r>
      <w:r>
        <w:rPr>
          <w:spacing w:val="-5"/>
        </w:rPr>
        <w:t>，</w:t>
      </w:r>
      <w:r>
        <w:rPr>
          <w:rFonts w:ascii="Times New Roman" w:hAnsi="Times New Roman" w:cs="Times New Roman" w:eastAsia="Times New Roman" w:hint="default"/>
          <w:spacing w:val="-5"/>
        </w:rPr>
        <w:t>3</w:t>
      </w:r>
      <w:r>
        <w:rPr>
          <w:spacing w:val="-5"/>
        </w:rPr>
        <w:t>号楼：</w:t>
      </w:r>
      <w:r>
        <w:rPr>
          <w:rFonts w:ascii="Times New Roman" w:hAnsi="Times New Roman" w:cs="Times New Roman" w:eastAsia="Times New Roman" w:hint="default"/>
          <w:spacing w:val="-5"/>
        </w:rPr>
        <w:t>3-1-401</w:t>
      </w:r>
      <w:r>
        <w:rPr>
          <w:spacing w:val="-5"/>
        </w:rPr>
        <w:t>、</w:t>
      </w:r>
      <w:r>
        <w:rPr>
          <w:rFonts w:ascii="Times New Roman" w:hAnsi="Times New Roman" w:cs="Times New Roman" w:eastAsia="Times New Roman" w:hint="default"/>
          <w:spacing w:val="-5"/>
        </w:rPr>
        <w:t>3-2-402</w:t>
      </w:r>
      <w:r>
        <w:rPr>
          <w:spacing w:val="-5"/>
        </w:rPr>
        <w:t>，</w:t>
      </w:r>
      <w:r>
        <w:rPr>
          <w:rFonts w:ascii="Times New Roman" w:hAnsi="Times New Roman" w:cs="Times New Roman" w:eastAsia="Times New Roman" w:hint="default"/>
          <w:spacing w:val="-5"/>
        </w:rPr>
        <w:t>4</w:t>
      </w:r>
      <w:r>
        <w:rPr>
          <w:spacing w:val="-5"/>
        </w:rPr>
        <w:t>号楼：</w:t>
      </w:r>
      <w:r>
        <w:rPr>
          <w:rFonts w:ascii="Times New Roman" w:hAnsi="Times New Roman" w:cs="Times New Roman" w:eastAsia="Times New Roman" w:hint="default"/>
          <w:spacing w:val="-5"/>
        </w:rPr>
        <w:t>4-1-401</w:t>
      </w:r>
      <w:r>
        <w:rPr>
          <w:spacing w:val="-5"/>
        </w:rPr>
        <w:t>、</w:t>
      </w:r>
    </w:p>
    <w:p>
      <w:pPr>
        <w:pStyle w:val="BodyText"/>
        <w:spacing w:line="240" w:lineRule="auto" w:before="13"/>
        <w:ind w:right="91"/>
        <w:jc w:val="left"/>
      </w:pPr>
      <w:r>
        <w:rPr>
          <w:rFonts w:ascii="Times New Roman" w:hAnsi="Times New Roman" w:cs="Times New Roman" w:eastAsia="Times New Roman" w:hint="default"/>
        </w:rPr>
        <w:t>4-1-402</w:t>
      </w:r>
      <w:r>
        <w:rPr/>
        <w:t>、</w:t>
      </w:r>
      <w:r>
        <w:rPr>
          <w:rFonts w:ascii="Times New Roman" w:hAnsi="Times New Roman" w:cs="Times New Roman" w:eastAsia="Times New Roman" w:hint="default"/>
        </w:rPr>
        <w:t>4-2-401</w:t>
      </w:r>
      <w:r>
        <w:rPr/>
        <w:t>、</w:t>
      </w:r>
      <w:r>
        <w:rPr>
          <w:rFonts w:ascii="Times New Roman" w:hAnsi="Times New Roman" w:cs="Times New Roman" w:eastAsia="Times New Roman" w:hint="default"/>
        </w:rPr>
        <w:t>4-2-402</w:t>
      </w:r>
      <w:r>
        <w:rPr/>
        <w:t>，</w:t>
      </w:r>
      <w:r>
        <w:rPr>
          <w:rFonts w:ascii="Times New Roman" w:hAnsi="Times New Roman" w:cs="Times New Roman" w:eastAsia="Times New Roman" w:hint="default"/>
        </w:rPr>
        <w:t>5</w:t>
      </w:r>
      <w:r>
        <w:rPr/>
        <w:t>号楼</w:t>
      </w:r>
      <w:r>
        <w:rPr>
          <w:rFonts w:ascii="Times New Roman" w:hAnsi="Times New Roman" w:cs="Times New Roman" w:eastAsia="Times New Roman" w:hint="default"/>
        </w:rPr>
        <w:t>5-1-401</w:t>
      </w:r>
      <w:r>
        <w:rPr/>
        <w:t>、</w:t>
      </w:r>
      <w:r>
        <w:rPr>
          <w:rFonts w:ascii="Times New Roman" w:hAnsi="Times New Roman" w:cs="Times New Roman" w:eastAsia="Times New Roman" w:hint="default"/>
        </w:rPr>
        <w:t>5-1-402</w:t>
      </w:r>
      <w:r>
        <w:rPr/>
        <w:t>、</w:t>
      </w:r>
      <w:r>
        <w:rPr>
          <w:rFonts w:ascii="Times New Roman" w:hAnsi="Times New Roman" w:cs="Times New Roman" w:eastAsia="Times New Roman" w:hint="default"/>
        </w:rPr>
        <w:t>5-2-402</w:t>
      </w:r>
      <w:r>
        <w:rPr/>
        <w:t>，</w:t>
      </w:r>
      <w:r>
        <w:rPr>
          <w:rFonts w:ascii="Times New Roman" w:hAnsi="Times New Roman" w:cs="Times New Roman" w:eastAsia="Times New Roman" w:hint="default"/>
        </w:rPr>
        <w:t>9</w:t>
      </w:r>
      <w:r>
        <w:rPr/>
        <w:t>号楼：</w:t>
      </w:r>
      <w:r>
        <w:rPr>
          <w:rFonts w:ascii="Times New Roman" w:hAnsi="Times New Roman" w:cs="Times New Roman" w:eastAsia="Times New Roman" w:hint="default"/>
        </w:rPr>
        <w:t>1-301</w:t>
      </w:r>
      <w:r>
        <w:rPr/>
        <w:t>、</w:t>
      </w:r>
      <w:r>
        <w:rPr>
          <w:rFonts w:ascii="Times New Roman" w:hAnsi="Times New Roman" w:cs="Times New Roman" w:eastAsia="Times New Roman" w:hint="default"/>
        </w:rPr>
        <w:t>1-302</w:t>
      </w:r>
      <w:r>
        <w:rPr/>
        <w:t>、</w:t>
      </w:r>
      <w:r>
        <w:rPr>
          <w:rFonts w:ascii="Times New Roman" w:hAnsi="Times New Roman" w:cs="Times New Roman" w:eastAsia="Times New Roman" w:hint="default"/>
        </w:rPr>
        <w:t>1-401</w:t>
      </w:r>
      <w:r>
        <w:rPr/>
        <w:t>（带阁楼</w:t>
      </w:r>
      <w:r>
        <w:rPr>
          <w:rFonts w:ascii="Times New Roman" w:hAnsi="Times New Roman" w:cs="Times New Roman" w:eastAsia="Times New Roman" w:hint="default"/>
        </w:rPr>
        <w:t>1-501</w:t>
      </w:r>
      <w:r>
        <w:rPr/>
        <w:t>）、</w:t>
      </w:r>
      <w:r>
        <w:rPr>
          <w:rFonts w:ascii="Times New Roman" w:hAnsi="Times New Roman" w:cs="Times New Roman" w:eastAsia="Times New Roman" w:hint="default"/>
        </w:rPr>
        <w:t>1-402</w:t>
      </w:r>
      <w:r>
        <w:rPr/>
        <w:t>（带阁</w:t>
      </w:r>
    </w:p>
    <w:p>
      <w:pPr>
        <w:pStyle w:val="BodyText"/>
        <w:spacing w:line="240" w:lineRule="auto" w:before="63"/>
        <w:ind w:right="91"/>
        <w:jc w:val="left"/>
      </w:pPr>
      <w:r>
        <w:rPr/>
        <w:t>楼</w:t>
      </w:r>
      <w:r>
        <w:rPr>
          <w:rFonts w:ascii="Times New Roman" w:hAnsi="Times New Roman" w:cs="Times New Roman" w:eastAsia="Times New Roman" w:hint="default"/>
        </w:rPr>
        <w:t>1-502</w:t>
      </w:r>
      <w:r>
        <w:rPr/>
        <w:t>）、</w:t>
      </w:r>
      <w:r>
        <w:rPr>
          <w:rFonts w:ascii="Times New Roman" w:hAnsi="Times New Roman" w:cs="Times New Roman" w:eastAsia="Times New Roman" w:hint="default"/>
        </w:rPr>
        <w:t>2-301</w:t>
      </w:r>
      <w:r>
        <w:rPr/>
        <w:t>，</w:t>
      </w:r>
      <w:r>
        <w:rPr>
          <w:rFonts w:ascii="Times New Roman" w:hAnsi="Times New Roman" w:cs="Times New Roman" w:eastAsia="Times New Roman" w:hint="default"/>
        </w:rPr>
        <w:t>10</w:t>
      </w:r>
      <w:r>
        <w:rPr/>
        <w:t>号楼：</w:t>
      </w:r>
      <w:r>
        <w:rPr>
          <w:rFonts w:ascii="Times New Roman" w:hAnsi="Times New Roman" w:cs="Times New Roman" w:eastAsia="Times New Roman" w:hint="default"/>
        </w:rPr>
        <w:t>1-201</w:t>
      </w:r>
      <w:r>
        <w:rPr/>
        <w:t>、</w:t>
      </w:r>
      <w:r>
        <w:rPr>
          <w:rFonts w:ascii="Times New Roman" w:hAnsi="Times New Roman" w:cs="Times New Roman" w:eastAsia="Times New Roman" w:hint="default"/>
        </w:rPr>
        <w:t>1-202</w:t>
      </w:r>
      <w:r>
        <w:rPr/>
        <w:t>、</w:t>
      </w:r>
      <w:r>
        <w:rPr>
          <w:rFonts w:ascii="Times New Roman" w:hAnsi="Times New Roman" w:cs="Times New Roman" w:eastAsia="Times New Roman" w:hint="default"/>
        </w:rPr>
        <w:t>1-302</w:t>
      </w:r>
      <w:r>
        <w:rPr/>
        <w:t>、</w:t>
      </w:r>
      <w:r>
        <w:rPr>
          <w:rFonts w:ascii="Times New Roman" w:hAnsi="Times New Roman" w:cs="Times New Roman" w:eastAsia="Times New Roman" w:hint="default"/>
        </w:rPr>
        <w:t>1-402</w:t>
      </w:r>
      <w:r>
        <w:rPr/>
        <w:t>（带阁楼</w:t>
      </w:r>
      <w:r>
        <w:rPr>
          <w:rFonts w:ascii="Times New Roman" w:hAnsi="Times New Roman" w:cs="Times New Roman" w:eastAsia="Times New Roman" w:hint="default"/>
        </w:rPr>
        <w:t>1-502</w:t>
      </w:r>
      <w:r>
        <w:rPr/>
        <w:t>）、</w:t>
      </w:r>
      <w:r>
        <w:rPr>
          <w:rFonts w:ascii="Times New Roman" w:hAnsi="Times New Roman" w:cs="Times New Roman" w:eastAsia="Times New Roman" w:hint="default"/>
        </w:rPr>
        <w:t>2-301</w:t>
      </w:r>
      <w:r>
        <w:rPr/>
        <w:t>、</w:t>
      </w:r>
      <w:r>
        <w:rPr>
          <w:rFonts w:ascii="Times New Roman" w:hAnsi="Times New Roman" w:cs="Times New Roman" w:eastAsia="Times New Roman" w:hint="default"/>
        </w:rPr>
        <w:t>2-402</w:t>
      </w:r>
      <w:r>
        <w:rPr/>
        <w:t>（带阁楼</w:t>
      </w:r>
      <w:r>
        <w:rPr>
          <w:rFonts w:ascii="Times New Roman" w:hAnsi="Times New Roman" w:cs="Times New Roman" w:eastAsia="Times New Roman" w:hint="default"/>
        </w:rPr>
        <w:t>2-502</w:t>
      </w:r>
      <w:r>
        <w:rPr/>
        <w:t>）、</w:t>
      </w:r>
      <w:r>
        <w:rPr>
          <w:rFonts w:ascii="Times New Roman" w:hAnsi="Times New Roman" w:cs="Times New Roman" w:eastAsia="Times New Roman" w:hint="default"/>
        </w:rPr>
        <w:t>2-401</w:t>
      </w:r>
      <w:r>
        <w:rPr/>
        <w:t>（带阁楼</w:t>
      </w:r>
    </w:p>
    <w:p>
      <w:pPr>
        <w:pStyle w:val="BodyText"/>
        <w:spacing w:line="240" w:lineRule="auto" w:before="63"/>
        <w:ind w:right="0"/>
        <w:jc w:val="left"/>
      </w:pPr>
      <w:r>
        <w:rPr>
          <w:rFonts w:ascii="Times New Roman" w:hAnsi="Times New Roman" w:cs="Times New Roman" w:eastAsia="Times New Roman" w:hint="default"/>
          <w:spacing w:val="-2"/>
        </w:rPr>
        <w:t>2-501</w:t>
      </w:r>
      <w:r>
        <w:rPr>
          <w:spacing w:val="-2"/>
        </w:rPr>
        <w:t>）、</w:t>
      </w:r>
      <w:r>
        <w:rPr>
          <w:rFonts w:ascii="Times New Roman" w:hAnsi="Times New Roman" w:cs="Times New Roman" w:eastAsia="Times New Roman" w:hint="default"/>
          <w:spacing w:val="-2"/>
        </w:rPr>
        <w:t>3-201</w:t>
      </w:r>
      <w:r>
        <w:rPr>
          <w:spacing w:val="-2"/>
        </w:rPr>
        <w:t>、</w:t>
      </w:r>
      <w:r>
        <w:rPr>
          <w:rFonts w:ascii="Times New Roman" w:hAnsi="Times New Roman" w:cs="Times New Roman" w:eastAsia="Times New Roman" w:hint="default"/>
          <w:spacing w:val="-2"/>
        </w:rPr>
        <w:t>3-202</w:t>
      </w:r>
      <w:r>
        <w:rPr>
          <w:spacing w:val="-2"/>
        </w:rPr>
        <w:t>、</w:t>
      </w:r>
      <w:r>
        <w:rPr>
          <w:rFonts w:ascii="Times New Roman" w:hAnsi="Times New Roman" w:cs="Times New Roman" w:eastAsia="Times New Roman" w:hint="default"/>
          <w:spacing w:val="-2"/>
        </w:rPr>
        <w:t>3-301</w:t>
      </w:r>
      <w:r>
        <w:rPr>
          <w:spacing w:val="-2"/>
        </w:rPr>
        <w:t>、</w:t>
      </w:r>
      <w:r>
        <w:rPr>
          <w:rFonts w:ascii="Times New Roman" w:hAnsi="Times New Roman" w:cs="Times New Roman" w:eastAsia="Times New Roman" w:hint="default"/>
          <w:spacing w:val="-2"/>
        </w:rPr>
        <w:t>3-302</w:t>
      </w:r>
      <w:r>
        <w:rPr>
          <w:spacing w:val="-2"/>
        </w:rPr>
        <w:t>、</w:t>
      </w:r>
      <w:r>
        <w:rPr>
          <w:rFonts w:ascii="Times New Roman" w:hAnsi="Times New Roman" w:cs="Times New Roman" w:eastAsia="Times New Roman" w:hint="default"/>
          <w:spacing w:val="-2"/>
        </w:rPr>
        <w:t>3-401</w:t>
      </w:r>
      <w:r>
        <w:rPr>
          <w:spacing w:val="-2"/>
        </w:rPr>
        <w:t>（带阁楼</w:t>
      </w:r>
      <w:r>
        <w:rPr>
          <w:rFonts w:ascii="Times New Roman" w:hAnsi="Times New Roman" w:cs="Times New Roman" w:eastAsia="Times New Roman" w:hint="default"/>
          <w:spacing w:val="-2"/>
        </w:rPr>
        <w:t>3-501</w:t>
      </w:r>
      <w:r>
        <w:rPr>
          <w:spacing w:val="-2"/>
        </w:rPr>
        <w:t>），</w:t>
      </w:r>
      <w:r>
        <w:rPr>
          <w:rFonts w:ascii="Times New Roman" w:hAnsi="Times New Roman" w:cs="Times New Roman" w:eastAsia="Times New Roman" w:hint="default"/>
          <w:spacing w:val="-2"/>
        </w:rPr>
        <w:t>11</w:t>
      </w:r>
      <w:r>
        <w:rPr>
          <w:spacing w:val="-2"/>
        </w:rPr>
        <w:t>号楼：</w:t>
      </w:r>
      <w:r>
        <w:rPr>
          <w:rFonts w:ascii="Times New Roman" w:hAnsi="Times New Roman" w:cs="Times New Roman" w:eastAsia="Times New Roman" w:hint="default"/>
          <w:spacing w:val="-2"/>
        </w:rPr>
        <w:t>11-1-401</w:t>
      </w:r>
      <w:r>
        <w:rPr>
          <w:spacing w:val="-2"/>
        </w:rPr>
        <w:t>、</w:t>
      </w:r>
      <w:r>
        <w:rPr>
          <w:rFonts w:ascii="Times New Roman" w:hAnsi="Times New Roman" w:cs="Times New Roman" w:eastAsia="Times New Roman" w:hint="default"/>
          <w:spacing w:val="-2"/>
        </w:rPr>
        <w:t>11-1-402</w:t>
      </w:r>
      <w:r>
        <w:rPr>
          <w:spacing w:val="-2"/>
        </w:rPr>
        <w:t>、</w:t>
      </w:r>
      <w:r>
        <w:rPr>
          <w:rFonts w:ascii="Times New Roman" w:hAnsi="Times New Roman" w:cs="Times New Roman" w:eastAsia="Times New Roman" w:hint="default"/>
          <w:spacing w:val="-2"/>
        </w:rPr>
        <w:t>11-2-401</w:t>
      </w:r>
      <w:r>
        <w:rPr>
          <w:spacing w:val="-2"/>
        </w:rPr>
        <w:t>，</w:t>
      </w:r>
      <w:r>
        <w:rPr>
          <w:rFonts w:ascii="Times New Roman" w:hAnsi="Times New Roman" w:cs="Times New Roman" w:eastAsia="Times New Roman" w:hint="default"/>
          <w:spacing w:val="-2"/>
        </w:rPr>
        <w:t>18</w:t>
      </w:r>
      <w:r>
        <w:rPr>
          <w:spacing w:val="-2"/>
        </w:rPr>
        <w:t>号楼：</w:t>
      </w:r>
      <w:r>
        <w:rPr>
          <w:rFonts w:ascii="Times New Roman" w:hAnsi="Times New Roman" w:cs="Times New Roman" w:eastAsia="Times New Roman" w:hint="default"/>
          <w:spacing w:val="-2"/>
        </w:rPr>
        <w:t>18-1-402</w:t>
      </w:r>
      <w:r>
        <w:rPr>
          <w:spacing w:val="-2"/>
        </w:rPr>
        <w:t>、</w:t>
      </w:r>
    </w:p>
    <w:p>
      <w:pPr>
        <w:pStyle w:val="BodyText"/>
        <w:spacing w:line="240" w:lineRule="auto" w:before="63"/>
        <w:ind w:left="153" w:right="184"/>
        <w:jc w:val="left"/>
      </w:pPr>
      <w:r>
        <w:rPr>
          <w:rFonts w:ascii="Times New Roman" w:hAnsi="Times New Roman" w:cs="Times New Roman" w:eastAsia="Times New Roman" w:hint="default"/>
        </w:rPr>
        <w:t>18-2-401</w:t>
      </w:r>
      <w:r>
        <w:rPr/>
        <w:t>、</w:t>
      </w:r>
      <w:r>
        <w:rPr>
          <w:rFonts w:ascii="Times New Roman" w:hAnsi="Times New Roman" w:cs="Times New Roman" w:eastAsia="Times New Roman" w:hint="default"/>
        </w:rPr>
        <w:t>18-2-402</w:t>
      </w:r>
      <w:r>
        <w:rPr/>
        <w:t>，</w:t>
      </w:r>
      <w:r>
        <w:rPr>
          <w:rFonts w:ascii="Times New Roman" w:hAnsi="Times New Roman" w:cs="Times New Roman" w:eastAsia="Times New Roman" w:hint="default"/>
        </w:rPr>
        <w:t>28</w:t>
      </w:r>
      <w:r>
        <w:rPr/>
        <w:t>号楼：</w:t>
      </w:r>
      <w:r>
        <w:rPr>
          <w:rFonts w:ascii="Times New Roman" w:hAnsi="Times New Roman" w:cs="Times New Roman" w:eastAsia="Times New Roman" w:hint="default"/>
        </w:rPr>
        <w:t>28-1-401</w:t>
      </w:r>
      <w:r>
        <w:rPr/>
        <w:t>、</w:t>
      </w:r>
      <w:r>
        <w:rPr>
          <w:rFonts w:ascii="Times New Roman" w:hAnsi="Times New Roman" w:cs="Times New Roman" w:eastAsia="Times New Roman" w:hint="default"/>
        </w:rPr>
        <w:t>28-1-402</w:t>
      </w:r>
      <w:r>
        <w:rPr/>
        <w:t>、</w:t>
      </w:r>
      <w:r>
        <w:rPr>
          <w:rFonts w:ascii="Times New Roman" w:hAnsi="Times New Roman" w:cs="Times New Roman" w:eastAsia="Times New Roman" w:hint="default"/>
        </w:rPr>
        <w:t>28-2-401</w:t>
      </w:r>
      <w:r>
        <w:rPr/>
        <w:t>、</w:t>
      </w:r>
      <w:r>
        <w:rPr>
          <w:rFonts w:ascii="Times New Roman" w:hAnsi="Times New Roman" w:cs="Times New Roman" w:eastAsia="Times New Roman" w:hint="default"/>
        </w:rPr>
        <w:t>28-2-402</w:t>
      </w:r>
      <w:r>
        <w:rPr/>
        <w:t>、</w:t>
      </w:r>
      <w:r>
        <w:rPr>
          <w:rFonts w:ascii="Times New Roman" w:hAnsi="Times New Roman" w:cs="Times New Roman" w:eastAsia="Times New Roman" w:hint="default"/>
        </w:rPr>
        <w:t>28-3-201</w:t>
      </w:r>
      <w:r>
        <w:rPr/>
        <w:t>、</w:t>
      </w:r>
      <w:r>
        <w:rPr>
          <w:rFonts w:ascii="Times New Roman" w:hAnsi="Times New Roman" w:cs="Times New Roman" w:eastAsia="Times New Roman" w:hint="default"/>
        </w:rPr>
        <w:t>28-3-301</w:t>
      </w:r>
      <w:r>
        <w:rPr/>
        <w:t>、</w:t>
      </w:r>
      <w:r>
        <w:rPr>
          <w:rFonts w:ascii="Times New Roman" w:hAnsi="Times New Roman" w:cs="Times New Roman" w:eastAsia="Times New Roman" w:hint="default"/>
        </w:rPr>
        <w:t>28-3-401</w:t>
      </w:r>
      <w:r>
        <w:rPr/>
        <w:t>、</w:t>
      </w:r>
      <w:r>
        <w:rPr>
          <w:rFonts w:ascii="Times New Roman" w:hAnsi="Times New Roman" w:cs="Times New Roman" w:eastAsia="Times New Roman" w:hint="default"/>
        </w:rPr>
        <w:t>28-3-402</w:t>
      </w:r>
      <w:r>
        <w:rPr/>
        <w:t>。</w:t>
      </w:r>
    </w:p>
    <w:p>
      <w:pPr>
        <w:spacing w:line="240" w:lineRule="auto" w:before="11"/>
        <w:rPr>
          <w:rFonts w:ascii="宋体" w:hAnsi="宋体" w:cs="宋体" w:eastAsia="宋体" w:hint="default"/>
          <w:sz w:val="25"/>
          <w:szCs w:val="25"/>
        </w:rPr>
      </w:pPr>
    </w:p>
    <w:p>
      <w:pPr>
        <w:pStyle w:val="Heading4"/>
        <w:spacing w:line="240" w:lineRule="auto"/>
        <w:ind w:right="184"/>
        <w:jc w:val="left"/>
        <w:rPr>
          <w:b w:val="0"/>
          <w:bCs w:val="0"/>
        </w:rPr>
      </w:pPr>
      <w:r>
        <w:rPr>
          <w:rFonts w:ascii="Times New Roman" w:hAnsi="Times New Roman" w:cs="Times New Roman" w:eastAsia="Times New Roman" w:hint="default"/>
        </w:rPr>
        <w:t>5</w:t>
      </w:r>
      <w:r>
        <w:rPr/>
        <w:t>、其他流动资产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57"/>
        <w:gridCol w:w="2922"/>
        <w:gridCol w:w="3188"/>
      </w:tblGrid>
      <w:tr>
        <w:trPr>
          <w:trHeight w:val="402"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42"/>
              <w:jc w:val="right"/>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待确认税金</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21,200,004.60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42"/>
              <w:jc w:val="righ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21,200,004.60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left="153" w:right="184"/>
        <w:jc w:val="left"/>
      </w:pPr>
      <w:r>
        <w:rPr/>
        <w:t>其他流动资产说明 </w:t>
      </w:r>
      <w:r>
        <w:rPr>
          <w:spacing w:val="-2"/>
        </w:rPr>
        <w:t>根据《中华人民共和国营业税暂行条例实施细则》纳税人转让土地使用权或者销售不动产，采取预收款方式的，其纳税义务</w:t>
      </w:r>
      <w:r>
        <w:rPr>
          <w:spacing w:val="-66"/>
        </w:rPr>
        <w:t> </w:t>
      </w:r>
      <w:r>
        <w:rPr>
          <w:spacing w:val="-66"/>
        </w:rPr>
      </w:r>
      <w:r>
        <w:rPr/>
        <w:t>发生时间为收到预收款的当天。本公司按照预收款计提营业税，将其中未实现收入部分对应税金在本科目列报。</w:t>
      </w:r>
    </w:p>
    <w:p>
      <w:pPr>
        <w:pStyle w:val="BodyText"/>
        <w:spacing w:line="240" w:lineRule="auto" w:before="2"/>
        <w:ind w:left="153" w:right="184"/>
        <w:jc w:val="left"/>
      </w:pPr>
      <w:r>
        <w:rPr/>
        <w:t>本公司房地产开发预征土地增值税，将其中未实现收入部分对应税金在本科目列报。</w:t>
      </w:r>
    </w:p>
    <w:p>
      <w:pPr>
        <w:spacing w:line="240" w:lineRule="auto" w:before="12"/>
        <w:rPr>
          <w:rFonts w:ascii="宋体" w:hAnsi="宋体" w:cs="宋体" w:eastAsia="宋体" w:hint="default"/>
          <w:sz w:val="26"/>
          <w:szCs w:val="26"/>
        </w:rPr>
      </w:pPr>
    </w:p>
    <w:p>
      <w:pPr>
        <w:pStyle w:val="Heading4"/>
        <w:spacing w:line="240" w:lineRule="auto"/>
        <w:ind w:right="184"/>
        <w:jc w:val="left"/>
        <w:rPr>
          <w:b w:val="0"/>
          <w:bCs w:val="0"/>
        </w:rPr>
      </w:pPr>
      <w:r>
        <w:rPr>
          <w:rFonts w:ascii="Times New Roman" w:hAnsi="Times New Roman" w:cs="Times New Roman" w:eastAsia="Times New Roman" w:hint="default"/>
        </w:rPr>
        <w:t>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4"/>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17"/>
        <w:gridCol w:w="1462"/>
        <w:gridCol w:w="1327"/>
        <w:gridCol w:w="1595"/>
        <w:gridCol w:w="1594"/>
        <w:gridCol w:w="1462"/>
      </w:tblGrid>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1,812,016.56</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1,270,580.56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545,316.00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1,092,087.15</w:t>
            </w:r>
          </w:p>
        </w:tc>
        <w:tc>
          <w:tcPr>
            <w:tcW w:w="2922" w:type="dxa"/>
            <w:gridSpan w:val="2"/>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1,092,087.15</w:t>
            </w: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176,931.00</w:t>
            </w:r>
          </w:p>
        </w:tc>
        <w:tc>
          <w:tcPr>
            <w:tcW w:w="2922" w:type="dxa"/>
            <w:gridSpan w:val="2"/>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176,931.00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542,998.41</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178,493.41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368,385.00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1,443,808.88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94,011.56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1,143,522.50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394,297.94</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967,942.32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14,936.11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982,878.43</w:t>
            </w: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151,276.07</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16,808.52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168,084.59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17"/>
        <w:gridCol w:w="1472"/>
        <w:gridCol w:w="1328"/>
        <w:gridCol w:w="1595"/>
        <w:gridCol w:w="1582"/>
        <w:gridCol w:w="1473"/>
      </w:tblGrid>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324,590.49</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62,266.93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160,644.07</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226,213.35</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0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7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368,207.68</w:t>
            </w:r>
          </w:p>
        </w:tc>
        <w:tc>
          <w:tcPr>
            <w:tcW w:w="450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151,018.06</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124,144.83</w:t>
            </w:r>
          </w:p>
        </w:tc>
        <w:tc>
          <w:tcPr>
            <w:tcW w:w="450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25,654.93</w:t>
            </w:r>
          </w:p>
        </w:tc>
        <w:tc>
          <w:tcPr>
            <w:tcW w:w="450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8,846.41</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72"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218,407.92</w:t>
            </w:r>
          </w:p>
        </w:tc>
        <w:tc>
          <w:tcPr>
            <w:tcW w:w="450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142,171.65</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72" w:type="dxa"/>
            <w:tcBorders>
              <w:top w:val="single" w:sz="4" w:space="0" w:color="000000"/>
              <w:left w:val="single" w:sz="4" w:space="0" w:color="000000"/>
              <w:bottom w:val="single" w:sz="4" w:space="0" w:color="000000"/>
              <w:right w:val="single" w:sz="9" w:space="0" w:color="D3D3D3"/>
            </w:tcBorders>
          </w:tcPr>
          <w:p>
            <w:pPr/>
          </w:p>
        </w:tc>
        <w:tc>
          <w:tcPr>
            <w:tcW w:w="450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7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368,207.68</w:t>
            </w:r>
          </w:p>
        </w:tc>
        <w:tc>
          <w:tcPr>
            <w:tcW w:w="450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151,018.06</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72" w:type="dxa"/>
            <w:tcBorders>
              <w:top w:val="single" w:sz="4" w:space="0" w:color="000000"/>
              <w:left w:val="single" w:sz="4" w:space="0" w:color="000000"/>
              <w:bottom w:val="single" w:sz="4" w:space="0" w:color="000000"/>
              <w:right w:val="single" w:sz="9" w:space="0" w:color="D3D3D3"/>
            </w:tcBorders>
          </w:tcPr>
          <w:p>
            <w:pPr/>
          </w:p>
        </w:tc>
        <w:tc>
          <w:tcPr>
            <w:tcW w:w="450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
        </w:tc>
      </w:tr>
    </w:tbl>
    <w:p>
      <w:pPr>
        <w:pStyle w:val="BodyText"/>
        <w:spacing w:line="240" w:lineRule="auto" w:before="51"/>
        <w:ind w:right="0"/>
        <w:jc w:val="left"/>
      </w:pPr>
      <w:r>
        <w:rPr/>
        <w:t>本期折旧额元；本期由在建工程转入固定资产原价为元。</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已确认的递延所得税资产和递延所得税负债</w:t>
      </w:r>
    </w:p>
    <w:p>
      <w:pPr>
        <w:pStyle w:val="BodyText"/>
        <w:spacing w:line="240" w:lineRule="auto" w:before="116"/>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11"/>
        <w:gridCol w:w="2923"/>
        <w:gridCol w:w="2922"/>
      </w:tblGrid>
      <w:tr>
        <w:trPr>
          <w:trHeight w:val="403" w:hRule="exact"/>
        </w:trPr>
        <w:tc>
          <w:tcPr>
            <w:tcW w:w="3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13" w:space="0" w:color="D3D3D3"/>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535,454.41</w:t>
            </w:r>
          </w:p>
        </w:tc>
      </w:tr>
      <w:tr>
        <w:trPr>
          <w:trHeight w:val="40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3,740,457.00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1,397,356.23</w:t>
            </w:r>
          </w:p>
        </w:tc>
      </w:tr>
      <w:tr>
        <w:trPr>
          <w:trHeight w:val="403" w:hRule="exact"/>
        </w:trPr>
        <w:tc>
          <w:tcPr>
            <w:tcW w:w="3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3,740,457.00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1,932,810.64</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52"/>
        <w:ind w:right="0"/>
        <w:jc w:val="left"/>
      </w:pPr>
      <w:r>
        <w:rPr/>
        <w:t>未确认递延所得税资产明细</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10"/>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51"/>
        <w:ind w:right="0"/>
        <w:jc w:val="left"/>
      </w:pPr>
      <w:r>
        <w:rPr/>
        <w:t>未确认递延所得税资产的可抵扣亏损将于以下年度到期</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7"/>
        <w:gridCol w:w="2258"/>
        <w:gridCol w:w="1994"/>
        <w:gridCol w:w="3319"/>
      </w:tblGrid>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1"/>
        <w:ind w:right="0"/>
        <w:jc w:val="left"/>
      </w:pPr>
      <w:r>
        <w:rPr/>
        <w:t>应纳税差异和可抵扣差异项目明细</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60"/>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8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3"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3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953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互抵后的递延所得税资产及负债的组成项目</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73"/>
        <w:gridCol w:w="1615"/>
        <w:gridCol w:w="1627"/>
        <w:gridCol w:w="1627"/>
        <w:gridCol w:w="1616"/>
      </w:tblGrid>
      <w:tr>
        <w:trPr>
          <w:trHeight w:val="317" w:hRule="exact"/>
        </w:trPr>
        <w:tc>
          <w:tcPr>
            <w:tcW w:w="3073"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6" w:right="87"/>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9" w:right="75"/>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2" w:hRule="exact"/>
        </w:trPr>
        <w:tc>
          <w:tcPr>
            <w:tcW w:w="30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5"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16" w:type="dxa"/>
            <w:vMerge/>
            <w:tcBorders>
              <w:left w:val="single" w:sz="4" w:space="0" w:color="000000"/>
              <w:right w:val="single" w:sz="4" w:space="0" w:color="000000"/>
            </w:tcBorders>
            <w:shd w:val="clear" w:color="auto" w:fill="D3D3D3"/>
          </w:tcPr>
          <w:p>
            <w:pPr/>
          </w:p>
        </w:tc>
      </w:tr>
      <w:tr>
        <w:trPr>
          <w:trHeight w:val="317" w:hRule="exact"/>
        </w:trPr>
        <w:tc>
          <w:tcPr>
            <w:tcW w:w="30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1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1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630" w:right="0"/>
              <w:jc w:val="left"/>
              <w:rPr>
                <w:rFonts w:ascii="Times New Roman" w:hAnsi="Times New Roman" w:cs="Times New Roman" w:eastAsia="Times New Roman" w:hint="default"/>
                <w:sz w:val="18"/>
                <w:szCs w:val="18"/>
              </w:rPr>
            </w:pPr>
            <w:r>
              <w:rPr>
                <w:rFonts w:ascii="Times New Roman"/>
                <w:sz w:val="18"/>
              </w:rPr>
              <w:t>3,740,457.00</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1,932,810.64</w:t>
            </w:r>
          </w:p>
        </w:tc>
        <w:tc>
          <w:tcPr>
            <w:tcW w:w="16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递延所得税资产和递延所得税负债互抵明细</w:t>
      </w:r>
    </w:p>
    <w:p>
      <w:pPr>
        <w:pStyle w:val="BodyText"/>
        <w:spacing w:line="240" w:lineRule="auto" w:before="117"/>
        <w:ind w:left="0" w:right="151"/>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3849;top:14;width:2;height:393" coordorigin="3849,14" coordsize="2,393">
              <v:shape style="position:absolute;left:3849;top:14;width:2;height:393" coordorigin="3849,14" coordsize="0,393" path="m3849,14l3849,407e" filled="false" stroked="true" strokeweight="1.140pt" strokecolor="#d3d3d3">
                <v:path arrowok="t"/>
              </v:shape>
            </v:group>
            <v:group style="position:absolute;left:37;top:14;width:3801;height:393" coordorigin="37,14" coordsize="3801,393">
              <v:shape style="position:absolute;left:37;top:14;width:3801;height:393" coordorigin="37,14" coordsize="3801,393" path="m37,407l3838,407,3838,14,37,14,37,407xe" filled="true" fillcolor="#d3d3d3" stroked="false">
                <v:path arrowok="t"/>
                <v:fill type="solid"/>
              </v:shape>
            </v:group>
            <v:group style="position:absolute;left:3883;top:14;width:2;height:393" coordorigin="3883,14" coordsize="2,393">
              <v:shape style="position:absolute;left:3883;top:14;width:2;height:393" coordorigin="3883,14" coordsize="0,393" path="m3883,14l3883,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3894;top:14;width:5656;height:393" coordorigin="3894,14" coordsize="5656,393">
              <v:shape style="position:absolute;left:3894;top:14;width:5656;height:393" coordorigin="3894,14" coordsize="5656,393" path="m3894,407l9550,407,9550,14,3894,14,3894,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3856;height:2" coordorigin="5,412" coordsize="3856,2">
              <v:shape style="position:absolute;left:5;top:412;width:3856;height:2" coordorigin="5,412" coordsize="3856,0" path="m5,412l3860,412e" filled="false" stroked="true" strokeweight=".47998pt" strokecolor="#000000">
                <v:path arrowok="t"/>
              </v:shape>
            </v:group>
            <v:group style="position:absolute;left:3865;top:14;width:2;height:402" coordorigin="3865,14" coordsize="2,402">
              <v:shape style="position:absolute;left:3865;top:14;width:2;height:402" coordorigin="3865,14" coordsize="0,402" path="m3865,14l3865,416e" filled="false" stroked="true" strokeweight=".48pt" strokecolor="#000000">
                <v:path arrowok="t"/>
              </v:shape>
            </v:group>
            <v:group style="position:absolute;left:3870;top:412;width:5703;height:2" coordorigin="3870,412" coordsize="5703,2">
              <v:shape style="position:absolute;left:3870;top:412;width:5703;height:2" coordorigin="3870,412" coordsize="5703,0" path="m3870,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757;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865;top:10;width:5701;height:402" type="#_x0000_t202" filled="false" stroked="false">
                <v:textbox inset="0,0,0,0">
                  <w:txbxContent>
                    <w:p>
                      <w:pPr>
                        <w:spacing w:before="56"/>
                        <w:ind w:left="11" w:right="0" w:firstLine="0"/>
                        <w:jc w:val="center"/>
                        <w:rPr>
                          <w:rFonts w:ascii="宋体" w:hAnsi="宋体" w:cs="宋体" w:eastAsia="宋体" w:hint="default"/>
                          <w:sz w:val="18"/>
                          <w:szCs w:val="18"/>
                        </w:rPr>
                      </w:pPr>
                      <w:r>
                        <w:rPr>
                          <w:rFonts w:ascii="宋体" w:hAnsi="宋体" w:cs="宋体" w:eastAsia="宋体" w:hint="default"/>
                          <w:sz w:val="18"/>
                          <w:szCs w:val="18"/>
                        </w:rPr>
                        <w:t>本期互抵金额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0"/>
        <w:jc w:val="left"/>
      </w:pPr>
      <w:r>
        <w:rPr/>
        <w:t>递延所得税资产和递延所得税负债的说明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8</w:t>
      </w:r>
      <w:r>
        <w:rPr/>
        <w:t>、资产减值准备明细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54"/>
        <w:gridCol w:w="1528"/>
        <w:gridCol w:w="1528"/>
        <w:gridCol w:w="1398"/>
        <w:gridCol w:w="1398"/>
        <w:gridCol w:w="1452"/>
      </w:tblGrid>
      <w:tr>
        <w:trPr>
          <w:trHeight w:val="207" w:hRule="exact"/>
        </w:trPr>
        <w:tc>
          <w:tcPr>
            <w:tcW w:w="225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0" w:hRule="exact"/>
        </w:trPr>
        <w:tc>
          <w:tcPr>
            <w:tcW w:w="22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3D3D3"/>
          </w:tcPr>
          <w:p>
            <w:pPr/>
          </w:p>
        </w:tc>
        <w:tc>
          <w:tcPr>
            <w:tcW w:w="14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54" w:type="dxa"/>
            <w:vMerge/>
            <w:tcBorders>
              <w:left w:val="single" w:sz="4" w:space="0" w:color="000000"/>
              <w:bottom w:val="nil" w:sz="6" w:space="0" w:color="auto"/>
              <w:right w:val="single" w:sz="4" w:space="0" w:color="000000"/>
            </w:tcBorders>
            <w:shd w:val="clear" w:color="auto" w:fill="D3D3D3"/>
          </w:tcPr>
          <w:p>
            <w:pPr/>
          </w:p>
        </w:tc>
        <w:tc>
          <w:tcPr>
            <w:tcW w:w="1528" w:type="dxa"/>
            <w:vMerge/>
            <w:tcBorders>
              <w:left w:val="single" w:sz="4" w:space="0" w:color="000000"/>
              <w:bottom w:val="nil" w:sz="6" w:space="0" w:color="auto"/>
              <w:right w:val="single" w:sz="4" w:space="0" w:color="000000"/>
            </w:tcBorders>
            <w:shd w:val="clear" w:color="auto" w:fill="D3D3D3"/>
          </w:tcPr>
          <w:p>
            <w:pPr/>
          </w:p>
        </w:tc>
        <w:tc>
          <w:tcPr>
            <w:tcW w:w="1528" w:type="dxa"/>
            <w:vMerge/>
            <w:tcBorders>
              <w:left w:val="single" w:sz="4" w:space="0" w:color="000000"/>
              <w:bottom w:val="nil" w:sz="6" w:space="0" w:color="auto"/>
              <w:right w:val="single" w:sz="4" w:space="0" w:color="000000"/>
            </w:tcBorders>
            <w:shd w:val="clear" w:color="auto" w:fill="D3D3D3"/>
          </w:tcPr>
          <w:p>
            <w:pP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3D3D3"/>
          </w:tcPr>
          <w:p>
            <w:pPr/>
          </w:p>
        </w:tc>
      </w:tr>
      <w:tr>
        <w:trPr>
          <w:trHeight w:val="205" w:hRule="exact"/>
        </w:trPr>
        <w:tc>
          <w:tcPr>
            <w:tcW w:w="225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45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464,313.60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2,454,273.86</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36,198.72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2,882,388.74</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8" w:type="dxa"/>
            <w:tcBorders>
              <w:top w:val="single" w:sz="4" w:space="0" w:color="000000"/>
              <w:left w:val="single" w:sz="13" w:space="0" w:color="D3D3D3"/>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2,054,256.65</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2,054,256.65</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464,313.60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4,508,530.51</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36,198.72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4,936,645.39</w:t>
            </w:r>
          </w:p>
        </w:tc>
      </w:tr>
    </w:tbl>
    <w:p>
      <w:pPr>
        <w:pStyle w:val="BodyText"/>
        <w:spacing w:line="338" w:lineRule="auto" w:before="51"/>
        <w:ind w:left="153" w:right="0"/>
        <w:jc w:val="left"/>
      </w:pPr>
      <w:r>
        <w:rPr/>
        <w:t>资产减值明细情况的说明 </w:t>
      </w:r>
      <w:r>
        <w:rPr>
          <w:spacing w:val="-2"/>
        </w:rPr>
        <w:t>本期本公司之孙公司泗水海情置业有限公司拿出部已分开发产品组织团购，期末根据预计可变现净值与账面成本的差额计提</w:t>
      </w:r>
      <w:r>
        <w:rPr>
          <w:spacing w:val="-64"/>
        </w:rPr>
        <w:t> </w:t>
      </w:r>
      <w:r>
        <w:rPr>
          <w:spacing w:val="-64"/>
        </w:rPr>
      </w:r>
      <w:r>
        <w:rPr/>
        <w:t>跌价准备。</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9</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78"/>
        <w:gridCol w:w="2923"/>
        <w:gridCol w:w="3055"/>
      </w:tblGrid>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23" w:type="dxa"/>
            <w:tcBorders>
              <w:top w:val="single" w:sz="4" w:space="0" w:color="000000"/>
              <w:left w:val="single" w:sz="13" w:space="0" w:color="D3D3D3"/>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3,956,482.60</w:t>
            </w:r>
          </w:p>
        </w:tc>
      </w:tr>
      <w:tr>
        <w:trPr>
          <w:trHeight w:val="402" w:hRule="exact"/>
        </w:trPr>
        <w:tc>
          <w:tcPr>
            <w:tcW w:w="3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委托借款</w:t>
            </w:r>
          </w:p>
        </w:tc>
        <w:tc>
          <w:tcPr>
            <w:tcW w:w="2923"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13" w:space="0" w:color="D3D3D3"/>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31,956,482.60</w:t>
            </w:r>
          </w:p>
        </w:tc>
      </w:tr>
    </w:tbl>
    <w:p>
      <w:pPr>
        <w:pStyle w:val="BodyText"/>
        <w:spacing w:line="357" w:lineRule="auto" w:before="51"/>
        <w:ind w:left="153" w:right="3831"/>
        <w:jc w:val="left"/>
      </w:pPr>
      <w:r>
        <w:rPr/>
        <w:t>短期借款分类的说明 期初余额中抵押借款为中国农业银行深圳罗湖支行借款，本期已全部归还。</w:t>
      </w:r>
    </w:p>
    <w:p>
      <w:pPr>
        <w:pStyle w:val="BodyText"/>
        <w:spacing w:line="224" w:lineRule="exact"/>
        <w:ind w:left="153" w:right="0"/>
        <w:jc w:val="left"/>
      </w:pPr>
      <w:r>
        <w:rPr/>
        <w:t>期初余额中委托借款为本公司控股股东青岛亚星实业有限公司通过兴业银行股份有限公司青岛分行向本公司借款人民币</w:t>
      </w:r>
    </w:p>
    <w:p>
      <w:pPr>
        <w:pStyle w:val="BodyText"/>
        <w:spacing w:line="300" w:lineRule="auto" w:before="76"/>
        <w:ind w:right="0"/>
        <w:jc w:val="left"/>
      </w:pPr>
      <w:r>
        <w:rPr>
          <w:rFonts w:ascii="Times New Roman" w:hAnsi="Times New Roman" w:cs="Times New Roman" w:eastAsia="Times New Roman" w:hint="default"/>
          <w:spacing w:val="-1"/>
        </w:rPr>
        <w:t>2800</w:t>
      </w:r>
      <w:r>
        <w:rPr>
          <w:spacing w:val="-1"/>
        </w:rPr>
        <w:t>万元。此项委托借款期限为自</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7</w:t>
      </w:r>
      <w:r>
        <w:rPr>
          <w:spacing w:val="-1"/>
        </w:rPr>
        <w:t>日至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7</w:t>
      </w:r>
      <w:r>
        <w:rPr>
          <w:spacing w:val="-1"/>
        </w:rPr>
        <w:t>日，借款利率</w:t>
      </w:r>
      <w:r>
        <w:rPr>
          <w:rFonts w:ascii="Times New Roman" w:hAnsi="Times New Roman" w:cs="Times New Roman" w:eastAsia="Times New Roman" w:hint="default"/>
          <w:spacing w:val="-1"/>
        </w:rPr>
        <w:t>6.941%</w:t>
      </w:r>
      <w:r>
        <w:rPr>
          <w:spacing w:val="-1"/>
        </w:rPr>
        <w:t>，手续费用率</w:t>
      </w:r>
      <w:r>
        <w:rPr>
          <w:rFonts w:ascii="Times New Roman" w:hAnsi="Times New Roman" w:cs="Times New Roman" w:eastAsia="Times New Roman" w:hint="default"/>
          <w:spacing w:val="-1"/>
        </w:rPr>
        <w:t>0.05%</w:t>
      </w:r>
      <w:r>
        <w:rPr>
          <w:spacing w:val="-1"/>
        </w:rPr>
        <w:t>，该借款已于到期日</w:t>
      </w:r>
      <w:r>
        <w:rPr>
          <w:spacing w:val="-48"/>
        </w:rPr>
        <w:t> </w:t>
      </w:r>
      <w:r>
        <w:rPr>
          <w:spacing w:val="-48"/>
        </w:rPr>
      </w:r>
      <w:r>
        <w:rPr/>
        <w:t>一次还本付息。</w:t>
      </w:r>
    </w:p>
    <w:p>
      <w:pPr>
        <w:spacing w:after="0" w:line="30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10</w:t>
      </w:r>
      <w:r>
        <w:rPr/>
        <w:t>、应付账款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75,045,938.48</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61,736,428.16</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52,015,053.08</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9,736,816.98</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9,383,912.37</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4,723,732.87</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13,306,705.32</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8,215,291.21</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149,751,609.25</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84,412,269.22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11</w:t>
      </w:r>
      <w:r>
        <w:rPr/>
        <w:t>、预收账款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1"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113,865,582.50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124,618,140.87</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14,639,624.90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501,388.00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90"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128,615,207.40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125,119,528.87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12</w:t>
      </w:r>
      <w:r>
        <w:rPr/>
        <w:t>、应付职工薪酬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4"/>
        <w:gridCol w:w="1873"/>
        <w:gridCol w:w="1993"/>
        <w:gridCol w:w="2257"/>
        <w:gridCol w:w="1860"/>
      </w:tblGrid>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98,912.92</w:t>
            </w:r>
          </w:p>
        </w:tc>
        <w:tc>
          <w:tcPr>
            <w:tcW w:w="1993"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32,879.41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66,033.51</w:t>
            </w: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98,912.92</w:t>
            </w:r>
          </w:p>
        </w:tc>
        <w:tc>
          <w:tcPr>
            <w:tcW w:w="1993"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32,879.41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66,033.51</w:t>
            </w:r>
          </w:p>
        </w:tc>
      </w:tr>
    </w:tbl>
    <w:p>
      <w:pPr>
        <w:pStyle w:val="BodyText"/>
        <w:spacing w:line="240" w:lineRule="auto" w:before="51"/>
        <w:ind w:right="0"/>
        <w:jc w:val="left"/>
      </w:pPr>
      <w:r>
        <w:rPr/>
        <w:t>应付职工薪酬中属于拖欠性质的金额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38" w:lineRule="auto" w:before="103"/>
        <w:ind w:right="1721"/>
        <w:jc w:val="left"/>
      </w:pPr>
      <w:r>
        <w:rPr/>
        <w:t>工会经费和职工教育经费金额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元，非货币性福利金额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元，因解除劳动关系给予补偿</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应付职工薪酬预计发放时间、金额等安排</w:t>
      </w:r>
    </w:p>
    <w:p>
      <w:pPr>
        <w:pStyle w:val="BodyText"/>
        <w:spacing w:line="240" w:lineRule="auto" w:before="42"/>
        <w:ind w:right="0"/>
        <w:jc w:val="left"/>
      </w:pPr>
      <w:r>
        <w:rPr/>
        <w:t>计发时间为每月</w:t>
      </w:r>
      <w:r>
        <w:rPr>
          <w:rFonts w:ascii="Times New Roman" w:hAnsi="Times New Roman" w:cs="Times New Roman" w:eastAsia="Times New Roman" w:hint="default"/>
        </w:rPr>
        <w:t>15</w:t>
      </w:r>
      <w:r>
        <w:rPr/>
        <w:t>号。</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13</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-2,601,708.96</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4,841,973.22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2,424,518.85</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11,066,364.94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5,350,229.69</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53,546.18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49,026.05</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16,256.72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-166,284.80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7,623,990.80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858,519.41</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9,695.82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-53,491.93</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2,927.19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-37,052.98</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388,008.52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359,905.91</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85,380.92</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24,002,763.39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6,269,042.16</w:t>
            </w:r>
          </w:p>
        </w:tc>
      </w:tr>
    </w:tbl>
    <w:p>
      <w:pPr>
        <w:pStyle w:val="BodyText"/>
        <w:spacing w:line="338" w:lineRule="auto" w:before="51"/>
        <w:ind w:left="153" w:right="0"/>
        <w:jc w:val="left"/>
      </w:pPr>
      <w:r>
        <w:rPr/>
        <w:t>应交税费说明，所在地税务机关同意各分公司、分厂之间应纳税所得额相互调剂的，应说明税款计算过程 </w:t>
      </w:r>
      <w:r>
        <w:rPr>
          <w:spacing w:val="-2"/>
        </w:rPr>
        <w:t>本期应交税费大幅增加一方面是本期销售规模扩大，税金增加；另一方面，本期将预缴税金形成税金负数余额转入其他流动</w:t>
      </w:r>
      <w:r>
        <w:rPr>
          <w:spacing w:val="-66"/>
        </w:rPr>
        <w:t> </w:t>
      </w:r>
      <w:r>
        <w:rPr>
          <w:spacing w:val="-66"/>
        </w:rPr>
      </w:r>
      <w:r>
        <w:rPr/>
        <w:t>资产列报。</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14</w:t>
      </w:r>
      <w:r>
        <w:rPr/>
        <w:t>、应付股利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2"/>
        <w:gridCol w:w="1993"/>
        <w:gridCol w:w="2125"/>
        <w:gridCol w:w="2657"/>
      </w:tblGrid>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3"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广东华侨信托投资公司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176,157.08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176,157.08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历史遗留</w:t>
            </w: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深圳新通阳电子元件工业有限公司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14,545.20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14,545.20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历史遗留</w:t>
            </w: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公众股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15,326.74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15,326.74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历史遗留</w:t>
            </w: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206,029.02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206,029.02</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应付股利的说明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15</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35,632,301.91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98,992,443.11</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5,506,308.37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17,526,495.29</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1,341,044.51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27,276,330.83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23,617,130.83</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69,755,985.62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140,150,169.23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spacing w:line="547" w:lineRule="auto" w:before="35"/>
        <w:ind w:left="154" w:right="26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）金额较大的其他应付款说明内容</w:t>
      </w:r>
      <w:r>
        <w:rPr>
          <w:rFonts w:ascii="宋体" w:hAnsi="宋体" w:cs="宋体" w:eastAsia="宋体" w:hint="default"/>
          <w:b/>
          <w:bCs/>
          <w:w w:val="99"/>
          <w:sz w:val="21"/>
          <w:szCs w:val="21"/>
        </w:rPr>
        <w:t> </w:t>
      </w:r>
      <w:r>
        <w:rPr>
          <w:rFonts w:ascii="宋体" w:hAnsi="宋体" w:cs="宋体" w:eastAsia="宋体" w:hint="default"/>
          <w:sz w:val="18"/>
          <w:szCs w:val="18"/>
        </w:rPr>
        <w:t>本报告期其他应付款中应付持有公司</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以上表决权股份的股东单位或关联方款项见关联方往来附注六、</w:t>
      </w:r>
      <w:r>
        <w:rPr>
          <w:rFonts w:ascii="Times New Roman" w:hAnsi="Times New Roman" w:cs="Times New Roman" w:eastAsia="Times New Roman" w:hint="default"/>
          <w:sz w:val="18"/>
          <w:szCs w:val="18"/>
        </w:rPr>
        <w:t>5</w:t>
      </w:r>
      <w:r>
        <w:rPr>
          <w:rFonts w:ascii="宋体" w:hAnsi="宋体" w:cs="宋体" w:eastAsia="宋体" w:hint="default"/>
          <w:sz w:val="18"/>
          <w:szCs w:val="18"/>
        </w:rPr>
        <w:t>的披露。 </w:t>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、预计负债</w:t>
      </w:r>
      <w:r>
        <w:rPr>
          <w:rFonts w:ascii="宋体" w:hAnsi="宋体" w:cs="宋体" w:eastAsia="宋体" w:hint="default"/>
          <w:sz w:val="21"/>
          <w:szCs w:val="21"/>
        </w:rPr>
      </w:r>
    </w:p>
    <w:p>
      <w:pPr>
        <w:pStyle w:val="BodyText"/>
        <w:spacing w:line="240" w:lineRule="auto" w:before="50"/>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3"/>
        <w:gridCol w:w="1871"/>
        <w:gridCol w:w="1861"/>
        <w:gridCol w:w="1860"/>
        <w:gridCol w:w="1993"/>
      </w:tblGrid>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1871" w:type="dxa"/>
            <w:tcBorders>
              <w:top w:val="single" w:sz="4" w:space="0" w:color="000000"/>
              <w:left w:val="single" w:sz="13" w:space="0" w:color="D3D3D3"/>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1,999,045.00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1,999,045.00</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13" w:space="0" w:color="D3D3D3"/>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1,999,045.00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1,999,045.00</w:t>
            </w:r>
          </w:p>
        </w:tc>
      </w:tr>
    </w:tbl>
    <w:p>
      <w:pPr>
        <w:pStyle w:val="BodyText"/>
        <w:spacing w:line="240" w:lineRule="auto" w:before="51"/>
        <w:ind w:right="0"/>
        <w:jc w:val="left"/>
      </w:pPr>
      <w:r>
        <w:rPr/>
        <w:t>预计负债说明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17</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7"/>
        <w:gridCol w:w="2801"/>
        <w:gridCol w:w="3188"/>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年内到期的长期借款</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42,150,000.00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42,150,000.00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一年内到期的长期借款</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7"/>
        <w:gridCol w:w="2801"/>
        <w:gridCol w:w="3188"/>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42,150,000.00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42,150,000.00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pStyle w:val="BodyText"/>
        <w:spacing w:line="340" w:lineRule="auto" w:before="51"/>
        <w:ind w:left="153" w:right="-18"/>
        <w:jc w:val="left"/>
      </w:pPr>
      <w:r>
        <w:rPr/>
        <w:t>一年内到期的长期借款中属于逾期借款获得展期的金额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5239" w:space="3589"/>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4"/>
        <w:gridCol w:w="1062"/>
        <w:gridCol w:w="1062"/>
        <w:gridCol w:w="1062"/>
        <w:gridCol w:w="1064"/>
        <w:gridCol w:w="1063"/>
        <w:gridCol w:w="1062"/>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52"/>
        <w:ind w:right="0"/>
        <w:jc w:val="left"/>
      </w:pPr>
      <w:r>
        <w:rPr/>
        <w:t>一年内到期的长期借款中的逾期借款</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8"/>
        <w:gridCol w:w="1367"/>
        <w:gridCol w:w="1367"/>
        <w:gridCol w:w="136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pStyle w:val="BodyText"/>
        <w:spacing w:line="360" w:lineRule="auto" w:before="51"/>
        <w:ind w:left="153" w:right="7071"/>
        <w:jc w:val="left"/>
      </w:pPr>
      <w:r>
        <w:rPr/>
        <w:t>资产负债表日后已偿还的金额元。 一年内到期的长期借款说明</w:t>
      </w:r>
    </w:p>
    <w:p>
      <w:pPr>
        <w:spacing w:after="0" w:line="360" w:lineRule="auto"/>
        <w:jc w:val="left"/>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18</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5"/>
        <w:gridCol w:w="1207"/>
        <w:gridCol w:w="1184"/>
        <w:gridCol w:w="1196"/>
        <w:gridCol w:w="1196"/>
        <w:gridCol w:w="1196"/>
        <w:gridCol w:w="1184"/>
        <w:gridCol w:w="1207"/>
      </w:tblGrid>
      <w:tr>
        <w:trPr>
          <w:trHeight w:val="206" w:hRule="exact"/>
        </w:trPr>
        <w:tc>
          <w:tcPr>
            <w:tcW w:w="11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c>
          <w:tcPr>
            <w:tcW w:w="5957"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1185" w:type="dxa"/>
            <w:vMerge w:val="restart"/>
            <w:tcBorders>
              <w:top w:val="nil" w:sz="6" w:space="0" w:color="auto"/>
              <w:left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6" w:hRule="exact"/>
        </w:trPr>
        <w:tc>
          <w:tcPr>
            <w:tcW w:w="1185" w:type="dxa"/>
            <w:vMerge/>
            <w:tcBorders>
              <w:left w:val="single" w:sz="4" w:space="0" w:color="000000"/>
              <w:bottom w:val="nil" w:sz="6" w:space="0" w:color="auto"/>
              <w:right w:val="single" w:sz="4" w:space="0" w:color="000000"/>
            </w:tcBorders>
            <w:shd w:val="clear" w:color="auto" w:fill="D3D3D3"/>
          </w:tcPr>
          <w:p>
            <w:pPr/>
          </w:p>
        </w:tc>
        <w:tc>
          <w:tcPr>
            <w:tcW w:w="1207" w:type="dxa"/>
            <w:vMerge/>
            <w:tcBorders>
              <w:left w:val="single" w:sz="4" w:space="0" w:color="000000"/>
              <w:bottom w:val="nil" w:sz="6" w:space="0" w:color="auto"/>
              <w:right w:val="single" w:sz="4" w:space="0" w:color="000000"/>
            </w:tcBorders>
            <w:shd w:val="clear" w:color="auto" w:fill="D3D3D3"/>
          </w:tcPr>
          <w:p>
            <w:pP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1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116" w:right="0"/>
              <w:jc w:val="left"/>
              <w:rPr>
                <w:rFonts w:ascii="Times New Roman" w:hAnsi="Times New Roman" w:cs="Times New Roman" w:eastAsia="Times New Roman" w:hint="default"/>
                <w:sz w:val="18"/>
                <w:szCs w:val="18"/>
              </w:rPr>
            </w:pPr>
            <w:r>
              <w:rPr>
                <w:rFonts w:ascii="Times New Roman"/>
                <w:sz w:val="18"/>
              </w:rPr>
              <w:t>96,227,998.00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96,227,998.00</w:t>
            </w:r>
          </w:p>
        </w:tc>
      </w:tr>
    </w:tbl>
    <w:p>
      <w:pPr>
        <w:pStyle w:val="BodyText"/>
        <w:spacing w:line="240" w:lineRule="auto" w:before="51"/>
        <w:ind w:right="0"/>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6"/>
        </w:rPr>
        <w:t> </w:t>
      </w:r>
      <w:r>
        <w:rPr>
          <w:rFonts w:ascii="Times New Roman" w:hAnsi="Times New Roman" w:cs="Times New Roman" w:eastAsia="Times New Roman" w:hint="default"/>
        </w:rPr>
        <w:t>3</w:t>
      </w:r>
    </w:p>
    <w:p>
      <w:pPr>
        <w:pStyle w:val="BodyText"/>
        <w:spacing w:line="240" w:lineRule="auto" w:before="63"/>
        <w:ind w:right="0"/>
        <w:jc w:val="left"/>
      </w:pPr>
      <w:r>
        <w:rPr/>
        <w:t>年的股份有限公司，设立前的年份只需说明净资产情况；有限责任公司整体变更为股份公司应说明公司设立时的验资情况</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19</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1"/>
        <w:gridCol w:w="1871"/>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21,760,565.81</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21,760,565.81</w:t>
            </w:r>
          </w:p>
        </w:tc>
      </w:tr>
      <w:tr>
        <w:trPr>
          <w:trHeight w:val="403"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21,760,565.81</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21,760,565.81</w:t>
            </w:r>
          </w:p>
        </w:tc>
      </w:tr>
    </w:tbl>
    <w:p>
      <w:pPr>
        <w:pStyle w:val="BodyText"/>
        <w:spacing w:line="240" w:lineRule="auto" w:before="51"/>
        <w:ind w:right="0"/>
        <w:jc w:val="left"/>
      </w:pPr>
      <w:r>
        <w:rPr/>
        <w:t>资本公积说明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20</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1"/>
        <w:gridCol w:w="1871"/>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5,887,067.95</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5,887,067.95</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5,887,067.95</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5,887,067.95</w:t>
            </w:r>
          </w:p>
        </w:tc>
      </w:tr>
    </w:tbl>
    <w:p>
      <w:pPr>
        <w:pStyle w:val="BodyText"/>
        <w:spacing w:line="240" w:lineRule="auto" w:before="51"/>
        <w:ind w:right="0"/>
        <w:jc w:val="left"/>
      </w:pPr>
      <w:r>
        <w:rPr/>
        <w:t>盈余公积说明，用盈余公积转增股本、弥补亏损、分派股利的，应说明有关决议</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21</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6"/>
        <w:gridCol w:w="3729"/>
        <w:gridCol w:w="2110"/>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29"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30,636,751.52</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29"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30,636,751.52</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29"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2,078,042.37</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29"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32,714,793.89</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调整年初未分配利润明细：</w:t>
      </w:r>
    </w:p>
    <w:p>
      <w:pPr>
        <w:pStyle w:val="BodyText"/>
        <w:spacing w:line="240" w:lineRule="auto" w:before="117"/>
        <w:ind w:left="153" w:right="0"/>
        <w:jc w:val="left"/>
      </w:pPr>
      <w:r>
        <w:rPr>
          <w:rFonts w:ascii="Times New Roman" w:hAnsi="Times New Roman" w:cs="Times New Roman" w:eastAsia="Times New Roman" w:hint="default"/>
        </w:rPr>
        <w:t>1)</w:t>
      </w:r>
      <w:r>
        <w:rPr/>
        <w:t>、由于《企业会计准则》及其相关新规定进行追溯调整，影响年初未分配利润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0"/>
        <w:jc w:val="left"/>
      </w:pPr>
      <w:r>
        <w:rPr>
          <w:rFonts w:ascii="Times New Roman" w:hAnsi="Times New Roman" w:cs="Times New Roman" w:eastAsia="Times New Roman" w:hint="default"/>
        </w:rPr>
        <w:t>2)</w:t>
      </w:r>
      <w:r>
        <w:rPr/>
        <w:t>、由于会计政策变更，影响年初未分配利润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9" w:lineRule="auto" w:before="44"/>
        <w:ind w:left="153" w:right="150"/>
        <w:jc w:val="both"/>
      </w:pPr>
      <w:r>
        <w:rPr>
          <w:spacing w:val="-2"/>
        </w:rPr>
        <w:t>未分配利润说明，对于首次公开发行证券的公司，如果发行前的滚存利润经股东大会决议由新老股东共同享有，应明确予以</w:t>
      </w:r>
      <w:r>
        <w:rPr>
          <w:spacing w:val="-66"/>
        </w:rPr>
        <w:t> </w:t>
      </w:r>
      <w:r>
        <w:rPr>
          <w:spacing w:val="-66"/>
        </w:rPr>
      </w:r>
      <w:r>
        <w:rPr>
          <w:spacing w:val="-2"/>
        </w:rPr>
        <w:t>说明；如果发行前的滚存利润经股东大会决议在发行前进行分配并由老股东享有，公司应明确披露应付股利中老股东享有的</w:t>
      </w:r>
      <w:r>
        <w:rPr>
          <w:spacing w:val="-64"/>
        </w:rPr>
        <w:t> </w:t>
      </w:r>
      <w:r>
        <w:rPr>
          <w:spacing w:val="-64"/>
        </w:rPr>
      </w:r>
      <w:r>
        <w:rPr/>
        <w:t>经审计的利润数</w:t>
      </w:r>
    </w:p>
    <w:p>
      <w:pPr>
        <w:spacing w:line="240" w:lineRule="auto" w:before="3"/>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22</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9"/>
        <w:gridCol w:w="3069"/>
        <w:gridCol w:w="3190"/>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206,236,809.33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99,039,893.86</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159,055,100.49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67,561,777.56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15"/>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156,743,290.85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111,916,400.24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96,832,206.63</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65,614,716.34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49,493,518.48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47,138,700.25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2,207,687.23</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1,947,061.22</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206,236,809.33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159,055,100.49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99,039,893.86</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67,561,777.56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房地产（商品房</w:t>
            </w:r>
            <w:r>
              <w:rPr>
                <w:rFonts w:ascii="Times New Roman" w:hAnsi="Times New Roman" w:cs="Times New Roman" w:eastAsia="Times New Roman" w:hint="default"/>
                <w:sz w:val="18"/>
                <w:szCs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156,743,290.85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111,916,400.24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96,832,206.63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65,614,716.34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贸易</w:t>
            </w:r>
            <w:r>
              <w:rPr>
                <w:rFonts w:ascii="Times New Roman" w:hAnsi="Times New Roman" w:cs="Times New Roman" w:eastAsia="Times New Roman" w:hint="default"/>
                <w:sz w:val="18"/>
                <w:szCs w:val="18"/>
              </w:rPr>
              <w:t>(</w:t>
            </w:r>
            <w:r>
              <w:rPr>
                <w:rFonts w:ascii="宋体" w:hAnsi="宋体" w:cs="宋体" w:eastAsia="宋体" w:hint="default"/>
                <w:sz w:val="18"/>
                <w:szCs w:val="18"/>
              </w:rPr>
              <w:t>钢材</w:t>
            </w:r>
            <w:r>
              <w:rPr>
                <w:rFonts w:ascii="Times New Roman" w:hAnsi="Times New Roman" w:cs="Times New Roman" w:eastAsia="Times New Roman" w:hint="default"/>
                <w:sz w:val="18"/>
                <w:szCs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49,493,518.48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47,138,700.25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2,207,687.23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1,947,061.22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206,236,809.33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159,055,100.49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99,039,893.86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67,561,777.56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15"/>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206,236,809.33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159,055,100.49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99,039,893.86</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67,561,777.56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206,236,809.33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159,055,100.49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99,039,893.86</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67,561,777.56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青岛亚星投资有限公司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30,993,915.51</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15.03%</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青岛合生美亚园林工程有限公司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16,472,068.91</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7.99%</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王军、张晓光</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13,363,762.00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6.48%</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中国建设银行兖州市支行</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12,837,682.00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6.22%</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马姗姗</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2,030,000.00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0.98%</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75,697,428.42</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36.7%</w:t>
            </w:r>
          </w:p>
        </w:tc>
      </w:tr>
    </w:tbl>
    <w:p>
      <w:pPr>
        <w:pStyle w:val="BodyText"/>
        <w:spacing w:line="240" w:lineRule="auto" w:before="51"/>
        <w:ind w:right="0"/>
        <w:jc w:val="left"/>
      </w:pPr>
      <w:r>
        <w:rPr/>
        <w:t>营业收入的说明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23</w:t>
      </w:r>
      <w:r>
        <w:rPr/>
        <w:t>、营业税金及附加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82"/>
        <w:gridCol w:w="1992"/>
        <w:gridCol w:w="1861"/>
        <w:gridCol w:w="2921"/>
      </w:tblGrid>
      <w:tr>
        <w:trPr>
          <w:trHeight w:val="402"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7,836,414.51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4,827,797.89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535,306.37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289,001.70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237,172.00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156,093.14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4,688,894.16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1,840,953.62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按房屋销售收入的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158,114.46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104,295.48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79,057.34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43,857.99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0.05%</w:t>
            </w:r>
          </w:p>
        </w:tc>
      </w:tr>
      <w:tr>
        <w:trPr>
          <w:trHeight w:val="403"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13,534,958.84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7,261,999.82</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营业税金及附加的说明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代理费及佣金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1,172,889.10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1,545,860.37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698,063.00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859,549.00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工程维修费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658,202.29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策划与咨询费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372,870.75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624,345.50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宣传物料及礼品费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50,944.90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413,139.00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318,791.37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736,307.05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69,122.15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围挡喷绘安装及夜间亮化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54,463.50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42,616.13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31,719.50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预订开盘活动费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25,560.00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3,086,760.93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4,655,752.68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25</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1,816,923.46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2,001,004.19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1,580,647.79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1,775,657.33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1,172,072.40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1,643,741.80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377,267.80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628,092.71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185,853.27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624,964.45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178,750.30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503,073.50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224,515.93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462,857.00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审计和律师费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1,221,944.50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2,810,217.90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186,478.40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75,908.77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127,074.14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118,580.22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114,254.00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73,569.50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102,362.25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36,753.26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75,030.60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9,873,205.10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8,573,029.37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26</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4,651,593.20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4,831,025.24</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83,067.19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149,947.43</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4,734,660.39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4,980,972.67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27</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231"/>
        <w:gridCol w:w="2536"/>
        <w:gridCol w:w="2789"/>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2,454,273.86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453,773.60</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2,054,256.65</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4,508,530.51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453,773.60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28</w:t>
      </w:r>
      <w:r>
        <w:rPr/>
        <w:t>、营业外收入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3"/>
        <w:gridCol w:w="1955"/>
        <w:gridCol w:w="2160"/>
        <w:gridCol w:w="2160"/>
      </w:tblGrid>
      <w:tr>
        <w:trPr>
          <w:trHeight w:val="714"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8,587.98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68,770.00</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手续费返还</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1,844.00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25,523.30</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1,877.01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25,000.76</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12,308.99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119,294.06</w:t>
            </w: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29</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7"/>
        <w:gridCol w:w="2032"/>
        <w:gridCol w:w="1914"/>
        <w:gridCol w:w="1914"/>
      </w:tblGrid>
      <w:tr>
        <w:trPr>
          <w:trHeight w:val="161" w:hRule="exact"/>
        </w:trPr>
        <w:tc>
          <w:tcPr>
            <w:tcW w:w="3697" w:type="dxa"/>
            <w:tcBorders>
              <w:top w:val="single" w:sz="4" w:space="0" w:color="000000"/>
              <w:left w:val="single" w:sz="4" w:space="0" w:color="000000"/>
              <w:bottom w:val="nil" w:sz="6" w:space="0" w:color="auto"/>
              <w:right w:val="single" w:sz="4" w:space="0" w:color="000000"/>
            </w:tcBorders>
            <w:shd w:val="clear" w:color="auto" w:fill="D3D3D3"/>
          </w:tcPr>
          <w:p>
            <w:pPr/>
          </w:p>
        </w:tc>
        <w:tc>
          <w:tcPr>
            <w:tcW w:w="20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81"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2" w:hRule="exact"/>
        </w:trPr>
        <w:tc>
          <w:tcPr>
            <w:tcW w:w="36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tcBorders>
              <w:left w:val="single" w:sz="4" w:space="0" w:color="000000"/>
              <w:right w:val="single" w:sz="4" w:space="0" w:color="000000"/>
            </w:tcBorders>
            <w:shd w:val="clear" w:color="auto" w:fill="D3D3D3"/>
          </w:tcPr>
          <w:p>
            <w:pPr/>
          </w:p>
        </w:tc>
      </w:tr>
      <w:tr>
        <w:trPr>
          <w:trHeight w:val="161" w:hRule="exact"/>
        </w:trPr>
        <w:tc>
          <w:tcPr>
            <w:tcW w:w="3697" w:type="dxa"/>
            <w:tcBorders>
              <w:top w:val="nil" w:sz="6" w:space="0" w:color="auto"/>
              <w:left w:val="single" w:sz="4" w:space="0" w:color="000000"/>
              <w:bottom w:val="single" w:sz="4" w:space="0" w:color="000000"/>
              <w:right w:val="single" w:sz="4" w:space="0" w:color="000000"/>
            </w:tcBorders>
            <w:shd w:val="clear" w:color="auto" w:fill="D3D3D3"/>
          </w:tcPr>
          <w:p>
            <w:pPr/>
          </w:p>
        </w:tc>
        <w:tc>
          <w:tcPr>
            <w:tcW w:w="20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127,058.06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281,138.92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7,924.00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2"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526,196.98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11,924.00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营业外支出说明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30</w:t>
      </w:r>
      <w:r>
        <w:rPr/>
        <w:t>、所得税费用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2"/>
        <w:gridCol w:w="2535"/>
        <w:gridCol w:w="2389"/>
      </w:tblGrid>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9,949,370.26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4,877,123.56</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-1,807,646.36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-1,833,975.29</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8,141,723.90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3,043,148.27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31</w:t>
      </w:r>
      <w:r>
        <w:rPr/>
        <w:t>、基本每股收益和稀释每股收益的计算过程</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5104"/>
        <w:gridCol w:w="1560"/>
        <w:gridCol w:w="1488"/>
        <w:gridCol w:w="1488"/>
      </w:tblGrid>
      <w:tr>
        <w:trPr>
          <w:trHeight w:val="355" w:hRule="exact"/>
        </w:trPr>
        <w:tc>
          <w:tcPr>
            <w:tcW w:w="666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7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37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3"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P0</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2,078,042.37</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2,091,182.70</w:t>
            </w:r>
          </w:p>
        </w:tc>
      </w:tr>
      <w:tr>
        <w:trPr>
          <w:trHeight w:val="352"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F</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-443,691.15</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71,324.07</w:t>
            </w:r>
          </w:p>
        </w:tc>
      </w:tr>
      <w:tr>
        <w:trPr>
          <w:trHeight w:val="352"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P0'=P0-F</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2,521,733.52</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2,019,858.63</w:t>
            </w:r>
          </w:p>
        </w:tc>
      </w:tr>
      <w:tr>
        <w:trPr>
          <w:trHeight w:val="353"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V</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664"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归属于公司普通股股东的净利润，并考虑稀释性潜在普通股对其</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影响，按《企业会计准则》及有关规定进行调整。</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P1=P0+V</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2,078,042.37</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2,091,182.70</w:t>
            </w:r>
          </w:p>
        </w:tc>
      </w:tr>
      <w:tr>
        <w:trPr>
          <w:trHeight w:val="664"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
              <w:jc w:val="left"/>
              <w:rPr>
                <w:rFonts w:ascii="宋体" w:hAnsi="宋体" w:cs="宋体" w:eastAsia="宋体" w:hint="default"/>
                <w:sz w:val="18"/>
                <w:szCs w:val="18"/>
              </w:rPr>
            </w:pPr>
            <w:r>
              <w:rPr>
                <w:rFonts w:ascii="宋体" w:hAnsi="宋体" w:cs="宋体" w:eastAsia="宋体" w:hint="default"/>
                <w:sz w:val="18"/>
                <w:szCs w:val="18"/>
              </w:rPr>
              <w:t>稀释事项对扣除非经常性损益后归属于公司普通股股东的净利润</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的影响</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V'</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977"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
              <w:jc w:val="both"/>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扣除非经常性损益后归属于公司普通股股东的净利润，并考虑稀</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释性潜在普通股对其影响，按《企业会计准则》及有关规定进行</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调整</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P1'=P0'+V'</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2,521,733.52</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2,019,858.63</w:t>
            </w:r>
          </w:p>
        </w:tc>
      </w:tr>
      <w:tr>
        <w:trPr>
          <w:trHeight w:val="352"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S0</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96,227,998.00</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96,227,998.00</w:t>
            </w:r>
          </w:p>
        </w:tc>
      </w:tr>
      <w:tr>
        <w:trPr>
          <w:trHeight w:val="352"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S1</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Si</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Sj</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Sk</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M0</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12</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12</w:t>
            </w:r>
          </w:p>
        </w:tc>
      </w:tr>
      <w:tr>
        <w:trPr>
          <w:trHeight w:val="352"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Mi</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Mj</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977"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350" w:lineRule="auto" w:before="10"/>
              <w:ind w:left="2"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S=S0 </w:t>
            </w:r>
            <w:r>
              <w:rPr>
                <w:rFonts w:ascii="宋体" w:hAnsi="宋体" w:cs="宋体" w:eastAsia="宋体" w:hint="default"/>
                <w:sz w:val="18"/>
                <w:szCs w:val="18"/>
              </w:rPr>
              <w:t>＋ </w:t>
            </w:r>
            <w:r>
              <w:rPr>
                <w:rFonts w:ascii="Times New Roman" w:hAnsi="Times New Roman" w:cs="Times New Roman" w:eastAsia="Times New Roman" w:hint="default"/>
                <w:sz w:val="18"/>
                <w:szCs w:val="18"/>
              </w:rPr>
              <w:t>S1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Si×Mi÷M0–Sj×Mj÷</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M0-Sk</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96,227,998.00</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96,227,998.00</w:t>
            </w:r>
          </w:p>
        </w:tc>
      </w:tr>
      <w:tr>
        <w:trPr>
          <w:trHeight w:val="664"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
              <w:jc w:val="left"/>
              <w:rPr>
                <w:rFonts w:ascii="宋体" w:hAnsi="宋体" w:cs="宋体" w:eastAsia="宋体" w:hint="default"/>
                <w:sz w:val="18"/>
                <w:szCs w:val="18"/>
              </w:rPr>
            </w:pPr>
            <w:r>
              <w:rPr>
                <w:rFonts w:ascii="宋体" w:hAnsi="宋体" w:cs="宋体" w:eastAsia="宋体" w:hint="default"/>
                <w:sz w:val="18"/>
                <w:szCs w:val="18"/>
              </w:rPr>
              <w:t>加：假定稀释性潜在普通股转换为已发行普通股而增加的普通股</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加权平均数</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X1</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X2=S+X1</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96,227,998.00</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96,227,998.00</w:t>
            </w:r>
          </w:p>
        </w:tc>
      </w:tr>
      <w:tr>
        <w:trPr>
          <w:trHeight w:val="353"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份</w:t>
            </w:r>
            <w:r>
              <w:rPr>
                <w:rFonts w:ascii="Times New Roman" w:hAnsi="Times New Roman" w:cs="Times New Roman" w:eastAsia="Times New Roman" w:hint="default"/>
                <w:sz w:val="18"/>
                <w:szCs w:val="18"/>
              </w:rPr>
              <w:t>?</w:t>
            </w:r>
            <w:r>
              <w:rPr>
                <w:rFonts w:ascii="宋体" w:hAnsi="宋体" w:cs="宋体" w:eastAsia="宋体" w:hint="default"/>
                <w:sz w:val="18"/>
                <w:szCs w:val="18"/>
              </w:rPr>
              <w:t>权</w:t>
            </w:r>
            <w:r>
              <w:rPr>
                <w:rFonts w:ascii="Times New Roman" w:hAnsi="Times New Roman" w:cs="Times New Roman" w:eastAsia="Times New Roman" w:hint="default"/>
                <w:sz w:val="18"/>
                <w:szCs w:val="18"/>
              </w:rPr>
              <w:t>?</w:t>
            </w:r>
            <w:r>
              <w:rPr>
                <w:rFonts w:ascii="宋体" w:hAnsi="宋体" w:cs="宋体" w:eastAsia="宋体" w:hint="default"/>
                <w:sz w:val="18"/>
                <w:szCs w:val="18"/>
              </w:rPr>
              <w:t>权</w:t>
            </w:r>
            <w:r>
              <w:rPr>
                <w:rFonts w:ascii="Times New Roman" w:hAnsi="Times New Roman" w:cs="Times New Roman" w:eastAsia="Times New Roman" w:hint="default"/>
                <w:sz w:val="18"/>
                <w:szCs w:val="18"/>
              </w:rPr>
              <w:t>????????</w:t>
            </w:r>
            <w:r>
              <w:rPr>
                <w:rFonts w:ascii="宋体" w:hAnsi="宋体" w:cs="宋体" w:eastAsia="宋体" w:hint="default"/>
                <w:sz w:val="18"/>
                <w:szCs w:val="18"/>
              </w:rPr>
              <w:t>权</w:t>
            </w:r>
            <w:r>
              <w:rPr>
                <w:rFonts w:ascii="Times New Roman" w:hAnsi="Times New Roman" w:cs="Times New Roman" w:eastAsia="Times New Roman" w:hint="default"/>
                <w:sz w:val="18"/>
                <w:szCs w:val="18"/>
              </w:rPr>
              <w:t>?</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0.0216</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0.0217</w:t>
            </w:r>
          </w:p>
        </w:tc>
      </w:tr>
      <w:tr>
        <w:trPr>
          <w:trHeight w:val="352"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0.0262</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0.0210</w:t>
            </w:r>
          </w:p>
        </w:tc>
      </w:tr>
      <w:tr>
        <w:trPr>
          <w:trHeight w:val="352"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0.0216</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0.0217</w:t>
            </w:r>
          </w:p>
        </w:tc>
      </w:tr>
      <w:tr>
        <w:trPr>
          <w:trHeight w:val="352" w:hRule="exact"/>
        </w:trPr>
        <w:tc>
          <w:tcPr>
            <w:tcW w:w="51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0.0262</w:t>
            </w:r>
            <w:r>
              <w:rPr>
                <w:rFonts w:ascii="Times New Roman"/>
                <w:sz w:val="18"/>
              </w:rPr>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0.0210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32</w:t>
      </w:r>
      <w:r>
        <w:rPr/>
        <w:t>、现金流量表附注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3,086,760.93</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8,179,695.28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付现手续费、罚款支出</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437,136.17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支付项目资本金、冻结资金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2,353,425.60</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14,057,017.98</w:t>
            </w:r>
          </w:p>
        </w:tc>
      </w:tr>
    </w:tbl>
    <w:p>
      <w:pPr>
        <w:pStyle w:val="BodyText"/>
        <w:spacing w:line="240" w:lineRule="auto" w:before="51"/>
        <w:ind w:right="0"/>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33</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2,787,981.18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2,616,809.95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4,508,530.51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453,773.60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94,011.56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130,240.82</w:t>
            </w:r>
          </w:p>
        </w:tc>
      </w:tr>
      <w:tr>
        <w:trPr>
          <w:trHeight w:val="714"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127,058.06</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4,696,663.14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3,549,529.13</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-1,807,646.36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-1,833,975.29</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46,539,780.14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-98,636,730.68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3,963,438.97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-47,740,780.97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-7,955,912.74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51,850,950.27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52,953,904.46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-89,610,183.17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16,095,315.98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9,079,054.48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9,079,054.48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23,125,978.79</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7,016,261.50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-14,046,924.31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4"/>
        <w:gridCol w:w="2536"/>
        <w:gridCol w:w="2657"/>
      </w:tblGrid>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16,095,315.98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9,079,054.48</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16,095,315.98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9,079,054.48</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40,136.92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600,383.17</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460"/>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16,055,179.06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2,364,853.71</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460"/>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536" w:type="dxa"/>
            <w:tcBorders>
              <w:top w:val="single" w:sz="4" w:space="0" w:color="000000"/>
              <w:left w:val="single" w:sz="10"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6,113,817.60</w:t>
            </w:r>
          </w:p>
        </w:tc>
      </w:tr>
      <w:tr>
        <w:trPr>
          <w:trHeight w:val="403"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16,095,315.98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9,079,054.48</w:t>
            </w:r>
          </w:p>
        </w:tc>
      </w:tr>
    </w:tbl>
    <w:p>
      <w:pPr>
        <w:pStyle w:val="BodyText"/>
        <w:spacing w:line="240" w:lineRule="auto" w:before="51"/>
        <w:ind w:right="0"/>
        <w:jc w:val="left"/>
      </w:pPr>
      <w:r>
        <w:rPr/>
        <w:t>现金流量表补充资料的说明</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七、关联方及关联交易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357" w:hRule="exact"/>
        </w:trPr>
        <w:tc>
          <w:tcPr>
            <w:tcW w:w="874"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6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5" w:hRule="exact"/>
        </w:trPr>
        <w:tc>
          <w:tcPr>
            <w:tcW w:w="8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40" w:right="71"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9" w:right="68"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持股比例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表决权比</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56" w:hRule="exact"/>
        </w:trPr>
        <w:tc>
          <w:tcPr>
            <w:tcW w:w="874"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6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6"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青岛亚星 实业有限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姜剑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38"/>
              <w:jc w:val="center"/>
              <w:rPr>
                <w:rFonts w:ascii="宋体" w:hAnsi="宋体" w:cs="宋体" w:eastAsia="宋体" w:hint="default"/>
                <w:sz w:val="18"/>
                <w:szCs w:val="18"/>
              </w:rPr>
            </w:pP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44.79%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44.79%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姜剑</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26459132-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w:t>
            </w:r>
          </w:p>
        </w:tc>
      </w:tr>
    </w:tbl>
    <w:p>
      <w:pPr>
        <w:pStyle w:val="BodyText"/>
        <w:spacing w:line="338" w:lineRule="auto" w:before="51"/>
        <w:ind w:left="153" w:right="0"/>
        <w:jc w:val="left"/>
      </w:pPr>
      <w:r>
        <w:rPr/>
        <w:t>本企业的母公司情况的说明 </w:t>
      </w:r>
      <w:r>
        <w:rPr>
          <w:spacing w:val="-2"/>
        </w:rPr>
        <w:t>青岛亚星集团是一家集房地产开发、矿产采掘、广告策划、商贸流通为一体的多元化、跨地域的现代民营企业集团。集团拥</w:t>
      </w:r>
      <w:r>
        <w:rPr>
          <w:spacing w:val="-66"/>
        </w:rPr>
        <w:t> </w:t>
      </w:r>
      <w:r>
        <w:rPr>
          <w:spacing w:val="-66"/>
        </w:rPr>
      </w:r>
      <w:r>
        <w:rPr/>
        <w:t>有青岛亚星置业有限公司、青岛嘉合福远置业有限公司、青岛美丰置业有限公司等企业。</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青岛广顺房 地产有限公 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朱兰英</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72559132-x</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济宁海情置 业有限公司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兖州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74656243-x</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济宁海情贸 易有限公司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孙洪祥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57777237-1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潍坊亚通置 业有限公司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许亚楠</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58042757-9</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泗水海情置 业有限公司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泗水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许亚楠</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69967797-0</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青岛大通地 产顾问有限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许亚楠</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房屋中介， 受托代理房 地产销售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58367591-4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、本企业的其他关联方情况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青岛亚星置业有限公司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受同一控股股东控制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71807662-9</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2"/>
              <w:jc w:val="left"/>
              <w:rPr>
                <w:rFonts w:ascii="宋体" w:hAnsi="宋体" w:cs="宋体" w:eastAsia="宋体" w:hint="default"/>
                <w:sz w:val="18"/>
                <w:szCs w:val="18"/>
              </w:rPr>
            </w:pPr>
            <w:r>
              <w:rPr>
                <w:rFonts w:ascii="宋体" w:hAnsi="宋体" w:cs="宋体" w:eastAsia="宋体" w:hint="default"/>
                <w:sz w:val="18"/>
                <w:szCs w:val="18"/>
              </w:rPr>
              <w:t>青岛天和智远商贸有限公司（原青岛亚 星投资有限公司）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受同一控股股东控制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74036022-0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青岛美丰置业有限公司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受同一控股股东控制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79080041-5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北京信泽至恒投资有限公司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控股股东之母公司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66248142-1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青岛嘉合福远置业有限公司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受同一控股股东控制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68675275-9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青岛亿合福远置业有限公司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受同一控股股东控制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68675272-4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北京天和智远投资有限公司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控股股东之母公司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66314249-9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绵阳亿嘉合投资有限公司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已收购但未纳入合并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68612416-2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青岛通亚建筑安装有限公司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已收购但未纳入合并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56858537-1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泌阳县亿嘉合矿业有限公司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58439445-2</w:t>
            </w:r>
          </w:p>
        </w:tc>
      </w:tr>
    </w:tbl>
    <w:p>
      <w:pPr>
        <w:pStyle w:val="BodyText"/>
        <w:spacing w:line="338" w:lineRule="auto" w:before="51"/>
        <w:ind w:left="153" w:right="0"/>
        <w:jc w:val="left"/>
      </w:pPr>
      <w:r>
        <w:rPr/>
        <w:t>本企业的其他关联方情况的说明 </w:t>
      </w:r>
      <w:r>
        <w:rPr>
          <w:spacing w:val="-2"/>
        </w:rPr>
        <w:t>注：绵阳亿嘉合投资有限公司、青岛通亚建筑安装有限公司收购已进行工商变更登记，但未支付股权转让款，故未纳入合并</w:t>
      </w:r>
      <w:r>
        <w:rPr>
          <w:spacing w:val="-66"/>
        </w:rPr>
        <w:t> </w:t>
      </w:r>
      <w:r>
        <w:rPr>
          <w:spacing w:val="-66"/>
        </w:rPr>
      </w:r>
      <w:r>
        <w:rPr/>
        <w:t>范围。</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、关联方交易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58"/>
        <w:jc w:val="right"/>
      </w:pPr>
      <w:r>
        <w:rPr/>
        <w:pict>
          <v:shape style="position:absolute;margin-left:56.459999pt;margin-top:-52.207989pt;width:478.5pt;height:71.9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340"/>
                    <w:gridCol w:w="1254"/>
                    <w:gridCol w:w="786"/>
                  </w:tblGrid>
                  <w:tr>
                    <w:trPr>
                      <w:trHeight w:val="402" w:hRule="exact"/>
                    </w:trPr>
                    <w:tc>
                      <w:tcPr>
                        <w:tcW w:w="1597" w:type="dxa"/>
                        <w:tcBorders>
                          <w:top w:val="single" w:sz="4" w:space="0" w:color="000000"/>
                          <w:left w:val="single" w:sz="4" w:space="0" w:color="000000"/>
                          <w:bottom w:val="nil" w:sz="6" w:space="0" w:color="auto"/>
                          <w:right w:val="single" w:sz="4" w:space="0" w:color="000000"/>
                        </w:tcBorders>
                        <w:shd w:val="clear" w:color="auto" w:fill="D3D3D3"/>
                      </w:tcPr>
                      <w:p>
                        <w:pPr/>
                      </w:p>
                    </w:tc>
                    <w:tc>
                      <w:tcPr>
                        <w:tcW w:w="17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70" w:hRule="exact"/>
                    </w:trPr>
                    <w:tc>
                      <w:tcPr>
                        <w:tcW w:w="15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340" w:type="dxa"/>
                        <w:tcBorders>
                          <w:top w:val="single" w:sz="4" w:space="0" w:color="000000"/>
                          <w:left w:val="single" w:sz="4" w:space="0" w:color="000000"/>
                          <w:bottom w:val="nil" w:sz="6" w:space="0" w:color="auto"/>
                          <w:right w:val="nil" w:sz="6" w:space="0" w:color="auto"/>
                        </w:tcBorders>
                        <w:shd w:val="clear" w:color="auto" w:fill="D3D3D3"/>
                      </w:tcPr>
                      <w:p>
                        <w:pPr/>
                      </w:p>
                    </w:tc>
                    <w:tc>
                      <w:tcPr>
                        <w:tcW w:w="1254" w:type="dxa"/>
                        <w:tcBorders>
                          <w:top w:val="single" w:sz="4" w:space="0" w:color="000000"/>
                          <w:left w:val="nil" w:sz="6" w:space="0" w:color="auto"/>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8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4" w:right="19"/>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56" w:hRule="exact"/>
                    </w:trPr>
                    <w:tc>
                      <w:tcPr>
                        <w:tcW w:w="15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7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nil" w:sz="6" w:space="0" w:color="auto"/>
                          <w:left w:val="single" w:sz="4" w:space="0" w:color="000000"/>
                          <w:bottom w:val="single" w:sz="4" w:space="0" w:color="000000"/>
                          <w:right w:val="nil" w:sz="6" w:space="0" w:color="auto"/>
                        </w:tcBorders>
                        <w:shd w:val="clear" w:color="auto" w:fill="D3D3D3"/>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254" w:type="dxa"/>
                        <w:tcBorders>
                          <w:top w:val="nil" w:sz="6" w:space="0" w:color="auto"/>
                          <w:left w:val="nil" w:sz="6" w:space="0" w:color="auto"/>
                          <w:bottom w:val="single" w:sz="4" w:space="0" w:color="000000"/>
                          <w:right w:val="single" w:sz="4" w:space="0" w:color="000000"/>
                        </w:tcBorders>
                        <w:shd w:val="clear" w:color="auto" w:fill="D3D3D3"/>
                      </w:tcPr>
                      <w:p>
                        <w:pPr/>
                      </w:p>
                    </w:tc>
                    <w:tc>
                      <w:tcPr>
                        <w:tcW w:w="78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3"/>
        <w:rPr>
          <w:rFonts w:ascii="宋体" w:hAnsi="宋体" w:cs="宋体" w:eastAsia="宋体" w:hint="default"/>
          <w:sz w:val="9"/>
          <w:szCs w:val="9"/>
        </w:rPr>
      </w:pPr>
    </w:p>
    <w:p>
      <w:pPr>
        <w:pStyle w:val="BodyText"/>
        <w:spacing w:line="240" w:lineRule="auto" w:before="44"/>
        <w:ind w:right="0"/>
        <w:jc w:val="left"/>
      </w:pPr>
      <w:r>
        <w:rPr/>
        <w:t>出售商品、提供劳务情况表</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7"/>
        <w:gridCol w:w="1727"/>
        <w:gridCol w:w="1462"/>
        <w:gridCol w:w="2390"/>
        <w:gridCol w:w="2380"/>
      </w:tblGrid>
      <w:tr>
        <w:trPr>
          <w:trHeight w:val="401"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94" w:right="0"/>
              <w:jc w:val="left"/>
              <w:rPr>
                <w:rFonts w:ascii="宋体" w:hAnsi="宋体" w:cs="宋体" w:eastAsia="宋体" w:hint="default"/>
                <w:sz w:val="18"/>
                <w:szCs w:val="18"/>
              </w:rPr>
            </w:pPr>
            <w:r>
              <w:rPr>
                <w:rFonts w:ascii="宋体" w:hAnsi="宋体" w:cs="宋体" w:eastAsia="宋体" w:hint="default"/>
                <w:sz w:val="18"/>
                <w:szCs w:val="18"/>
              </w:rPr>
              <w:t>关联交易定价方</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44"/>
        <w:ind w:left="0" w:right="158"/>
        <w:jc w:val="right"/>
      </w:pPr>
      <w:r>
        <w:rPr/>
        <w:pict>
          <v:shape style="position:absolute;margin-left:56.459999pt;margin-top:-32.108025pt;width:479.1pt;height:158.9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4"/>
                    <w:gridCol w:w="798"/>
                  </w:tblGrid>
                  <w:tr>
                    <w:trPr>
                      <w:trHeight w:val="1026"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84" w:right="0"/>
                          <w:jc w:val="left"/>
                          <w:rPr>
                            <w:rFonts w:ascii="宋体" w:hAnsi="宋体" w:cs="宋体" w:eastAsia="宋体" w:hint="default"/>
                            <w:sz w:val="18"/>
                            <w:szCs w:val="18"/>
                          </w:rPr>
                        </w:pPr>
                        <w:r>
                          <w:rPr>
                            <w:rFonts w:ascii="宋体" w:hAnsi="宋体" w:cs="宋体" w:eastAsia="宋体" w:hint="default"/>
                            <w:sz w:val="18"/>
                            <w:szCs w:val="18"/>
                          </w:rPr>
                          <w:t>式及决策程序</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青岛天和智远商贸 有限公司</w:t>
                        </w:r>
                      </w:p>
                    </w:tc>
                    <w:tc>
                      <w:tcPr>
                        <w:tcW w:w="172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（原青岛亚星投资 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协议作价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30,993,915.51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青岛通亚建筑安装 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协议作价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2,027,534.06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right="0"/>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3"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济宁海情置业有限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泗水海情置业有限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50,000,000.00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上市公司应收关联方款项</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58"/>
        <w:gridCol w:w="1667"/>
        <w:gridCol w:w="1462"/>
        <w:gridCol w:w="1462"/>
        <w:gridCol w:w="1459"/>
        <w:gridCol w:w="1460"/>
      </w:tblGrid>
      <w:tr>
        <w:trPr>
          <w:trHeight w:val="402" w:hRule="exact"/>
        </w:trPr>
        <w:tc>
          <w:tcPr>
            <w:tcW w:w="20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2058" w:type="dxa"/>
            <w:vMerge/>
            <w:tcBorders>
              <w:left w:val="single" w:sz="4" w:space="0" w:color="000000"/>
              <w:bottom w:val="single" w:sz="4" w:space="0" w:color="000000"/>
              <w:right w:val="single" w:sz="4" w:space="0" w:color="000000"/>
            </w:tcBorders>
            <w:shd w:val="clear" w:color="auto" w:fill="D3D3D3"/>
          </w:tcPr>
          <w:p>
            <w:pPr/>
          </w:p>
        </w:tc>
        <w:tc>
          <w:tcPr>
            <w:tcW w:w="166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26"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青岛天和智远商贸 </w:t>
            </w:r>
            <w:r>
              <w:rPr>
                <w:rFonts w:ascii="宋体" w:hAnsi="宋体" w:cs="宋体" w:eastAsia="宋体" w:hint="default"/>
                <w:spacing w:val="-2"/>
                <w:sz w:val="18"/>
                <w:szCs w:val="18"/>
              </w:rPr>
              <w:t>有限公司（原青岛亚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星投资有限公司）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459,458.80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青岛亿合福远置业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23,823.00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上市公司应付关联方款项</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4"/>
        <w:gridCol w:w="2258"/>
        <w:gridCol w:w="2258"/>
        <w:gridCol w:w="2257"/>
      </w:tblGrid>
      <w:tr>
        <w:trPr>
          <w:trHeight w:val="401"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24,332,609.80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40,376,139.00</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青岛嘉合福远置业有限公司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3,444,809.81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27,061,506.81</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方正延中传媒有限公司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422,122.00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422,122.00</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青岛美丰置业有限公司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49,800.00</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青岛亚星置业有限公司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39,425.00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828,107.55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94"/>
        <w:gridCol w:w="2258"/>
        <w:gridCol w:w="2258"/>
        <w:gridCol w:w="2257"/>
      </w:tblGrid>
      <w:tr>
        <w:trPr>
          <w:trHeight w:val="358" w:hRule="exact"/>
        </w:trPr>
        <w:tc>
          <w:tcPr>
            <w:tcW w:w="2794" w:type="dxa"/>
            <w:tcBorders>
              <w:top w:val="single" w:sz="4" w:space="0" w:color="000000"/>
              <w:left w:val="single" w:sz="4" w:space="0" w:color="000000"/>
              <w:bottom w:val="nil" w:sz="6" w:space="0" w:color="auto"/>
              <w:right w:val="single" w:sz="4" w:space="0" w:color="000000"/>
            </w:tcBorders>
          </w:tcPr>
          <w:p>
            <w:pPr/>
          </w:p>
        </w:tc>
        <w:tc>
          <w:tcPr>
            <w:tcW w:w="22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青岛天和智远商贸有限公司</w:t>
            </w:r>
          </w:p>
        </w:tc>
        <w:tc>
          <w:tcPr>
            <w:tcW w:w="2258" w:type="dxa"/>
            <w:vMerge w:val="restart"/>
            <w:tcBorders>
              <w:top w:val="single" w:sz="4" w:space="0" w:color="000000"/>
              <w:left w:val="single" w:sz="4" w:space="0" w:color="000000"/>
              <w:right w:val="single" w:sz="4" w:space="0" w:color="000000"/>
            </w:tcBorders>
          </w:tcPr>
          <w:p>
            <w:pPr/>
          </w:p>
        </w:tc>
        <w:tc>
          <w:tcPr>
            <w:tcW w:w="225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2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（原青岛亚星投资有限公</w:t>
            </w:r>
          </w:p>
        </w:tc>
        <w:tc>
          <w:tcPr>
            <w:tcW w:w="2258" w:type="dxa"/>
            <w:vMerge/>
            <w:tcBorders>
              <w:left w:val="single" w:sz="4" w:space="0" w:color="000000"/>
              <w:right w:val="single" w:sz="4" w:space="0" w:color="000000"/>
            </w:tcBorders>
          </w:tcPr>
          <w:p>
            <w:pPr/>
          </w:p>
        </w:tc>
        <w:tc>
          <w:tcPr>
            <w:tcW w:w="225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190" w:right="0"/>
              <w:jc w:val="left"/>
              <w:rPr>
                <w:rFonts w:ascii="Times New Roman" w:hAnsi="Times New Roman" w:cs="Times New Roman" w:eastAsia="Times New Roman" w:hint="default"/>
                <w:sz w:val="18"/>
                <w:szCs w:val="18"/>
              </w:rPr>
            </w:pPr>
            <w:r>
              <w:rPr>
                <w:rFonts w:ascii="Times New Roman"/>
                <w:sz w:val="18"/>
              </w:rPr>
              <w:t>37,545,556.95</w:t>
            </w:r>
          </w:p>
        </w:tc>
      </w:tr>
      <w:tr>
        <w:trPr>
          <w:trHeight w:val="352" w:hRule="exact"/>
        </w:trPr>
        <w:tc>
          <w:tcPr>
            <w:tcW w:w="2794" w:type="dxa"/>
            <w:tcBorders>
              <w:top w:val="nil" w:sz="6" w:space="0" w:color="auto"/>
              <w:left w:val="single" w:sz="4" w:space="0" w:color="000000"/>
              <w:bottom w:val="single" w:sz="4" w:space="0" w:color="000000"/>
              <w:right w:val="single" w:sz="4" w:space="0" w:color="000000"/>
            </w:tcBorders>
          </w:tcPr>
          <w:p>
            <w:pPr/>
          </w:p>
        </w:tc>
        <w:tc>
          <w:tcPr>
            <w:tcW w:w="22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258" w:type="dxa"/>
            <w:vMerge/>
            <w:tcBorders>
              <w:left w:val="single" w:sz="4" w:space="0" w:color="000000"/>
              <w:bottom w:val="single" w:sz="4" w:space="0" w:color="000000"/>
              <w:right w:val="single" w:sz="4" w:space="0" w:color="000000"/>
            </w:tcBorders>
          </w:tcPr>
          <w:p>
            <w:pPr/>
          </w:p>
        </w:tc>
        <w:tc>
          <w:tcPr>
            <w:tcW w:w="225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孙登义</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999,238.00</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许亚楠</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728,881.00</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易平良</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2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八、承诺事项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详见：第五节重要事项；五、承诺事项履行情况</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详见：第五节重要事项；五、承诺事项履行情况</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九、母公司财务报表主要项目注释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3"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青岛广顺 房地产有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46,384,74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46,384,74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46,384,74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济宁海情 置业有限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189,177,4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96.65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189,177,4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96.65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189,177,4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96.65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济宁海情 贸易有限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潍坊亚通 置业有限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265,562,2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265,562,2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265,562,2</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8"/>
        <w:gridCol w:w="798"/>
        <w:gridCol w:w="798"/>
        <w:gridCol w:w="798"/>
        <w:gridCol w:w="798"/>
        <w:gridCol w:w="797"/>
        <w:gridCol w:w="799"/>
        <w:gridCol w:w="798"/>
        <w:gridCol w:w="798"/>
      </w:tblGrid>
      <w:tr>
        <w:trPr>
          <w:trHeight w:val="362"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37.00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9" w:right="0"/>
              <w:jc w:val="left"/>
              <w:rPr>
                <w:rFonts w:ascii="Times New Roman" w:hAnsi="Times New Roman" w:cs="Times New Roman" w:eastAsia="Times New Roman" w:hint="default"/>
                <w:sz w:val="18"/>
                <w:szCs w:val="18"/>
              </w:rPr>
            </w:pPr>
            <w:r>
              <w:rPr>
                <w:rFonts w:ascii="Times New Roman"/>
                <w:sz w:val="18"/>
              </w:rPr>
              <w:t>37.00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9" w:right="0"/>
              <w:jc w:val="left"/>
              <w:rPr>
                <w:rFonts w:ascii="Times New Roman" w:hAnsi="Times New Roman" w:cs="Times New Roman" w:eastAsia="Times New Roman" w:hint="default"/>
                <w:sz w:val="18"/>
                <w:szCs w:val="18"/>
              </w:rPr>
            </w:pPr>
            <w:r>
              <w:rPr>
                <w:rFonts w:ascii="Times New Roman"/>
                <w:sz w:val="18"/>
              </w:rPr>
              <w:t>37.00</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长期股权投资的说明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29"/>
        <w:gridCol w:w="2270"/>
        <w:gridCol w:w="2257"/>
      </w:tblGrid>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-5,537,654.08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-3,922,598.20</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378,181.24</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16,289.05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33,824.88</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127,058.06</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-4,252,072.74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10,457.78</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7"/>
        <w:gridCol w:w="2189"/>
        <w:gridCol w:w="1903"/>
        <w:gridCol w:w="1938"/>
      </w:tblGrid>
      <w:tr>
        <w:trPr>
          <w:trHeight w:val="205" w:hRule="exact"/>
        </w:trPr>
        <w:tc>
          <w:tcPr>
            <w:tcW w:w="3527" w:type="dxa"/>
            <w:tcBorders>
              <w:top w:val="single" w:sz="4" w:space="0" w:color="000000"/>
              <w:left w:val="single" w:sz="4" w:space="0" w:color="000000"/>
              <w:bottom w:val="nil" w:sz="6" w:space="0" w:color="auto"/>
              <w:right w:val="single" w:sz="4" w:space="0" w:color="000000"/>
            </w:tcBorders>
            <w:shd w:val="clear" w:color="auto" w:fill="D3D3D3"/>
          </w:tcPr>
          <w:p>
            <w:pPr/>
          </w:p>
        </w:tc>
        <w:tc>
          <w:tcPr>
            <w:tcW w:w="21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5"/>
              <w:ind w:right="1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7"/>
              <w:ind w:right="1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35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89" w:type="dxa"/>
            <w:vMerge/>
            <w:tcBorders>
              <w:left w:val="single" w:sz="4" w:space="0" w:color="000000"/>
              <w:right w:val="single" w:sz="4" w:space="0" w:color="000000"/>
            </w:tcBorders>
            <w:shd w:val="clear" w:color="auto" w:fill="D3D3D3"/>
          </w:tcPr>
          <w:p>
            <w:pPr/>
          </w:p>
        </w:tc>
        <w:tc>
          <w:tcPr>
            <w:tcW w:w="3841" w:type="dxa"/>
            <w:gridSpan w:val="2"/>
            <w:vMerge/>
            <w:tcBorders>
              <w:left w:val="single" w:sz="4" w:space="0" w:color="000000"/>
              <w:bottom w:val="single" w:sz="4" w:space="0" w:color="000000"/>
              <w:right w:val="single" w:sz="4" w:space="0" w:color="000000"/>
            </w:tcBorders>
            <w:shd w:val="clear" w:color="auto" w:fill="D3D3D3"/>
          </w:tcPr>
          <w:p>
            <w:pPr/>
          </w:p>
        </w:tc>
      </w:tr>
      <w:tr>
        <w:trPr>
          <w:trHeight w:val="200" w:hRule="exact"/>
        </w:trPr>
        <w:tc>
          <w:tcPr>
            <w:tcW w:w="3527" w:type="dxa"/>
            <w:vMerge/>
            <w:tcBorders>
              <w:left w:val="single" w:sz="4" w:space="0" w:color="000000"/>
              <w:bottom w:val="nil" w:sz="6" w:space="0" w:color="auto"/>
              <w:right w:val="single" w:sz="4" w:space="0" w:color="000000"/>
            </w:tcBorders>
            <w:shd w:val="clear" w:color="auto" w:fill="D3D3D3"/>
          </w:tcPr>
          <w:p>
            <w:pPr/>
          </w:p>
        </w:tc>
        <w:tc>
          <w:tcPr>
            <w:tcW w:w="2189" w:type="dxa"/>
            <w:vMerge/>
            <w:tcBorders>
              <w:left w:val="single" w:sz="4" w:space="0" w:color="000000"/>
              <w:right w:val="single" w:sz="4" w:space="0" w:color="000000"/>
            </w:tcBorders>
            <w:shd w:val="clear" w:color="auto" w:fill="D3D3D3"/>
          </w:tcPr>
          <w:p>
            <w:pPr/>
          </w:p>
        </w:tc>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0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2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07" w:hRule="exact"/>
        </w:trPr>
        <w:tc>
          <w:tcPr>
            <w:tcW w:w="3527" w:type="dxa"/>
            <w:tcBorders>
              <w:top w:val="nil" w:sz="6" w:space="0" w:color="auto"/>
              <w:left w:val="single" w:sz="4" w:space="0" w:color="000000"/>
              <w:bottom w:val="single" w:sz="4" w:space="0" w:color="000000"/>
              <w:right w:val="single" w:sz="4" w:space="0" w:color="000000"/>
            </w:tcBorders>
            <w:shd w:val="clear" w:color="auto" w:fill="D3D3D3"/>
          </w:tcPr>
          <w:p>
            <w:pPr/>
          </w:p>
        </w:tc>
        <w:tc>
          <w:tcPr>
            <w:tcW w:w="2189" w:type="dxa"/>
            <w:vMerge/>
            <w:tcBorders>
              <w:left w:val="single" w:sz="4" w:space="0" w:color="000000"/>
              <w:bottom w:val="single" w:sz="4" w:space="0" w:color="000000"/>
              <w:right w:val="single" w:sz="4" w:space="0" w:color="000000"/>
            </w:tcBorders>
            <w:shd w:val="clear" w:color="auto" w:fill="D3D3D3"/>
          </w:tcPr>
          <w:p>
            <w:pPr/>
          </w:p>
        </w:tc>
        <w:tc>
          <w:tcPr>
            <w:tcW w:w="1903" w:type="dxa"/>
            <w:vMerge/>
            <w:tcBorders>
              <w:left w:val="single" w:sz="4" w:space="0" w:color="000000"/>
              <w:bottom w:val="single" w:sz="4" w:space="0" w:color="000000"/>
              <w:right w:val="single" w:sz="4" w:space="0" w:color="000000"/>
            </w:tcBorders>
            <w:shd w:val="clear" w:color="auto" w:fill="D3D3D3"/>
          </w:tcPr>
          <w:p>
            <w:pPr/>
          </w:p>
        </w:tc>
        <w:tc>
          <w:tcPr>
            <w:tcW w:w="193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89" w:type="dxa"/>
            <w:tcBorders>
              <w:top w:val="single" w:sz="22" w:space="0" w:color="D3D3D3"/>
              <w:left w:val="single" w:sz="9" w:space="0" w:color="D3D3D3"/>
              <w:bottom w:val="single" w:sz="4" w:space="0" w:color="000000"/>
              <w:right w:val="single" w:sz="4" w:space="0" w:color="000000"/>
            </w:tcBorders>
          </w:tcPr>
          <w:p>
            <w:pPr>
              <w:pStyle w:val="TableParagraph"/>
              <w:spacing w:line="240" w:lineRule="auto" w:before="68"/>
              <w:ind w:right="32"/>
              <w:jc w:val="right"/>
              <w:rPr>
                <w:rFonts w:ascii="Times New Roman" w:hAnsi="Times New Roman" w:cs="Times New Roman" w:eastAsia="Times New Roman" w:hint="default"/>
                <w:sz w:val="18"/>
                <w:szCs w:val="18"/>
              </w:rPr>
            </w:pPr>
            <w:r>
              <w:rPr>
                <w:rFonts w:ascii="Times New Roman"/>
                <w:sz w:val="18"/>
              </w:rPr>
              <w:t>1.34%</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0.0216</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0.0216</w:t>
            </w:r>
          </w:p>
        </w:tc>
      </w:tr>
      <w:tr>
        <w:trPr>
          <w:trHeight w:val="714"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8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1.62%</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0.0262</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0.0262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919"/>
        <w:gridCol w:w="1256"/>
        <w:gridCol w:w="1256"/>
        <w:gridCol w:w="1254"/>
        <w:gridCol w:w="954"/>
        <w:gridCol w:w="2034"/>
      </w:tblGrid>
      <w:tr>
        <w:trPr>
          <w:trHeight w:val="355" w:hRule="exact"/>
        </w:trPr>
        <w:tc>
          <w:tcPr>
            <w:tcW w:w="1919"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56"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300" w:lineRule="auto"/>
              <w:ind w:left="350" w:right="54" w:hanging="296"/>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 发生额</w:t>
            </w:r>
          </w:p>
        </w:tc>
        <w:tc>
          <w:tcPr>
            <w:tcW w:w="1256"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300" w:lineRule="auto"/>
              <w:ind w:left="350" w:right="54" w:hanging="296"/>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 发生额</w:t>
            </w:r>
          </w:p>
        </w:tc>
        <w:tc>
          <w:tcPr>
            <w:tcW w:w="220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85" w:right="0"/>
              <w:jc w:val="left"/>
              <w:rPr>
                <w:rFonts w:ascii="宋体" w:hAnsi="宋体" w:cs="宋体" w:eastAsia="宋体" w:hint="default"/>
                <w:sz w:val="18"/>
                <w:szCs w:val="18"/>
              </w:rPr>
            </w:pPr>
            <w:r>
              <w:rPr>
                <w:rFonts w:ascii="宋体" w:hAnsi="宋体" w:cs="宋体" w:eastAsia="宋体" w:hint="default"/>
                <w:sz w:val="18"/>
                <w:szCs w:val="18"/>
              </w:rPr>
              <w:t>变动金额、变动幅度</w:t>
            </w:r>
          </w:p>
        </w:tc>
        <w:tc>
          <w:tcPr>
            <w:tcW w:w="2034" w:type="dxa"/>
            <w:vMerge w:val="restart"/>
            <w:tcBorders>
              <w:top w:val="single" w:sz="6" w:space="0" w:color="000000"/>
              <w:left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52" w:hRule="exact"/>
        </w:trPr>
        <w:tc>
          <w:tcPr>
            <w:tcW w:w="1919" w:type="dxa"/>
            <w:vMerge/>
            <w:tcBorders>
              <w:left w:val="single" w:sz="6" w:space="0" w:color="000000"/>
              <w:bottom w:val="single" w:sz="12" w:space="0" w:color="000000"/>
              <w:right w:val="single" w:sz="6" w:space="0" w:color="000000"/>
            </w:tcBorders>
          </w:tcPr>
          <w:p>
            <w:pPr/>
          </w:p>
        </w:tc>
        <w:tc>
          <w:tcPr>
            <w:tcW w:w="1256" w:type="dxa"/>
            <w:vMerge/>
            <w:tcBorders>
              <w:left w:val="single" w:sz="6" w:space="0" w:color="000000"/>
              <w:bottom w:val="single" w:sz="12" w:space="0" w:color="000000"/>
              <w:right w:val="single" w:sz="6" w:space="0" w:color="000000"/>
            </w:tcBorders>
          </w:tcPr>
          <w:p>
            <w:pPr/>
          </w:p>
        </w:tc>
        <w:tc>
          <w:tcPr>
            <w:tcW w:w="1256" w:type="dxa"/>
            <w:vMerge/>
            <w:tcBorders>
              <w:left w:val="single" w:sz="6" w:space="0" w:color="000000"/>
              <w:bottom w:val="single" w:sz="12" w:space="0" w:color="000000"/>
              <w:right w:val="single" w:sz="6" w:space="0" w:color="000000"/>
            </w:tcBorders>
          </w:tcPr>
          <w:p>
            <w:pPr/>
          </w:p>
        </w:tc>
        <w:tc>
          <w:tcPr>
            <w:tcW w:w="1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c>
          <w:tcPr>
            <w:tcW w:w="2034" w:type="dxa"/>
            <w:vMerge/>
            <w:tcBorders>
              <w:left w:val="single" w:sz="6" w:space="0" w:color="000000"/>
              <w:bottom w:val="single" w:sz="12" w:space="0" w:color="000000"/>
              <w:right w:val="nil" w:sz="6" w:space="0" w:color="auto"/>
            </w:tcBorders>
          </w:tcPr>
          <w:p>
            <w:pPr/>
          </w:p>
        </w:tc>
      </w:tr>
      <w:tr>
        <w:trPr>
          <w:trHeight w:val="352" w:hRule="exact"/>
        </w:trPr>
        <w:tc>
          <w:tcPr>
            <w:tcW w:w="1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18,448,741.58</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9,079,054.48</w:t>
            </w:r>
          </w:p>
        </w:tc>
        <w:tc>
          <w:tcPr>
            <w:tcW w:w="1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9,369,687.10</w:t>
            </w:r>
          </w:p>
        </w:tc>
        <w:tc>
          <w:tcPr>
            <w:tcW w:w="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103.20%</w:t>
            </w:r>
          </w:p>
        </w:tc>
        <w:tc>
          <w:tcPr>
            <w:tcW w:w="20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销售规模扩大，收款增加</w:t>
            </w:r>
          </w:p>
        </w:tc>
      </w:tr>
      <w:tr>
        <w:trPr>
          <w:trHeight w:val="665" w:hRule="exact"/>
        </w:trPr>
        <w:tc>
          <w:tcPr>
            <w:tcW w:w="1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21,200,004.60</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21,200,004.60</w:t>
            </w:r>
          </w:p>
        </w:tc>
        <w:tc>
          <w:tcPr>
            <w:tcW w:w="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203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5"/>
              <w:jc w:val="left"/>
              <w:rPr>
                <w:rFonts w:ascii="宋体" w:hAnsi="宋体" w:cs="宋体" w:eastAsia="宋体" w:hint="default"/>
                <w:sz w:val="18"/>
                <w:szCs w:val="18"/>
              </w:rPr>
            </w:pPr>
            <w:r>
              <w:rPr>
                <w:rFonts w:ascii="宋体" w:hAnsi="宋体" w:cs="宋体" w:eastAsia="宋体" w:hint="default"/>
                <w:spacing w:val="2"/>
                <w:sz w:val="18"/>
                <w:szCs w:val="18"/>
              </w:rPr>
              <w:t>改变列报口径，将预缴税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金在本科目列报</w:t>
            </w:r>
          </w:p>
        </w:tc>
      </w:tr>
      <w:tr>
        <w:trPr>
          <w:trHeight w:val="664" w:hRule="exact"/>
        </w:trPr>
        <w:tc>
          <w:tcPr>
            <w:tcW w:w="1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3,740,457.00</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1,932,810.64</w:t>
            </w:r>
          </w:p>
        </w:tc>
        <w:tc>
          <w:tcPr>
            <w:tcW w:w="1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1,807,646.36</w:t>
            </w:r>
          </w:p>
        </w:tc>
        <w:tc>
          <w:tcPr>
            <w:tcW w:w="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93.52%</w:t>
            </w:r>
          </w:p>
        </w:tc>
        <w:tc>
          <w:tcPr>
            <w:tcW w:w="203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5"/>
              <w:jc w:val="left"/>
              <w:rPr>
                <w:rFonts w:ascii="宋体" w:hAnsi="宋体" w:cs="宋体" w:eastAsia="宋体" w:hint="default"/>
                <w:sz w:val="18"/>
                <w:szCs w:val="18"/>
              </w:rPr>
            </w:pPr>
            <w:r>
              <w:rPr>
                <w:rFonts w:ascii="宋体" w:hAnsi="宋体" w:cs="宋体" w:eastAsia="宋体" w:hint="default"/>
                <w:spacing w:val="2"/>
                <w:sz w:val="18"/>
                <w:szCs w:val="18"/>
              </w:rPr>
              <w:t>计提减值准备、预收账款</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增加及计提预计负债</w:t>
            </w:r>
          </w:p>
        </w:tc>
      </w:tr>
      <w:tr>
        <w:trPr>
          <w:trHeight w:val="352" w:hRule="exact"/>
        </w:trPr>
        <w:tc>
          <w:tcPr>
            <w:tcW w:w="1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31,956,482.60</w:t>
            </w:r>
          </w:p>
        </w:tc>
        <w:tc>
          <w:tcPr>
            <w:tcW w:w="1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-31,956,482.60</w:t>
            </w:r>
          </w:p>
        </w:tc>
        <w:tc>
          <w:tcPr>
            <w:tcW w:w="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20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偿还贷款</w:t>
            </w:r>
          </w:p>
        </w:tc>
      </w:tr>
      <w:tr>
        <w:trPr>
          <w:trHeight w:val="353" w:hRule="exact"/>
        </w:trPr>
        <w:tc>
          <w:tcPr>
            <w:tcW w:w="1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149,751,609.25</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84,412,269.22</w:t>
            </w:r>
          </w:p>
        </w:tc>
        <w:tc>
          <w:tcPr>
            <w:tcW w:w="1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65,339,340.03</w:t>
            </w:r>
          </w:p>
        </w:tc>
        <w:tc>
          <w:tcPr>
            <w:tcW w:w="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77.41%</w:t>
            </w:r>
          </w:p>
        </w:tc>
        <w:tc>
          <w:tcPr>
            <w:tcW w:w="20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预计已施工未结算工程成</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919"/>
        <w:gridCol w:w="1256"/>
        <w:gridCol w:w="1256"/>
        <w:gridCol w:w="1254"/>
        <w:gridCol w:w="954"/>
        <w:gridCol w:w="2034"/>
      </w:tblGrid>
      <w:tr>
        <w:trPr>
          <w:trHeight w:val="355" w:hRule="exact"/>
        </w:trPr>
        <w:tc>
          <w:tcPr>
            <w:tcW w:w="1919" w:type="dxa"/>
            <w:tcBorders>
              <w:top w:val="single" w:sz="6" w:space="0" w:color="000000"/>
              <w:left w:val="single" w:sz="6" w:space="0" w:color="000000"/>
              <w:bottom w:val="single" w:sz="12" w:space="0" w:color="000000"/>
              <w:right w:val="single" w:sz="6" w:space="0" w:color="000000"/>
            </w:tcBorders>
          </w:tcPr>
          <w:p>
            <w:pPr/>
          </w:p>
        </w:tc>
        <w:tc>
          <w:tcPr>
            <w:tcW w:w="1256" w:type="dxa"/>
            <w:tcBorders>
              <w:top w:val="single" w:sz="6" w:space="0" w:color="000000"/>
              <w:left w:val="single" w:sz="6" w:space="0" w:color="000000"/>
              <w:bottom w:val="single" w:sz="12" w:space="0" w:color="000000"/>
              <w:right w:val="single" w:sz="6" w:space="0" w:color="000000"/>
            </w:tcBorders>
          </w:tcPr>
          <w:p>
            <w:pPr/>
          </w:p>
        </w:tc>
        <w:tc>
          <w:tcPr>
            <w:tcW w:w="1256" w:type="dxa"/>
            <w:tcBorders>
              <w:top w:val="single" w:sz="6" w:space="0" w:color="000000"/>
              <w:left w:val="single" w:sz="6" w:space="0" w:color="000000"/>
              <w:bottom w:val="single" w:sz="12" w:space="0" w:color="000000"/>
              <w:right w:val="single" w:sz="6" w:space="0" w:color="000000"/>
            </w:tcBorders>
          </w:tcPr>
          <w:p>
            <w:pPr/>
          </w:p>
        </w:tc>
        <w:tc>
          <w:tcPr>
            <w:tcW w:w="1254" w:type="dxa"/>
            <w:tcBorders>
              <w:top w:val="single" w:sz="6" w:space="0" w:color="000000"/>
              <w:left w:val="single" w:sz="6" w:space="0" w:color="000000"/>
              <w:bottom w:val="single" w:sz="12" w:space="0" w:color="000000"/>
              <w:right w:val="single" w:sz="6" w:space="0" w:color="000000"/>
            </w:tcBorders>
          </w:tcPr>
          <w:p>
            <w:pPr/>
          </w:p>
        </w:tc>
        <w:tc>
          <w:tcPr>
            <w:tcW w:w="954" w:type="dxa"/>
            <w:tcBorders>
              <w:top w:val="single" w:sz="6" w:space="0" w:color="000000"/>
              <w:left w:val="single" w:sz="6" w:space="0" w:color="000000"/>
              <w:bottom w:val="single" w:sz="12" w:space="0" w:color="000000"/>
              <w:right w:val="single" w:sz="6" w:space="0" w:color="000000"/>
            </w:tcBorders>
          </w:tcPr>
          <w:p>
            <w:pPr/>
          </w:p>
        </w:tc>
        <w:tc>
          <w:tcPr>
            <w:tcW w:w="20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w:t>
            </w:r>
          </w:p>
        </w:tc>
      </w:tr>
      <w:tr>
        <w:trPr>
          <w:trHeight w:val="976" w:hRule="exact"/>
        </w:trPr>
        <w:tc>
          <w:tcPr>
            <w:tcW w:w="1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24,002,763.39</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6,269,042.16</w:t>
            </w:r>
          </w:p>
        </w:tc>
        <w:tc>
          <w:tcPr>
            <w:tcW w:w="1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17,733,721.23</w:t>
            </w:r>
          </w:p>
        </w:tc>
        <w:tc>
          <w:tcPr>
            <w:tcW w:w="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282.88%</w:t>
            </w:r>
          </w:p>
        </w:tc>
        <w:tc>
          <w:tcPr>
            <w:tcW w:w="203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5"/>
              <w:jc w:val="both"/>
              <w:rPr>
                <w:rFonts w:ascii="宋体" w:hAnsi="宋体" w:cs="宋体" w:eastAsia="宋体" w:hint="default"/>
                <w:sz w:val="18"/>
                <w:szCs w:val="18"/>
              </w:rPr>
            </w:pPr>
            <w:r>
              <w:rPr>
                <w:rFonts w:ascii="宋体" w:hAnsi="宋体" w:cs="宋体" w:eastAsia="宋体" w:hint="default"/>
                <w:spacing w:val="2"/>
                <w:sz w:val="18"/>
                <w:szCs w:val="18"/>
              </w:rPr>
              <w:t>改变列报口径，将预缴税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金在其他流动资产科目列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报</w:t>
            </w:r>
          </w:p>
        </w:tc>
      </w:tr>
      <w:tr>
        <w:trPr>
          <w:trHeight w:val="353" w:hRule="exact"/>
        </w:trPr>
        <w:tc>
          <w:tcPr>
            <w:tcW w:w="1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1,430,617.22</w:t>
            </w:r>
          </w:p>
        </w:tc>
        <w:tc>
          <w:tcPr>
            <w:tcW w:w="1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-1,430,617.22</w:t>
            </w:r>
          </w:p>
        </w:tc>
        <w:tc>
          <w:tcPr>
            <w:tcW w:w="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20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偿还利息</w:t>
            </w:r>
          </w:p>
        </w:tc>
      </w:tr>
      <w:tr>
        <w:trPr>
          <w:trHeight w:val="352" w:hRule="exact"/>
        </w:trPr>
        <w:tc>
          <w:tcPr>
            <w:tcW w:w="1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69,755,985.62</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140,150,169.23</w:t>
            </w:r>
          </w:p>
        </w:tc>
        <w:tc>
          <w:tcPr>
            <w:tcW w:w="1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-70,394,183.61</w:t>
            </w:r>
          </w:p>
        </w:tc>
        <w:tc>
          <w:tcPr>
            <w:tcW w:w="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-50.23%</w:t>
            </w:r>
          </w:p>
        </w:tc>
        <w:tc>
          <w:tcPr>
            <w:tcW w:w="20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归还往来款</w:t>
            </w:r>
          </w:p>
        </w:tc>
      </w:tr>
      <w:tr>
        <w:trPr>
          <w:trHeight w:val="664" w:hRule="exact"/>
        </w:trPr>
        <w:tc>
          <w:tcPr>
            <w:tcW w:w="191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01"/>
              <w:jc w:val="left"/>
              <w:rPr>
                <w:rFonts w:ascii="宋体" w:hAnsi="宋体" w:cs="宋体" w:eastAsia="宋体" w:hint="default"/>
                <w:sz w:val="18"/>
                <w:szCs w:val="18"/>
              </w:rPr>
            </w:pPr>
            <w:r>
              <w:rPr>
                <w:rFonts w:ascii="宋体" w:hAnsi="宋体" w:cs="宋体" w:eastAsia="宋体" w:hint="default"/>
                <w:sz w:val="18"/>
                <w:szCs w:val="18"/>
              </w:rPr>
              <w:t>一年内到期的非流动负 债</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42,150,000.00</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42,150,000.00</w:t>
            </w:r>
          </w:p>
        </w:tc>
        <w:tc>
          <w:tcPr>
            <w:tcW w:w="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20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长期借款重分类至本科目</w:t>
            </w:r>
          </w:p>
        </w:tc>
      </w:tr>
      <w:tr>
        <w:trPr>
          <w:trHeight w:val="665" w:hRule="exact"/>
        </w:trPr>
        <w:tc>
          <w:tcPr>
            <w:tcW w:w="1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1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203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4"/>
              <w:jc w:val="left"/>
              <w:rPr>
                <w:rFonts w:ascii="宋体" w:hAnsi="宋体" w:cs="宋体" w:eastAsia="宋体" w:hint="default"/>
                <w:sz w:val="18"/>
                <w:szCs w:val="18"/>
              </w:rPr>
            </w:pPr>
            <w:r>
              <w:rPr>
                <w:rFonts w:ascii="宋体" w:hAnsi="宋体" w:cs="宋体" w:eastAsia="宋体" w:hint="default"/>
                <w:spacing w:val="2"/>
                <w:sz w:val="18"/>
                <w:szCs w:val="18"/>
              </w:rPr>
              <w:t>重分类至一年内到期的非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流动负债</w:t>
            </w:r>
          </w:p>
        </w:tc>
      </w:tr>
      <w:tr>
        <w:trPr>
          <w:trHeight w:val="352" w:hRule="exact"/>
        </w:trPr>
        <w:tc>
          <w:tcPr>
            <w:tcW w:w="1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1,999,045.00</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1,999,045.00</w:t>
            </w:r>
          </w:p>
        </w:tc>
        <w:tc>
          <w:tcPr>
            <w:tcW w:w="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20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计提未决诉讼形成</w:t>
            </w:r>
          </w:p>
        </w:tc>
      </w:tr>
      <w:tr>
        <w:trPr>
          <w:trHeight w:val="352" w:hRule="exact"/>
        </w:trPr>
        <w:tc>
          <w:tcPr>
            <w:tcW w:w="1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206,236,809.33</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99,039,893.86</w:t>
            </w:r>
          </w:p>
        </w:tc>
        <w:tc>
          <w:tcPr>
            <w:tcW w:w="1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107,196,915.47</w:t>
            </w:r>
          </w:p>
        </w:tc>
        <w:tc>
          <w:tcPr>
            <w:tcW w:w="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108.24%</w:t>
            </w:r>
          </w:p>
        </w:tc>
        <w:tc>
          <w:tcPr>
            <w:tcW w:w="20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售房规模增长</w:t>
            </w:r>
          </w:p>
        </w:tc>
      </w:tr>
      <w:tr>
        <w:trPr>
          <w:trHeight w:val="353" w:hRule="exact"/>
        </w:trPr>
        <w:tc>
          <w:tcPr>
            <w:tcW w:w="1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159,055,100.49</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67,561,777.56</w:t>
            </w:r>
          </w:p>
        </w:tc>
        <w:tc>
          <w:tcPr>
            <w:tcW w:w="1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91,493,322.93</w:t>
            </w:r>
          </w:p>
        </w:tc>
        <w:tc>
          <w:tcPr>
            <w:tcW w:w="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135.42%</w:t>
            </w:r>
          </w:p>
        </w:tc>
        <w:tc>
          <w:tcPr>
            <w:tcW w:w="20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销售增长，成本相应增长</w:t>
            </w:r>
          </w:p>
        </w:tc>
      </w:tr>
      <w:tr>
        <w:trPr>
          <w:trHeight w:val="352" w:hRule="exact"/>
        </w:trPr>
        <w:tc>
          <w:tcPr>
            <w:tcW w:w="1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13,534,958.84</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7,261,999.82</w:t>
            </w:r>
          </w:p>
        </w:tc>
        <w:tc>
          <w:tcPr>
            <w:tcW w:w="1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6,272,959.02</w:t>
            </w:r>
          </w:p>
        </w:tc>
        <w:tc>
          <w:tcPr>
            <w:tcW w:w="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86.38%</w:t>
            </w:r>
          </w:p>
        </w:tc>
        <w:tc>
          <w:tcPr>
            <w:tcW w:w="20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销售增长，税金相应增长</w:t>
            </w:r>
          </w:p>
        </w:tc>
      </w:tr>
      <w:tr>
        <w:trPr>
          <w:trHeight w:val="352" w:hRule="exact"/>
        </w:trPr>
        <w:tc>
          <w:tcPr>
            <w:tcW w:w="1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3,086,760.93</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4,655,752.68</w:t>
            </w:r>
          </w:p>
        </w:tc>
        <w:tc>
          <w:tcPr>
            <w:tcW w:w="1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-1,568,991.75</w:t>
            </w:r>
          </w:p>
        </w:tc>
        <w:tc>
          <w:tcPr>
            <w:tcW w:w="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-33.70%</w:t>
            </w:r>
          </w:p>
        </w:tc>
        <w:tc>
          <w:tcPr>
            <w:tcW w:w="20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宣传推广费用逐期减少</w:t>
            </w:r>
          </w:p>
        </w:tc>
      </w:tr>
      <w:tr>
        <w:trPr>
          <w:trHeight w:val="353" w:hRule="exact"/>
        </w:trPr>
        <w:tc>
          <w:tcPr>
            <w:tcW w:w="19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8,141,723.90</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3,043,148.27</w:t>
            </w:r>
          </w:p>
        </w:tc>
        <w:tc>
          <w:tcPr>
            <w:tcW w:w="1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5,098,575.63</w:t>
            </w:r>
          </w:p>
        </w:tc>
        <w:tc>
          <w:tcPr>
            <w:tcW w:w="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167.54%</w:t>
            </w:r>
          </w:p>
        </w:tc>
        <w:tc>
          <w:tcPr>
            <w:tcW w:w="20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销售增长，利润相应增长</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3286" w:right="0"/>
        <w:jc w:val="left"/>
        <w:rPr>
          <w:b w:val="0"/>
          <w:bCs w:val="0"/>
        </w:rPr>
      </w:pPr>
      <w:bookmarkStart w:name="_TOC_250000" w:id="11"/>
      <w:r>
        <w:rPr/>
        <w:t>第十一节</w:t>
      </w:r>
      <w:r>
        <w:rPr>
          <w:spacing w:val="-9"/>
        </w:rPr>
        <w:t> </w:t>
      </w:r>
      <w:r>
        <w:rPr/>
        <w:t>备查文件目录</w:t>
      </w:r>
      <w:bookmarkEnd w:id="11"/>
      <w:r>
        <w:rPr>
          <w:b w:val="0"/>
          <w:bCs w:val="0"/>
        </w:rPr>
      </w:r>
    </w:p>
    <w:p>
      <w:pPr>
        <w:spacing w:line="240" w:lineRule="auto" w:before="6"/>
        <w:rPr>
          <w:rFonts w:ascii="宋体" w:hAnsi="宋体" w:cs="宋体" w:eastAsia="宋体" w:hint="default"/>
          <w:b/>
          <w:bCs/>
          <w:sz w:val="42"/>
          <w:szCs w:val="42"/>
        </w:rPr>
      </w:pPr>
    </w:p>
    <w:p>
      <w:pPr>
        <w:pStyle w:val="BodyText"/>
        <w:spacing w:line="316" w:lineRule="auto"/>
        <w:ind w:left="153" w:right="2751"/>
        <w:jc w:val="left"/>
      </w:pPr>
      <w:r>
        <w:rPr/>
        <w:t>一、载有法定代表人、主管会计工作负责人、会计机构负责人签名并盖章的会计报表； 二、载有会计师事务所盖章、注册会计师签名并盖章的审计报告原件； 三、报告期内在中国证监会指定报纸上公开披露过的所有公司文件的正本及公告的原稿。</w:t>
      </w:r>
    </w:p>
    <w:sectPr>
      <w:footerReference w:type="default" r:id="rId19"/>
      <w:pgSz w:w="11910" w:h="16840"/>
      <w:pgMar w:footer="982" w:header="747"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6848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6848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6848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179993pt;margin-top:36.325325pt;width:186.45pt;height:11.5pt;mso-position-horizontal-relative:page;mso-position-vertical-relative:page;z-index:-684880" type="#_x0000_t202" filled="false" stroked="false">
          <v:textbox inset="0,0,0,0">
            <w:txbxContent>
              <w:p>
                <w:pPr>
                  <w:pStyle w:val="BodyText"/>
                  <w:spacing w:line="214" w:lineRule="exact"/>
                  <w:ind w:left="20" w:right="0"/>
                  <w:jc w:val="left"/>
                </w:pPr>
                <w:r>
                  <w:rPr/>
                  <w:t>深圳大通实业股份有限公司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3"/>
    </w:pPr>
    <w:rPr>
      <w:rFonts w:ascii="宋体" w:hAnsi="宋体" w:eastAsia="宋体"/>
      <w:sz w:val="18"/>
      <w:szCs w:val="1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19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ind w:left="153"/>
      <w:outlineLvl w:val="5"/>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chinadatong.com/" TargetMode="External"/><Relationship Id="rId10" Type="http://schemas.openxmlformats.org/officeDocument/2006/relationships/hyperlink" Target="mailto:datongstock@163.com" TargetMode="External"/><Relationship Id="rId11" Type="http://schemas.openxmlformats.org/officeDocument/2006/relationships/hyperlink" Target="http://www.cninfo.com.cn/" TargetMode="External"/><Relationship Id="rId12" Type="http://schemas.openxmlformats.org/officeDocument/2006/relationships/hyperlink" Target="http://ww/"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www.cninfo.co/" TargetMode="External"/><Relationship Id="rId17" Type="http://schemas.openxmlformats.org/officeDocument/2006/relationships/image" Target="media/image5.jpeg"/><Relationship Id="rId18" Type="http://schemas.openxmlformats.org/officeDocument/2006/relationships/hyperlink" Target="http://www.chcncpa.com/" TargetMode="External"/><Relationship Id="rId1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AR2012000038b定期报告全文(Word中文版).doc</dc:title>
  <dcterms:created xsi:type="dcterms:W3CDTF">2020-05-03T22:48:33Z</dcterms:created>
  <dcterms:modified xsi:type="dcterms:W3CDTF">2020-05-03T22:48:33Z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2013-04-23T00:00:00Z</vt:filetime>
  </property>
  <property fmtid="{D5CDD505-2E9C-101B-9397-08002B2CF9AE}" pid="3" name="Creator">
    <vt:lpwstr>PScript5.dll Version 5.2.2</vt:lpwstr>
  </property>
  <property fmtid="{D5CDD505-2E9C-101B-9397-08002B2CF9AE}" pid="4" name="LastSaved">
    <vt:filetime>2020-05-03T00:00:00Z</vt:filetime>
  </property>
</Properties>
</file>