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1.xml" ContentType="application/vnd.openxmlformats-officedocument.wordprocessingml.header+xml"/>
  <Override PartName="/word/footer18.xml" ContentType="application/vnd.openxmlformats-officedocument.wordprocessingml.footer+xml"/>
  <Override PartName="/word/header12.xml" ContentType="application/vnd.openxmlformats-officedocument.wordprocessingml.header+xml"/>
  <Override PartName="/word/footer19.xml" ContentType="application/vnd.openxmlformats-officedocument.wordprocessingml.footer+xml"/>
  <Override PartName="/word/header13.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14.xml" ContentType="application/vnd.openxmlformats-officedocument.wordprocessingml.header+xml"/>
  <Override PartName="/word/footer24.xml" ContentType="application/vnd.openxmlformats-officedocument.wordprocessingml.footer+xml"/>
  <Override PartName="/word/header15.xml" ContentType="application/vnd.openxmlformats-officedocument.wordprocessingml.header+xml"/>
  <Override PartName="/word/footer25.xml" ContentType="application/vnd.openxmlformats-officedocument.wordprocessingml.footer+xml"/>
  <Override PartName="/word/header16.xml" ContentType="application/vnd.openxmlformats-officedocument.wordprocessingml.header+xml"/>
  <Override PartName="/word/footer26.xml" ContentType="application/vnd.openxmlformats-officedocument.wordprocessingml.footer+xml"/>
  <Override PartName="/word/header17.xml" ContentType="application/vnd.openxmlformats-officedocument.wordprocessingml.header+xml"/>
  <Override PartName="/word/footer27.xml" ContentType="application/vnd.openxmlformats-officedocument.wordprocessingml.footer+xml"/>
  <Override PartName="/word/header18.xml" ContentType="application/vnd.openxmlformats-officedocument.wordprocessingml.header+xml"/>
  <Override PartName="/word/footer28.xml" ContentType="application/vnd.openxmlformats-officedocument.wordprocessingml.footer+xml"/>
  <Override PartName="/word/header19.xml" ContentType="application/vnd.openxmlformats-officedocument.wordprocessingml.header+xml"/>
  <Override PartName="/word/footer29.xml" ContentType="application/vnd.openxmlformats-officedocument.wordprocessingml.footer+xml"/>
  <Override PartName="/word/header20.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1.xml" ContentType="application/vnd.openxmlformats-officedocument.wordprocessingml.header+xml"/>
  <Override PartName="/word/footer32.xml" ContentType="application/vnd.openxmlformats-officedocument.wordprocessingml.footer+xml"/>
  <Override PartName="/word/header22.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2397" w:lineRule="exact"/>
        <w:ind w:left="377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7"/>
          <w:sz w:val="20"/>
          <w:szCs w:val="20"/>
        </w:rPr>
        <w:drawing>
          <wp:inline distT="0" distB="0" distL="0" distR="0">
            <wp:extent cx="1522475" cy="1522476"/>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522475" cy="1522476"/>
                    </a:xfrm>
                    <a:prstGeom prst="rect">
                      <a:avLst/>
                    </a:prstGeom>
                  </pic:spPr>
                </pic:pic>
              </a:graphicData>
            </a:graphic>
          </wp:inline>
        </w:drawing>
      </w:r>
      <w:r>
        <w:rPr>
          <w:rFonts w:ascii="Times New Roman" w:hAnsi="Times New Roman" w:cs="Times New Roman" w:eastAsia="Times New Roman" w:hint="default"/>
          <w:position w:val="-47"/>
          <w:sz w:val="20"/>
          <w:szCs w:val="20"/>
        </w:rPr>
      </w:r>
    </w:p>
    <w:p>
      <w:pPr>
        <w:spacing w:line="240" w:lineRule="auto" w:before="7"/>
        <w:rPr>
          <w:rFonts w:ascii="Times New Roman" w:hAnsi="Times New Roman" w:cs="Times New Roman" w:eastAsia="Times New Roman" w:hint="default"/>
          <w:sz w:val="13"/>
          <w:szCs w:val="13"/>
        </w:rPr>
      </w:pPr>
    </w:p>
    <w:p>
      <w:pPr>
        <w:spacing w:line="460" w:lineRule="exact" w:before="0"/>
        <w:ind w:left="2784" w:right="3764" w:firstLine="0"/>
        <w:jc w:val="center"/>
        <w:rPr>
          <w:rFonts w:ascii="宋体" w:hAnsi="宋体" w:cs="宋体" w:eastAsia="宋体" w:hint="default"/>
          <w:sz w:val="36"/>
          <w:szCs w:val="36"/>
        </w:rPr>
      </w:pPr>
      <w:r>
        <w:rPr>
          <w:rFonts w:ascii="宋体" w:hAnsi="宋体" w:cs="宋体" w:eastAsia="宋体" w:hint="default"/>
          <w:b/>
          <w:bCs/>
          <w:sz w:val="36"/>
          <w:szCs w:val="36"/>
        </w:rPr>
        <w:t>深圳大通实业股份有限公司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pStyle w:val="Heading1"/>
        <w:spacing w:line="240" w:lineRule="auto"/>
        <w:ind w:right="3760"/>
        <w:jc w:val="center"/>
        <w:rPr>
          <w:b w:val="0"/>
          <w:bCs w:val="0"/>
        </w:rPr>
      </w:pPr>
      <w:bookmarkStart w:name="_TOC_250000" w:id="1"/>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年度报告</w:t>
      </w:r>
      <w:bookmarkEnd w:id="1"/>
      <w:r>
        <w:rPr>
          <w:b w:val="0"/>
          <w:bCs w:val="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784"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1340" w:top="1060" w:bottom="154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0"/>
        <w:jc w:val="left"/>
        <w:rPr>
          <w:b w:val="0"/>
          <w:bCs w:val="0"/>
        </w:rPr>
      </w:pP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真实、准确、完整，不存在虚假记载、误导性陈述或重大遗漏，并承担个别和</w:t>
      </w:r>
      <w:r>
        <w:rPr>
          <w:rFonts w:ascii="宋体" w:hAnsi="宋体" w:cs="宋体" w:eastAsia="宋体" w:hint="default"/>
          <w:b/>
          <w:bCs/>
          <w:w w:val="99"/>
          <w:sz w:val="28"/>
          <w:szCs w:val="28"/>
        </w:rPr>
        <w:t> </w:t>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5" w:lineRule="auto" w:before="162"/>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b/>
          <w:bCs/>
          <w:w w:val="99"/>
          <w:sz w:val="28"/>
          <w:szCs w:val="28"/>
        </w:rPr>
        <w:t> </w:t>
      </w:r>
      <w:r>
        <w:rPr>
          <w:rFonts w:ascii="宋体" w:hAnsi="宋体" w:cs="宋体" w:eastAsia="宋体" w:hint="default"/>
          <w:b/>
          <w:bCs/>
          <w:w w:val="95"/>
          <w:sz w:val="28"/>
          <w:szCs w:val="28"/>
        </w:rPr>
        <w:t>公司负责人许亚楠、主管会计工作负责人王立平及会计机构负责人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20" w:lineRule="exact" w:before="0"/>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陈璇声明：保证年度报告中财务报告的真实、准确、完整。</w:t>
      </w:r>
      <w:r>
        <w:rPr>
          <w:rFonts w:ascii="宋体" w:hAnsi="宋体" w:cs="宋体" w:eastAsia="宋体" w:hint="default"/>
          <w:sz w:val="28"/>
          <w:szCs w:val="28"/>
        </w:rPr>
      </w:r>
    </w:p>
    <w:p>
      <w:pPr>
        <w:spacing w:after="0" w:line="320" w:lineRule="exact"/>
        <w:jc w:val="left"/>
        <w:rPr>
          <w:rFonts w:ascii="宋体" w:hAnsi="宋体" w:cs="宋体" w:eastAsia="宋体" w:hint="default"/>
          <w:sz w:val="28"/>
          <w:szCs w:val="28"/>
        </w:rPr>
        <w:sectPr>
          <w:footerReference w:type="default" r:id="rId8"/>
          <w:pgSz w:w="11910" w:h="16840"/>
          <w:pgMar w:footer="1340" w:header="745" w:top="1060" w:bottom="154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784" w:right="376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TOC_250000">
            <w:r>
              <w:rPr>
                <w:rFonts w:ascii="Times New Roman" w:hAnsi="Times New Roman" w:cs="Times New Roman" w:eastAsia="Times New Roman" w:hint="default"/>
              </w:rPr>
              <w:t>2013</w:t>
            </w:r>
            <w:r>
              <w:rPr>
                <w:rFonts w:ascii="Times New Roman" w:hAnsi="Times New Roman" w:cs="Times New Roman" w:eastAsia="Times New Roman" w:hint="default"/>
                <w:spacing w:val="-10"/>
              </w:rPr>
              <w:t> </w:t>
            </w:r>
            <w:r>
              <w:rPr/>
              <w:t>年度报告</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r>
            <w:rPr/>
            <w:t>一、重要提示、目录和释义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p>
        <w:p>
          <w:pPr>
            <w:pStyle w:val="TOC1"/>
            <w:tabs>
              <w:tab w:pos="9783" w:val="right" w:leader="dot"/>
            </w:tabs>
            <w:spacing w:line="240" w:lineRule="auto"/>
            <w:ind w:right="0"/>
            <w:jc w:val="left"/>
            <w:rPr>
              <w:rFonts w:ascii="Times New Roman" w:hAnsi="Times New Roman" w:cs="Times New Roman" w:eastAsia="Times New Roman" w:hint="default"/>
              <w:b w:val="0"/>
              <w:bCs w:val="0"/>
            </w:rPr>
          </w:pPr>
          <w:r>
            <w:rPr/>
            <w:t>二、公司简介</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p>
        <w:p>
          <w:pPr>
            <w:pStyle w:val="TOC1"/>
            <w:tabs>
              <w:tab w:pos="9783" w:val="right" w:leader="dot"/>
            </w:tabs>
            <w:spacing w:line="240" w:lineRule="auto"/>
            <w:ind w:right="0"/>
            <w:jc w:val="left"/>
            <w:rPr>
              <w:rFonts w:ascii="Times New Roman" w:hAnsi="Times New Roman" w:cs="Times New Roman" w:eastAsia="Times New Roman" w:hint="default"/>
              <w:b w:val="0"/>
              <w:bCs w:val="0"/>
            </w:rPr>
          </w:pPr>
          <w:r>
            <w:rPr/>
            <w:t>三、会计数据和财务指标摘要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p>
        <w:p>
          <w:pPr>
            <w:pStyle w:val="TOC1"/>
            <w:tabs>
              <w:tab w:pos="9783" w:val="right" w:leader="dot"/>
            </w:tabs>
            <w:spacing w:line="240" w:lineRule="auto"/>
            <w:ind w:right="0"/>
            <w:jc w:val="left"/>
            <w:rPr>
              <w:rFonts w:ascii="Times New Roman" w:hAnsi="Times New Roman" w:cs="Times New Roman" w:eastAsia="Times New Roman" w:hint="default"/>
              <w:b w:val="0"/>
              <w:bCs w:val="0"/>
            </w:rPr>
          </w:pPr>
          <w:r>
            <w:rPr/>
            <w:t>四、董事会报告</w:t>
          </w:r>
          <w:r>
            <w:rPr>
              <w:rFonts w:ascii="Times New Roman" w:hAnsi="Times New Roman" w:cs="Times New Roman" w:eastAsia="Times New Roman" w:hint="default"/>
            </w:rPr>
            <w:tab/>
            <w:t>19</w:t>
          </w:r>
          <w:r>
            <w:rPr>
              <w:rFonts w:ascii="Times New Roman" w:hAnsi="Times New Roman" w:cs="Times New Roman" w:eastAsia="Times New Roman" w:hint="default"/>
              <w:b w:val="0"/>
              <w:bCs w:val="0"/>
            </w:rPr>
          </w:r>
        </w:p>
        <w:p>
          <w:pPr>
            <w:pStyle w:val="TOC1"/>
            <w:tabs>
              <w:tab w:pos="9783" w:val="right" w:leader="dot"/>
            </w:tabs>
            <w:spacing w:line="240" w:lineRule="auto"/>
            <w:ind w:right="0"/>
            <w:jc w:val="left"/>
            <w:rPr>
              <w:rFonts w:ascii="Times New Roman" w:hAnsi="Times New Roman" w:cs="Times New Roman" w:eastAsia="Times New Roman" w:hint="default"/>
              <w:b w:val="0"/>
              <w:bCs w:val="0"/>
            </w:rPr>
          </w:pPr>
          <w:r>
            <w:rPr/>
            <w:t>五、重要事项</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p>
        <w:p>
          <w:pPr>
            <w:pStyle w:val="TOC1"/>
            <w:tabs>
              <w:tab w:pos="9783" w:val="right" w:leader="dot"/>
            </w:tabs>
            <w:spacing w:line="240" w:lineRule="auto"/>
            <w:ind w:right="0"/>
            <w:jc w:val="left"/>
            <w:rPr>
              <w:rFonts w:ascii="Times New Roman" w:hAnsi="Times New Roman" w:cs="Times New Roman" w:eastAsia="Times New Roman" w:hint="default"/>
              <w:b w:val="0"/>
              <w:bCs w:val="0"/>
            </w:rPr>
          </w:pPr>
          <w:r>
            <w:rPr/>
            <w:t>六、股份变动及股东情况</w:t>
          </w:r>
          <w:r>
            <w:rPr>
              <w:rFonts w:ascii="Times New Roman" w:hAnsi="Times New Roman" w:cs="Times New Roman" w:eastAsia="Times New Roman" w:hint="default"/>
            </w:rPr>
            <w:tab/>
            <w:t>29</w:t>
          </w:r>
          <w:r>
            <w:rPr>
              <w:rFonts w:ascii="Times New Roman" w:hAnsi="Times New Roman" w:cs="Times New Roman" w:eastAsia="Times New Roman" w:hint="default"/>
              <w:b w:val="0"/>
              <w:bCs w:val="0"/>
            </w:rPr>
          </w:r>
        </w:p>
        <w:p>
          <w:pPr>
            <w:pStyle w:val="TOC1"/>
            <w:tabs>
              <w:tab w:pos="9783" w:val="right" w:leader="dot"/>
            </w:tabs>
            <w:spacing w:line="240" w:lineRule="auto"/>
            <w:ind w:right="0"/>
            <w:jc w:val="left"/>
            <w:rPr>
              <w:rFonts w:ascii="Times New Roman" w:hAnsi="Times New Roman" w:cs="Times New Roman" w:eastAsia="Times New Roman" w:hint="default"/>
              <w:b w:val="0"/>
              <w:bCs w:val="0"/>
            </w:rPr>
          </w:pPr>
          <w:r>
            <w:rPr/>
            <w:t>七、董事、监事、高级管理人员和员工情况</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r>
            <w:rPr/>
            <w:t>八、公司治理</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p>
        <w:p>
          <w:pPr>
            <w:pStyle w:val="TOC1"/>
            <w:tabs>
              <w:tab w:pos="9783" w:val="right" w:leader="dot"/>
            </w:tabs>
            <w:spacing w:line="240" w:lineRule="auto"/>
            <w:ind w:right="0"/>
            <w:jc w:val="left"/>
            <w:rPr>
              <w:rFonts w:ascii="Times New Roman" w:hAnsi="Times New Roman" w:cs="Times New Roman" w:eastAsia="Times New Roman" w:hint="default"/>
              <w:b w:val="0"/>
              <w:bCs w:val="0"/>
            </w:rPr>
          </w:pPr>
          <w:r>
            <w:rPr/>
            <w:t>九、内部控制</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p>
        <w:p>
          <w:pPr>
            <w:pStyle w:val="TOC1"/>
            <w:tabs>
              <w:tab w:pos="9783" w:val="right" w:leader="dot"/>
            </w:tabs>
            <w:spacing w:line="240" w:lineRule="auto"/>
            <w:ind w:right="0"/>
            <w:jc w:val="left"/>
            <w:rPr>
              <w:rFonts w:ascii="Times New Roman" w:hAnsi="Times New Roman" w:cs="Times New Roman" w:eastAsia="Times New Roman" w:hint="default"/>
              <w:b w:val="0"/>
              <w:bCs w:val="0"/>
            </w:rPr>
          </w:pPr>
          <w:r>
            <w:rPr/>
            <w:t>十、财务报告</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p>
        <w:p>
          <w:pPr>
            <w:pStyle w:val="TOC1"/>
            <w:tabs>
              <w:tab w:pos="9783" w:val="right" w:leader="dot"/>
            </w:tabs>
            <w:spacing w:line="240" w:lineRule="auto"/>
            <w:ind w:right="0"/>
            <w:jc w:val="left"/>
            <w:rPr>
              <w:rFonts w:ascii="Times New Roman" w:hAnsi="Times New Roman" w:cs="Times New Roman" w:eastAsia="Times New Roman" w:hint="default"/>
              <w:b w:val="0"/>
              <w:bCs w:val="0"/>
            </w:rPr>
          </w:pPr>
          <w:r>
            <w:rPr/>
            <w:t>十一、备查文件目录</w:t>
          </w:r>
          <w:r>
            <w:rPr>
              <w:rFonts w:ascii="Times New Roman" w:hAnsi="Times New Roman" w:cs="Times New Roman" w:eastAsia="Times New Roman" w:hint="default"/>
            </w:rPr>
            <w:tab/>
            <w:t>106</w:t>
          </w:r>
          <w:r>
            <w:rPr>
              <w:rFonts w:ascii="Times New Roman" w:hAnsi="Times New Roman" w:cs="Times New Roman" w:eastAsia="Times New Roman" w:hint="default"/>
              <w:b w:val="0"/>
              <w:bCs w:val="0"/>
            </w:rPr>
          </w:r>
        </w:p>
      </w:sdtContent>
    </w:sdt>
    <w:p>
      <w:pPr>
        <w:spacing w:after="0" w:line="240" w:lineRule="auto"/>
        <w:jc w:val="left"/>
        <w:rPr>
          <w:rFonts w:ascii="Times New Roman" w:hAnsi="Times New Roman" w:cs="Times New Roman" w:eastAsia="Times New Roman" w:hint="default"/>
        </w:rPr>
        <w:sectPr>
          <w:pgSz w:w="11910" w:h="16840"/>
          <w:pgMar w:header="745" w:footer="1340" w:top="1060" w:bottom="1540" w:left="980" w:right="0"/>
        </w:sectPr>
      </w:pPr>
    </w:p>
    <w:p>
      <w:pPr>
        <w:pStyle w:val="Heading1"/>
        <w:spacing w:line="240" w:lineRule="auto" w:before="945"/>
        <w:ind w:right="3762"/>
        <w:jc w:val="center"/>
        <w:rPr>
          <w:b w:val="0"/>
          <w:bCs w:val="0"/>
        </w:rPr>
      </w:pPr>
      <w:r>
        <w:rPr/>
        <w:t>释义</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深大通、上市公司、公司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深圳大通实业股份有限公司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恢复上市</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上市公司申请其人民币普通股股票恢复在深圳证券交易所交易事宜</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保荐机构、世纪证券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世纪证券有限责任公司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瑞华</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亚星实业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济宁海情</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济宁海情置业有限公司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泗水海情</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泗水海情置业有限公司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深圳大通实业股份有限公司股东大会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深圳大通实业股份有限公司董事会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《深圳证券交易所上市规则</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年修订）</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人民币元</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before="0"/>
        <w:ind w:left="2784" w:right="3762"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1"/>
        <w:rPr>
          <w:rFonts w:ascii="宋体" w:hAnsi="宋体" w:cs="宋体" w:eastAsia="宋体" w:hint="default"/>
          <w:b/>
          <w:bCs/>
          <w:sz w:val="26"/>
          <w:szCs w:val="26"/>
        </w:rPr>
      </w:pPr>
    </w:p>
    <w:p>
      <w:pPr>
        <w:spacing w:line="408" w:lineRule="auto" w:before="0"/>
        <w:ind w:left="152" w:right="0" w:firstLine="562"/>
        <w:jc w:val="left"/>
        <w:rPr>
          <w:rFonts w:ascii="宋体" w:hAnsi="宋体" w:cs="宋体" w:eastAsia="宋体" w:hint="default"/>
          <w:sz w:val="28"/>
          <w:szCs w:val="28"/>
        </w:rPr>
      </w:pPr>
      <w:r>
        <w:rPr>
          <w:rFonts w:ascii="宋体" w:hAnsi="宋体" w:cs="宋体" w:eastAsia="宋体" w:hint="default"/>
          <w:b/>
          <w:bCs/>
          <w:spacing w:val="-18"/>
          <w:w w:val="99"/>
          <w:sz w:val="28"/>
          <w:szCs w:val="28"/>
        </w:rPr>
        <w:t>《证券时报》、《中国证券报》、和巨潮资讯网为本公司选定的信息披露媒体，</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本公司所有信息均以在上述选定媒体刊登的信息为准。本年度报告内涉及的未</w:t>
      </w:r>
      <w:r>
        <w:rPr>
          <w:rFonts w:ascii="宋体" w:hAnsi="宋体" w:cs="宋体" w:eastAsia="宋体" w:hint="default"/>
          <w:b/>
          <w:bCs/>
          <w:w w:val="99"/>
          <w:sz w:val="28"/>
          <w:szCs w:val="28"/>
        </w:rPr>
        <w:t> </w:t>
      </w:r>
      <w:r>
        <w:rPr>
          <w:rFonts w:ascii="宋体" w:hAnsi="宋体" w:cs="宋体" w:eastAsia="宋体" w:hint="default"/>
          <w:b/>
          <w:bCs/>
          <w:spacing w:val="2"/>
          <w:sz w:val="28"/>
          <w:szCs w:val="28"/>
        </w:rPr>
        <w:t>来计划、发展战略等前瞻性陈述不构成公司对投资者的实质承诺，敬请投资者</w:t>
      </w:r>
      <w:r>
        <w:rPr>
          <w:rFonts w:ascii="宋体" w:hAnsi="宋体" w:cs="宋体" w:eastAsia="宋体" w:hint="default"/>
          <w:b/>
          <w:bCs/>
          <w:w w:val="99"/>
          <w:sz w:val="28"/>
          <w:szCs w:val="28"/>
        </w:rPr>
        <w:t> </w:t>
      </w:r>
      <w:r>
        <w:rPr>
          <w:rFonts w:ascii="宋体" w:hAnsi="宋体" w:cs="宋体" w:eastAsia="宋体" w:hint="default"/>
          <w:b/>
          <w:bCs/>
          <w:sz w:val="28"/>
          <w:szCs w:val="28"/>
        </w:rPr>
        <w:t>注意投资风险。</w:t>
      </w:r>
      <w:r>
        <w:rPr>
          <w:rFonts w:ascii="宋体" w:hAnsi="宋体" w:cs="宋体" w:eastAsia="宋体" w:hint="default"/>
          <w:sz w:val="28"/>
          <w:szCs w:val="28"/>
        </w:rPr>
      </w:r>
    </w:p>
    <w:p>
      <w:pPr>
        <w:spacing w:after="0" w:line="408" w:lineRule="auto"/>
        <w:jc w:val="left"/>
        <w:rPr>
          <w:rFonts w:ascii="宋体" w:hAnsi="宋体" w:cs="宋体" w:eastAsia="宋体" w:hint="default"/>
          <w:sz w:val="28"/>
          <w:szCs w:val="28"/>
        </w:rPr>
        <w:sectPr>
          <w:pgSz w:w="11910" w:h="16840"/>
          <w:pgMar w:header="745" w:footer="1340" w:top="1060" w:bottom="1540" w:left="980" w:right="0"/>
        </w:sectPr>
      </w:pPr>
    </w:p>
    <w:p>
      <w:pPr>
        <w:spacing w:line="240" w:lineRule="auto" w:before="0"/>
        <w:rPr>
          <w:rFonts w:ascii="宋体" w:hAnsi="宋体" w:cs="宋体" w:eastAsia="宋体" w:hint="default"/>
          <w:b/>
          <w:bCs/>
          <w:sz w:val="20"/>
          <w:szCs w:val="20"/>
        </w:rPr>
      </w:pPr>
      <w:r>
        <w:rPr/>
        <w:pict>
          <v:shape style="position:absolute;margin-left:137.883011pt;margin-top:269.809998pt;width:396pt;height:19.6pt;mso-position-horizontal-relative:page;mso-position-vertical-relative:page;z-index:-630784" type="#_x0000_t202" filled="false" stroked="false">
            <v:textbox inset="0,0,0,0">
              <w:txbxContent>
                <w:p>
                  <w:pPr>
                    <w:pStyle w:val="BodyText"/>
                    <w:spacing w:line="240" w:lineRule="auto" w:before="49"/>
                    <w:ind w:left="0" w:right="0"/>
                    <w:jc w:val="left"/>
                  </w:pPr>
                  <w:r>
                    <w:rPr/>
                    <w:t>（如有）</w:t>
                  </w:r>
                </w:p>
              </w:txbxContent>
            </v:textbox>
            <w10:wrap type="none"/>
          </v:shape>
        </w:pict>
      </w:r>
      <w:r>
        <w:rPr/>
        <w:pict>
          <v:group style="position:absolute;margin-left:171.020004pt;margin-top:269.209991pt;width:362.85pt;height:20.8pt;mso-position-horizontal-relative:page;mso-position-vertical-relative:page;z-index:-630760" coordorigin="3420,5384" coordsize="7257,416">
            <v:group style="position:absolute;left:3432;top:5396;width:2;height:392" coordorigin="3432,5396" coordsize="2,392">
              <v:shape style="position:absolute;left:3432;top:5396;width:2;height:392" coordorigin="3432,5396" coordsize="0,392" path="m3432,5396l3432,5787e" filled="false" stroked="true" strokeweight="1.2pt" strokecolor="#ffffff">
                <v:path arrowok="t"/>
              </v:shape>
            </v:group>
            <v:group style="position:absolute;left:3444;top:5396;width:7233;height:392" coordorigin="3444,5396" coordsize="7233,392">
              <v:shape style="position:absolute;left:3444;top:5396;width:7233;height:392" coordorigin="3444,5396" coordsize="7233,392" path="m3444,5787l10677,5787,10677,5396,3444,5396,3444,5787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1"/>
        <w:spacing w:line="240" w:lineRule="auto"/>
        <w:ind w:right="3760"/>
        <w:jc w:val="center"/>
        <w:rPr>
          <w:b w:val="0"/>
          <w:bCs w:val="0"/>
        </w:rPr>
      </w:pPr>
      <w:r>
        <w:rPr/>
        <w:t>第二节</w:t>
      </w:r>
      <w:r>
        <w:rPr>
          <w:spacing w:val="-2"/>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0"/>
        <w:gridCol w:w="2976"/>
        <w:gridCol w:w="2135"/>
        <w:gridCol w:w="2188"/>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深大通</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000038</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深圳大通实业股份有限公司</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深大通</w:t>
            </w:r>
          </w:p>
        </w:tc>
      </w:tr>
      <w:tr>
        <w:trPr>
          <w:trHeight w:val="404"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Shenzhen Capstone Industrial</w:t>
            </w:r>
            <w:r>
              <w:rPr>
                <w:rFonts w:ascii="Times New Roman"/>
                <w:spacing w:val="-9"/>
                <w:sz w:val="18"/>
              </w:rPr>
              <w:t> </w:t>
            </w:r>
            <w:r>
              <w:rPr>
                <w:rFonts w:ascii="Times New Roman"/>
                <w:sz w:val="18"/>
              </w:rPr>
              <w:t>Co.,Ltd.</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CIC</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许亚楠</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深圳华侨城东部工业区</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518000</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深圳市福田区深南大道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6023 </w:t>
            </w:r>
            <w:r>
              <w:rPr>
                <w:rFonts w:ascii="宋体" w:hAnsi="宋体" w:cs="宋体" w:eastAsia="宋体" w:hint="default"/>
                <w:sz w:val="18"/>
                <w:szCs w:val="18"/>
              </w:rPr>
              <w:t>号耀华创建大厦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904-905</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518000</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http://www.chinadatong.com/</w:t>
              </w:r>
            </w:hyperlink>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datongstock@163.com</w:t>
              </w:r>
            </w:hyperlink>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王小连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吴文涛</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深圳市福田区深南大道</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6023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号耀华创建</w:t>
            </w:r>
          </w:p>
          <w:p>
            <w:pPr>
              <w:pStyle w:val="TableParagraph"/>
              <w:spacing w:line="240" w:lineRule="auto" w:before="63"/>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904-905</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深圳市福田区深南大道</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6023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号耀华创建</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904-905</w:t>
            </w:r>
          </w:p>
        </w:tc>
      </w:tr>
      <w:tr>
        <w:trPr>
          <w:trHeight w:val="394"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0755-26921699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0755-26921699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0755-26910599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0755-26910599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0">
              <w:r>
                <w:rPr>
                  <w:rFonts w:ascii="Times New Roman"/>
                  <w:sz w:val="18"/>
                </w:rPr>
                <w:t>datongstock@163.com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datongstock@163.com</w:t>
              </w:r>
            </w:hyperlink>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3"/>
      </w:tblGrid>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8"/>
        <w:rPr>
          <w:rFonts w:ascii="宋体" w:hAnsi="宋体" w:cs="宋体" w:eastAsia="宋体" w:hint="default"/>
          <w:b/>
          <w:bCs/>
          <w:sz w:val="23"/>
          <w:szCs w:val="23"/>
        </w:rPr>
      </w:pPr>
      <w:r>
        <w:rPr/>
        <w:pict>
          <v:group style="position:absolute;margin-left:460.320007pt;margin-top:764.919983pt;width:135pt;height:77pt;mso-position-horizontal-relative:page;mso-position-vertical-relative:page;z-index:1168" coordorigin="9206,15298" coordsize="2700,1540">
            <v:shape style="position:absolute;left:9206;top:15298;width:2700;height:1540" type="#_x0000_t75" stroked="false">
              <v:imagedata r:id="rId14" o:title=""/>
            </v:shape>
            <v:shape style="position:absolute;left:10682;top:15659;width:9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w:t>
                    </w:r>
                  </w:p>
                </w:txbxContent>
              </v:textbox>
              <w10:wrap type="none"/>
            </v:shape>
            <w10:wrap type="none"/>
          </v:group>
        </w:pict>
      </w:r>
    </w:p>
    <w:p>
      <w:pPr>
        <w:pStyle w:val="Heading2"/>
        <w:spacing w:line="240" w:lineRule="auto" w:before="26"/>
        <w:ind w:right="0"/>
        <w:jc w:val="left"/>
        <w:rPr>
          <w:b w:val="0"/>
          <w:bCs w:val="0"/>
        </w:rPr>
      </w:pP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BodyText"/>
        <w:spacing w:line="240" w:lineRule="auto" w:before="44"/>
        <w:ind w:left="0" w:right="1144"/>
        <w:jc w:val="right"/>
      </w:pPr>
      <w:r>
        <w:rPr/>
        <w:pict>
          <v:shape style="position:absolute;margin-left:56.400002pt;margin-top:-388.618286pt;width:479.15pt;height:662.6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73"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19"/>
                          <w:jc w:val="left"/>
                          <w:rPr>
                            <w:rFonts w:ascii="宋体" w:hAnsi="宋体" w:cs="宋体" w:eastAsia="宋体" w:hint="default"/>
                            <w:sz w:val="18"/>
                            <w:szCs w:val="18"/>
                          </w:rPr>
                        </w:pPr>
                        <w:r>
                          <w:rPr>
                            <w:rFonts w:ascii="宋体" w:hAnsi="宋体" w:cs="宋体" w:eastAsia="宋体" w:hint="default"/>
                            <w:sz w:val="18"/>
                            <w:szCs w:val="18"/>
                          </w:rPr>
                          <w:t>深圳市华侨城东部 工业区</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101876</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国税深字</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4403011618850293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深地税登字</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440305618850293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61885029-3</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473"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473"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119"/>
                          <w:jc w:val="left"/>
                          <w:rPr>
                            <w:rFonts w:ascii="宋体" w:hAnsi="宋体" w:cs="宋体" w:eastAsia="宋体" w:hint="default"/>
                            <w:sz w:val="18"/>
                            <w:szCs w:val="18"/>
                          </w:rPr>
                        </w:pPr>
                        <w:r>
                          <w:rPr>
                            <w:rFonts w:ascii="宋体" w:hAnsi="宋体" w:cs="宋体" w:eastAsia="宋体" w:hint="default"/>
                            <w:sz w:val="18"/>
                            <w:szCs w:val="18"/>
                          </w:rPr>
                          <w:t>深圳市华侨城东部 工业区</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440301104515702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国税深字</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4403011618850293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深地税登字</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440305618850293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61885029-3</w:t>
                        </w: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473"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2345" w:hRule="exact"/>
                    </w:trPr>
                    <w:tc>
                      <w:tcPr>
                        <w:tcW w:w="319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gridSpan w:val="4"/>
                        <w:vMerge w:val="restart"/>
                        <w:tcBorders>
                          <w:top w:val="single" w:sz="4" w:space="0" w:color="000000"/>
                          <w:left w:val="single" w:sz="10" w:space="0" w:color="D2D2D2"/>
                          <w:right w:val="single" w:sz="4" w:space="0" w:color="000000"/>
                        </w:tcBorders>
                      </w:tcPr>
                      <w:p>
                        <w:pPr>
                          <w:pStyle w:val="TableParagraph"/>
                          <w:spacing w:line="314" w:lineRule="auto" w:before="49"/>
                          <w:ind w:left="16"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年上市时的主营业务：生产经营积层陶瓷电容器、中高压陶瓷电容器、 管状陶瓷电容器、园片类陶瓷电容器、半导体陶瓷电容器及微型高温电解电容器 等电子元器件产品；生产电烫斗、电吹风、咖啡壶及电烫斗、电吹风、咖啡壶的 零配件、电解电容器用的铝壳、导针、胶塞以及电解电容器用的铝箔（作正、负 </w:t>
                        </w:r>
                        <w:r>
                          <w:rPr>
                            <w:rFonts w:ascii="宋体" w:hAnsi="宋体" w:cs="宋体" w:eastAsia="宋体" w:hint="default"/>
                            <w:spacing w:val="-10"/>
                            <w:sz w:val="18"/>
                            <w:szCs w:val="18"/>
                          </w:rPr>
                          <w:t>极用）。</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2003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主营业务变更为：生产经营积层陶瓷电容器、中高压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陶瓷电容器、管状陶瓷电容器、园片类陶瓷电容器、半导体陶瓷电容器及微型高 温电解电容器等电子元器件产品；生产电烫斗、电吹风、咖啡壶及电烫斗、电公</w:t>
                        </w:r>
                        <w:r>
                          <w:rPr>
                            <w:rFonts w:ascii="宋体" w:hAnsi="宋体" w:cs="宋体" w:eastAsia="宋体" w:hint="default"/>
                            <w:sz w:val="18"/>
                            <w:szCs w:val="18"/>
                          </w:rPr>
                          <w:t> 司上市以来主营业务的变化情况（如</w:t>
                        </w:r>
                        <w:r>
                          <w:rPr>
                            <w:rFonts w:ascii="宋体" w:hAnsi="宋体" w:cs="宋体" w:eastAsia="宋体" w:hint="default"/>
                            <w:spacing w:val="-11"/>
                            <w:sz w:val="18"/>
                            <w:szCs w:val="18"/>
                          </w:rPr>
                          <w:t> </w:t>
                        </w:r>
                        <w:r>
                          <w:rPr>
                            <w:rFonts w:ascii="宋体" w:hAnsi="宋体" w:cs="宋体" w:eastAsia="宋体" w:hint="default"/>
                            <w:spacing w:val="-3"/>
                            <w:sz w:val="18"/>
                            <w:szCs w:val="18"/>
                          </w:rPr>
                          <w:t>吹风、咖啡壶的零配件、电解电容器用的铝</w:t>
                        </w:r>
                        <w:r>
                          <w:rPr>
                            <w:rFonts w:ascii="宋体" w:hAnsi="宋体" w:cs="宋体" w:eastAsia="宋体" w:hint="default"/>
                            <w:sz w:val="18"/>
                            <w:szCs w:val="18"/>
                          </w:rPr>
                          <w:t> </w:t>
                        </w:r>
                        <w:r>
                          <w:rPr>
                            <w:rFonts w:ascii="宋体" w:hAnsi="宋体" w:cs="宋体" w:eastAsia="宋体" w:hint="default"/>
                            <w:spacing w:val="-5"/>
                            <w:sz w:val="18"/>
                            <w:szCs w:val="18"/>
                          </w:rPr>
                          <w:t>壳、导针、胶塞以及电解电容器用的有）铝箔（作正、负极用）；国内商业、物资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6"/>
                            <w:sz w:val="18"/>
                            <w:szCs w:val="18"/>
                          </w:rPr>
                          <w:t>供销业（不含专营、专控、专卖商品）；兴办实业（具体项目另行申报），计算机</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软硬件开发及销售；经营进出口业务（具体按照深贸管准证字第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2003-3670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w:t>
                        </w:r>
                      </w:p>
                      <w:p>
                        <w:pPr>
                          <w:pStyle w:val="TableParagraph"/>
                          <w:spacing w:line="309" w:lineRule="auto" w:before="1"/>
                          <w:ind w:left="16" w:right="-20"/>
                          <w:jc w:val="both"/>
                          <w:rPr>
                            <w:rFonts w:ascii="宋体" w:hAnsi="宋体" w:cs="宋体" w:eastAsia="宋体" w:hint="default"/>
                            <w:sz w:val="18"/>
                            <w:szCs w:val="18"/>
                          </w:rPr>
                        </w:pPr>
                        <w:r>
                          <w:rPr>
                            <w:rFonts w:ascii="宋体" w:hAnsi="宋体" w:cs="宋体" w:eastAsia="宋体" w:hint="default"/>
                            <w:sz w:val="18"/>
                            <w:szCs w:val="18"/>
                          </w:rPr>
                          <w:t>格证书办理</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5"/>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日主营业务变更为</w:t>
                        </w:r>
                        <w:r>
                          <w:rPr>
                            <w:rFonts w:ascii="宋体" w:hAnsi="宋体" w:cs="宋体" w:eastAsia="宋体" w:hint="default"/>
                            <w:spacing w:val="-5"/>
                            <w:sz w:val="18"/>
                            <w:szCs w:val="18"/>
                          </w:rPr>
                          <w:t>：</w:t>
                        </w:r>
                        <w:r>
                          <w:rPr>
                            <w:rFonts w:ascii="宋体" w:hAnsi="宋体" w:cs="宋体" w:eastAsia="宋体" w:hint="default"/>
                            <w:sz w:val="18"/>
                            <w:szCs w:val="18"/>
                          </w:rPr>
                          <w:t>国内</w:t>
                        </w:r>
                        <w:r>
                          <w:rPr>
                            <w:rFonts w:ascii="宋体" w:hAnsi="宋体" w:cs="宋体" w:eastAsia="宋体" w:hint="default"/>
                            <w:spacing w:val="-3"/>
                            <w:sz w:val="18"/>
                            <w:szCs w:val="18"/>
                          </w:rPr>
                          <w:t>商</w:t>
                        </w:r>
                        <w:r>
                          <w:rPr>
                            <w:rFonts w:ascii="宋体" w:hAnsi="宋体" w:cs="宋体" w:eastAsia="宋体" w:hint="default"/>
                            <w:sz w:val="18"/>
                            <w:szCs w:val="18"/>
                          </w:rPr>
                          <w:t>业</w:t>
                        </w:r>
                        <w:r>
                          <w:rPr>
                            <w:rFonts w:ascii="宋体" w:hAnsi="宋体" w:cs="宋体" w:eastAsia="宋体" w:hint="default"/>
                            <w:spacing w:val="-5"/>
                            <w:sz w:val="18"/>
                            <w:szCs w:val="18"/>
                          </w:rPr>
                          <w:t>、</w:t>
                        </w:r>
                        <w:r>
                          <w:rPr>
                            <w:rFonts w:ascii="宋体" w:hAnsi="宋体" w:cs="宋体" w:eastAsia="宋体" w:hint="default"/>
                            <w:sz w:val="18"/>
                            <w:szCs w:val="18"/>
                          </w:rPr>
                          <w:t>物资供销</w:t>
                        </w:r>
                        <w:r>
                          <w:rPr>
                            <w:rFonts w:ascii="宋体" w:hAnsi="宋体" w:cs="宋体" w:eastAsia="宋体" w:hint="default"/>
                            <w:spacing w:val="-5"/>
                            <w:sz w:val="18"/>
                            <w:szCs w:val="18"/>
                          </w:rPr>
                          <w:t>业</w:t>
                        </w:r>
                        <w:r>
                          <w:rPr>
                            <w:rFonts w:ascii="宋体" w:hAnsi="宋体" w:cs="宋体" w:eastAsia="宋体" w:hint="default"/>
                            <w:sz w:val="18"/>
                            <w:szCs w:val="18"/>
                          </w:rPr>
                          <w:t>（不</w:t>
                        </w:r>
                        <w:r>
                          <w:rPr>
                            <w:rFonts w:ascii="宋体" w:hAnsi="宋体" w:cs="宋体" w:eastAsia="宋体" w:hint="default"/>
                            <w:sz w:val="18"/>
                            <w:szCs w:val="18"/>
                          </w:rPr>
                          <w:t> 含专营、专控、专卖商品</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兴</w:t>
                        </w:r>
                        <w:r>
                          <w:rPr>
                            <w:rFonts w:ascii="宋体" w:hAnsi="宋体" w:cs="宋体" w:eastAsia="宋体" w:hint="default"/>
                            <w:sz w:val="18"/>
                            <w:szCs w:val="18"/>
                          </w:rPr>
                          <w:t>办实业（具体项目另行申报</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计算机软硬件开发</w:t>
                        </w:r>
                        <w:r>
                          <w:rPr>
                            <w:rFonts w:ascii="宋体" w:hAnsi="宋体" w:cs="宋体" w:eastAsia="宋体" w:hint="default"/>
                            <w:sz w:val="18"/>
                            <w:szCs w:val="18"/>
                          </w:rPr>
                          <w:t> 及销售；经营进出口业务（具体按照深贸管准证字第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号资格证书办</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09" w:lineRule="auto" w:before="5"/>
                          <w:ind w:left="16" w:right="4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2010</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日主营业务变更为：房地产开发，经营；国内贸易（不含专营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专控、专卖商品）；兴办实业（具体项目另行申报），计算机软硬件开发及销售；</w:t>
                        </w:r>
                        <w:r>
                          <w:rPr>
                            <w:rFonts w:ascii="宋体" w:hAnsi="宋体" w:cs="宋体" w:eastAsia="宋体" w:hint="default"/>
                            <w:sz w:val="18"/>
                            <w:szCs w:val="18"/>
                          </w:rPr>
                          <w:t> 经营进出口业务（具体按照深贸管准证字第</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2003-3670</w:t>
                        </w:r>
                        <w:r>
                          <w:rPr>
                            <w:rFonts w:ascii="Times New Roman" w:hAnsi="Times New Roman" w:cs="Times New Roman" w:eastAsia="Times New Roman" w:hint="default"/>
                            <w:spacing w:val="7"/>
                            <w:sz w:val="18"/>
                            <w:szCs w:val="18"/>
                          </w:rPr>
                          <w:t> </w:t>
                        </w:r>
                        <w:r>
                          <w:rPr>
                            <w:rFonts w:ascii="宋体" w:hAnsi="宋体" w:cs="宋体" w:eastAsia="宋体" w:hint="default"/>
                            <w:spacing w:val="-11"/>
                            <w:sz w:val="18"/>
                            <w:szCs w:val="18"/>
                          </w:rPr>
                          <w:t>号资格证书办理）。</w:t>
                        </w:r>
                      </w:p>
                    </w:tc>
                  </w:tr>
                  <w:tr>
                    <w:trPr>
                      <w:trHeight w:val="706" w:hRule="exact"/>
                    </w:trPr>
                    <w:tc>
                      <w:tcPr>
                        <w:tcW w:w="319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vMerge/>
                        <w:tcBorders>
                          <w:left w:val="single" w:sz="10" w:space="0" w:color="D2D2D2"/>
                          <w:right w:val="single" w:sz="4" w:space="0" w:color="000000"/>
                        </w:tcBorders>
                      </w:tcPr>
                      <w:p>
                        <w:pPr/>
                      </w:p>
                    </w:tc>
                  </w:tr>
                  <w:tr>
                    <w:trPr>
                      <w:trHeight w:val="2345" w:hRule="exact"/>
                    </w:trPr>
                    <w:tc>
                      <w:tcPr>
                        <w:tcW w:w="319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gridSpan w:val="4"/>
                        <w:vMerge/>
                        <w:tcBorders>
                          <w:left w:val="single" w:sz="10" w:space="0" w:color="D2D2D2"/>
                          <w:bottom w:val="single" w:sz="4" w:space="0" w:color="000000"/>
                          <w:right w:val="single" w:sz="4" w:space="0" w:color="000000"/>
                        </w:tcBorders>
                      </w:tcPr>
                      <w:p>
                        <w:pPr/>
                      </w:p>
                    </w:tc>
                  </w:tr>
                  <w:tr>
                    <w:trPr>
                      <w:trHeight w:val="2033" w:hRule="exact"/>
                    </w:trPr>
                    <w:tc>
                      <w:tcPr>
                        <w:tcW w:w="319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gridSpan w:val="4"/>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公司成立时的控股股东为</w:t>
                        </w:r>
                        <w:r>
                          <w:rPr>
                            <w:rFonts w:ascii="宋体" w:hAnsi="宋体" w:cs="宋体" w:eastAsia="宋体" w:hint="default"/>
                            <w:spacing w:val="-3"/>
                            <w:sz w:val="18"/>
                            <w:szCs w:val="18"/>
                          </w:rPr>
                          <w:t>香</w:t>
                        </w:r>
                        <w:r>
                          <w:rPr>
                            <w:rFonts w:ascii="宋体" w:hAnsi="宋体" w:cs="宋体" w:eastAsia="宋体" w:hint="default"/>
                            <w:sz w:val="18"/>
                            <w:szCs w:val="18"/>
                          </w:rPr>
                          <w:t>港益通电子有限公司</w:t>
                        </w:r>
                        <w:r>
                          <w:rPr>
                            <w:rFonts w:ascii="宋体" w:hAnsi="宋体" w:cs="宋体" w:eastAsia="宋体" w:hint="default"/>
                            <w:spacing w:val="-80"/>
                            <w:sz w:val="18"/>
                            <w:szCs w:val="18"/>
                          </w:rPr>
                          <w:t>，</w:t>
                        </w:r>
                        <w:r>
                          <w:rPr>
                            <w:rFonts w:ascii="宋体" w:hAnsi="宋体" w:cs="宋体" w:eastAsia="宋体" w:hint="default"/>
                            <w:sz w:val="18"/>
                            <w:szCs w:val="18"/>
                          </w:rPr>
                          <w:t>后更名为益通投资有限公司</w:t>
                        </w:r>
                      </w:p>
                      <w:p>
                        <w:pPr>
                          <w:pStyle w:val="TableParagraph"/>
                          <w:spacing w:line="304" w:lineRule="auto" w:before="60"/>
                          <w:ind w:left="16"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2001.7.24</w:t>
                        </w:r>
                        <w:r>
                          <w:rPr>
                            <w:rFonts w:ascii="Times New Roman" w:hAnsi="Times New Roman" w:cs="Times New Roman" w:eastAsia="Times New Roman" w:hint="default"/>
                            <w:spacing w:val="9"/>
                            <w:sz w:val="18"/>
                            <w:szCs w:val="18"/>
                          </w:rPr>
                          <w:t> </w:t>
                        </w:r>
                        <w:r>
                          <w:rPr>
                            <w:rFonts w:ascii="宋体" w:hAnsi="宋体" w:cs="宋体" w:eastAsia="宋体" w:hint="default"/>
                            <w:spacing w:val="-7"/>
                            <w:sz w:val="18"/>
                            <w:szCs w:val="18"/>
                          </w:rPr>
                          <w:t>益通投资有限公司与中国蓝星（集团）总公司签订《股权转让协议》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益通将其持有的大通境外法人股中的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27.000.000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股以每股</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元的价格转让给蓝 星，蓝星占有大通总股本 </w:t>
                        </w:r>
                        <w:r>
                          <w:rPr>
                            <w:rFonts w:ascii="Times New Roman" w:hAnsi="Times New Roman" w:cs="Times New Roman" w:eastAsia="Times New Roman" w:hint="default"/>
                            <w:sz w:val="18"/>
                            <w:szCs w:val="18"/>
                          </w:rPr>
                          <w:t>29.84%</w:t>
                        </w:r>
                        <w:r>
                          <w:rPr>
                            <w:rFonts w:ascii="宋体" w:hAnsi="宋体" w:cs="宋体" w:eastAsia="宋体" w:hint="default"/>
                            <w:sz w:val="18"/>
                            <w:szCs w:val="18"/>
                          </w:rPr>
                          <w:t>，成为第一大股东。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2001.12.3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中国蓝星与 </w:t>
                        </w:r>
                        <w:r>
                          <w:rPr>
                            <w:rFonts w:ascii="宋体" w:hAnsi="宋体" w:cs="宋体" w:eastAsia="宋体" w:hint="default"/>
                            <w:spacing w:val="-10"/>
                            <w:sz w:val="18"/>
                            <w:szCs w:val="18"/>
                          </w:rPr>
                          <w:t>上海新延中文化传播有限公司签订了《股份托管协议》，每股</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8"/>
                            <w:sz w:val="18"/>
                            <w:szCs w:val="18"/>
                          </w:rPr>
                          <w:t> </w:t>
                        </w:r>
                        <w:r>
                          <w:rPr>
                            <w:rFonts w:ascii="宋体" w:hAnsi="宋体" w:cs="宋体" w:eastAsia="宋体" w:hint="default"/>
                            <w:spacing w:val="-8"/>
                            <w:sz w:val="18"/>
                            <w:szCs w:val="18"/>
                          </w:rPr>
                          <w:t>元人民币。</w:t>
                        </w:r>
                        <w:r>
                          <w:rPr>
                            <w:rFonts w:ascii="Times New Roman" w:hAnsi="Times New Roman" w:cs="Times New Roman" w:eastAsia="Times New Roman" w:hint="default"/>
                            <w:spacing w:val="-8"/>
                            <w:sz w:val="18"/>
                            <w:szCs w:val="18"/>
                          </w:rPr>
                          <w:t>2002.12</w:t>
                        </w:r>
                        <w:r>
                          <w:rPr>
                            <w:rFonts w:ascii="Times New Roman" w:hAnsi="Times New Roman" w:cs="Times New Roman" w:eastAsia="Times New Roman" w:hint="default"/>
                            <w:spacing w:val="-41"/>
                            <w:sz w:val="18"/>
                            <w:szCs w:val="18"/>
                          </w:rPr>
                          <w:t> </w:t>
                        </w:r>
                        <w:r>
                          <w:rPr>
                            <w:rFonts w:ascii="Times New Roman" w:hAnsi="Times New Roman" w:cs="Times New Roman" w:eastAsia="Times New Roman" w:hint="default"/>
                            <w:spacing w:val="-41"/>
                            <w:sz w:val="18"/>
                            <w:szCs w:val="18"/>
                          </w:rPr>
                        </w:r>
                        <w:r>
                          <w:rPr>
                            <w:rFonts w:ascii="宋体" w:hAnsi="宋体" w:cs="宋体" w:eastAsia="宋体" w:hint="default"/>
                            <w:sz w:val="18"/>
                            <w:szCs w:val="18"/>
                          </w:rPr>
                          <w:t>中国蓝星与上海新延中文化传播有限公司股权转让，上海新延中文化传播有限公 司占有大通总股本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29.84%</w:t>
                        </w:r>
                        <w:r>
                          <w:rPr>
                            <w:rFonts w:ascii="宋体" w:hAnsi="宋体" w:cs="宋体" w:eastAsia="宋体" w:hint="default"/>
                            <w:sz w:val="18"/>
                            <w:szCs w:val="18"/>
                          </w:rPr>
                          <w:t>，成为第一大股东。</w:t>
                        </w:r>
                        <w:r>
                          <w:rPr>
                            <w:rFonts w:ascii="Times New Roman" w:hAnsi="Times New Roman" w:cs="Times New Roman" w:eastAsia="Times New Roman" w:hint="default"/>
                            <w:sz w:val="18"/>
                            <w:szCs w:val="18"/>
                          </w:rPr>
                          <w:t>2003.1.24</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上海新延中文化传播有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更名为</w:t>
                        </w:r>
                        <w:r>
                          <w:rPr>
                            <w:rFonts w:ascii="Times New Roman" w:hAnsi="Times New Roman" w:cs="Times New Roman" w:eastAsia="Times New Roman" w:hint="default"/>
                            <w:sz w:val="18"/>
                            <w:szCs w:val="18"/>
                          </w:rPr>
                          <w:t>“</w:t>
                        </w:r>
                        <w:r>
                          <w:rPr>
                            <w:rFonts w:ascii="宋体" w:hAnsi="宋体" w:cs="宋体" w:eastAsia="宋体" w:hint="default"/>
                            <w:sz w:val="18"/>
                            <w:szCs w:val="18"/>
                          </w:rPr>
                          <w:t>方正延中传媒有限公司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日，亚星实业与 </w:t>
                        </w:r>
                        <w:r>
                          <w:rPr>
                            <w:rFonts w:ascii="宋体" w:hAnsi="宋体" w:cs="宋体" w:eastAsia="宋体" w:hint="default"/>
                            <w:spacing w:val="-5"/>
                            <w:sz w:val="18"/>
                            <w:szCs w:val="18"/>
                          </w:rPr>
                          <w:t>方正延中传媒有限公司签订了《股份转让协议书》，受让延中传媒所持有的深大通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Times New Roman" w:hAnsi="Times New Roman" w:cs="Times New Roman" w:eastAsia="Times New Roman" w:hint="default"/>
                            <w:sz w:val="18"/>
                            <w:szCs w:val="18"/>
                          </w:rPr>
                          <w:t>1,000 </w:t>
                        </w:r>
                        <w:r>
                          <w:rPr>
                            <w:rFonts w:ascii="宋体" w:hAnsi="宋体" w:cs="宋体" w:eastAsia="宋体" w:hint="default"/>
                            <w:sz w:val="18"/>
                            <w:szCs w:val="18"/>
                          </w:rPr>
                          <w:t>万股股份</w:t>
                        </w:r>
                        <w:r>
                          <w:rPr>
                            <w:rFonts w:ascii="Times New Roman" w:hAnsi="Times New Roman" w:cs="Times New Roman" w:eastAsia="Times New Roman" w:hint="default"/>
                            <w:sz w:val="18"/>
                            <w:szCs w:val="18"/>
                          </w:rPr>
                          <w:t>,</w:t>
                        </w:r>
                        <w:r>
                          <w:rPr>
                            <w:rFonts w:ascii="宋体" w:hAnsi="宋体" w:cs="宋体" w:eastAsia="宋体" w:hint="default"/>
                            <w:sz w:val="18"/>
                            <w:szCs w:val="18"/>
                          </w:rPr>
                          <w:t>并于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日在中国证券登记结算有限责任公司深圳分</w:t>
                        </w:r>
                      </w:p>
                      <w:p>
                        <w:pPr>
                          <w:pStyle w:val="TableParagraph"/>
                          <w:spacing w:line="240" w:lineRule="auto" w:before="9"/>
                          <w:ind w:left="16" w:right="0"/>
                          <w:jc w:val="left"/>
                          <w:rPr>
                            <w:rFonts w:ascii="宋体" w:hAnsi="宋体" w:cs="宋体" w:eastAsia="宋体" w:hint="default"/>
                            <w:sz w:val="18"/>
                            <w:szCs w:val="18"/>
                          </w:rPr>
                        </w:pPr>
                        <w:r>
                          <w:rPr>
                            <w:rFonts w:ascii="宋体" w:hAnsi="宋体" w:cs="宋体" w:eastAsia="宋体" w:hint="default"/>
                            <w:sz w:val="18"/>
                            <w:szCs w:val="18"/>
                          </w:rPr>
                          <w:t>公司完成过户手续。过户手续完成后，亚星实业实际持有公司股份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万股，</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占股权分置改革前公司股本总额的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11.05%</w:t>
                        </w: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日，亚星实业</w:t>
                        </w:r>
                      </w:p>
                      <w:p>
                        <w:pPr>
                          <w:pStyle w:val="TableParagraph"/>
                          <w:spacing w:line="240" w:lineRule="auto" w:before="62"/>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已通过股改垫付对价偿还方式获得公司股份</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33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t>持股总数为</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43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8</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股，占公司总股本的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44.79%</w:t>
                        </w:r>
                        <w:r>
                          <w:rPr>
                            <w:rFonts w:ascii="宋体" w:hAnsi="宋体" w:cs="宋体" w:eastAsia="宋体" w:hint="default"/>
                            <w:sz w:val="18"/>
                            <w:szCs w:val="18"/>
                          </w:rPr>
                          <w:t>，成为第一大股东。</w:t>
                        </w:r>
                      </w:p>
                    </w:tc>
                  </w:tr>
                  <w:tr>
                    <w:trPr>
                      <w:trHeight w:val="391" w:hRule="exact"/>
                    </w:trPr>
                    <w:tc>
                      <w:tcPr>
                        <w:tcW w:w="319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vMerge/>
                        <w:tcBorders>
                          <w:left w:val="single" w:sz="10" w:space="0" w:color="D2D2D2"/>
                          <w:right w:val="single" w:sz="4" w:space="0" w:color="000000"/>
                        </w:tcBorders>
                      </w:tcPr>
                      <w:p>
                        <w:pPr/>
                      </w:p>
                    </w:tc>
                  </w:tr>
                  <w:tr>
                    <w:trPr>
                      <w:trHeight w:val="2033" w:hRule="exact"/>
                    </w:trPr>
                    <w:tc>
                      <w:tcPr>
                        <w:tcW w:w="319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gridSpan w:val="4"/>
                        <w:vMerge/>
                        <w:tcBorders>
                          <w:left w:val="single" w:sz="10" w:space="0" w:color="D2D2D2"/>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44"/>
        <w:ind w:left="0" w:right="1141"/>
        <w:jc w:val="right"/>
      </w:pPr>
      <w:r>
        <w:rPr/>
        <w:t>。</w:t>
      </w:r>
    </w:p>
    <w:p>
      <w:pPr>
        <w:pStyle w:val="BodyText"/>
        <w:spacing w:line="240" w:lineRule="auto" w:before="74"/>
        <w:ind w:left="0" w:right="1144"/>
        <w:jc w:val="right"/>
      </w:pPr>
      <w:r>
        <w:rPr/>
        <w:t>，</w:t>
      </w:r>
    </w:p>
    <w:p>
      <w:pPr>
        <w:spacing w:after="0" w:line="240" w:lineRule="auto"/>
        <w:jc w:val="right"/>
        <w:sectPr>
          <w:headerReference w:type="default" r:id="rId12"/>
          <w:footerReference w:type="default" r:id="rId13"/>
          <w:pgSz w:w="11910" w:h="16840"/>
          <w:pgMar w:header="877" w:footer="0" w:top="1060" w:bottom="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李泽浩、李东安</w:t>
            </w:r>
          </w:p>
        </w:tc>
      </w:tr>
    </w:tbl>
    <w:p>
      <w:pPr>
        <w:pStyle w:val="BodyText"/>
        <w:spacing w:line="240" w:lineRule="auto" w:before="49"/>
        <w:ind w:right="0"/>
        <w:jc w:val="left"/>
      </w:pPr>
      <w:r>
        <w:rPr/>
        <w:t>公司聘请的报告期内履行持续督导职责的保荐机构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世纪证券有限责任公司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5"/>
              <w:jc w:val="left"/>
              <w:rPr>
                <w:rFonts w:ascii="宋体" w:hAnsi="宋体" w:cs="宋体" w:eastAsia="宋体" w:hint="default"/>
                <w:sz w:val="18"/>
                <w:szCs w:val="18"/>
              </w:rPr>
            </w:pPr>
            <w:r>
              <w:rPr>
                <w:rFonts w:ascii="宋体" w:hAnsi="宋体" w:cs="宋体" w:eastAsia="宋体" w:hint="default"/>
                <w:sz w:val="18"/>
                <w:szCs w:val="18"/>
              </w:rPr>
              <w:t>深圳市福田区深南大道招商 银行大厦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艾民、逄伟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49"/>
        <w:ind w:right="0"/>
        <w:jc w:val="left"/>
      </w:pPr>
      <w:r>
        <w:rPr/>
        <w:t>公司聘请的报告期内履行持续督导职责的财务顾问</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footerReference w:type="default" r:id="rId15"/>
          <w:pgSz w:w="11910" w:h="16840"/>
          <w:pgMar w:footer="1340" w:header="877" w:top="1060" w:bottom="1540" w:left="980" w:right="0"/>
          <w:pgNumType w:start="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0"/>
        <w:jc w:val="left"/>
        <w:rPr>
          <w:b w:val="0"/>
          <w:bCs w:val="0"/>
        </w:rPr>
      </w:pPr>
      <w:r>
        <w:rPr/>
        <w:t>第三节</w:t>
      </w:r>
      <w:r>
        <w:rPr>
          <w:spacing w:val="-5"/>
        </w:rPr>
        <w:t> </w:t>
      </w:r>
      <w:r>
        <w:rPr/>
        <w:t>会计数据和财务指标摘要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6"/>
        <w:gridCol w:w="1749"/>
        <w:gridCol w:w="1740"/>
        <w:gridCol w:w="1738"/>
        <w:gridCol w:w="1735"/>
      </w:tblGrid>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168,435,591.26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206,236,809.33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99,039,893.86</w:t>
            </w:r>
          </w:p>
        </w:tc>
      </w:tr>
      <w:tr>
        <w:trPr>
          <w:trHeight w:val="716"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1,989,975.92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2,078,042.37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2,091,182.70</w:t>
            </w:r>
          </w:p>
        </w:tc>
      </w:tr>
      <w:tr>
        <w:trPr>
          <w:trHeight w:val="71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2,054,364.96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2,521,733.51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2,019,858.63</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44,954,268.43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52,953,904.46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-15.11%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-89,610,183.17</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0.021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0.02</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0.021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0.02</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w:t>
            </w:r>
          </w:p>
        </w:tc>
      </w:tr>
      <w:tr>
        <w:trPr>
          <w:trHeight w:val="162" w:hRule="exact"/>
        </w:trPr>
        <w:tc>
          <w:tcPr>
            <w:tcW w:w="2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596"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680,915,598.25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610,156,264.42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630,464,661.29</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159,164,860.40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156,590,425.65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154,512,283.28</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520"/>
        <w:gridCol w:w="1522"/>
        <w:gridCol w:w="1711"/>
      </w:tblGrid>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-93,479.72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-513,887.99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107,370.06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-21,599.03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-33,859.50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28,698.52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-7,491.65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-36,337.35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7,347.47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-64,389.04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-443,691.14</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71,324.07</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64"/>
        <w:gridCol w:w="2127"/>
        <w:gridCol w:w="5180"/>
      </w:tblGrid>
      <w:tr>
        <w:trPr>
          <w:trHeight w:val="401"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15" w:right="0"/>
              <w:jc w:val="left"/>
              <w:rPr>
                <w:rFonts w:ascii="Times New Roman" w:hAnsi="Times New Roman" w:cs="Times New Roman" w:eastAsia="Times New Roman" w:hint="default"/>
                <w:sz w:val="18"/>
                <w:szCs w:val="18"/>
              </w:rPr>
            </w:pPr>
            <w:r>
              <w:rPr>
                <w:rFonts w:ascii="Times New Roman"/>
                <w:sz w:val="18"/>
              </w:rPr>
              <w:t>-64,389.04</w:t>
            </w:r>
          </w:p>
        </w:tc>
        <w:tc>
          <w:tcPr>
            <w:tcW w:w="5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非营业性收支净额</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3607" w:right="0"/>
        <w:jc w:val="left"/>
        <w:rPr>
          <w:b w:val="0"/>
          <w:bCs w:val="0"/>
        </w:rPr>
      </w:pP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一、概述</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1119"/>
        <w:jc w:val="left"/>
      </w:pPr>
      <w:r>
        <w:rPr>
          <w:rFonts w:ascii="Times New Roman" w:hAnsi="Times New Roman" w:cs="Times New Roman" w:eastAsia="Times New Roman" w:hint="default"/>
          <w:spacing w:val="-2"/>
        </w:rPr>
        <w:t>2013</w:t>
      </w:r>
      <w:r>
        <w:rPr>
          <w:spacing w:val="-2"/>
        </w:rPr>
        <w:t>年，公司主业所处的房地产行业调控基调贯彻始终，不同城市的房地产市场出现分化，公司房地产业务主要位于山东省</w:t>
      </w:r>
      <w:r>
        <w:rPr>
          <w:spacing w:val="-61"/>
        </w:rPr>
        <w:t> </w:t>
      </w:r>
      <w:r>
        <w:rPr>
          <w:spacing w:val="-61"/>
        </w:rPr>
      </w:r>
      <w:r>
        <w:rPr>
          <w:spacing w:val="-2"/>
        </w:rPr>
        <w:t>三、四线城市，子公司青岛广顺房地产开发公司所开发项目还受青岛市限购政策的影响，公司开发项目所在地市场的整体购</w:t>
      </w:r>
      <w:r>
        <w:rPr>
          <w:spacing w:val="-66"/>
        </w:rPr>
        <w:t> </w:t>
      </w:r>
      <w:r>
        <w:rPr>
          <w:spacing w:val="-66"/>
        </w:rPr>
      </w:r>
      <w:r>
        <w:rPr>
          <w:spacing w:val="-2"/>
        </w:rPr>
        <w:t>买力有所下降，在无法合理预期国家将放宽房地产宏观调控政策的前提下，公司按照</w:t>
      </w:r>
      <w:r>
        <w:rPr>
          <w:rFonts w:ascii="Times New Roman" w:hAnsi="Times New Roman" w:cs="Times New Roman" w:eastAsia="Times New Roman" w:hint="default"/>
          <w:spacing w:val="-2"/>
        </w:rPr>
        <w:t>2013</w:t>
      </w:r>
      <w:r>
        <w:rPr>
          <w:spacing w:val="-2"/>
        </w:rPr>
        <w:t>年度经营计划，适度放缓了房地产</w:t>
      </w:r>
      <w:r>
        <w:rPr>
          <w:spacing w:val="-59"/>
        </w:rPr>
        <w:t> </w:t>
      </w:r>
      <w:r>
        <w:rPr>
          <w:spacing w:val="-59"/>
        </w:rPr>
      </w:r>
      <w:r>
        <w:rPr/>
        <w:t>在建项目、拟建项目以及市场销售的推进速度。 </w:t>
      </w:r>
      <w:r>
        <w:rPr>
          <w:spacing w:val="-2"/>
        </w:rPr>
        <w:t>从中、长期看，中国的房地产市场仍然会保持较高水平的增长，稳定供求、抑制投机以及建立中长期市场调控机制将是我国</w:t>
      </w:r>
      <w:r>
        <w:rPr>
          <w:spacing w:val="-66"/>
        </w:rPr>
        <w:t> </w:t>
      </w:r>
      <w:r>
        <w:rPr>
          <w:spacing w:val="-66"/>
        </w:rPr>
      </w:r>
      <w:r>
        <w:rPr>
          <w:spacing w:val="-2"/>
        </w:rPr>
        <w:t>房地产市场建设的核心目标。在市场环境逐步改善同时，促进房地产行业健康发展将是众望所归。公司管理层将密切关注市</w:t>
      </w:r>
      <w:r>
        <w:rPr>
          <w:spacing w:val="-63"/>
        </w:rPr>
        <w:t> </w:t>
      </w:r>
      <w:r>
        <w:rPr>
          <w:spacing w:val="-63"/>
        </w:rPr>
      </w:r>
      <w:r>
        <w:rPr>
          <w:spacing w:val="-2"/>
        </w:rPr>
        <w:t>场变化，把握市场机会，通过进一步优化发展模式、增厚资源储备、完善内部管理系列等措施，确保公司稳定、健康的可持</w:t>
      </w:r>
      <w:r>
        <w:rPr>
          <w:spacing w:val="-67"/>
        </w:rPr>
        <w:t> </w:t>
      </w:r>
      <w:r>
        <w:rPr>
          <w:spacing w:val="-67"/>
        </w:rPr>
      </w:r>
      <w:r>
        <w:rPr/>
        <w:t>续发展。</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038"/>
        <w:jc w:val="left"/>
      </w:pPr>
      <w:r>
        <w:rPr/>
        <w:t>报告期内，公司实现营业收入为</w:t>
      </w:r>
      <w:r>
        <w:rPr>
          <w:rFonts w:ascii="Times New Roman" w:hAnsi="Times New Roman" w:cs="Times New Roman" w:eastAsia="Times New Roman" w:hint="default"/>
        </w:rPr>
        <w:t>168,435,591.26</w:t>
      </w:r>
      <w:r>
        <w:rPr/>
        <w:t>元，同比去年度营业收入的</w:t>
      </w:r>
      <w:r>
        <w:rPr>
          <w:rFonts w:ascii="Times New Roman" w:hAnsi="Times New Roman" w:cs="Times New Roman" w:eastAsia="Times New Roman" w:hint="default"/>
        </w:rPr>
        <w:t>206,236,809.33</w:t>
      </w:r>
      <w:r>
        <w:rPr/>
        <w:t>元，下降</w:t>
      </w:r>
      <w:r>
        <w:rPr>
          <w:rFonts w:ascii="Times New Roman" w:hAnsi="Times New Roman" w:cs="Times New Roman" w:eastAsia="Times New Roman" w:hint="default"/>
        </w:rPr>
        <w:t>18.33%</w:t>
      </w:r>
      <w:r>
        <w:rPr/>
        <w:t>。但是，从公司房 地产主业而言，公司同比去年房地产业务收入的</w:t>
      </w:r>
      <w:r>
        <w:rPr>
          <w:rFonts w:ascii="Times New Roman" w:hAnsi="Times New Roman" w:cs="Times New Roman" w:eastAsia="Times New Roman" w:hint="default"/>
        </w:rPr>
        <w:t>156,743,290.85</w:t>
      </w:r>
      <w:r>
        <w:rPr/>
        <w:t>元，增长</w:t>
      </w:r>
      <w:r>
        <w:rPr>
          <w:rFonts w:ascii="Times New Roman" w:hAnsi="Times New Roman" w:cs="Times New Roman" w:eastAsia="Times New Roman" w:hint="default"/>
        </w:rPr>
        <w:t>7.46%</w:t>
      </w:r>
      <w:r>
        <w:rPr/>
        <w:t>。公司实现营业成本</w:t>
      </w:r>
      <w:r>
        <w:rPr>
          <w:rFonts w:ascii="Times New Roman" w:hAnsi="Times New Roman" w:cs="Times New Roman" w:eastAsia="Times New Roman" w:hint="default"/>
        </w:rPr>
        <w:t>122,992,243.06</w:t>
      </w:r>
      <w:r>
        <w:rPr/>
        <w:t>元，与去 年同期房地产成本同比上升</w:t>
      </w:r>
      <w:r>
        <w:rPr>
          <w:rFonts w:ascii="Times New Roman" w:hAnsi="Times New Roman" w:cs="Times New Roman" w:eastAsia="Times New Roman" w:hint="default"/>
        </w:rPr>
        <w:t>9.90%,</w:t>
      </w:r>
      <w:r>
        <w:rPr/>
        <w:t>主要原因是地产主业销售增长，成本相应增长。公司实现营业税金及附加</w:t>
      </w:r>
      <w:r>
        <w:rPr>
          <w:rFonts w:ascii="Times New Roman" w:hAnsi="Times New Roman" w:cs="Times New Roman" w:eastAsia="Times New Roman" w:hint="default"/>
        </w:rPr>
        <w:t>17,115,884.47</w:t>
      </w:r>
      <w:r>
        <w:rPr/>
        <w:t>， 同比上升</w:t>
      </w:r>
      <w:r>
        <w:rPr>
          <w:rFonts w:ascii="Times New Roman" w:hAnsi="Times New Roman" w:cs="Times New Roman" w:eastAsia="Times New Roman" w:hint="default"/>
        </w:rPr>
        <w:t>26.46%</w:t>
      </w:r>
      <w:r>
        <w:rPr/>
        <w:t>，主要原因是本年收入全部是房地产业务收入，税负率相对较高，而去年部分收入为商贸收入，商贸收入 </w:t>
      </w:r>
      <w:r>
        <w:rPr>
          <w:spacing w:val="-1"/>
        </w:rPr>
        <w:t>相对税负率较低；公司本期实现销售费用</w:t>
      </w:r>
      <w:r>
        <w:rPr>
          <w:rFonts w:ascii="Times New Roman" w:hAnsi="Times New Roman" w:cs="Times New Roman" w:eastAsia="Times New Roman" w:hint="default"/>
          <w:spacing w:val="-1"/>
        </w:rPr>
        <w:t>2,137,553.31</w:t>
      </w:r>
      <w:r>
        <w:rPr>
          <w:spacing w:val="-1"/>
        </w:rPr>
        <w:t>，同比下降</w:t>
      </w:r>
      <w:r>
        <w:rPr>
          <w:rFonts w:ascii="Times New Roman" w:hAnsi="Times New Roman" w:cs="Times New Roman" w:eastAsia="Times New Roman" w:hint="default"/>
          <w:spacing w:val="-1"/>
        </w:rPr>
        <w:t>30.75%</w:t>
      </w:r>
      <w:r>
        <w:rPr>
          <w:spacing w:val="-1"/>
        </w:rPr>
        <w:t>，原因在于项目销售处于中后阶段，同比项目前期，</w:t>
      </w:r>
      <w:r>
        <w:rPr>
          <w:spacing w:val="-85"/>
        </w:rPr>
        <w:t> </w:t>
      </w:r>
      <w:r>
        <w:rPr>
          <w:spacing w:val="-85"/>
        </w:rPr>
      </w:r>
      <w:r>
        <w:rPr/>
        <w:t>宣传推广费用投入相对较少；公司本期实现财务费用</w:t>
      </w:r>
      <w:r>
        <w:rPr>
          <w:rFonts w:ascii="Times New Roman" w:hAnsi="Times New Roman" w:cs="Times New Roman" w:eastAsia="Times New Roman" w:hint="default"/>
        </w:rPr>
        <w:t>1,749,358.02</w:t>
      </w:r>
      <w:r>
        <w:rPr/>
        <w:t>元，同比下降</w:t>
      </w:r>
      <w:r>
        <w:rPr>
          <w:rFonts w:ascii="Times New Roman" w:hAnsi="Times New Roman" w:cs="Times New Roman" w:eastAsia="Times New Roman" w:hint="default"/>
        </w:rPr>
        <w:t>63.05%</w:t>
      </w:r>
      <w:r>
        <w:rPr/>
        <w:t>，原因在于贷款归还，导致利息费用 的减少。公司本期实现所得税费用</w:t>
      </w:r>
      <w:r>
        <w:rPr>
          <w:rFonts w:ascii="Times New Roman" w:hAnsi="Times New Roman" w:cs="Times New Roman" w:eastAsia="Times New Roman" w:hint="default"/>
        </w:rPr>
        <w:t>8,893,484.97</w:t>
      </w:r>
      <w:r>
        <w:rPr/>
        <w:t>，同比上升</w:t>
      </w:r>
      <w:r>
        <w:rPr>
          <w:rFonts w:ascii="Times New Roman" w:hAnsi="Times New Roman" w:cs="Times New Roman" w:eastAsia="Times New Roman" w:hint="default"/>
        </w:rPr>
        <w:t>9.23%</w:t>
      </w:r>
      <w:r>
        <w:rPr/>
        <w:t>，原因在于房地产业务销售增长，利润相应增长，所得税费 用有所增加。</w:t>
      </w:r>
    </w:p>
    <w:p>
      <w:pPr>
        <w:pStyle w:val="BodyText"/>
        <w:spacing w:line="338" w:lineRule="auto" w:before="72"/>
        <w:ind w:right="0"/>
        <w:jc w:val="left"/>
      </w:pPr>
      <w:r>
        <w:rPr/>
        <w:t>公司回顾总结前期披露的发展战略和经营计划在报告期内的进展情况 </w:t>
      </w:r>
      <w:r>
        <w:rPr>
          <w:spacing w:val="-2"/>
        </w:rPr>
        <w:t>公司按照既定发展战略开展业务，适时推进普通住宅地产的开发建设，阶段性实施以利润换现金流的市场营销方针，确保公</w:t>
      </w:r>
      <w:r>
        <w:rPr>
          <w:spacing w:val="-63"/>
        </w:rPr>
        <w:t> </w:t>
      </w:r>
      <w:r>
        <w:rPr>
          <w:spacing w:val="-63"/>
        </w:rPr>
      </w:r>
      <w:r>
        <w:rPr>
          <w:spacing w:val="-2"/>
        </w:rPr>
        <w:t>司稳健经营。截至报告日，房地产开发经营中立项、施工、预售、竣工、交付等主要里程碑节点总体上达到了年度经营计划</w:t>
      </w:r>
    </w:p>
    <w:p>
      <w:pPr>
        <w:pStyle w:val="BodyText"/>
        <w:spacing w:line="240" w:lineRule="auto" w:before="2"/>
        <w:ind w:right="0"/>
        <w:jc w:val="left"/>
      </w:pPr>
      <w:r>
        <w:rPr/>
        <w:t>的预期。</w:t>
      </w:r>
    </w:p>
    <w:p>
      <w:pPr>
        <w:pStyle w:val="BodyText"/>
        <w:spacing w:line="240" w:lineRule="auto" w:before="117"/>
        <w:ind w:right="0"/>
        <w:jc w:val="left"/>
      </w:pPr>
      <w:r>
        <w:rPr/>
        <w:t>公司实际经营业绩较曾公开披露过的本年度盈利预测低于或高于</w:t>
      </w:r>
      <w:r>
        <w:rPr>
          <w:spacing w:val="-43"/>
        </w:rPr>
        <w:t> </w:t>
      </w:r>
      <w:r>
        <w:rPr>
          <w:rFonts w:ascii="Times New Roman" w:hAnsi="Times New Roman" w:cs="Times New Roman" w:eastAsia="Times New Roman" w:hint="default"/>
        </w:rPr>
        <w:t>20%</w:t>
      </w:r>
      <w:r>
        <w:rPr/>
        <w:t>以上的差异原因</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2"/>
        <w:rPr>
          <w:rFonts w:ascii="宋体" w:hAnsi="宋体" w:cs="宋体" w:eastAsia="宋体" w:hint="default"/>
          <w:b/>
          <w:bCs/>
          <w:sz w:val="26"/>
          <w:szCs w:val="26"/>
        </w:rPr>
      </w:pPr>
    </w:p>
    <w:p>
      <w:pPr>
        <w:spacing w:line="350" w:lineRule="auto" w:before="0"/>
        <w:ind w:left="152" w:right="3129" w:firstLine="0"/>
        <w:jc w:val="left"/>
        <w:rPr>
          <w:rFonts w:ascii="宋体" w:hAnsi="宋体" w:cs="宋体" w:eastAsia="宋体" w:hint="default"/>
          <w:sz w:val="18"/>
          <w:szCs w:val="18"/>
        </w:rPr>
      </w:pPr>
      <w:r>
        <w:rPr>
          <w:rFonts w:ascii="宋体" w:hAnsi="宋体" w:cs="宋体" w:eastAsia="宋体" w:hint="default"/>
          <w:sz w:val="18"/>
          <w:szCs w:val="18"/>
        </w:rPr>
        <w:t>说明 公司实现营业收入为</w:t>
      </w:r>
      <w:r>
        <w:rPr>
          <w:rFonts w:ascii="Times New Roman" w:hAnsi="Times New Roman" w:cs="Times New Roman" w:eastAsia="Times New Roman" w:hint="default"/>
          <w:b/>
          <w:bCs/>
          <w:sz w:val="18"/>
          <w:szCs w:val="18"/>
        </w:rPr>
        <w:t>168,435,591.26</w:t>
      </w:r>
      <w:r>
        <w:rPr>
          <w:rFonts w:ascii="宋体" w:hAnsi="宋体" w:cs="宋体" w:eastAsia="宋体" w:hint="default"/>
          <w:sz w:val="18"/>
          <w:szCs w:val="18"/>
        </w:rPr>
        <w:t>元，同比下降</w:t>
      </w:r>
      <w:r>
        <w:rPr>
          <w:rFonts w:ascii="Times New Roman" w:hAnsi="Times New Roman" w:cs="Times New Roman" w:eastAsia="Times New Roman" w:hint="default"/>
          <w:sz w:val="18"/>
          <w:szCs w:val="18"/>
        </w:rPr>
        <w:t>18.33%</w:t>
      </w:r>
      <w:r>
        <w:rPr>
          <w:rFonts w:ascii="宋体" w:hAnsi="宋体" w:cs="宋体" w:eastAsia="宋体" w:hint="default"/>
          <w:sz w:val="18"/>
          <w:szCs w:val="18"/>
        </w:rPr>
        <w:t>，本年</w:t>
      </w:r>
      <w:r>
        <w:rPr>
          <w:rFonts w:ascii="宋体" w:hAnsi="宋体" w:cs="宋体" w:eastAsia="宋体" w:hint="default"/>
          <w:b/>
          <w:bCs/>
          <w:sz w:val="18"/>
          <w:szCs w:val="18"/>
        </w:rPr>
        <w:t>营业收入全部为</w:t>
      </w:r>
      <w:r>
        <w:rPr>
          <w:rFonts w:ascii="宋体" w:hAnsi="宋体" w:cs="宋体" w:eastAsia="宋体" w:hint="default"/>
          <w:sz w:val="18"/>
          <w:szCs w:val="18"/>
        </w:rPr>
        <w:t>房地产业务收入。 公司实物销售收入是否大于劳务收入</w:t>
      </w:r>
    </w:p>
    <w:p>
      <w:pPr>
        <w:pStyle w:val="BodyText"/>
        <w:spacing w:line="340" w:lineRule="auto" w:before="32"/>
        <w:ind w:right="87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公司重大的在手订单情况</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0"/>
        <w:jc w:val="left"/>
      </w:pPr>
      <w:r>
        <w:rPr/>
        <w:t>公司报告期内产品或服务发生重大变化或调整有关情况</w:t>
      </w:r>
    </w:p>
    <w:p>
      <w:pPr>
        <w:spacing w:after="0" w:line="24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340" w:lineRule="auto" w:before="44"/>
        <w:ind w:right="89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公司主要销售客户情况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14,552,964.92</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8.64%</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6,961,959.00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2,108,805.00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1.25%</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1.19%</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1,850,005.92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1.1%</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1,632,195.00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14,552,964.92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8.64%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行业分类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122,992,243.06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111,916,400.24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29.64%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土地成本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43,114,466.08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25,587,101.22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前期费用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7,546,634.28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8,580,647.05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基础设施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8,178,252.34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10,924,782.00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-25.14%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建安成本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58,029,394.58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65,679,356.32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公共配套成本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1,381,625.20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开发间接费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4,741,870.58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1,144,513.65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314.31%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库存商品进价</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47,138,700.25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-29.64%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122,992,243.06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159,055,100.49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产品分类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5"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房屋建筑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房屋建筑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122,992,243.06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3" w:right="0"/>
              <w:jc w:val="left"/>
              <w:rPr>
                <w:rFonts w:ascii="Times New Roman" w:hAnsi="Times New Roman" w:cs="Times New Roman" w:eastAsia="Times New Roman" w:hint="default"/>
                <w:sz w:val="18"/>
                <w:szCs w:val="18"/>
              </w:rPr>
            </w:pPr>
            <w:r>
              <w:rPr>
                <w:rFonts w:ascii="Times New Roman"/>
                <w:sz w:val="18"/>
              </w:rPr>
              <w:t>111,916,400.24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70.36%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371"/>
        <w:gridCol w:w="1369"/>
        <w:gridCol w:w="1368"/>
        <w:gridCol w:w="1366"/>
        <w:gridCol w:w="1368"/>
        <w:gridCol w:w="1366"/>
        <w:gridCol w:w="1368"/>
      </w:tblGrid>
      <w:tr>
        <w:trPr>
          <w:trHeight w:val="40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122,992,243.06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3" w:right="0"/>
              <w:jc w:val="left"/>
              <w:rPr>
                <w:rFonts w:ascii="Times New Roman" w:hAnsi="Times New Roman" w:cs="Times New Roman" w:eastAsia="Times New Roman" w:hint="default"/>
                <w:sz w:val="18"/>
                <w:szCs w:val="18"/>
              </w:rPr>
            </w:pPr>
            <w:r>
              <w:rPr>
                <w:rFonts w:ascii="Times New Roman"/>
                <w:sz w:val="18"/>
              </w:rPr>
              <w:t>111,916,400.24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70.36%</w:t>
            </w: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10394"/>
        <w:jc w:val="left"/>
      </w:pPr>
      <w:r>
        <w:rPr/>
        <w:t>说明 无</w:t>
      </w:r>
    </w:p>
    <w:p>
      <w:pPr>
        <w:pStyle w:val="BodyText"/>
        <w:spacing w:line="240" w:lineRule="auto" w:before="29"/>
        <w:ind w:right="0"/>
        <w:jc w:val="left"/>
      </w:pPr>
      <w:r>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95,255,210.43</w:t>
            </w:r>
          </w:p>
        </w:tc>
      </w:tr>
      <w:tr>
        <w:trPr>
          <w:trHeight w:val="401" w:hRule="exact"/>
        </w:trPr>
        <w:tc>
          <w:tcPr>
            <w:tcW w:w="42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56.69%</w:t>
            </w:r>
          </w:p>
        </w:tc>
      </w:tr>
    </w:tbl>
    <w:p>
      <w:pPr>
        <w:pStyle w:val="BodyText"/>
        <w:spacing w:line="240" w:lineRule="auto" w:before="49"/>
        <w:ind w:right="0"/>
        <w:jc w:val="left"/>
      </w:pPr>
      <w:r>
        <w:rPr/>
        <w:pict>
          <v:shape style="position:absolute;margin-left:263.570007pt;margin-top:-20.038258pt;width:270.2pt;height:19.6pt;mso-position-horizontal-relative:page;mso-position-vertical-relative:paragraph;z-index:-630664"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71.010010pt;margin-top:-20.038258pt;width:262.75pt;height:19.6pt;mso-position-horizontal-relative:page;mso-position-vertical-relative:paragraph;z-index:-630640" coordorigin="5420,-401" coordsize="5255,392">
            <v:shape style="position:absolute;left:5420;top:-401;width:5255;height:392" coordorigin="5420,-401" coordsize="5255,392" path="m5420,-10l10675,-10,10675,-401,5420,-401,5420,-10xe" filled="true" fillcolor="#ffffff" stroked="false">
              <v:path arrowok="t"/>
              <v:fill type="solid"/>
            </v:shape>
            <w10:wrap type="none"/>
          </v:group>
        </w:pict>
      </w: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3"/>
        <w:ind w:right="0"/>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兖州市建筑安装工程总公司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31,869,700.45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33.46%</w:t>
            </w:r>
          </w:p>
        </w:tc>
      </w:tr>
      <w:tr>
        <w:trPr>
          <w:trHeight w:val="404"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兖州市永华建筑安装工程有限公司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7,258,866.41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7.62%</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济宁圣润电力安装有限公司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5,765,000.00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青岛德泰建设工程有限公司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4,673,769.61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4.91%</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兖州市华一建筑安装有限公司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4,435,512.48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95,255,210.43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56.69%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报告期公司财务费用较上期减少</w:t>
      </w:r>
      <w:r>
        <w:rPr>
          <w:rFonts w:ascii="Times New Roman" w:hAnsi="Times New Roman" w:cs="Times New Roman" w:eastAsia="Times New Roman" w:hint="default"/>
        </w:rPr>
        <w:t>2,985,302.37</w:t>
      </w:r>
      <w:r>
        <w:rPr>
          <w:rFonts w:ascii="Times New Roman" w:hAnsi="Times New Roman" w:cs="Times New Roman" w:eastAsia="Times New Roman" w:hint="default"/>
          <w:spacing w:val="24"/>
        </w:rPr>
        <w:t> </w:t>
      </w:r>
      <w:r>
        <w:rPr/>
        <w:t>元，减少</w:t>
      </w:r>
      <w:r>
        <w:rPr>
          <w:rFonts w:ascii="Times New Roman" w:hAnsi="Times New Roman" w:cs="Times New Roman" w:eastAsia="Times New Roman" w:hint="default"/>
        </w:rPr>
        <w:t>63.50%</w:t>
      </w:r>
      <w:r>
        <w:rPr/>
        <w:t>。主要是归还部分银行短期贷款，所付利息减少。</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169,815,059.33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166,957,077.30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1.71%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124,860,790.90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114,003,172.84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9.52%</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44,954,268.43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52,953,904.46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-15.11%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5,761,354.03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3,880.00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148,388.51%</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-5,761,354.03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148,388.51%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7,151,352.85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43,356,632.31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45,933,762.96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-5.61%</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-36,205,279.46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-45,933,762.96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2,987,634.94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7,016,261.50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-57.42%</w:t>
            </w:r>
          </w:p>
        </w:tc>
      </w:tr>
    </w:tbl>
    <w:p>
      <w:pPr>
        <w:pStyle w:val="BodyText"/>
        <w:spacing w:line="240" w:lineRule="auto" w:before="49"/>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spacing w:after="0" w:line="24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340" w:lineRule="auto" w:before="44"/>
        <w:ind w:right="23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投资活动现金流量发生比较大的变化是公司从大股东手中收购了四川绵阳亿嘉合投资有限公司</w:t>
      </w:r>
      <w:r>
        <w:rPr>
          <w:rFonts w:ascii="Times New Roman" w:hAnsi="Times New Roman" w:cs="Times New Roman" w:eastAsia="Times New Roman" w:hint="default"/>
        </w:rPr>
        <w:t>51%</w:t>
      </w:r>
      <w:r>
        <w:rPr/>
        <w:t>的股权。 报告期内公司经营活动的现金流量与本年度净利润存在重大差异的原因说明</w:t>
      </w:r>
    </w:p>
    <w:p>
      <w:pPr>
        <w:pStyle w:val="BodyText"/>
        <w:spacing w:line="240" w:lineRule="auto" w:before="39"/>
        <w:ind w:right="0"/>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三、主营业务构成情况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5"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168,435,591.26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122,992,243.06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济宁海情丽都多 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420,938.00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235,103.13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-57.23%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-30.16%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济宁海情丽都西 侧高层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37,977,368.44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25,867,197.27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-71.93%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济宁海情丽都东 侧高层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32,336,051.00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19,191,365.02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泗水海情圣地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36,834,706.20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32,839,034.11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18.25%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
              <w:jc w:val="left"/>
              <w:rPr>
                <w:rFonts w:ascii="宋体" w:hAnsi="宋体" w:cs="宋体" w:eastAsia="宋体" w:hint="default"/>
                <w:sz w:val="18"/>
                <w:szCs w:val="18"/>
              </w:rPr>
            </w:pPr>
            <w:r>
              <w:rPr>
                <w:rFonts w:ascii="宋体" w:hAnsi="宋体" w:cs="宋体" w:eastAsia="宋体" w:hint="default"/>
                <w:sz w:val="18"/>
                <w:szCs w:val="18"/>
              </w:rPr>
              <w:t>青岛石雀滩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A1</w:t>
            </w:r>
            <w:r>
              <w:rPr>
                <w:rFonts w:ascii="宋体" w:hAnsi="宋体" w:cs="宋体" w:eastAsia="宋体" w:hint="default"/>
                <w:sz w:val="18"/>
                <w:szCs w:val="18"/>
              </w:rPr>
              <w:t>、 </w:t>
            </w:r>
            <w:r>
              <w:rPr>
                <w:rFonts w:ascii="Times New Roman" w:hAnsi="Times New Roman" w:cs="Times New Roman" w:eastAsia="Times New Roman" w:hint="default"/>
                <w:sz w:val="18"/>
                <w:szCs w:val="18"/>
              </w:rPr>
              <w:t>A2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多层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60,866,527.62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44,859,543.53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钢材销售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168,435,591.26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122,992,243.06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168,435,591.26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122,992,243.06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168,435,591.26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122,992,243.06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0"/>
        <w:jc w:val="left"/>
      </w:pPr>
      <w:r>
        <w:rPr/>
        <w:t>□ 适用 √</w:t>
      </w:r>
      <w:r>
        <w:rPr>
          <w:spacing w:val="3"/>
        </w:rPr>
        <w:t> </w:t>
      </w:r>
      <w:r>
        <w:rPr/>
        <w:t>不适用</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460.320007pt;margin-top:71.451721pt;width:135pt;height:77pt;mso-position-horizontal-relative:page;mso-position-vertical-relative:paragraph;z-index:-630592" coordorigin="9206,1429" coordsize="2700,1540">
            <v:shape style="position:absolute;left:9206;top:1429;width:2700;height:1540" type="#_x0000_t75" stroked="false">
              <v:imagedata r:id="rId14" o:title=""/>
            </v:shape>
            <v:shape style="position:absolute;left:10593;top:178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w:t>
                    </w:r>
                  </w:p>
                </w:txbxContent>
              </v:textbox>
              <w10:wrap type="none"/>
            </v:shape>
            <w10:wrap type="none"/>
          </v:group>
        </w:pict>
      </w: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164"/>
        <w:gridCol w:w="1064"/>
        <w:gridCol w:w="1193"/>
        <w:gridCol w:w="1064"/>
        <w:gridCol w:w="799"/>
        <w:gridCol w:w="2919"/>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84" w:right="72"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bl>
    <w:p>
      <w:pPr>
        <w:spacing w:after="0"/>
        <w:sectPr>
          <w:headerReference w:type="default" r:id="rId16"/>
          <w:footerReference w:type="default" r:id="rId17"/>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164"/>
        <w:gridCol w:w="1064"/>
        <w:gridCol w:w="1193"/>
        <w:gridCol w:w="1064"/>
        <w:gridCol w:w="799"/>
        <w:gridCol w:w="2919"/>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19,082,950.92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18,448,741.58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615,575,693.6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511,920,367.26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83.9%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125,875.00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151,018.06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0.02%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70"/>
        <w:gridCol w:w="1163"/>
        <w:gridCol w:w="1064"/>
        <w:gridCol w:w="1193"/>
        <w:gridCol w:w="1064"/>
        <w:gridCol w:w="799"/>
        <w:gridCol w:w="2919"/>
      </w:tblGrid>
      <w:tr>
        <w:trPr>
          <w:trHeight w:val="206" w:hRule="exact"/>
        </w:trPr>
        <w:tc>
          <w:tcPr>
            <w:tcW w:w="1370"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4" w:hRule="exact"/>
        </w:trPr>
        <w:tc>
          <w:tcPr>
            <w:tcW w:w="1370" w:type="dxa"/>
            <w:vMerge/>
            <w:tcBorders>
              <w:left w:val="single" w:sz="4" w:space="0" w:color="000000"/>
              <w:bottom w:val="nil" w:sz="6" w:space="0" w:color="auto"/>
              <w:right w:val="single" w:sz="4" w:space="0" w:color="000000"/>
            </w:tcBorders>
            <w:shd w:val="clear" w:color="auto" w:fill="D2D2D2"/>
          </w:tcPr>
          <w:p>
            <w:pPr/>
          </w:p>
        </w:tc>
        <w:tc>
          <w:tcPr>
            <w:tcW w:w="2227" w:type="dxa"/>
            <w:gridSpan w:val="2"/>
            <w:vMerge/>
            <w:tcBorders>
              <w:left w:val="single" w:sz="4" w:space="0" w:color="000000"/>
              <w:bottom w:val="single" w:sz="4" w:space="0" w:color="000000"/>
              <w:right w:val="single" w:sz="4" w:space="0" w:color="000000"/>
            </w:tcBorders>
            <w:shd w:val="clear" w:color="auto" w:fill="D2D2D2"/>
          </w:tcPr>
          <w:p>
            <w:pPr/>
          </w:p>
        </w:tc>
        <w:tc>
          <w:tcPr>
            <w:tcW w:w="2256" w:type="dxa"/>
            <w:gridSpan w:val="2"/>
            <w:vMerge/>
            <w:tcBorders>
              <w:left w:val="single" w:sz="4" w:space="0" w:color="000000"/>
              <w:bottom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370" w:type="dxa"/>
            <w:vMerge w:val="restart"/>
            <w:tcBorders>
              <w:top w:val="nil" w:sz="6" w:space="0" w:color="auto"/>
              <w:left w:val="single" w:sz="4" w:space="0" w:color="000000"/>
              <w:right w:val="single" w:sz="4" w:space="0" w:color="000000"/>
            </w:tcBorders>
            <w:shd w:val="clear" w:color="auto" w:fill="D2D2D2"/>
          </w:tcPr>
          <w:p>
            <w:pPr/>
          </w:p>
        </w:tc>
        <w:tc>
          <w:tcPr>
            <w:tcW w:w="11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1"/>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1"/>
              <w:ind w:left="184" w:right="72"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3" w:hRule="exact"/>
        </w:trPr>
        <w:tc>
          <w:tcPr>
            <w:tcW w:w="1370" w:type="dxa"/>
            <w:vMerge/>
            <w:tcBorders>
              <w:left w:val="single" w:sz="4" w:space="0" w:color="000000"/>
              <w:bottom w:val="nil" w:sz="6" w:space="0" w:color="auto"/>
              <w:right w:val="single" w:sz="4" w:space="0" w:color="000000"/>
            </w:tcBorders>
            <w:shd w:val="clear" w:color="auto" w:fill="D2D2D2"/>
          </w:tcPr>
          <w:p>
            <w:pPr/>
          </w:p>
        </w:tc>
        <w:tc>
          <w:tcPr>
            <w:tcW w:w="11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1370" w:type="dxa"/>
            <w:vMerge w:val="restart"/>
            <w:tcBorders>
              <w:top w:val="nil" w:sz="6" w:space="0" w:color="auto"/>
              <w:left w:val="single" w:sz="4" w:space="0" w:color="000000"/>
              <w:right w:val="single" w:sz="4" w:space="0" w:color="000000"/>
            </w:tcBorders>
            <w:shd w:val="clear" w:color="auto" w:fill="D2D2D2"/>
          </w:tcPr>
          <w:p>
            <w:pPr/>
          </w:p>
        </w:tc>
        <w:tc>
          <w:tcPr>
            <w:tcW w:w="11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1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3"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3"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、主要子公司、参股公司分析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主要子公司、参股公司情况</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60"/>
        <w:gridCol w:w="955"/>
        <w:gridCol w:w="958"/>
        <w:gridCol w:w="955"/>
        <w:gridCol w:w="958"/>
        <w:gridCol w:w="958"/>
        <w:gridCol w:w="955"/>
        <w:gridCol w:w="958"/>
        <w:gridCol w:w="958"/>
        <w:gridCol w:w="958"/>
      </w:tblGrid>
      <w:tr>
        <w:trPr>
          <w:trHeight w:val="713"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2" w:right="19" w:hanging="269"/>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both"/>
              <w:rPr>
                <w:rFonts w:ascii="宋体" w:hAnsi="宋体" w:cs="宋体" w:eastAsia="宋体" w:hint="default"/>
                <w:sz w:val="18"/>
                <w:szCs w:val="18"/>
              </w:rPr>
            </w:pPr>
            <w:r>
              <w:rPr>
                <w:rFonts w:ascii="宋体" w:hAnsi="宋体" w:cs="宋体" w:eastAsia="宋体" w:hint="default"/>
                <w:sz w:val="18"/>
                <w:szCs w:val="18"/>
              </w:rPr>
              <w:t>青岛广顺房 地产有限公 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207,653,139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61,880,560.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60,866,527.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10,320,535.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3,937,243.1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r>
      <w:tr>
        <w:trPr>
          <w:trHeight w:val="71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济宁海情置 业有限公司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615,060,116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278,617,761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70,734,357.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10,114,430.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6,322,798.0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71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济宁海情贸 易有限公司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钢材等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16,026,133.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11,869,717.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-10,699.90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-16,482.43</w:t>
            </w:r>
          </w:p>
        </w:tc>
      </w:tr>
      <w:tr>
        <w:trPr>
          <w:trHeight w:val="71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潍坊亚通置 业有限公司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20,001,965.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19,990,867.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-3,178.40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-3,178.40</w:t>
            </w:r>
          </w:p>
        </w:tc>
      </w:tr>
      <w:tr>
        <w:trPr>
          <w:trHeight w:val="102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4"/>
              <w:jc w:val="both"/>
              <w:rPr>
                <w:rFonts w:ascii="宋体" w:hAnsi="宋体" w:cs="宋体" w:eastAsia="宋体" w:hint="default"/>
                <w:sz w:val="18"/>
                <w:szCs w:val="18"/>
              </w:rPr>
            </w:pPr>
            <w:r>
              <w:rPr>
                <w:rFonts w:ascii="宋体" w:hAnsi="宋体" w:cs="宋体" w:eastAsia="宋体" w:hint="default"/>
                <w:sz w:val="18"/>
                <w:szCs w:val="18"/>
              </w:rPr>
              <w:t>绵阳亿嘉合 投资有限公 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2"/>
              <w:jc w:val="left"/>
              <w:rPr>
                <w:rFonts w:ascii="宋体" w:hAnsi="宋体" w:cs="宋体" w:eastAsia="宋体" w:hint="default"/>
                <w:sz w:val="18"/>
                <w:szCs w:val="18"/>
              </w:rPr>
            </w:pPr>
            <w:r>
              <w:rPr>
                <w:rFonts w:ascii="宋体" w:hAnsi="宋体" w:cs="宋体" w:eastAsia="宋体" w:hint="default"/>
                <w:sz w:val="18"/>
                <w:szCs w:val="18"/>
              </w:rPr>
              <w:t>投资、房地 产开发</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28,647,184.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6,393,229.8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-349,535.54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-346,835.54</w:t>
            </w:r>
          </w:p>
        </w:tc>
      </w:tr>
    </w:tbl>
    <w:p>
      <w:pPr>
        <w:pStyle w:val="BodyText"/>
        <w:spacing w:line="357" w:lineRule="auto" w:before="49"/>
        <w:ind w:right="1574"/>
        <w:jc w:val="left"/>
      </w:pPr>
      <w:r>
        <w:rPr/>
        <w:t>主要子公司、参股公司情况说明 青岛广顺房地产有限公司</w:t>
      </w:r>
      <w:r>
        <w:rPr>
          <w:rFonts w:ascii="Times New Roman" w:hAnsi="Times New Roman" w:cs="Times New Roman" w:eastAsia="Times New Roman" w:hint="default"/>
        </w:rPr>
        <w:t>2012</w:t>
      </w:r>
      <w:r>
        <w:rPr/>
        <w:t>年度所属项目未达确认收入条件，收入为</w:t>
      </w:r>
      <w:r>
        <w:rPr>
          <w:rFonts w:ascii="Times New Roman" w:hAnsi="Times New Roman" w:cs="Times New Roman" w:eastAsia="Times New Roman" w:hint="default"/>
        </w:rPr>
        <w:t>0</w:t>
      </w:r>
      <w:r>
        <w:rPr/>
        <w:t>，因此亏损</w:t>
      </w:r>
      <w:r>
        <w:rPr>
          <w:rFonts w:ascii="Times New Roman" w:hAnsi="Times New Roman" w:cs="Times New Roman" w:eastAsia="Times New Roman" w:hint="default"/>
        </w:rPr>
        <w:t>854,088.62</w:t>
      </w:r>
      <w:r>
        <w:rPr/>
        <w:t>元，</w:t>
      </w:r>
      <w:r>
        <w:rPr>
          <w:rFonts w:ascii="Times New Roman" w:hAnsi="Times New Roman" w:cs="Times New Roman" w:eastAsia="Times New Roman" w:hint="default"/>
        </w:rPr>
        <w:t>2013</w:t>
      </w:r>
      <w:r>
        <w:rPr/>
        <w:t>年度确认收入</w:t>
      </w:r>
    </w:p>
    <w:p>
      <w:pPr>
        <w:spacing w:line="226" w:lineRule="exact"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sz w:val="18"/>
          <w:szCs w:val="18"/>
        </w:rPr>
        <w:t>60,866,527.62</w:t>
      </w:r>
      <w:r>
        <w:rPr>
          <w:rFonts w:ascii="宋体" w:hAnsi="宋体" w:cs="宋体" w:eastAsia="宋体" w:hint="default"/>
          <w:sz w:val="18"/>
          <w:szCs w:val="18"/>
        </w:rPr>
        <w:t>元，实现净利润</w:t>
      </w:r>
      <w:r>
        <w:rPr>
          <w:rFonts w:ascii="Times New Roman" w:hAnsi="Times New Roman" w:cs="Times New Roman" w:eastAsia="Times New Roman" w:hint="default"/>
          <w:sz w:val="18"/>
          <w:szCs w:val="18"/>
        </w:rPr>
        <w:t>3,937,243.11</w:t>
      </w:r>
      <w:r>
        <w:rPr>
          <w:rFonts w:ascii="宋体" w:hAnsi="宋体" w:cs="宋体" w:eastAsia="宋体" w:hint="default"/>
          <w:sz w:val="18"/>
          <w:szCs w:val="18"/>
        </w:rPr>
        <w:t>元；济宁海情置业有限公司确认收入</w:t>
      </w:r>
      <w:r>
        <w:rPr>
          <w:rFonts w:ascii="Times New Roman" w:hAnsi="Times New Roman" w:cs="Times New Roman" w:eastAsia="Times New Roman" w:hint="default"/>
          <w:sz w:val="20"/>
          <w:szCs w:val="20"/>
        </w:rPr>
        <w:t>138,588,337.00</w:t>
      </w:r>
      <w:r>
        <w:rPr>
          <w:rFonts w:ascii="宋体" w:hAnsi="宋体" w:cs="宋体" w:eastAsia="宋体" w:hint="default"/>
          <w:sz w:val="20"/>
          <w:szCs w:val="20"/>
        </w:rPr>
        <w:t>元，实现净利润</w:t>
      </w:r>
    </w:p>
    <w:p>
      <w:pPr>
        <w:spacing w:line="271" w:lineRule="auto" w:before="35"/>
        <w:ind w:left="152" w:right="1124" w:firstLine="0"/>
        <w:jc w:val="left"/>
        <w:rPr>
          <w:rFonts w:ascii="宋体" w:hAnsi="宋体" w:cs="宋体" w:eastAsia="宋体" w:hint="default"/>
          <w:sz w:val="20"/>
          <w:szCs w:val="20"/>
        </w:rPr>
      </w:pPr>
      <w:r>
        <w:rPr/>
        <w:pict>
          <v:group style="position:absolute;margin-left:460.320007pt;margin-top:30.533684pt;width:135pt;height:77pt;mso-position-horizontal-relative:page;mso-position-vertical-relative:paragraph;z-index:-630544" coordorigin="9206,611" coordsize="2700,1540">
            <v:shape style="position:absolute;left:9206;top:611;width:2700;height:1540" type="#_x0000_t75" stroked="false">
              <v:imagedata r:id="rId14" o:title=""/>
            </v:shape>
            <v:shape style="position:absolute;left:10593;top:971;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15</w:t>
                    </w:r>
                  </w:p>
                </w:txbxContent>
              </v:textbox>
              <w10:wrap type="none"/>
            </v:shape>
            <w10:wrap type="none"/>
          </v:group>
        </w:pict>
      </w:r>
      <w:r>
        <w:rPr>
          <w:rFonts w:ascii="Times New Roman" w:hAnsi="Times New Roman" w:cs="Times New Roman" w:eastAsia="Times New Roman" w:hint="default"/>
          <w:sz w:val="20"/>
          <w:szCs w:val="20"/>
        </w:rPr>
        <w:t>26,928,781.82</w:t>
      </w:r>
      <w:r>
        <w:rPr>
          <w:rFonts w:ascii="宋体" w:hAnsi="宋体" w:cs="宋体" w:eastAsia="宋体" w:hint="default"/>
          <w:sz w:val="20"/>
          <w:szCs w:val="20"/>
        </w:rPr>
        <w:t>元，</w:t>
      </w:r>
      <w:r>
        <w:rPr>
          <w:rFonts w:ascii="Times New Roman" w:hAnsi="Times New Roman" w:cs="Times New Roman" w:eastAsia="Times New Roman" w:hint="default"/>
          <w:sz w:val="20"/>
          <w:szCs w:val="20"/>
        </w:rPr>
        <w:t>2013</w:t>
      </w:r>
      <w:r>
        <w:rPr>
          <w:rFonts w:ascii="宋体" w:hAnsi="宋体" w:cs="宋体" w:eastAsia="宋体" w:hint="default"/>
          <w:sz w:val="20"/>
          <w:szCs w:val="20"/>
        </w:rPr>
        <w:t>年度确认收入</w:t>
      </w:r>
      <w:r>
        <w:rPr>
          <w:rFonts w:ascii="Times New Roman" w:hAnsi="Times New Roman" w:cs="Times New Roman" w:eastAsia="Times New Roman" w:hint="default"/>
          <w:sz w:val="18"/>
          <w:szCs w:val="18"/>
        </w:rPr>
        <w:t>70,734,357.44</w:t>
      </w:r>
      <w:r>
        <w:rPr>
          <w:rFonts w:ascii="宋体" w:hAnsi="宋体" w:cs="宋体" w:eastAsia="宋体" w:hint="default"/>
          <w:sz w:val="18"/>
          <w:szCs w:val="18"/>
        </w:rPr>
        <w:t>元，实现净利润</w:t>
      </w:r>
      <w:r>
        <w:rPr>
          <w:rFonts w:ascii="Times New Roman" w:hAnsi="Times New Roman" w:cs="Times New Roman" w:eastAsia="Times New Roman" w:hint="default"/>
          <w:sz w:val="18"/>
          <w:szCs w:val="18"/>
        </w:rPr>
        <w:t>6,322,798.05</w:t>
      </w:r>
      <w:r>
        <w:rPr>
          <w:rFonts w:ascii="宋体" w:hAnsi="宋体" w:cs="宋体" w:eastAsia="宋体" w:hint="default"/>
          <w:sz w:val="18"/>
          <w:szCs w:val="18"/>
        </w:rPr>
        <w:t>元；济宁海情贸易有限公司</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年度确认 钢材收入</w:t>
      </w:r>
      <w:r>
        <w:rPr>
          <w:rFonts w:ascii="Times New Roman" w:hAnsi="Times New Roman" w:cs="Times New Roman" w:eastAsia="Times New Roman" w:hint="default"/>
          <w:sz w:val="20"/>
          <w:szCs w:val="20"/>
        </w:rPr>
        <w:t>47,138,700.25</w:t>
      </w:r>
      <w:r>
        <w:rPr>
          <w:rFonts w:ascii="宋体" w:hAnsi="宋体" w:cs="宋体" w:eastAsia="宋体" w:hint="default"/>
          <w:sz w:val="20"/>
          <w:szCs w:val="20"/>
        </w:rPr>
        <w:t>元，实现净利润</w:t>
      </w:r>
      <w:r>
        <w:rPr>
          <w:rFonts w:ascii="Times New Roman" w:hAnsi="Times New Roman" w:cs="Times New Roman" w:eastAsia="Times New Roman" w:hint="default"/>
          <w:sz w:val="20"/>
          <w:szCs w:val="20"/>
        </w:rPr>
        <w:t>1,746,120.66</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元，</w:t>
      </w:r>
      <w:r>
        <w:rPr>
          <w:rFonts w:ascii="Times New Roman" w:hAnsi="Times New Roman" w:cs="Times New Roman" w:eastAsia="Times New Roman" w:hint="default"/>
          <w:sz w:val="20"/>
          <w:szCs w:val="20"/>
        </w:rPr>
        <w:t>2013</w:t>
      </w:r>
      <w:r>
        <w:rPr>
          <w:rFonts w:ascii="宋体" w:hAnsi="宋体" w:cs="宋体" w:eastAsia="宋体" w:hint="default"/>
          <w:sz w:val="20"/>
          <w:szCs w:val="20"/>
        </w:rPr>
        <w:t>年度由于终止了贸易活动，没有实现收入，亏损</w:t>
      </w:r>
    </w:p>
    <w:p>
      <w:pPr>
        <w:spacing w:after="0" w:line="271" w:lineRule="auto"/>
        <w:jc w:val="left"/>
        <w:rPr>
          <w:rFonts w:ascii="宋体" w:hAnsi="宋体" w:cs="宋体" w:eastAsia="宋体" w:hint="default"/>
          <w:sz w:val="20"/>
          <w:szCs w:val="20"/>
        </w:rPr>
        <w:sectPr>
          <w:headerReference w:type="default" r:id="rId18"/>
          <w:footerReference w:type="default" r:id="rId19"/>
          <w:pgSz w:w="11910" w:h="16840"/>
          <w:pgMar w:header="877" w:footer="0" w:top="1060" w:bottom="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16,482.43</w:t>
      </w:r>
      <w:r>
        <w:rPr/>
        <w:t>元。</w:t>
      </w:r>
    </w:p>
    <w:p>
      <w:pPr>
        <w:pStyle w:val="BodyText"/>
        <w:spacing w:line="240" w:lineRule="auto" w:before="104"/>
        <w:ind w:right="0"/>
        <w:jc w:val="left"/>
      </w:pPr>
      <w:r>
        <w:rPr/>
        <w:t>报告期内取得和处置子公司的情况</w:t>
      </w:r>
    </w:p>
    <w:p>
      <w:pPr>
        <w:pStyle w:val="BodyText"/>
        <w:spacing w:line="240" w:lineRule="auto" w:before="115"/>
        <w:ind w:right="0"/>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0" w:hanging="901"/>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绵阳亿嘉合投资有限公司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提升以后区域合作能力</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评估价格，现金交易</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对本年利润影响数为</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-200,074.55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六、公司未来发展的展望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、公司所处行业的发展趋势及面临的竞争格局</w:t>
      </w:r>
    </w:p>
    <w:p>
      <w:pPr>
        <w:pStyle w:val="BodyText"/>
        <w:spacing w:line="314" w:lineRule="auto" w:before="63"/>
        <w:ind w:right="1054"/>
        <w:jc w:val="left"/>
      </w:pPr>
      <w:r>
        <w:rPr>
          <w:rFonts w:ascii="Times New Roman" w:hAnsi="Times New Roman" w:cs="Times New Roman" w:eastAsia="Times New Roman" w:hint="default"/>
          <w:spacing w:val="-2"/>
        </w:rPr>
        <w:t>2013</w:t>
      </w:r>
      <w:r>
        <w:rPr>
          <w:spacing w:val="-2"/>
        </w:rPr>
        <w:t>年国家继续实施房地产宏观调控政策，房地产市场分化更为显著。调控政策因地制宜、分类施策，投机客逐步减少，刚</w:t>
      </w:r>
      <w:r>
        <w:rPr>
          <w:spacing w:val="-65"/>
        </w:rPr>
        <w:t> </w:t>
      </w:r>
      <w:r>
        <w:rPr>
          <w:spacing w:val="-65"/>
        </w:rPr>
      </w:r>
      <w:r>
        <w:rPr>
          <w:spacing w:val="-2"/>
        </w:rPr>
        <w:t>需客形成细分，一线城市土地稀缺、区位价值突显，二三线城市冷热不均、部分存在供应过剩风险，房企梯队差距拉大，竞</w:t>
      </w:r>
      <w:r>
        <w:rPr>
          <w:spacing w:val="-69"/>
        </w:rPr>
        <w:t> </w:t>
      </w:r>
      <w:r>
        <w:rPr>
          <w:spacing w:val="-69"/>
        </w:rPr>
      </w:r>
      <w:r>
        <w:rPr/>
        <w:t>争格局日趋加剧。 </w:t>
      </w:r>
      <w:r>
        <w:rPr>
          <w:spacing w:val="-2"/>
        </w:rPr>
        <w:t>公司目前收入来源来自于子公司青岛广顺房地产有限公司、济宁海情置业有限公司及泗水海情置业有限公司三个房地产项目</w:t>
      </w:r>
      <w:r>
        <w:rPr>
          <w:spacing w:val="-64"/>
        </w:rPr>
        <w:t> </w:t>
      </w:r>
      <w:r>
        <w:rPr>
          <w:spacing w:val="-64"/>
        </w:rPr>
      </w:r>
      <w:r>
        <w:rPr>
          <w:spacing w:val="-2"/>
        </w:rPr>
        <w:t>公司。项目公司所开发和在售房地产项目分别位于青岛市黄岛区、兖州西部城区和泗水行政商务新区，三地市场竞争情况各</w:t>
      </w:r>
      <w:r>
        <w:rPr>
          <w:spacing w:val="-63"/>
        </w:rPr>
        <w:t> </w:t>
      </w:r>
      <w:r>
        <w:rPr>
          <w:spacing w:val="-63"/>
        </w:rPr>
      </w:r>
      <w:r>
        <w:rPr/>
        <w:t>不相同、差异明显。 </w:t>
      </w:r>
      <w:r>
        <w:rPr>
          <w:spacing w:val="-2"/>
        </w:rPr>
        <w:t>青岛是我国主要二线城市之一，国家计划单列市和副省级城市，也是我国著名的风景旅游胜地和国家历史文化名城，舒适的</w:t>
      </w:r>
      <w:r>
        <w:rPr>
          <w:spacing w:val="-63"/>
        </w:rPr>
        <w:t> </w:t>
      </w:r>
      <w:r>
        <w:rPr>
          <w:spacing w:val="-63"/>
        </w:rPr>
      </w:r>
      <w:r>
        <w:rPr>
          <w:spacing w:val="-2"/>
        </w:rPr>
        <w:t>居住环境和不断发展的经济水平使得青岛成为我国房地产发展较早较快的城市，其房地产行业的竞争也较为充分。伴随国家</w:t>
      </w:r>
      <w:r>
        <w:rPr>
          <w:spacing w:val="-63"/>
        </w:rPr>
        <w:t> </w:t>
      </w:r>
      <w:r>
        <w:rPr>
          <w:spacing w:val="-63"/>
        </w:rPr>
      </w:r>
      <w:r>
        <w:rPr/>
        <w:t>对房地产市场调控执行措施的频频出台，特别是青岛</w:t>
      </w:r>
      <w:r>
        <w:rPr>
          <w:rFonts w:ascii="Times New Roman" w:hAnsi="Times New Roman" w:cs="Times New Roman" w:eastAsia="Times New Roman" w:hint="default"/>
        </w:rPr>
        <w:t>“</w:t>
      </w:r>
      <w:r>
        <w:rPr/>
        <w:t>限购政策</w:t>
      </w:r>
      <w:r>
        <w:rPr>
          <w:rFonts w:ascii="Times New Roman" w:hAnsi="Times New Roman" w:cs="Times New Roman" w:eastAsia="Times New Roman" w:hint="default"/>
        </w:rPr>
        <w:t>”</w:t>
      </w:r>
      <w:r>
        <w:rPr/>
        <w:t>的严格实施，青岛房地产市场景气度也受到了很大的影响， </w:t>
      </w:r>
      <w:r>
        <w:rPr>
          <w:spacing w:val="-2"/>
        </w:rPr>
        <w:t>黄岛区作为青岛市的非主城区，区内房地产销售规模均有所下滑，销售业绩也受到了一定影响。由于经济发展、居民收入水</w:t>
      </w:r>
      <w:r>
        <w:rPr>
          <w:spacing w:val="-64"/>
        </w:rPr>
        <w:t> </w:t>
      </w:r>
      <w:r>
        <w:rPr>
          <w:spacing w:val="-64"/>
        </w:rPr>
      </w:r>
      <w:r>
        <w:rPr/>
        <w:t>平以及地理位置等关系，相对于青岛而言，兖州、泗水的房地产市场发育程度较低。</w:t>
      </w:r>
    </w:p>
    <w:p>
      <w:pPr>
        <w:pStyle w:val="BodyText"/>
        <w:spacing w:line="240" w:lineRule="auto" w:before="20"/>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年度经营规划</w:t>
      </w:r>
    </w:p>
    <w:p>
      <w:pPr>
        <w:pStyle w:val="BodyText"/>
        <w:spacing w:line="314" w:lineRule="auto" w:before="63"/>
        <w:ind w:right="1119"/>
        <w:jc w:val="left"/>
      </w:pPr>
      <w:r>
        <w:rPr>
          <w:rFonts w:ascii="Times New Roman" w:hAnsi="Times New Roman" w:cs="Times New Roman" w:eastAsia="Times New Roman" w:hint="default"/>
          <w:spacing w:val="-2"/>
        </w:rPr>
        <w:t>2014</w:t>
      </w:r>
      <w:r>
        <w:rPr>
          <w:spacing w:val="-2"/>
        </w:rPr>
        <w:t>年，公司将坚持</w:t>
      </w:r>
      <w:r>
        <w:rPr>
          <w:rFonts w:ascii="Times New Roman" w:hAnsi="Times New Roman" w:cs="Times New Roman" w:eastAsia="Times New Roman" w:hint="default"/>
          <w:spacing w:val="-2"/>
        </w:rPr>
        <w:t>“</w:t>
      </w:r>
      <w:r>
        <w:rPr>
          <w:spacing w:val="-2"/>
        </w:rPr>
        <w:t>立足市场、稳健持续经营、增强发展后劲</w:t>
      </w:r>
      <w:r>
        <w:rPr>
          <w:rFonts w:ascii="Times New Roman" w:hAnsi="Times New Roman" w:cs="Times New Roman" w:eastAsia="Times New Roman" w:hint="default"/>
          <w:spacing w:val="-2"/>
        </w:rPr>
        <w:t>”</w:t>
      </w:r>
      <w:r>
        <w:rPr>
          <w:spacing w:val="-2"/>
        </w:rPr>
        <w:t>的基本原则，积极应对政策与市场变化，契合国家城镇化策</w:t>
      </w:r>
      <w:r>
        <w:rPr>
          <w:spacing w:val="-45"/>
        </w:rPr>
        <w:t> </w:t>
      </w:r>
      <w:r>
        <w:rPr>
          <w:spacing w:val="-45"/>
        </w:rPr>
      </w:r>
      <w:r>
        <w:rPr>
          <w:spacing w:val="-2"/>
        </w:rPr>
        <w:t>略，加强客户关系管理、优化管控流程、创新营销方式，促进公司主营业务的健康发展。公司继续专注于普通住宅市场的开</w:t>
      </w:r>
      <w:r>
        <w:rPr>
          <w:spacing w:val="-67"/>
        </w:rPr>
        <w:t> </w:t>
      </w:r>
      <w:r>
        <w:rPr>
          <w:spacing w:val="-67"/>
        </w:rPr>
      </w:r>
      <w:r>
        <w:rPr/>
        <w:t>发经营。 </w:t>
      </w:r>
      <w:r>
        <w:rPr>
          <w:spacing w:val="-2"/>
        </w:rPr>
        <w:t>在上述思想指导下，公司详细梳理并均衡调整了产品结构、区域分布等情况，对各项目所在城市的供需进行合理判断，结合</w:t>
      </w:r>
      <w:r>
        <w:rPr>
          <w:spacing w:val="-65"/>
        </w:rPr>
        <w:t> </w:t>
      </w:r>
      <w:r>
        <w:rPr>
          <w:spacing w:val="-65"/>
        </w:rPr>
      </w:r>
      <w:r>
        <w:rPr>
          <w:spacing w:val="-2"/>
        </w:rPr>
        <w:t>对公司经营管理能力的充分估计，制定了基于现金流管理的动态经营计划。既有在良好市场形势下的积极安排，也有行业出</w:t>
      </w:r>
      <w:r>
        <w:rPr>
          <w:spacing w:val="-63"/>
        </w:rPr>
        <w:t> </w:t>
      </w:r>
      <w:r>
        <w:rPr>
          <w:spacing w:val="-63"/>
        </w:rPr>
      </w:r>
      <w:r>
        <w:rPr/>
        <w:t>现较大风险时的防御策略，力争在稳健的前提下寻求可能的进取机会。</w:t>
      </w:r>
    </w:p>
    <w:p>
      <w:pPr>
        <w:pStyle w:val="BodyText"/>
        <w:spacing w:line="314" w:lineRule="auto" w:before="20"/>
        <w:ind w:right="0"/>
        <w:jc w:val="left"/>
      </w:pPr>
      <w:r>
        <w:rPr>
          <w:rFonts w:ascii="Times New Roman" w:hAnsi="Times New Roman" w:cs="Times New Roman" w:eastAsia="Times New Roman" w:hint="default"/>
        </w:rPr>
        <w:t>3</w:t>
      </w:r>
      <w:r>
        <w:rPr/>
        <w:t>、存在的经营风险和应对措施 </w:t>
      </w:r>
      <w:r>
        <w:rPr>
          <w:spacing w:val="-2"/>
        </w:rPr>
        <w:t>房地产市场的量价已处于历史高位，下行风险不断增加；土地市场激烈竞争，土地价格居高不下；部分城市库存量大，存在</w:t>
      </w:r>
      <w:r>
        <w:rPr>
          <w:spacing w:val="-67"/>
        </w:rPr>
        <w:t> </w:t>
      </w:r>
      <w:r>
        <w:rPr>
          <w:spacing w:val="-67"/>
        </w:rPr>
      </w:r>
      <w:r>
        <w:rPr>
          <w:spacing w:val="-4"/>
        </w:rPr>
        <w:t>供应过剩的风险。此外，自美联储宣布逐步退出量化宽松政策以来，市场面临流动性紧缩的考验，利率保持高位或仍将上行；</w:t>
      </w:r>
      <w:r>
        <w:rPr>
          <w:spacing w:val="-46"/>
        </w:rPr>
        <w:t> </w:t>
      </w:r>
      <w:r>
        <w:rPr>
          <w:spacing w:val="-46"/>
        </w:rPr>
      </w:r>
      <w:r>
        <w:rPr/>
        <w:t>如此的营商环境，增加了房地产开发企业资金、成本、销售等多方面的压力。 </w:t>
      </w:r>
      <w:r>
        <w:rPr>
          <w:spacing w:val="-2"/>
        </w:rPr>
        <w:t>公司立足现有项目的建设、经营，要求各项目公司实现现金收支自身平衡，滚动开发、持续发展，同时严格预算管理、继续</w:t>
      </w:r>
      <w:r>
        <w:rPr>
          <w:spacing w:val="-68"/>
        </w:rPr>
        <w:t> </w:t>
      </w:r>
      <w:r>
        <w:rPr>
          <w:spacing w:val="-68"/>
        </w:rPr>
      </w:r>
      <w:r>
        <w:rPr>
          <w:spacing w:val="-2"/>
        </w:rPr>
        <w:t>压缩费用性支付、向管理要效益，科学统筹资金，确保经营的安全性和稳健性。在稳健经营的同时，努力提高主业盈利能力</w:t>
      </w:r>
      <w:r>
        <w:rPr>
          <w:spacing w:val="-67"/>
        </w:rPr>
        <w:t> </w:t>
      </w:r>
      <w:r>
        <w:rPr>
          <w:spacing w:val="-67"/>
        </w:rPr>
      </w:r>
      <w:r>
        <w:rPr>
          <w:spacing w:val="-2"/>
        </w:rPr>
        <w:t>是公司面临的严峻挑战。公司将继续创新管理方式，突出设计和营销在房地产产品价值链中的位置，实时监控成本、强化审</w:t>
      </w:r>
      <w:r>
        <w:rPr>
          <w:spacing w:val="-64"/>
        </w:rPr>
        <w:t> </w:t>
      </w:r>
      <w:r>
        <w:rPr>
          <w:spacing w:val="-64"/>
        </w:rPr>
      </w:r>
      <w:r>
        <w:rPr/>
        <w:t>计监督，通过提高综合管控能力的方式来提高公司的盈利能力。</w:t>
      </w:r>
    </w:p>
    <w:p>
      <w:pPr>
        <w:spacing w:line="240" w:lineRule="auto" w:before="13"/>
        <w:rPr>
          <w:rFonts w:ascii="宋体" w:hAnsi="宋体" w:cs="宋体" w:eastAsia="宋体" w:hint="default"/>
          <w:sz w:val="20"/>
          <w:szCs w:val="20"/>
        </w:rPr>
      </w:pPr>
    </w:p>
    <w:p>
      <w:pPr>
        <w:pStyle w:val="Heading2"/>
        <w:spacing w:line="240" w:lineRule="auto"/>
        <w:ind w:right="0"/>
        <w:jc w:val="left"/>
        <w:rPr>
          <w:b w:val="0"/>
          <w:bCs w:val="0"/>
        </w:rPr>
      </w:pPr>
      <w:r>
        <w:rPr/>
        <w:t>七、与上年度财务报告相比，合并报表范围发生变化的情况说明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tabs>
          <w:tab w:pos="1425" w:val="left" w:leader="none"/>
          <w:tab w:pos="3165" w:val="left" w:leader="none"/>
        </w:tabs>
        <w:spacing w:line="300" w:lineRule="auto"/>
        <w:ind w:left="441" w:right="2699" w:hanging="289"/>
        <w:jc w:val="left"/>
      </w:pPr>
      <w:r>
        <w:rPr/>
        <w:t>本公司本年度完成对绵阳亿嘉合投资有限公司的收购，持有该公司</w:t>
      </w:r>
      <w:r>
        <w:rPr>
          <w:rFonts w:ascii="Times New Roman" w:hAnsi="Times New Roman" w:cs="Times New Roman" w:eastAsia="Times New Roman" w:hint="default"/>
        </w:rPr>
        <w:t>51%</w:t>
      </w:r>
      <w:r>
        <w:rPr/>
        <w:t>股权，将该公司纳入合并范围。 名称</w:t>
        <w:tab/>
        <w:t>年末净资产（元）</w:t>
        <w:tab/>
        <w:t>本年净利润</w:t>
      </w:r>
    </w:p>
    <w:p>
      <w:pPr>
        <w:pStyle w:val="BodyText"/>
        <w:tabs>
          <w:tab w:pos="3513" w:val="left" w:leader="none"/>
        </w:tabs>
        <w:spacing w:line="240" w:lineRule="auto" w:before="31"/>
        <w:ind w:right="0"/>
        <w:jc w:val="left"/>
        <w:rPr>
          <w:rFonts w:ascii="Times New Roman" w:hAnsi="Times New Roman" w:cs="Times New Roman" w:eastAsia="Times New Roman" w:hint="default"/>
        </w:rPr>
      </w:pPr>
      <w:r>
        <w:rPr/>
        <w:t>绵阳亿嘉合投资有限公司</w:t>
      </w:r>
      <w:r>
        <w:rPr>
          <w:spacing w:val="28"/>
        </w:rPr>
        <w:t> </w:t>
      </w:r>
      <w:r>
        <w:rPr>
          <w:rFonts w:ascii="Times New Roman" w:hAnsi="Times New Roman" w:cs="Times New Roman" w:eastAsia="Times New Roman" w:hint="default"/>
        </w:rPr>
        <w:t>6,193,155.30</w:t>
        <w:tab/>
        <w:t>-200,074.55</w:t>
      </w:r>
    </w:p>
    <w:p>
      <w:pPr>
        <w:pStyle w:val="BodyText"/>
        <w:spacing w:line="240" w:lineRule="auto" w:before="63"/>
        <w:ind w:right="0"/>
        <w:jc w:val="left"/>
      </w:pPr>
      <w:r>
        <w:rPr/>
        <w:pict>
          <v:group style="position:absolute;margin-left:460.320007pt;margin-top:11.565718pt;width:135pt;height:77pt;mso-position-horizontal-relative:page;mso-position-vertical-relative:paragraph;z-index:1384" coordorigin="9206,231" coordsize="2700,1540">
            <v:shape style="position:absolute;left:9206;top:231;width:2700;height:1540" type="#_x0000_t75" stroked="false">
              <v:imagedata r:id="rId14" o:title=""/>
            </v:shape>
            <v:shape style="position:absolute;left:10593;top:592;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16</w:t>
                    </w:r>
                  </w:p>
                </w:txbxContent>
              </v:textbox>
              <w10:wrap type="none"/>
            </v:shape>
            <w10:wrap type="none"/>
          </v:group>
        </w:pict>
      </w:r>
      <w:r>
        <w:rPr/>
        <w:t>该公司为本年度同一控制下企业合并取得的子公司。</w:t>
      </w:r>
    </w:p>
    <w:p>
      <w:pPr>
        <w:spacing w:after="0" w:line="240" w:lineRule="auto"/>
        <w:jc w:val="left"/>
        <w:sectPr>
          <w:headerReference w:type="default" r:id="rId20"/>
          <w:footerReference w:type="default" r:id="rId21"/>
          <w:pgSz w:w="11910" w:h="16840"/>
          <w:pgMar w:header="877" w:footer="0" w:top="1060" w:bottom="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2"/>
        <w:ind w:right="0"/>
        <w:jc w:val="left"/>
        <w:rPr>
          <w:b w:val="0"/>
          <w:bCs w:val="0"/>
        </w:rPr>
      </w:pPr>
      <w:r>
        <w:rPr/>
        <w:t>八、公司利润分配及分红派息情况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22"/>
          <w:footerReference w:type="default" r:id="rId23"/>
          <w:pgSz w:w="11910" w:h="16840"/>
          <w:pgMar w:header="877" w:footer="0" w:top="1060" w:bottom="0" w:left="980" w:right="0"/>
        </w:sectPr>
      </w:pPr>
    </w:p>
    <w:p>
      <w:pPr>
        <w:pStyle w:val="BodyText"/>
        <w:spacing w:line="240" w:lineRule="auto" w:before="44"/>
        <w:ind w:right="-17"/>
        <w:jc w:val="left"/>
      </w:pPr>
      <w:r>
        <w:rPr/>
        <w:t>报告期内利润分配政策特别是现金分红政策的制定、执行或调整情况</w:t>
      </w:r>
    </w:p>
    <w:p>
      <w:pPr>
        <w:pStyle w:val="BodyText"/>
        <w:spacing w:line="240" w:lineRule="auto" w:before="115"/>
        <w:ind w:right="-17"/>
        <w:jc w:val="left"/>
      </w:pPr>
      <w:r>
        <w:rPr/>
        <w:t>□ 适用 √</w:t>
      </w:r>
      <w:r>
        <w:rPr>
          <w:spacing w:val="3"/>
        </w:rPr>
        <w:t> </w:t>
      </w:r>
      <w:r>
        <w:rPr/>
        <w:t>不适用</w:t>
      </w:r>
    </w:p>
    <w:p>
      <w:pPr>
        <w:pStyle w:val="BodyText"/>
        <w:spacing w:line="240" w:lineRule="auto" w:before="117"/>
        <w:ind w:right="-17"/>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年（含报告期）的利润分配预案或方案及资本公积金转增股本预案或方案情况</w:t>
      </w:r>
    </w:p>
    <w:p>
      <w:pPr>
        <w:pStyle w:val="BodyText"/>
        <w:spacing w:line="240" w:lineRule="auto" w:before="103"/>
        <w:ind w:right="-17"/>
        <w:jc w:val="left"/>
      </w:pPr>
      <w:r>
        <w:rPr>
          <w:rFonts w:ascii="Times New Roman" w:hAnsi="Times New Roman" w:cs="Times New Roman" w:eastAsia="Times New Roman" w:hint="default"/>
        </w:rPr>
        <w:t>2013  </w:t>
      </w:r>
      <w:r>
        <w:rPr/>
        <w:t>年</w:t>
      </w:r>
      <w:r>
        <w:rPr>
          <w:spacing w:val="-38"/>
        </w:rPr>
        <w:t> </w:t>
      </w:r>
      <w:r>
        <w:rPr/>
        <w:t>不进行利润分配，也不以资本公积金转增股本。</w:t>
      </w:r>
    </w:p>
    <w:p>
      <w:pPr>
        <w:pStyle w:val="BodyText"/>
        <w:spacing w:line="240" w:lineRule="auto" w:before="63"/>
        <w:ind w:right="-17"/>
        <w:jc w:val="left"/>
      </w:pPr>
      <w:r>
        <w:rPr>
          <w:rFonts w:ascii="Times New Roman" w:hAnsi="Times New Roman" w:cs="Times New Roman" w:eastAsia="Times New Roman" w:hint="default"/>
        </w:rPr>
        <w:t>2012  </w:t>
      </w:r>
      <w:r>
        <w:rPr/>
        <w:t>年</w:t>
      </w:r>
      <w:r>
        <w:rPr>
          <w:spacing w:val="-38"/>
        </w:rPr>
        <w:t> </w:t>
      </w:r>
      <w:r>
        <w:rPr/>
        <w:t>不进行利润分配，也不以资本公积金转增股本。</w:t>
      </w:r>
    </w:p>
    <w:p>
      <w:pPr>
        <w:pStyle w:val="BodyText"/>
        <w:spacing w:line="340" w:lineRule="auto" w:before="63"/>
        <w:ind w:right="284"/>
        <w:jc w:val="left"/>
      </w:pPr>
      <w:r>
        <w:rPr>
          <w:rFonts w:ascii="Times New Roman" w:hAnsi="Times New Roman" w:cs="Times New Roman" w:eastAsia="Times New Roman" w:hint="default"/>
        </w:rPr>
        <w:t>2011 </w:t>
      </w:r>
      <w:r>
        <w:rPr/>
        <w:t>年</w:t>
      </w:r>
      <w:r>
        <w:rPr>
          <w:spacing w:val="-38"/>
        </w:rPr>
        <w:t> </w:t>
      </w:r>
      <w:r>
        <w:rPr/>
        <w:t>不进行利润分配，也不以资本公积金转增股本。</w:t>
      </w:r>
      <w:r>
        <w:rPr/>
        <w:t> 公司近三年现金分红情况表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BodyText"/>
        <w:spacing w:line="240" w:lineRule="auto"/>
        <w:ind w:right="0"/>
        <w:jc w:val="left"/>
      </w:pPr>
      <w:r>
        <w:rPr/>
        <w:t>单位：元</w:t>
      </w:r>
    </w:p>
    <w:p>
      <w:pPr>
        <w:spacing w:after="0" w:line="240" w:lineRule="auto"/>
        <w:jc w:val="left"/>
        <w:sectPr>
          <w:type w:val="continuous"/>
          <w:pgSz w:w="11910" w:h="16840"/>
          <w:pgMar w:top="1060" w:bottom="1540" w:left="980" w:right="0"/>
          <w:cols w:num="2" w:equalWidth="0">
            <w:col w:w="6994" w:space="1926"/>
            <w:col w:w="2010"/>
          </w:cols>
        </w:sectPr>
      </w:pP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6"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1,989,975.92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2,078,042.37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2,091,182.70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left"/>
      </w:pPr>
      <w:r>
        <w:rPr/>
        <w:t>公司报告期内盈利且母公司未分配利润为正但未提出现金红利分配预案</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九、报告期内接待调研、沟通、采访等活动登记表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8"/>
          <w:szCs w:val="28"/>
        </w:rPr>
      </w:pPr>
    </w:p>
    <w:p>
      <w:pPr>
        <w:pStyle w:val="BodyText"/>
        <w:spacing w:line="240" w:lineRule="auto" w:before="44"/>
        <w:ind w:left="0" w:right="1136"/>
        <w:jc w:val="right"/>
      </w:pPr>
      <w:r>
        <w:rPr/>
        <w:pict>
          <v:shape style="position:absolute;margin-left:56.400002pt;margin-top:-250.598282pt;width:479.3pt;height:321.7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59"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恢复上市的进展情况，未 提供任何书面资料</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年报情况，未提供任何书 面资料</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公司经营及年报情况，未 提供任何书面资料</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pacing w:val="-4"/>
                            <w:sz w:val="18"/>
                            <w:szCs w:val="18"/>
                          </w:rPr>
                          <w:t>公司经营情况、未来规划</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未提供任何书面资料</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8"/>
                          <w:jc w:val="left"/>
                          <w:rPr>
                            <w:rFonts w:ascii="宋体" w:hAnsi="宋体" w:cs="宋体" w:eastAsia="宋体" w:hint="default"/>
                            <w:sz w:val="18"/>
                            <w:szCs w:val="18"/>
                          </w:rPr>
                        </w:pPr>
                        <w:r>
                          <w:rPr>
                            <w:rFonts w:ascii="宋体" w:hAnsi="宋体" w:cs="宋体" w:eastAsia="宋体" w:hint="default"/>
                            <w:spacing w:val="-4"/>
                            <w:sz w:val="18"/>
                            <w:szCs w:val="18"/>
                          </w:rPr>
                          <w:t>公司经营情况、未来规划</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未提供任何书面资料</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0" w:right="1136"/>
        <w:jc w:val="right"/>
      </w:pPr>
      <w:r>
        <w:rPr/>
        <w:pict>
          <v:group style="position:absolute;margin-left:460.320007pt;margin-top:28.81572pt;width:135pt;height:77pt;mso-position-horizontal-relative:page;mso-position-vertical-relative:paragraph;z-index:1432" coordorigin="9206,576" coordsize="2700,1540">
            <v:shape style="position:absolute;left:9206;top:576;width:2700;height:1540" type="#_x0000_t75" stroked="false">
              <v:imagedata r:id="rId14" o:title=""/>
            </v:shape>
            <v:shape style="position:absolute;left:10593;top:937;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17</w:t>
                    </w:r>
                  </w:p>
                </w:txbxContent>
              </v:textbox>
              <w10:wrap type="none"/>
            </v:shape>
            <w10:wrap type="none"/>
          </v:group>
        </w:pict>
      </w:r>
      <w:r>
        <w:rPr/>
        <w:t>，</w:t>
      </w:r>
    </w:p>
    <w:p>
      <w:pPr>
        <w:spacing w:after="0" w:line="240" w:lineRule="auto"/>
        <w:jc w:val="right"/>
        <w:sectPr>
          <w:type w:val="continuous"/>
          <w:pgSz w:w="11910" w:h="16840"/>
          <w:pgMar w:top="1060" w:bottom="1540" w:left="980" w:right="0"/>
        </w:sectPr>
      </w:pPr>
    </w:p>
    <w:p>
      <w:pPr>
        <w:spacing w:line="240" w:lineRule="auto" w:before="7"/>
        <w:rPr>
          <w:rFonts w:ascii="宋体" w:hAnsi="宋体" w:cs="宋体" w:eastAsia="宋体" w:hint="default"/>
          <w:sz w:val="29"/>
          <w:szCs w:val="29"/>
        </w:rPr>
      </w:pPr>
    </w:p>
    <w:p>
      <w:pPr>
        <w:pStyle w:val="BodyText"/>
        <w:spacing w:line="240" w:lineRule="auto" w:before="44"/>
        <w:ind w:left="0" w:right="1136"/>
        <w:jc w:val="right"/>
      </w:pPr>
      <w:r>
        <w:rPr/>
        <w:pict>
          <v:shape style="position:absolute;margin-left:56.400002pt;margin-top:-.728301pt;width:479.3pt;height:71.9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8"/>
                          <w:jc w:val="left"/>
                          <w:rPr>
                            <w:rFonts w:ascii="宋体" w:hAnsi="宋体" w:cs="宋体" w:eastAsia="宋体" w:hint="default"/>
                            <w:sz w:val="18"/>
                            <w:szCs w:val="18"/>
                          </w:rPr>
                        </w:pPr>
                        <w:r>
                          <w:rPr>
                            <w:rFonts w:ascii="宋体" w:hAnsi="宋体" w:cs="宋体" w:eastAsia="宋体" w:hint="default"/>
                            <w:spacing w:val="-4"/>
                            <w:sz w:val="18"/>
                            <w:szCs w:val="18"/>
                          </w:rPr>
                          <w:t>公司经营情况、未来规划</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未提供任何书面资料</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08"/>
                          <w:jc w:val="left"/>
                          <w:rPr>
                            <w:rFonts w:ascii="宋体" w:hAnsi="宋体" w:cs="宋体" w:eastAsia="宋体" w:hint="default"/>
                            <w:sz w:val="18"/>
                            <w:szCs w:val="18"/>
                          </w:rPr>
                        </w:pPr>
                        <w:r>
                          <w:rPr>
                            <w:rFonts w:ascii="宋体" w:hAnsi="宋体" w:cs="宋体" w:eastAsia="宋体" w:hint="default"/>
                            <w:spacing w:val="-4"/>
                            <w:sz w:val="18"/>
                            <w:szCs w:val="18"/>
                          </w:rPr>
                          <w:t>公司经营情况、未来规划</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未提供任何书面资料</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0" w:right="1136"/>
        <w:jc w:val="right"/>
      </w:pPr>
      <w:r>
        <w:rPr/>
        <w:t>，</w:t>
      </w:r>
    </w:p>
    <w:p>
      <w:pPr>
        <w:spacing w:after="0" w:line="240" w:lineRule="auto"/>
        <w:jc w:val="right"/>
        <w:sectPr>
          <w:footerReference w:type="default" r:id="rId24"/>
          <w:pgSz w:w="11910" w:h="16840"/>
          <w:pgMar w:footer="1334" w:header="877" w:top="1060" w:bottom="1520" w:left="980" w:right="0"/>
          <w:pgNumType w:start="18"/>
        </w:sectPr>
      </w:pPr>
    </w:p>
    <w:p>
      <w:pPr>
        <w:spacing w:line="240" w:lineRule="auto" w:before="0"/>
        <w:rPr>
          <w:rFonts w:ascii="宋体" w:hAnsi="宋体" w:cs="宋体" w:eastAsia="宋体" w:hint="default"/>
          <w:sz w:val="20"/>
          <w:szCs w:val="20"/>
        </w:rPr>
      </w:pPr>
      <w:r>
        <w:rPr/>
        <w:pict>
          <v:shape style="position:absolute;margin-left:270.649994pt;margin-top:539.589966pt;width:92.1pt;height:20pt;mso-position-horizontal-relative:page;mso-position-vertical-relative:page;z-index:-630352" type="#_x0000_t202" filled="false" stroked="false">
            <v:textbox inset="0,0,0,0">
              <w:txbxContent>
                <w:p>
                  <w:pPr>
                    <w:spacing w:line="240" w:lineRule="auto" w:before="7"/>
                    <w:rPr>
                      <w:rFonts w:ascii="宋体" w:hAnsi="宋体" w:cs="宋体" w:eastAsia="宋体" w:hint="default"/>
                      <w:sz w:val="12"/>
                      <w:szCs w:val="12"/>
                    </w:rPr>
                  </w:pPr>
                </w:p>
                <w:p>
                  <w:pPr>
                    <w:pStyle w:val="BodyText"/>
                    <w:spacing w:line="240" w:lineRule="auto"/>
                    <w:ind w:left="0" w:right="0"/>
                    <w:jc w:val="left"/>
                  </w:pPr>
                  <w:r>
                    <w:rPr/>
                    <w:t>万元，</w:t>
                  </w:r>
                </w:p>
              </w:txbxContent>
            </v:textbox>
            <w10:wrap type="none"/>
          </v:shape>
        </w:pict>
      </w:r>
      <w:r>
        <w:rPr/>
        <w:pict>
          <v:group style="position:absolute;margin-left:295.850006pt;margin-top:539.589966pt;width:66.9pt;height:15.6pt;mso-position-horizontal-relative:page;mso-position-vertical-relative:page;z-index:-630304" coordorigin="5917,10792" coordsize="1338,312">
            <v:shape style="position:absolute;left:5917;top:10792;width:1338;height:312" coordorigin="5917,10792" coordsize="1338,312" path="m5917,11104l7254,11104,7254,10792,5917,10792,5917,11104xe" filled="true" fillcolor="#ffffff" stroked="false">
              <v:path arrowok="t"/>
              <v:fill type="solid"/>
            </v:shape>
            <w10:wrap type="none"/>
          </v:group>
        </w:pict>
      </w:r>
      <w:r>
        <w:rPr/>
        <w:pict>
          <v:group style="position:absolute;margin-left:427.630005pt;margin-top:494.839996pt;width:53.55pt;height:234.05pt;mso-position-horizontal-relative:page;mso-position-vertical-relative:page;z-index:-630280" coordorigin="8553,9897" coordsize="1071,4681">
            <v:shape style="position:absolute;left:8553;top:9897;width:1071;height:4681" coordorigin="8553,9897" coordsize="1071,4681" path="m8553,14577l9623,14577,9623,9897,8553,9897,8553,14577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760"/>
        <w:jc w:val="center"/>
        <w:rPr>
          <w:b w:val="0"/>
          <w:bCs w:val="0"/>
        </w:rPr>
      </w:pPr>
      <w:r>
        <w:rPr/>
        <w:t>第五节</w:t>
      </w:r>
      <w:r>
        <w:rPr>
          <w:spacing w:val="-2"/>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pict>
          <v:shape style="position:absolute;margin-left:421.630005pt;margin-top:53.35173pt;width:59.55pt;height:234.05pt;mso-position-horizontal-relative:page;mso-position-vertical-relative:paragraph;z-index:-6303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left="0" w:right="0"/>
                    <w:jc w:val="left"/>
                  </w:pPr>
                  <w:r>
                    <w:rPr/>
                    <w:t>、</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52"/>
        <w:gridCol w:w="1085"/>
        <w:gridCol w:w="1265"/>
        <w:gridCol w:w="965"/>
        <w:gridCol w:w="1383"/>
        <w:gridCol w:w="1265"/>
        <w:gridCol w:w="1081"/>
        <w:gridCol w:w="1078"/>
      </w:tblGrid>
      <w:tr>
        <w:trPr>
          <w:trHeight w:val="713"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631" w:right="29"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7" w:right="19" w:hanging="334"/>
              <w:jc w:val="left"/>
              <w:rPr>
                <w:rFonts w:ascii="宋体" w:hAnsi="宋体" w:cs="宋体" w:eastAsia="宋体" w:hint="default"/>
                <w:sz w:val="18"/>
                <w:szCs w:val="18"/>
              </w:rPr>
            </w:pPr>
            <w:r>
              <w:rPr>
                <w:rFonts w:ascii="宋体" w:hAnsi="宋体" w:cs="宋体" w:eastAsia="宋体" w:hint="default"/>
                <w:spacing w:val="-9"/>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49" w:right="86" w:hanging="361"/>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92" w:right="60"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0" w:right="91"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68" w:right="24"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077"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4"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23"/>
                <w:sz w:val="18"/>
                <w:szCs w:val="18"/>
              </w:rPr>
              <w:t>月，山东</w:t>
            </w:r>
            <w:r>
              <w:rPr>
                <w:rFonts w:ascii="宋体" w:hAnsi="宋体" w:cs="宋体" w:eastAsia="宋体" w:hint="default"/>
                <w:sz w:val="18"/>
                <w:szCs w:val="18"/>
              </w:rPr>
              <w:t> 省济宁市中级人 民法院依法受理 山东港基建设集 团有限公司诉泗 </w:t>
            </w:r>
            <w:r>
              <w:rPr>
                <w:rFonts w:ascii="宋体" w:hAnsi="宋体" w:cs="宋体" w:eastAsia="宋体" w:hint="default"/>
                <w:spacing w:val="-6"/>
                <w:sz w:val="18"/>
                <w:szCs w:val="18"/>
              </w:rPr>
              <w:t>水海情、济宁海情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建设工程施工合 同纠纷一案。</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65"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z w:val="18"/>
                <w:szCs w:val="18"/>
              </w:rPr>
              <w:t>目前，泗水 海情已依 法提出了 反诉，要求 山东港基 承担逾期 违约金、一 次性验收 不合格违 约金、违法 分包违约 金、质量问 题维修费 用等约计</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sz w:val="18"/>
              </w:rPr>
              <w:t>1,068</w:t>
            </w:r>
          </w:p>
          <w:p>
            <w:pPr>
              <w:pStyle w:val="TableParagraph"/>
              <w:spacing w:line="316" w:lineRule="auto" w:before="63"/>
              <w:ind w:left="24" w:right="197"/>
              <w:jc w:val="both"/>
              <w:rPr>
                <w:rFonts w:ascii="宋体" w:hAnsi="宋体" w:cs="宋体" w:eastAsia="宋体" w:hint="default"/>
                <w:sz w:val="18"/>
                <w:szCs w:val="18"/>
              </w:rPr>
            </w:pPr>
            <w:r>
              <w:rPr>
                <w:rFonts w:ascii="宋体" w:hAnsi="宋体" w:cs="宋体" w:eastAsia="宋体" w:hint="default"/>
                <w:sz w:val="18"/>
                <w:szCs w:val="18"/>
              </w:rPr>
              <w:t>并由山东 港基承担 全部反诉 费用。</w:t>
            </w:r>
          </w:p>
        </w:tc>
        <w:tc>
          <w:tcPr>
            <w:tcW w:w="1383"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49"/>
              <w:ind w:right="99"/>
              <w:jc w:val="both"/>
              <w:rPr>
                <w:rFonts w:ascii="宋体" w:hAnsi="宋体" w:cs="宋体" w:eastAsia="宋体" w:hint="default"/>
                <w:sz w:val="18"/>
                <w:szCs w:val="18"/>
              </w:rPr>
            </w:pPr>
            <w:r>
              <w:rPr>
                <w:rFonts w:ascii="宋体" w:hAnsi="宋体" w:cs="宋体" w:eastAsia="宋体" w:hint="default"/>
                <w:sz w:val="18"/>
                <w:szCs w:val="18"/>
              </w:rPr>
              <w:t>该案本诉部分争 议的焦点是工程 造价及应付工程 款金额问题。现 原、被告双方已 按照法院的指令 进入工程造价的 鉴定程序，待审 计机构完成工程 造价鉴定后，方 能确认泗水海情 是否应支付山东 港基工程款和应 支付的工程款金 额。正常审计机 构在核算工程造 价时，采用的是 原、被告双方在 施工合同中约定 的计价原则，这 种情况下应与泗 水海情自行进行 合理核算或控制 的结算金额（即 正常应付结算工 程款）不会相差 太大。对反诉部 分，如法院支持 了泗水海情的反 诉请求，将会增 加泗水海情部分 收益。</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3" w:right="0"/>
              <w:jc w:val="left"/>
              <w:rPr>
                <w:rFonts w:ascii="宋体" w:hAnsi="宋体" w:cs="宋体" w:eastAsia="宋体" w:hint="default"/>
                <w:sz w:val="18"/>
                <w:szCs w:val="18"/>
              </w:rPr>
            </w:pPr>
            <w:r>
              <w:rPr>
                <w:rFonts w:ascii="宋体" w:hAnsi="宋体" w:cs="宋体" w:eastAsia="宋体" w:hint="default"/>
                <w:sz w:val="18"/>
                <w:szCs w:val="18"/>
              </w:rPr>
              <w:t>该案分别于</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307" w:lineRule="auto" w:before="63"/>
              <w:ind w:left="23" w:right="17"/>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9</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日进行 </w:t>
            </w:r>
            <w:r>
              <w:rPr>
                <w:rFonts w:ascii="宋体" w:hAnsi="宋体" w:cs="宋体" w:eastAsia="宋体" w:hint="default"/>
                <w:spacing w:val="-8"/>
                <w:sz w:val="18"/>
                <w:szCs w:val="18"/>
              </w:rPr>
              <w:t>了三次开庭。山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东港基于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p>
          <w:p>
            <w:pPr>
              <w:pStyle w:val="TableParagraph"/>
              <w:spacing w:line="314" w:lineRule="auto" w:before="7"/>
              <w:ind w:left="23" w:right="1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日向 山东省济宁市 中级人民法院 提出财产保全 </w:t>
            </w:r>
            <w:r>
              <w:rPr>
                <w:rFonts w:ascii="宋体" w:hAnsi="宋体" w:cs="宋体" w:eastAsia="宋体" w:hint="default"/>
                <w:spacing w:val="-8"/>
                <w:sz w:val="18"/>
                <w:szCs w:val="18"/>
              </w:rPr>
              <w:t>申请，要求冻结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泗水海情名下 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万银行</w:t>
            </w:r>
          </w:p>
          <w:p>
            <w:pPr>
              <w:pStyle w:val="TableParagraph"/>
              <w:spacing w:line="316" w:lineRule="auto" w:before="1"/>
              <w:ind w:left="23"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存款及不动产。 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312" w:lineRule="auto"/>
              <w:ind w:left="23" w:right="5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日泗水海 情因此案被查 封海情圣地一 期项目在售房 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套。本公 司对该项目计 提了 </w:t>
            </w:r>
            <w:r>
              <w:rPr>
                <w:rFonts w:ascii="Times New Roman" w:hAnsi="Times New Roman" w:cs="Times New Roman" w:eastAsia="Times New Roman" w:hint="default"/>
                <w:sz w:val="18"/>
                <w:szCs w:val="18"/>
              </w:rPr>
              <w:t>1,999,045.00 </w:t>
            </w:r>
            <w:r>
              <w:rPr>
                <w:rFonts w:ascii="宋体" w:hAnsi="宋体" w:cs="宋体" w:eastAsia="宋体" w:hint="default"/>
                <w:sz w:val="18"/>
                <w:szCs w:val="18"/>
              </w:rPr>
              <w:t>元</w:t>
            </w:r>
          </w:p>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的预计负债。</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4681" w:lineRule="exact"/>
              <w:ind w:right="-50"/>
              <w:jc w:val="left"/>
              <w:rPr>
                <w:rFonts w:ascii="宋体" w:hAnsi="宋体" w:cs="宋体" w:eastAsia="宋体" w:hint="default"/>
                <w:sz w:val="20"/>
                <w:szCs w:val="20"/>
              </w:rPr>
            </w:pPr>
            <w:r>
              <w:rPr>
                <w:rFonts w:ascii="宋体" w:hAnsi="宋体" w:cs="宋体" w:eastAsia="宋体" w:hint="default"/>
                <w:position w:val="-93"/>
                <w:sz w:val="20"/>
                <w:szCs w:val="20"/>
              </w:rPr>
              <w:pict>
                <v:group style="width:53.55pt;height:234.05pt;mso-position-horizontal-relative:char;mso-position-vertical-relative:line" coordorigin="0,0" coordsize="1071,4681">
                  <v:group style="position:absolute;left:0;top:0;width:1071;height:4681" coordorigin="0,0" coordsize="1071,4681">
                    <v:shape style="position:absolute;left:0;top:0;width:1071;height:4681" coordorigin="0,0" coordsize="1071,4681" path="m0,4681l1071,4681,1071,0,0,0,0,4681xe" filled="true" fillcolor="#ffffff" stroked="false">
                      <v:path arrowok="t"/>
                      <v:fill type="solid"/>
                    </v:shape>
                  </v:group>
                </v:group>
              </w:pict>
            </w:r>
            <w:r>
              <w:rPr>
                <w:rFonts w:ascii="宋体" w:hAnsi="宋体" w:cs="宋体" w:eastAsia="宋体" w:hint="default"/>
                <w:position w:val="-93"/>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62" w:lineRule="auto"/>
              <w:ind w:left="23" w:right="42"/>
              <w:jc w:val="left"/>
              <w:rPr>
                <w:rFonts w:ascii="Times New Roman" w:hAnsi="Times New Roman" w:cs="Times New Roman" w:eastAsia="Times New Roman" w:hint="default"/>
                <w:sz w:val="18"/>
                <w:szCs w:val="18"/>
              </w:rPr>
            </w:pPr>
            <w:r>
              <w:rPr>
                <w:rFonts w:ascii="Times New Roman"/>
                <w:sz w:val="18"/>
              </w:rPr>
              <w:t>http://www.c ninfo.com.cn/ finalpage/201</w:t>
            </w:r>
            <w:r>
              <w:rPr>
                <w:rFonts w:ascii="Times New Roman"/>
                <w:spacing w:val="1"/>
                <w:sz w:val="18"/>
              </w:rPr>
              <w:t> </w:t>
            </w:r>
            <w:r>
              <w:rPr>
                <w:rFonts w:ascii="Times New Roman"/>
                <w:sz w:val="18"/>
              </w:rPr>
              <w:t>2-07-11/6125</w:t>
            </w:r>
          </w:p>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Times New Roman"/>
                <w:sz w:val="18"/>
              </w:rPr>
              <w:t>0112.PDF</w:t>
            </w:r>
          </w:p>
        </w:tc>
      </w:tr>
      <w:tr>
        <w:trPr>
          <w:trHeight w:val="713"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62"/>
              <w:jc w:val="left"/>
              <w:rPr>
                <w:rFonts w:ascii="宋体" w:hAnsi="宋体" w:cs="宋体" w:eastAsia="宋体" w:hint="default"/>
                <w:sz w:val="18"/>
                <w:szCs w:val="18"/>
              </w:rPr>
            </w:pPr>
            <w:r>
              <w:rPr>
                <w:rFonts w:ascii="宋体" w:hAnsi="宋体" w:cs="宋体" w:eastAsia="宋体" w:hint="default"/>
                <w:sz w:val="18"/>
                <w:szCs w:val="18"/>
              </w:rPr>
              <w:t>济宁海情置业有 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年向</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3,615.6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209"/>
              <w:jc w:val="left"/>
              <w:rPr>
                <w:rFonts w:ascii="宋体" w:hAnsi="宋体" w:cs="宋体" w:eastAsia="宋体" w:hint="default"/>
                <w:sz w:val="18"/>
                <w:szCs w:val="18"/>
              </w:rPr>
            </w:pPr>
            <w:r>
              <w:rPr>
                <w:rFonts w:ascii="宋体" w:hAnsi="宋体" w:cs="宋体" w:eastAsia="宋体" w:hint="default"/>
                <w:sz w:val="18"/>
                <w:szCs w:val="18"/>
              </w:rPr>
              <w:t>济宁市中 级法院受</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12" w:right="99"/>
              <w:jc w:val="left"/>
              <w:rPr>
                <w:rFonts w:ascii="宋体" w:hAnsi="宋体" w:cs="宋体" w:eastAsia="宋体" w:hint="default"/>
                <w:sz w:val="18"/>
                <w:szCs w:val="18"/>
              </w:rPr>
            </w:pPr>
            <w:r>
              <w:rPr>
                <w:rFonts w:ascii="宋体" w:hAnsi="宋体" w:cs="宋体" w:eastAsia="宋体" w:hint="default"/>
                <w:sz w:val="18"/>
                <w:szCs w:val="18"/>
              </w:rPr>
              <w:t>律师认为该诉讼 系济宁海情按照</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9"/>
              <w:jc w:val="left"/>
              <w:rPr>
                <w:rFonts w:ascii="宋体" w:hAnsi="宋体" w:cs="宋体" w:eastAsia="宋体" w:hint="default"/>
                <w:sz w:val="18"/>
                <w:szCs w:val="18"/>
              </w:rPr>
            </w:pPr>
            <w:r>
              <w:rPr>
                <w:rFonts w:ascii="宋体" w:hAnsi="宋体" w:cs="宋体" w:eastAsia="宋体" w:hint="default"/>
                <w:sz w:val="18"/>
                <w:szCs w:val="18"/>
              </w:rPr>
              <w:t>目前该案件处 于审理阶段。</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10"/>
              <w:ind w:left="23" w:right="42"/>
              <w:jc w:val="left"/>
              <w:rPr>
                <w:rFonts w:ascii="Times New Roman" w:hAnsi="Times New Roman" w:cs="Times New Roman" w:eastAsia="Times New Roman" w:hint="default"/>
                <w:sz w:val="18"/>
                <w:szCs w:val="18"/>
              </w:rPr>
            </w:pPr>
            <w:r>
              <w:rPr>
                <w:rFonts w:ascii="Times New Roman"/>
                <w:sz w:val="18"/>
              </w:rPr>
              <w:t>http://www.c ninfo.com.cn/</w:t>
            </w:r>
          </w:p>
        </w:tc>
      </w:tr>
    </w:tbl>
    <w:p>
      <w:pPr>
        <w:spacing w:after="0" w:line="362" w:lineRule="auto"/>
        <w:jc w:val="left"/>
        <w:rPr>
          <w:rFonts w:ascii="Times New Roman" w:hAnsi="Times New Roman" w:cs="Times New Roman" w:eastAsia="Times New Roman" w:hint="default"/>
          <w:sz w:val="18"/>
          <w:szCs w:val="18"/>
        </w:rPr>
        <w:sectPr>
          <w:pgSz w:w="11910" w:h="16840"/>
          <w:pgMar w:header="877" w:footer="1334" w:top="1060" w:bottom="152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630232"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20</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52"/>
        <w:gridCol w:w="1085"/>
        <w:gridCol w:w="1265"/>
        <w:gridCol w:w="953"/>
        <w:gridCol w:w="1395"/>
        <w:gridCol w:w="1265"/>
        <w:gridCol w:w="1081"/>
        <w:gridCol w:w="1078"/>
      </w:tblGrid>
      <w:tr>
        <w:trPr>
          <w:trHeight w:val="13156"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56"/>
              <w:jc w:val="left"/>
              <w:rPr>
                <w:rFonts w:ascii="宋体" w:hAnsi="宋体" w:cs="宋体" w:eastAsia="宋体" w:hint="default"/>
                <w:sz w:val="18"/>
                <w:szCs w:val="18"/>
              </w:rPr>
            </w:pPr>
            <w:r>
              <w:rPr>
                <w:rFonts w:ascii="宋体" w:hAnsi="宋体" w:cs="宋体" w:eastAsia="宋体" w:hint="default"/>
                <w:sz w:val="18"/>
                <w:szCs w:val="18"/>
              </w:rPr>
              <w:t>山东省济宁市中 级人民法院提交</w:t>
            </w:r>
          </w:p>
          <w:p>
            <w:pPr>
              <w:pStyle w:val="TableParagraph"/>
              <w:spacing w:line="316" w:lineRule="auto" w:before="17"/>
              <w:ind w:left="24" w:right="22"/>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《民事起诉状》，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起诉天元建设集 </w:t>
            </w:r>
            <w:r>
              <w:rPr>
                <w:rFonts w:ascii="宋体" w:hAnsi="宋体" w:cs="宋体" w:eastAsia="宋体" w:hint="default"/>
                <w:spacing w:val="-6"/>
                <w:sz w:val="18"/>
                <w:szCs w:val="18"/>
              </w:rPr>
              <w:t>团有限公司，理由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日原告与被告签 </w:t>
            </w:r>
            <w:r>
              <w:rPr>
                <w:rFonts w:ascii="宋体" w:hAnsi="宋体" w:cs="宋体" w:eastAsia="宋体" w:hint="default"/>
                <w:spacing w:val="-6"/>
                <w:sz w:val="18"/>
                <w:szCs w:val="18"/>
              </w:rPr>
              <w:t>订了《建设工程施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工合同》，由被告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承包施工原告的 </w:t>
            </w:r>
            <w:r>
              <w:rPr>
                <w:rFonts w:ascii="宋体" w:hAnsi="宋体" w:cs="宋体" w:eastAsia="宋体" w:hint="default"/>
                <w:spacing w:val="-6"/>
                <w:sz w:val="18"/>
                <w:szCs w:val="18"/>
              </w:rPr>
              <w:t>发包工程，竣工日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9"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日。但被告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日擅自</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停工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个月，造成</w:t>
            </w:r>
            <w:r>
              <w:rPr>
                <w:rFonts w:ascii="宋体" w:hAnsi="宋体" w:cs="宋体" w:eastAsia="宋体" w:hint="default"/>
                <w:sz w:val="18"/>
                <w:szCs w:val="18"/>
              </w:rPr>
              <w:t> 工程工期延误</w:t>
            </w:r>
          </w:p>
        </w:tc>
        <w:tc>
          <w:tcPr>
            <w:tcW w:w="108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7"/>
              <w:jc w:val="left"/>
              <w:rPr>
                <w:rFonts w:ascii="宋体" w:hAnsi="宋体" w:cs="宋体" w:eastAsia="宋体" w:hint="default"/>
                <w:sz w:val="18"/>
                <w:szCs w:val="18"/>
              </w:rPr>
            </w:pPr>
            <w:r>
              <w:rPr>
                <w:rFonts w:ascii="宋体" w:hAnsi="宋体" w:cs="宋体" w:eastAsia="宋体" w:hint="default"/>
                <w:sz w:val="18"/>
                <w:szCs w:val="18"/>
              </w:rPr>
              <w:t>理该案后， 依法向天 元集团送 达了开庭 传票、举证 通知书、受 理案件通 知书等诉 讼文。天元 集团接到 济宁海情 的起诉材 料后，一方 面提出了 索要工程 款的反诉 请求，另一 方面表示 愿意解除 工程施工 合同并退 出施工场 地。目前双 方正在按 照法院要 求办理已 完工程量 的核定及 已完工程 质量的检 验工作，待 双方完成 工程量核 算及工程 质量检验 后，即由后 续施工单 位继续完 成剩余工 程，确保项 目按计划 竣工验收。</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99"/>
              <w:jc w:val="left"/>
              <w:rPr>
                <w:rFonts w:ascii="宋体" w:hAnsi="宋体" w:cs="宋体" w:eastAsia="宋体" w:hint="default"/>
                <w:sz w:val="18"/>
                <w:szCs w:val="18"/>
              </w:rPr>
            </w:pPr>
            <w:r>
              <w:rPr>
                <w:rFonts w:ascii="宋体" w:hAnsi="宋体" w:cs="宋体" w:eastAsia="宋体" w:hint="default"/>
                <w:sz w:val="18"/>
                <w:szCs w:val="18"/>
              </w:rPr>
              <w:t>《建设工程施工 合同》依法主张 权利，并非受其 他方追索，应不 会对公司利润造 成实质不利影 响。</w:t>
            </w:r>
          </w:p>
        </w:tc>
        <w:tc>
          <w:tcPr>
            <w:tcW w:w="1265"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3" w:right="50"/>
              <w:jc w:val="left"/>
              <w:rPr>
                <w:rFonts w:ascii="Times New Roman" w:hAnsi="Times New Roman" w:cs="Times New Roman" w:eastAsia="Times New Roman" w:hint="default"/>
                <w:sz w:val="18"/>
                <w:szCs w:val="18"/>
              </w:rPr>
            </w:pPr>
            <w:r>
              <w:rPr>
                <w:rFonts w:ascii="Times New Roman"/>
                <w:sz w:val="18"/>
              </w:rPr>
              <w:t>finalpage/201</w:t>
            </w:r>
            <w:r>
              <w:rPr>
                <w:rFonts w:ascii="Times New Roman"/>
                <w:spacing w:val="1"/>
                <w:w w:val="99"/>
                <w:sz w:val="18"/>
              </w:rPr>
              <w:t> </w:t>
            </w:r>
            <w:r>
              <w:rPr>
                <w:rFonts w:ascii="Times New Roman"/>
                <w:sz w:val="18"/>
              </w:rPr>
              <w:t>2-10-24/6169</w:t>
            </w:r>
          </w:p>
          <w:p>
            <w:pPr>
              <w:pStyle w:val="TableParagraph"/>
              <w:spacing w:line="240" w:lineRule="auto" w:before="3"/>
              <w:ind w:left="23" w:right="0"/>
              <w:jc w:val="left"/>
              <w:rPr>
                <w:rFonts w:ascii="Times New Roman" w:hAnsi="Times New Roman" w:cs="Times New Roman" w:eastAsia="Times New Roman" w:hint="default"/>
                <w:sz w:val="18"/>
                <w:szCs w:val="18"/>
              </w:rPr>
            </w:pPr>
            <w:r>
              <w:rPr>
                <w:rFonts w:ascii="Times New Roman"/>
                <w:sz w:val="18"/>
              </w:rPr>
              <w:t>3831.PDF</w:t>
            </w:r>
          </w:p>
        </w:tc>
      </w:tr>
      <w:tr>
        <w:trPr>
          <w:trHeight w:val="713"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56"/>
              <w:jc w:val="left"/>
              <w:rPr>
                <w:rFonts w:ascii="宋体" w:hAnsi="宋体" w:cs="宋体" w:eastAsia="宋体" w:hint="default"/>
                <w:sz w:val="18"/>
                <w:szCs w:val="18"/>
              </w:rPr>
            </w:pPr>
            <w:r>
              <w:rPr>
                <w:rFonts w:ascii="宋体" w:hAnsi="宋体" w:cs="宋体" w:eastAsia="宋体" w:hint="default"/>
                <w:sz w:val="18"/>
                <w:szCs w:val="18"/>
              </w:rPr>
              <w:t>邹学林诉山东港 基建设集团有限</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日济南</w:t>
            </w:r>
          </w:p>
        </w:tc>
        <w:tc>
          <w:tcPr>
            <w:tcW w:w="139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10"/>
              <w:ind w:left="23" w:right="42"/>
              <w:jc w:val="left"/>
              <w:rPr>
                <w:rFonts w:ascii="Times New Roman" w:hAnsi="Times New Roman" w:cs="Times New Roman" w:eastAsia="Times New Roman" w:hint="default"/>
                <w:sz w:val="18"/>
                <w:szCs w:val="18"/>
              </w:rPr>
            </w:pPr>
            <w:r>
              <w:rPr>
                <w:rFonts w:ascii="Times New Roman"/>
                <w:sz w:val="18"/>
              </w:rPr>
              <w:t>http://www.c ninfo.com.cn/</w:t>
            </w:r>
          </w:p>
        </w:tc>
      </w:tr>
    </w:tbl>
    <w:p>
      <w:pPr>
        <w:spacing w:after="0" w:line="362" w:lineRule="auto"/>
        <w:jc w:val="left"/>
        <w:rPr>
          <w:rFonts w:ascii="Times New Roman" w:hAnsi="Times New Roman" w:cs="Times New Roman" w:eastAsia="Times New Roman" w:hint="default"/>
          <w:sz w:val="18"/>
          <w:szCs w:val="18"/>
        </w:rPr>
        <w:sectPr>
          <w:headerReference w:type="default" r:id="rId25"/>
          <w:footerReference w:type="default" r:id="rId26"/>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52"/>
        <w:gridCol w:w="1085"/>
        <w:gridCol w:w="1265"/>
        <w:gridCol w:w="953"/>
        <w:gridCol w:w="1395"/>
        <w:gridCol w:w="1265"/>
        <w:gridCol w:w="1081"/>
        <w:gridCol w:w="1078"/>
      </w:tblGrid>
      <w:tr>
        <w:trPr>
          <w:trHeight w:val="2547"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56"/>
              <w:jc w:val="left"/>
              <w:rPr>
                <w:rFonts w:ascii="宋体" w:hAnsi="宋体" w:cs="宋体" w:eastAsia="宋体" w:hint="default"/>
                <w:sz w:val="18"/>
                <w:szCs w:val="18"/>
              </w:rPr>
            </w:pPr>
            <w:r>
              <w:rPr>
                <w:rFonts w:ascii="宋体" w:hAnsi="宋体" w:cs="宋体" w:eastAsia="宋体" w:hint="default"/>
                <w:sz w:val="18"/>
                <w:szCs w:val="18"/>
              </w:rPr>
              <w:t>公司及泗水海情 置业有限公司案</w:t>
            </w:r>
          </w:p>
        </w:tc>
        <w:tc>
          <w:tcPr>
            <w:tcW w:w="108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05"/>
              <w:jc w:val="both"/>
              <w:rPr>
                <w:rFonts w:ascii="宋体" w:hAnsi="宋体" w:cs="宋体" w:eastAsia="宋体" w:hint="default"/>
                <w:sz w:val="18"/>
                <w:szCs w:val="18"/>
              </w:rPr>
            </w:pPr>
            <w:r>
              <w:rPr>
                <w:rFonts w:ascii="宋体" w:hAnsi="宋体" w:cs="宋体" w:eastAsia="宋体" w:hint="default"/>
                <w:sz w:val="18"/>
                <w:szCs w:val="18"/>
              </w:rPr>
              <w:t>市长清区 人民法院 将泗水海 情银行存 款</w:t>
            </w:r>
          </w:p>
          <w:p>
            <w:pPr>
              <w:pStyle w:val="TableParagraph"/>
              <w:spacing w:line="240" w:lineRule="auto" w:before="59"/>
              <w:ind w:left="24" w:right="0"/>
              <w:jc w:val="both"/>
              <w:rPr>
                <w:rFonts w:ascii="Times New Roman" w:hAnsi="Times New Roman" w:cs="Times New Roman" w:eastAsia="Times New Roman" w:hint="default"/>
                <w:sz w:val="18"/>
                <w:szCs w:val="18"/>
              </w:rPr>
            </w:pPr>
            <w:r>
              <w:rPr>
                <w:rFonts w:ascii="Times New Roman"/>
                <w:sz w:val="18"/>
              </w:rPr>
              <w:t>349,399.73</w:t>
            </w:r>
          </w:p>
          <w:p>
            <w:pPr>
              <w:pStyle w:val="TableParagraph"/>
              <w:spacing w:line="316" w:lineRule="auto" w:before="63"/>
              <w:ind w:left="24" w:right="197"/>
              <w:jc w:val="both"/>
              <w:rPr>
                <w:rFonts w:ascii="宋体" w:hAnsi="宋体" w:cs="宋体" w:eastAsia="宋体" w:hint="default"/>
                <w:sz w:val="18"/>
                <w:szCs w:val="18"/>
              </w:rPr>
            </w:pPr>
            <w:r>
              <w:rPr>
                <w:rFonts w:ascii="宋体" w:hAnsi="宋体" w:cs="宋体" w:eastAsia="宋体" w:hint="default"/>
                <w:sz w:val="18"/>
                <w:szCs w:val="18"/>
              </w:rPr>
              <w:t>元扣划至 该院。</w:t>
            </w:r>
          </w:p>
        </w:tc>
        <w:tc>
          <w:tcPr>
            <w:tcW w:w="139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3" w:right="38"/>
              <w:jc w:val="both"/>
              <w:rPr>
                <w:rFonts w:ascii="Times New Roman" w:hAnsi="Times New Roman" w:cs="Times New Roman" w:eastAsia="Times New Roman" w:hint="default"/>
                <w:sz w:val="18"/>
                <w:szCs w:val="18"/>
              </w:rPr>
            </w:pPr>
            <w:r>
              <w:rPr>
                <w:rFonts w:ascii="Times New Roman"/>
                <w:sz w:val="18"/>
              </w:rPr>
              <w:t>information/c ompanyinfo.h tml</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二、媒体质疑情况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本报告期公司无媒体普遍质疑事项。</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三、资产交易事项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69"/>
        <w:gridCol w:w="871"/>
        <w:gridCol w:w="869"/>
        <w:gridCol w:w="872"/>
        <w:gridCol w:w="869"/>
        <w:gridCol w:w="871"/>
      </w:tblGrid>
      <w:tr>
        <w:trPr>
          <w:trHeight w:val="196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69" w:right="71"/>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6"/>
              <w:ind w:left="9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19"/>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69" w:right="69"/>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19"/>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4"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该资产为 上市公司 贡献的净 利润占净 利润总额 的比率</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160" w:right="67" w:hanging="92"/>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2" w:hanging="3"/>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24" w:right="108"/>
              <w:jc w:val="both"/>
              <w:rPr>
                <w:rFonts w:ascii="宋体" w:hAnsi="宋体" w:cs="宋体" w:eastAsia="宋体" w:hint="default"/>
                <w:sz w:val="18"/>
                <w:szCs w:val="18"/>
              </w:rPr>
            </w:pPr>
            <w:r>
              <w:rPr>
                <w:rFonts w:ascii="宋体" w:hAnsi="宋体" w:cs="宋体" w:eastAsia="宋体" w:hint="default"/>
                <w:sz w:val="18"/>
                <w:szCs w:val="18"/>
              </w:rPr>
              <w:t>绵阳亿嘉 合投资有 限公司</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575.33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提高公司 核心竞争 </w:t>
            </w:r>
            <w:r>
              <w:rPr>
                <w:rFonts w:ascii="宋体" w:hAnsi="宋体" w:cs="宋体" w:eastAsia="宋体" w:hint="default"/>
                <w:spacing w:val="-18"/>
                <w:sz w:val="18"/>
                <w:szCs w:val="18"/>
              </w:rPr>
              <w:t>力，增强公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司持续经 </w:t>
            </w:r>
            <w:r>
              <w:rPr>
                <w:rFonts w:ascii="宋体" w:hAnsi="宋体" w:cs="宋体" w:eastAsia="宋体" w:hint="default"/>
                <w:spacing w:val="-18"/>
                <w:sz w:val="18"/>
                <w:szCs w:val="18"/>
              </w:rPr>
              <w:t>营能力，减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少与大股 东的同业 竞争。</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23" w:right="116"/>
              <w:jc w:val="both"/>
              <w:rPr>
                <w:rFonts w:ascii="宋体" w:hAnsi="宋体" w:cs="宋体" w:eastAsia="宋体" w:hint="default"/>
                <w:sz w:val="18"/>
                <w:szCs w:val="18"/>
              </w:rPr>
            </w:pPr>
            <w:r>
              <w:rPr>
                <w:rFonts w:ascii="宋体" w:hAnsi="宋体" w:cs="宋体" w:eastAsia="宋体" w:hint="default"/>
                <w:sz w:val="18"/>
                <w:szCs w:val="18"/>
              </w:rPr>
              <w:t>受同一控 股股东控 制</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28">
              <w:r>
                <w:rPr>
                  <w:rFonts w:ascii="Times New Roman"/>
                  <w:sz w:val="18"/>
                </w:rPr>
                <w:t>http://www</w:t>
              </w:r>
            </w:hyperlink>
          </w:p>
          <w:p>
            <w:pPr>
              <w:pStyle w:val="TableParagraph"/>
              <w:spacing w:line="362" w:lineRule="auto" w:before="105"/>
              <w:ind w:left="23" w:right="115"/>
              <w:jc w:val="left"/>
              <w:rPr>
                <w:rFonts w:ascii="Times New Roman" w:hAnsi="Times New Roman" w:cs="Times New Roman" w:eastAsia="Times New Roman" w:hint="default"/>
                <w:sz w:val="18"/>
                <w:szCs w:val="18"/>
              </w:rPr>
            </w:pPr>
            <w:r>
              <w:rPr>
                <w:rFonts w:ascii="Times New Roman"/>
                <w:sz w:val="18"/>
              </w:rPr>
              <w:t>.cninfo.co m.cn/</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、企业合并情况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本公司本年度完成对绵阳亿嘉合投资有限公司的收购，持有该公司</w:t>
      </w:r>
      <w:r>
        <w:rPr>
          <w:rFonts w:ascii="Times New Roman" w:hAnsi="Times New Roman" w:cs="Times New Roman" w:eastAsia="Times New Roman" w:hint="default"/>
        </w:rPr>
        <w:t>51%</w:t>
      </w:r>
      <w:r>
        <w:rPr/>
        <w:t>股权，将该公司纳入合并范围。</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6"/>
        <w:gridCol w:w="799"/>
        <w:gridCol w:w="797"/>
        <w:gridCol w:w="800"/>
        <w:gridCol w:w="799"/>
        <w:gridCol w:w="797"/>
        <w:gridCol w:w="800"/>
        <w:gridCol w:w="798"/>
        <w:gridCol w:w="798"/>
        <w:gridCol w:w="797"/>
        <w:gridCol w:w="794"/>
        <w:gridCol w:w="797"/>
      </w:tblGrid>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4" w:right="32"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3" w:right="34"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33" w:right="34"/>
              <w:jc w:val="left"/>
              <w:rPr>
                <w:rFonts w:ascii="宋体" w:hAnsi="宋体" w:cs="宋体" w:eastAsia="宋体" w:hint="default"/>
                <w:sz w:val="18"/>
                <w:szCs w:val="18"/>
              </w:rPr>
            </w:pPr>
            <w:r>
              <w:rPr>
                <w:rFonts w:ascii="宋体" w:hAnsi="宋体" w:cs="宋体" w:eastAsia="宋体" w:hint="default"/>
                <w:sz w:val="18"/>
                <w:szCs w:val="18"/>
              </w:rPr>
              <w:t>关联交易 金额（万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33" w:right="32"/>
              <w:jc w:val="left"/>
              <w:rPr>
                <w:rFonts w:ascii="宋体" w:hAnsi="宋体" w:cs="宋体" w:eastAsia="宋体" w:hint="default"/>
                <w:sz w:val="18"/>
                <w:szCs w:val="18"/>
              </w:rPr>
            </w:pPr>
            <w:r>
              <w:rPr>
                <w:rFonts w:ascii="宋体" w:hAnsi="宋体" w:cs="宋体" w:eastAsia="宋体" w:hint="default"/>
                <w:sz w:val="18"/>
                <w:szCs w:val="18"/>
              </w:rPr>
              <w:t>占同类交 易金额的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 w:right="35"/>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33" w:right="32"/>
              <w:jc w:val="left"/>
              <w:rPr>
                <w:rFonts w:ascii="宋体" w:hAnsi="宋体" w:cs="宋体" w:eastAsia="宋体" w:hint="default"/>
                <w:sz w:val="18"/>
                <w:szCs w:val="18"/>
              </w:rPr>
            </w:pPr>
            <w:r>
              <w:rPr>
                <w:rFonts w:ascii="宋体" w:hAnsi="宋体" w:cs="宋体" w:eastAsia="宋体" w:hint="default"/>
                <w:sz w:val="18"/>
                <w:szCs w:val="18"/>
              </w:rPr>
              <w:t>可获得的 同类交易</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footerReference w:type="default" r:id="rId27"/>
          <w:pgSz w:w="11910" w:h="16840"/>
          <w:pgMar w:footer="1340" w:header="877" w:top="1060" w:bottom="1540" w:left="980" w:right="0"/>
          <w:pgNumType w:start="21"/>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9"/>
        <w:gridCol w:w="797"/>
        <w:gridCol w:w="800"/>
        <w:gridCol w:w="799"/>
        <w:gridCol w:w="797"/>
        <w:gridCol w:w="800"/>
        <w:gridCol w:w="797"/>
        <w:gridCol w:w="799"/>
        <w:gridCol w:w="797"/>
        <w:gridCol w:w="794"/>
        <w:gridCol w:w="797"/>
      </w:tblGrid>
      <w:tr>
        <w:trPr>
          <w:trHeight w:val="36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7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市价</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41"/>
              <w:jc w:val="both"/>
              <w:rPr>
                <w:rFonts w:ascii="宋体" w:hAnsi="宋体" w:cs="宋体" w:eastAsia="宋体" w:hint="default"/>
                <w:sz w:val="18"/>
                <w:szCs w:val="18"/>
              </w:rPr>
            </w:pPr>
            <w:r>
              <w:rPr>
                <w:rFonts w:ascii="宋体" w:hAnsi="宋体" w:cs="宋体" w:eastAsia="宋体" w:hint="default"/>
                <w:sz w:val="18"/>
                <w:szCs w:val="18"/>
              </w:rPr>
              <w:t>青岛通亚 建筑安装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已收购未 纳入合并</w:t>
            </w:r>
          </w:p>
          <w:p>
            <w:pPr>
              <w:pStyle w:val="TableParagraph"/>
              <w:spacing w:line="309" w:lineRule="auto" w:before="19"/>
              <w:ind w:left="24" w:right="42"/>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月份终止 收购）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协议作价</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79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孙登义</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原公司董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购买或销 售商品</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商品房</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市场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7965.23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69"/>
              <w:jc w:val="both"/>
              <w:rPr>
                <w:rFonts w:ascii="Times New Roman" w:hAnsi="Times New Roman" w:cs="Times New Roman" w:eastAsia="Times New Roman" w:hint="default"/>
                <w:sz w:val="18"/>
                <w:szCs w:val="18"/>
              </w:rPr>
            </w:pPr>
            <w:hyperlink r:id="rId29">
              <w:r>
                <w:rPr>
                  <w:rFonts w:ascii="Times New Roman"/>
                  <w:sz w:val="18"/>
                </w:rPr>
                <w:t>http://ww</w:t>
              </w:r>
            </w:hyperlink>
            <w:r>
              <w:rPr>
                <w:rFonts w:ascii="Times New Roman"/>
                <w:w w:val="99"/>
                <w:sz w:val="18"/>
              </w:rPr>
              <w:t> </w:t>
            </w:r>
            <w:r>
              <w:rPr>
                <w:rFonts w:ascii="Times New Roman"/>
                <w:sz w:val="18"/>
              </w:rPr>
              <w:t>w.cninfo.</w:t>
            </w:r>
            <w:r>
              <w:rPr>
                <w:rFonts w:ascii="Times New Roman"/>
                <w:sz w:val="18"/>
              </w:rPr>
              <w:t> com.cn</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许展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系公司董 事亲属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购买或销 售商品</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商品房</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市场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8386.62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69"/>
              <w:jc w:val="both"/>
              <w:rPr>
                <w:rFonts w:ascii="Times New Roman" w:hAnsi="Times New Roman" w:cs="Times New Roman" w:eastAsia="Times New Roman" w:hint="default"/>
                <w:sz w:val="18"/>
                <w:szCs w:val="18"/>
              </w:rPr>
            </w:pPr>
            <w:hyperlink r:id="rId29">
              <w:r>
                <w:rPr>
                  <w:rFonts w:ascii="Times New Roman"/>
                  <w:sz w:val="18"/>
                </w:rPr>
                <w:t>http://ww</w:t>
              </w:r>
            </w:hyperlink>
            <w:r>
              <w:rPr>
                <w:rFonts w:ascii="Times New Roman"/>
                <w:w w:val="99"/>
                <w:sz w:val="18"/>
              </w:rPr>
              <w:t> </w:t>
            </w:r>
            <w:r>
              <w:rPr>
                <w:rFonts w:ascii="Times New Roman"/>
                <w:sz w:val="18"/>
              </w:rPr>
              <w:t>w.cninfo.</w:t>
            </w:r>
            <w:r>
              <w:rPr>
                <w:rFonts w:ascii="Times New Roman"/>
                <w:sz w:val="18"/>
              </w:rPr>
              <w:t> com.cn</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易平良</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3"/>
              <w:jc w:val="left"/>
              <w:rPr>
                <w:rFonts w:ascii="宋体" w:hAnsi="宋体" w:cs="宋体" w:eastAsia="宋体" w:hint="default"/>
                <w:sz w:val="18"/>
                <w:szCs w:val="18"/>
              </w:rPr>
            </w:pPr>
            <w:r>
              <w:rPr>
                <w:rFonts w:ascii="宋体" w:hAnsi="宋体" w:cs="宋体" w:eastAsia="宋体" w:hint="default"/>
                <w:sz w:val="18"/>
                <w:szCs w:val="18"/>
              </w:rPr>
              <w:t>原公司高 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购买或销 售商品</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商品房</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市场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8735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3"/>
              <w:jc w:val="left"/>
              <w:rPr>
                <w:rFonts w:ascii="宋体" w:hAnsi="宋体" w:cs="宋体" w:eastAsia="宋体" w:hint="default"/>
                <w:sz w:val="18"/>
                <w:szCs w:val="18"/>
              </w:rPr>
            </w:pPr>
            <w:r>
              <w:rPr>
                <w:rFonts w:ascii="宋体" w:hAnsi="宋体" w:cs="宋体" w:eastAsia="宋体" w:hint="default"/>
                <w:sz w:val="18"/>
                <w:szCs w:val="18"/>
              </w:rPr>
              <w:t>现金或公 积金贷款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69"/>
              <w:jc w:val="both"/>
              <w:rPr>
                <w:rFonts w:ascii="Times New Roman" w:hAnsi="Times New Roman" w:cs="Times New Roman" w:eastAsia="Times New Roman" w:hint="default"/>
                <w:sz w:val="18"/>
                <w:szCs w:val="18"/>
              </w:rPr>
            </w:pPr>
            <w:hyperlink r:id="rId29">
              <w:r>
                <w:rPr>
                  <w:rFonts w:ascii="Times New Roman"/>
                  <w:sz w:val="18"/>
                </w:rPr>
                <w:t>http://ww</w:t>
              </w:r>
            </w:hyperlink>
            <w:r>
              <w:rPr>
                <w:rFonts w:ascii="Times New Roman"/>
                <w:w w:val="99"/>
                <w:sz w:val="18"/>
              </w:rPr>
              <w:t> </w:t>
            </w:r>
            <w:r>
              <w:rPr>
                <w:rFonts w:ascii="Times New Roman"/>
                <w:sz w:val="18"/>
              </w:rPr>
              <w:t>w.cninfo.</w:t>
            </w:r>
            <w:r>
              <w:rPr>
                <w:rFonts w:ascii="Times New Roman"/>
                <w:sz w:val="18"/>
              </w:rPr>
              <w:t> com.cn</w:t>
            </w:r>
          </w:p>
        </w:tc>
      </w:tr>
      <w:tr>
        <w:trPr>
          <w:trHeight w:val="401"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277.53</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3193"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380" w:type="dxa"/>
            <w:gridSpan w:val="8"/>
            <w:vMerge w:val="restart"/>
            <w:tcBorders>
              <w:top w:val="single" w:sz="4" w:space="0" w:color="000000"/>
              <w:left w:val="single" w:sz="10" w:space="0" w:color="D2D2D2"/>
              <w:right w:val="single" w:sz="4" w:space="0" w:color="000000"/>
            </w:tcBorders>
          </w:tcPr>
          <w:p>
            <w:pPr>
              <w:pStyle w:val="TableParagraph"/>
              <w:spacing w:line="316" w:lineRule="auto" w:before="49"/>
              <w:ind w:left="16" w:right="44"/>
              <w:jc w:val="both"/>
              <w:rPr>
                <w:rFonts w:ascii="宋体" w:hAnsi="宋体" w:cs="宋体" w:eastAsia="宋体" w:hint="default"/>
                <w:sz w:val="18"/>
                <w:szCs w:val="18"/>
              </w:rPr>
            </w:pPr>
            <w:r>
              <w:rPr>
                <w:rFonts w:ascii="宋体" w:hAnsi="宋体" w:cs="宋体" w:eastAsia="宋体" w:hint="default"/>
                <w:sz w:val="18"/>
                <w:szCs w:val="18"/>
              </w:rPr>
              <w:t>该区域商品房销售存在较大市场竞争和销售回款压力，公司积极倡导包括公司股 东、董事、监事、高管在内的有意向在该区域购买商品房的公司利益相关者及其 亲朋好友按照市场价格优先选择购买公司的商品房，以公开优惠方式鼓励客户一 次性付款购买公司商品房。</w:t>
            </w:r>
          </w:p>
        </w:tc>
      </w:tr>
      <w:tr>
        <w:trPr>
          <w:trHeight w:val="1015" w:hRule="exact"/>
        </w:trPr>
        <w:tc>
          <w:tcPr>
            <w:tcW w:w="3193"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98"/>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80" w:type="dxa"/>
            <w:gridSpan w:val="8"/>
            <w:vMerge/>
            <w:tcBorders>
              <w:left w:val="single" w:sz="10" w:space="0" w:color="D2D2D2"/>
              <w:right w:val="single" w:sz="4" w:space="0" w:color="000000"/>
            </w:tcBorders>
          </w:tcPr>
          <w:p>
            <w:pPr/>
          </w:p>
        </w:tc>
      </w:tr>
      <w:tr>
        <w:trPr>
          <w:trHeight w:val="161" w:hRule="exact"/>
        </w:trPr>
        <w:tc>
          <w:tcPr>
            <w:tcW w:w="3193"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380" w:type="dxa"/>
            <w:gridSpan w:val="8"/>
            <w:vMerge/>
            <w:tcBorders>
              <w:left w:val="single" w:sz="10" w:space="0" w:color="D2D2D2"/>
              <w:bottom w:val="single" w:sz="4" w:space="0" w:color="000000"/>
              <w:right w:val="single" w:sz="4" w:space="0" w:color="000000"/>
            </w:tcBorders>
          </w:tcPr>
          <w:p>
            <w:pPr/>
          </w:p>
        </w:tc>
      </w:tr>
      <w:tr>
        <w:trPr>
          <w:trHeight w:val="404"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、资产收购、出售发生的关联交易</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40"/>
        <w:gridCol w:w="749"/>
        <w:gridCol w:w="737"/>
        <w:gridCol w:w="745"/>
        <w:gridCol w:w="734"/>
        <w:gridCol w:w="732"/>
        <w:gridCol w:w="732"/>
        <w:gridCol w:w="735"/>
        <w:gridCol w:w="734"/>
        <w:gridCol w:w="734"/>
        <w:gridCol w:w="740"/>
        <w:gridCol w:w="732"/>
        <w:gridCol w:w="725"/>
      </w:tblGrid>
      <w:tr>
        <w:trPr>
          <w:trHeight w:val="1337" w:hRule="exact"/>
        </w:trPr>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80" w:right="96"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93" w:right="9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96" w:right="98"/>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1" w:right="91"/>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91" w:right="91"/>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20"/>
              <w:ind w:left="23" w:right="-20"/>
              <w:jc w:val="left"/>
              <w:rPr>
                <w:rFonts w:ascii="宋体" w:hAnsi="宋体" w:cs="宋体" w:eastAsia="宋体" w:hint="default"/>
                <w:sz w:val="18"/>
                <w:szCs w:val="18"/>
              </w:rPr>
            </w:pPr>
            <w:r>
              <w:rPr>
                <w:rFonts w:ascii="宋体" w:hAnsi="宋体" w:cs="宋体" w:eastAsia="宋体" w:hint="default"/>
                <w:sz w:val="18"/>
                <w:szCs w:val="18"/>
              </w:rPr>
              <w:t>（万元）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1" w:right="91"/>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1" w:right="91"/>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5" w:right="92"/>
              <w:jc w:val="both"/>
              <w:rPr>
                <w:rFonts w:ascii="宋体" w:hAnsi="宋体" w:cs="宋体" w:eastAsia="宋体" w:hint="default"/>
                <w:sz w:val="18"/>
                <w:szCs w:val="18"/>
              </w:rPr>
            </w:pPr>
            <w:r>
              <w:rPr>
                <w:rFonts w:ascii="宋体" w:hAnsi="宋体" w:cs="宋体" w:eastAsia="宋体" w:hint="default"/>
                <w:sz w:val="18"/>
                <w:szCs w:val="18"/>
              </w:rPr>
              <w:t>交易损 益（万 元）</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71" w:right="8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5"/>
              <w:ind w:left="268" w:right="8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340" w:hRule="exact"/>
        </w:trPr>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4"/>
              <w:jc w:val="both"/>
              <w:rPr>
                <w:rFonts w:ascii="宋体" w:hAnsi="宋体" w:cs="宋体" w:eastAsia="宋体" w:hint="default"/>
                <w:sz w:val="18"/>
                <w:szCs w:val="18"/>
              </w:rPr>
            </w:pPr>
            <w:r>
              <w:rPr>
                <w:rFonts w:ascii="宋体" w:hAnsi="宋体" w:cs="宋体" w:eastAsia="宋体" w:hint="default"/>
                <w:sz w:val="18"/>
                <w:szCs w:val="18"/>
              </w:rPr>
              <w:t>绵阳亿 嘉合投 资有限 公司</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73"/>
              <w:jc w:val="both"/>
              <w:rPr>
                <w:rFonts w:ascii="宋体" w:hAnsi="宋体" w:cs="宋体" w:eastAsia="宋体" w:hint="default"/>
                <w:sz w:val="18"/>
                <w:szCs w:val="18"/>
              </w:rPr>
            </w:pPr>
            <w:r>
              <w:rPr>
                <w:rFonts w:ascii="宋体" w:hAnsi="宋体" w:cs="宋体" w:eastAsia="宋体" w:hint="default"/>
                <w:sz w:val="18"/>
                <w:szCs w:val="18"/>
              </w:rPr>
              <w:t>受同一 控股股 东控制</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161"/>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权</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评估</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324.98</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575.33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575.33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575.33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468" w:right="0"/>
              <w:jc w:val="left"/>
              <w:rPr>
                <w:rFonts w:ascii="Times New Roman" w:hAnsi="Times New Roman" w:cs="Times New Roman" w:eastAsia="Times New Roman" w:hint="default"/>
                <w:sz w:val="18"/>
                <w:szCs w:val="18"/>
              </w:rPr>
            </w:pPr>
            <w:r>
              <w:rPr>
                <w:rFonts w:ascii="Times New Roman"/>
                <w:sz w:val="18"/>
              </w:rPr>
              <w:t>-20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362" w:lineRule="auto"/>
              <w:ind w:left="23" w:right="24"/>
              <w:jc w:val="left"/>
              <w:rPr>
                <w:rFonts w:ascii="Times New Roman" w:hAnsi="Times New Roman" w:cs="Times New Roman" w:eastAsia="Times New Roman" w:hint="default"/>
                <w:sz w:val="18"/>
                <w:szCs w:val="18"/>
              </w:rPr>
            </w:pPr>
            <w:hyperlink r:id="rId30">
              <w:r>
                <w:rPr>
                  <w:rFonts w:ascii="Times New Roman"/>
                  <w:sz w:val="18"/>
                </w:rPr>
                <w:t>http://w</w:t>
              </w:r>
            </w:hyperlink>
            <w:r>
              <w:rPr>
                <w:rFonts w:ascii="Times New Roman"/>
                <w:w w:val="99"/>
                <w:sz w:val="18"/>
              </w:rPr>
              <w:t> </w:t>
            </w: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tc>
      </w:tr>
      <w:tr>
        <w:trPr>
          <w:trHeight w:val="713" w:hRule="exact"/>
        </w:trPr>
        <w:tc>
          <w:tcPr>
            <w:tcW w:w="29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54"/>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较大的原因（如有）</w:t>
            </w:r>
          </w:p>
        </w:tc>
        <w:tc>
          <w:tcPr>
            <w:tcW w:w="65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土地的公允价值与账面价值的差异</w:t>
            </w:r>
          </w:p>
        </w:tc>
      </w:tr>
      <w:tr>
        <w:trPr>
          <w:trHeight w:val="715" w:hRule="exact"/>
        </w:trPr>
        <w:tc>
          <w:tcPr>
            <w:tcW w:w="29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4"/>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5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提高公司核心竞争力，增强公司持续经营能力，减少与大股东的同业竞争。</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是否存在非经营性关联债权债务往来</w:t>
      </w:r>
    </w:p>
    <w:p>
      <w:pPr>
        <w:spacing w:after="0" w:line="24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 是 □</w:t>
      </w:r>
      <w:r>
        <w:rPr>
          <w:spacing w:val="3"/>
        </w:rPr>
        <w:t> </w:t>
      </w:r>
      <w:r>
        <w:rPr/>
        <w:t>否</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36"/>
        <w:gridCol w:w="1119"/>
        <w:gridCol w:w="1118"/>
        <w:gridCol w:w="1121"/>
        <w:gridCol w:w="1119"/>
        <w:gridCol w:w="1118"/>
        <w:gridCol w:w="1119"/>
        <w:gridCol w:w="1121"/>
      </w:tblGrid>
      <w:tr>
        <w:trPr>
          <w:trHeight w:val="1025" w:hRule="exact"/>
        </w:trPr>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65" w:right="101"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6"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6" w:right="101"/>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74" w:right="19" w:hanging="351"/>
              <w:jc w:val="left"/>
              <w:rPr>
                <w:rFonts w:ascii="宋体" w:hAnsi="宋体" w:cs="宋体" w:eastAsia="宋体" w:hint="default"/>
                <w:sz w:val="18"/>
                <w:szCs w:val="18"/>
              </w:rPr>
            </w:pPr>
            <w:r>
              <w:rPr>
                <w:rFonts w:ascii="宋体" w:hAnsi="宋体" w:cs="宋体" w:eastAsia="宋体" w:hint="default"/>
                <w:spacing w:val="-3"/>
                <w:sz w:val="18"/>
                <w:szCs w:val="18"/>
              </w:rPr>
              <w:t>期初余额（万</w:t>
            </w:r>
            <w:r>
              <w:rPr>
                <w:rFonts w:ascii="宋体" w:hAnsi="宋体" w:cs="宋体" w:eastAsia="宋体" w:hint="default"/>
                <w:sz w:val="18"/>
                <w:szCs w:val="18"/>
              </w:rPr>
              <w:t> 元）</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4"/>
              <w:ind w:left="1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76" w:right="19" w:hanging="351"/>
              <w:jc w:val="left"/>
              <w:rPr>
                <w:rFonts w:ascii="宋体" w:hAnsi="宋体" w:cs="宋体" w:eastAsia="宋体" w:hint="default"/>
                <w:sz w:val="18"/>
                <w:szCs w:val="18"/>
              </w:rPr>
            </w:pPr>
            <w:r>
              <w:rPr>
                <w:rFonts w:ascii="宋体" w:hAnsi="宋体" w:cs="宋体" w:eastAsia="宋体" w:hint="default"/>
                <w:spacing w:val="-3"/>
                <w:sz w:val="18"/>
                <w:szCs w:val="18"/>
              </w:rPr>
              <w:t>期末余额（万</w:t>
            </w:r>
            <w:r>
              <w:rPr>
                <w:rFonts w:ascii="宋体" w:hAnsi="宋体" w:cs="宋体" w:eastAsia="宋体" w:hint="default"/>
                <w:sz w:val="18"/>
                <w:szCs w:val="18"/>
              </w:rPr>
              <w:t> 元）</w:t>
            </w: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青岛亚星实业有限公</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4,658.35</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-2,349.58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2,308.77</w:t>
            </w: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青岛嘉合福远置业有 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同受第一大 股东控制</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344.48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-138.67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205.81</w:t>
            </w: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青岛天和智远商贸有 限公司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同受第一大 股东控制</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1.88</w:t>
            </w:r>
          </w:p>
        </w:tc>
      </w:tr>
      <w:tr>
        <w:trPr>
          <w:trHeight w:val="713"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青岛美丰置业有限公 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同受第一大 股东控制</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4.98</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-4.98</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青岛亚星置业有限公 司</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同受第一大 股东控制</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3.94</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、其他重大关联交易</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69"/>
        <w:jc w:val="left"/>
      </w:pPr>
      <w:r>
        <w:rPr/>
        <w:t>泗水海情置业有限公司</w:t>
      </w:r>
      <w:r>
        <w:rPr>
          <w:rFonts w:ascii="Times New Roman" w:hAnsi="Times New Roman" w:cs="Times New Roman" w:eastAsia="Times New Roman" w:hint="default"/>
        </w:rPr>
        <w:t>2013</w:t>
      </w:r>
      <w:r>
        <w:rPr/>
        <w:t>年度向青岛亚星实业有限公司拆借经营性资金</w:t>
      </w:r>
      <w:r>
        <w:rPr>
          <w:rFonts w:ascii="Times New Roman" w:hAnsi="Times New Roman" w:cs="Times New Roman" w:eastAsia="Times New Roman" w:hint="default"/>
        </w:rPr>
        <w:t>67,510,000</w:t>
      </w:r>
      <w:r>
        <w:rPr/>
        <w:t>元，</w:t>
      </w:r>
      <w:r>
        <w:rPr>
          <w:rFonts w:ascii="Times New Roman" w:hAnsi="Times New Roman" w:cs="Times New Roman" w:eastAsia="Times New Roman" w:hint="default"/>
        </w:rPr>
        <w:t>2013</w:t>
      </w:r>
      <w:r>
        <w:rPr/>
        <w:t>年还款</w:t>
      </w:r>
      <w:r>
        <w:rPr>
          <w:rFonts w:ascii="Times New Roman" w:hAnsi="Times New Roman" w:cs="Times New Roman" w:eastAsia="Times New Roman" w:hint="default"/>
        </w:rPr>
        <w:t>60,358,647.15</w:t>
      </w:r>
      <w:r>
        <w:rPr/>
        <w:t>元，</w:t>
      </w:r>
      <w:r>
        <w:rPr>
          <w:rFonts w:ascii="Times New Roman" w:hAnsi="Times New Roman" w:cs="Times New Roman" w:eastAsia="Times New Roman" w:hint="default"/>
        </w:rPr>
        <w:t>2013 </w:t>
      </w:r>
      <w:r>
        <w:rPr/>
        <w:t>年年末尚欠</w:t>
      </w:r>
      <w:r>
        <w:rPr>
          <w:rFonts w:ascii="Times New Roman" w:hAnsi="Times New Roman" w:cs="Times New Roman" w:eastAsia="Times New Roman" w:hint="default"/>
        </w:rPr>
        <w:t>7151,352.85</w:t>
      </w:r>
      <w:r>
        <w:rPr/>
        <w:t>元。</w:t>
      </w:r>
    </w:p>
    <w:p>
      <w:pPr>
        <w:pStyle w:val="BodyText"/>
        <w:spacing w:line="240" w:lineRule="auto" w:before="53"/>
        <w:ind w:right="0"/>
        <w:jc w:val="left"/>
      </w:pPr>
      <w:r>
        <w:rPr/>
        <w:t>重大关联交易临时报告披露网站相关查询</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7"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6"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深圳大通实业股份有限公司关于公司向控 股股东拆借资金暨关联交易预计的公告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巨潮网</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五、重大合同及其履行情况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6"/>
        <w:gridCol w:w="941"/>
        <w:gridCol w:w="934"/>
        <w:gridCol w:w="1212"/>
        <w:gridCol w:w="1179"/>
        <w:gridCol w:w="1097"/>
        <w:gridCol w:w="1018"/>
        <w:gridCol w:w="799"/>
        <w:gridCol w:w="787"/>
      </w:tblGrid>
      <w:tr>
        <w:trPr>
          <w:trHeight w:val="40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81"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40"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1"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08"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4"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6"/>
              <w:ind w:left="424" w:right="146"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15"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19"/>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泗水海情置业有限 公司</w:t>
            </w:r>
          </w:p>
        </w:tc>
        <w:tc>
          <w:tcPr>
            <w:tcW w:w="941"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6" w:right="0"/>
              <w:jc w:val="left"/>
              <w:rPr>
                <w:rFonts w:ascii="Times New Roman" w:hAnsi="Times New Roman" w:cs="Times New Roman" w:eastAsia="Times New Roman" w:hint="default"/>
                <w:sz w:val="18"/>
                <w:szCs w:val="18"/>
              </w:rPr>
            </w:pPr>
            <w:r>
              <w:rPr>
                <w:rFonts w:ascii="Times New Roman"/>
                <w:sz w:val="18"/>
              </w:rPr>
              <w:t>5,000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抵押</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2013.5.8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5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0"/>
              <w:jc w:val="left"/>
              <w:rPr>
                <w:rFonts w:ascii="宋体" w:hAnsi="宋体" w:cs="宋体" w:eastAsia="宋体" w:hint="default"/>
                <w:sz w:val="18"/>
                <w:szCs w:val="18"/>
              </w:rPr>
            </w:pPr>
            <w:r>
              <w:rPr>
                <w:rFonts w:ascii="宋体" w:hAnsi="宋体" w:cs="宋体" w:eastAsia="宋体" w:hint="default"/>
                <w:sz w:val="18"/>
                <w:szCs w:val="18"/>
              </w:rPr>
              <w:t>报告期内审批的对外担保额度 合计（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1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2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77"/>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25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71"/>
              <w:jc w:val="left"/>
              <w:rPr>
                <w:rFonts w:ascii="宋体" w:hAnsi="宋体" w:cs="宋体" w:eastAsia="宋体" w:hint="default"/>
                <w:sz w:val="18"/>
                <w:szCs w:val="18"/>
              </w:rPr>
            </w:pPr>
            <w:r>
              <w:rPr>
                <w:rFonts w:ascii="宋体" w:hAnsi="宋体" w:cs="宋体" w:eastAsia="宋体" w:hint="default"/>
                <w:sz w:val="18"/>
                <w:szCs w:val="18"/>
              </w:rPr>
              <w:t>报告期末已审批的对外担保额 度合计（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1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22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6" w:right="77"/>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18"/>
        <w:gridCol w:w="919"/>
        <w:gridCol w:w="957"/>
        <w:gridCol w:w="1196"/>
        <w:gridCol w:w="1182"/>
        <w:gridCol w:w="1091"/>
        <w:gridCol w:w="1029"/>
        <w:gridCol w:w="806"/>
        <w:gridCol w:w="775"/>
      </w:tblGrid>
      <w:tr>
        <w:trPr>
          <w:trHeight w:val="396"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8" w:hRule="exact"/>
        </w:trPr>
        <w:tc>
          <w:tcPr>
            <w:tcW w:w="1618" w:type="dxa"/>
            <w:vMerge w:val="restart"/>
            <w:tcBorders>
              <w:top w:val="single" w:sz="4" w:space="0" w:color="000000"/>
              <w:left w:val="single" w:sz="4" w:space="0" w:color="000000"/>
              <w:right w:val="single" w:sz="4" w:space="0" w:color="000000"/>
            </w:tcBorders>
            <w:shd w:val="clear" w:color="auto" w:fill="D2D2D2"/>
          </w:tcPr>
          <w:p>
            <w:pPr/>
          </w:p>
        </w:tc>
        <w:tc>
          <w:tcPr>
            <w:tcW w:w="919" w:type="dxa"/>
            <w:tcBorders>
              <w:top w:val="single" w:sz="4" w:space="0" w:color="000000"/>
              <w:left w:val="single" w:sz="4" w:space="0" w:color="000000"/>
              <w:bottom w:val="nil" w:sz="6" w:space="0" w:color="auto"/>
              <w:right w:val="single" w:sz="4" w:space="0" w:color="000000"/>
            </w:tcBorders>
            <w:shd w:val="clear" w:color="auto" w:fill="D2D2D2"/>
          </w:tcPr>
          <w:p>
            <w:pPr/>
          </w:p>
        </w:tc>
        <w:tc>
          <w:tcPr>
            <w:tcW w:w="957"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82" w:type="dxa"/>
            <w:vMerge w:val="restart"/>
            <w:tcBorders>
              <w:top w:val="single" w:sz="4" w:space="0" w:color="000000"/>
              <w:left w:val="single" w:sz="4" w:space="0" w:color="000000"/>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
        </w:tc>
        <w:tc>
          <w:tcPr>
            <w:tcW w:w="1029" w:type="dxa"/>
            <w:vMerge w:val="restart"/>
            <w:tcBorders>
              <w:top w:val="single" w:sz="4" w:space="0" w:color="000000"/>
              <w:left w:val="single" w:sz="4" w:space="0" w:color="000000"/>
              <w:right w:val="single" w:sz="4" w:space="0" w:color="000000"/>
            </w:tcBorders>
            <w:shd w:val="clear" w:color="auto" w:fill="D2D2D2"/>
          </w:tcPr>
          <w:p>
            <w:pPr/>
          </w:p>
        </w:tc>
        <w:tc>
          <w:tcPr>
            <w:tcW w:w="806" w:type="dxa"/>
            <w:vMerge w:val="restart"/>
            <w:tcBorders>
              <w:top w:val="single" w:sz="4" w:space="0" w:color="000000"/>
              <w:left w:val="single" w:sz="4" w:space="0" w:color="000000"/>
              <w:right w:val="single" w:sz="4" w:space="0" w:color="000000"/>
            </w:tcBorders>
            <w:shd w:val="clear" w:color="auto" w:fill="D2D2D2"/>
          </w:tcPr>
          <w:p>
            <w:pPr/>
          </w:p>
        </w:tc>
        <w:tc>
          <w:tcPr>
            <w:tcW w:w="77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6"/>
              <w:ind w:left="16"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20"/>
              <w:ind w:left="108"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156" w:hRule="exact"/>
        </w:trPr>
        <w:tc>
          <w:tcPr>
            <w:tcW w:w="1618" w:type="dxa"/>
            <w:vMerge/>
            <w:tcBorders>
              <w:left w:val="single" w:sz="4" w:space="0" w:color="000000"/>
              <w:right w:val="single" w:sz="4" w:space="0" w:color="000000"/>
            </w:tcBorders>
            <w:shd w:val="clear" w:color="auto" w:fill="D2D2D2"/>
          </w:tcPr>
          <w:p>
            <w:pPr/>
          </w:p>
        </w:tc>
        <w:tc>
          <w:tcPr>
            <w:tcW w:w="91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91"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5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4"/>
              <w:ind w:left="411" w:right="145"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82"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029" w:type="dxa"/>
            <w:vMerge/>
            <w:tcBorders>
              <w:left w:val="single" w:sz="4" w:space="0" w:color="000000"/>
              <w:right w:val="single" w:sz="4" w:space="0" w:color="000000"/>
            </w:tcBorders>
            <w:shd w:val="clear" w:color="auto" w:fill="D2D2D2"/>
          </w:tcPr>
          <w:p>
            <w:pPr/>
          </w:p>
        </w:tc>
        <w:tc>
          <w:tcPr>
            <w:tcW w:w="806" w:type="dxa"/>
            <w:vMerge/>
            <w:tcBorders>
              <w:left w:val="single" w:sz="4" w:space="0" w:color="000000"/>
              <w:bottom w:val="nil" w:sz="6" w:space="0" w:color="auto"/>
              <w:right w:val="single" w:sz="4" w:space="0" w:color="000000"/>
            </w:tcBorders>
            <w:shd w:val="clear" w:color="auto" w:fill="D2D2D2"/>
          </w:tcPr>
          <w:p>
            <w:pPr/>
          </w:p>
        </w:tc>
        <w:tc>
          <w:tcPr>
            <w:tcW w:w="775" w:type="dxa"/>
            <w:vMerge/>
            <w:tcBorders>
              <w:left w:val="single" w:sz="4" w:space="0" w:color="000000"/>
              <w:right w:val="single" w:sz="4" w:space="0" w:color="000000"/>
            </w:tcBorders>
            <w:shd w:val="clear" w:color="auto" w:fill="D2D2D2"/>
          </w:tcPr>
          <w:p>
            <w:pPr/>
          </w:p>
        </w:tc>
      </w:tr>
      <w:tr>
        <w:trPr>
          <w:trHeight w:val="156" w:hRule="exact"/>
        </w:trPr>
        <w:tc>
          <w:tcPr>
            <w:tcW w:w="1618" w:type="dxa"/>
            <w:vMerge/>
            <w:tcBorders>
              <w:left w:val="single" w:sz="4" w:space="0" w:color="000000"/>
              <w:bottom w:val="nil" w:sz="6" w:space="0" w:color="auto"/>
              <w:right w:val="single" w:sz="4" w:space="0" w:color="000000"/>
            </w:tcBorders>
            <w:shd w:val="clear" w:color="auto" w:fill="D2D2D2"/>
          </w:tcPr>
          <w:p>
            <w:pPr/>
          </w:p>
        </w:tc>
        <w:tc>
          <w:tcPr>
            <w:tcW w:w="919" w:type="dxa"/>
            <w:vMerge/>
            <w:tcBorders>
              <w:left w:val="single" w:sz="4" w:space="0" w:color="000000"/>
              <w:right w:val="single" w:sz="4" w:space="0" w:color="000000"/>
            </w:tcBorders>
            <w:shd w:val="clear" w:color="auto" w:fill="D2D2D2"/>
          </w:tcPr>
          <w:p>
            <w:pPr/>
          </w:p>
        </w:tc>
        <w:tc>
          <w:tcPr>
            <w:tcW w:w="957"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2" w:type="dxa"/>
            <w:vMerge/>
            <w:tcBorders>
              <w:left w:val="single" w:sz="4" w:space="0" w:color="000000"/>
              <w:bottom w:val="nil" w:sz="6" w:space="0" w:color="auto"/>
              <w:right w:val="single" w:sz="4" w:space="0" w:color="000000"/>
            </w:tcBorders>
            <w:shd w:val="clear" w:color="auto" w:fill="D2D2D2"/>
          </w:tcPr>
          <w:p>
            <w:pPr/>
          </w:p>
        </w:tc>
        <w:tc>
          <w:tcPr>
            <w:tcW w:w="1091" w:type="dxa"/>
            <w:vMerge/>
            <w:tcBorders>
              <w:left w:val="single" w:sz="4" w:space="0" w:color="000000"/>
              <w:bottom w:val="nil" w:sz="6" w:space="0" w:color="auto"/>
              <w:right w:val="single" w:sz="4" w:space="0" w:color="000000"/>
            </w:tcBorders>
            <w:shd w:val="clear" w:color="auto" w:fill="D2D2D2"/>
          </w:tcPr>
          <w:p>
            <w:pPr/>
          </w:p>
        </w:tc>
        <w:tc>
          <w:tcPr>
            <w:tcW w:w="1029" w:type="dxa"/>
            <w:vMerge/>
            <w:tcBorders>
              <w:left w:val="single" w:sz="4" w:space="0" w:color="000000"/>
              <w:bottom w:val="nil" w:sz="6" w:space="0" w:color="auto"/>
              <w:right w:val="single" w:sz="4" w:space="0" w:color="000000"/>
            </w:tcBorders>
            <w:shd w:val="clear" w:color="auto" w:fill="D2D2D2"/>
          </w:tcPr>
          <w:p>
            <w:pPr/>
          </w:p>
        </w:tc>
        <w:tc>
          <w:tcPr>
            <w:tcW w:w="80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06" w:right="4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5" w:type="dxa"/>
            <w:vMerge/>
            <w:tcBorders>
              <w:left w:val="single" w:sz="4" w:space="0" w:color="000000"/>
              <w:right w:val="single" w:sz="4" w:space="0" w:color="000000"/>
            </w:tcBorders>
            <w:shd w:val="clear" w:color="auto" w:fill="D2D2D2"/>
          </w:tcPr>
          <w:p>
            <w:pPr/>
          </w:p>
        </w:tc>
      </w:tr>
      <w:tr>
        <w:trPr>
          <w:trHeight w:val="391" w:hRule="exact"/>
        </w:trPr>
        <w:tc>
          <w:tcPr>
            <w:tcW w:w="16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9" w:type="dxa"/>
            <w:vMerge/>
            <w:tcBorders>
              <w:left w:val="single" w:sz="4" w:space="0" w:color="000000"/>
              <w:right w:val="single" w:sz="4" w:space="0" w:color="000000"/>
            </w:tcBorders>
            <w:shd w:val="clear" w:color="auto" w:fill="D2D2D2"/>
          </w:tcPr>
          <w:p>
            <w:pPr/>
          </w:p>
        </w:tc>
        <w:tc>
          <w:tcPr>
            <w:tcW w:w="9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196" w:type="dxa"/>
            <w:vMerge/>
            <w:tcBorders>
              <w:left w:val="single" w:sz="4" w:space="0" w:color="000000"/>
              <w:right w:val="single" w:sz="4" w:space="0" w:color="000000"/>
            </w:tcBorders>
            <w:shd w:val="clear" w:color="auto" w:fill="D2D2D2"/>
          </w:tcPr>
          <w:p>
            <w:pPr/>
          </w:p>
        </w:tc>
        <w:tc>
          <w:tcPr>
            <w:tcW w:w="11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6"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6" w:type="dxa"/>
            <w:vMerge/>
            <w:tcBorders>
              <w:left w:val="single" w:sz="4" w:space="0" w:color="000000"/>
              <w:right w:val="single" w:sz="4" w:space="0" w:color="000000"/>
            </w:tcBorders>
            <w:shd w:val="clear" w:color="auto" w:fill="D2D2D2"/>
          </w:tcPr>
          <w:p>
            <w:pPr/>
          </w:p>
        </w:tc>
        <w:tc>
          <w:tcPr>
            <w:tcW w:w="775" w:type="dxa"/>
            <w:vMerge/>
            <w:tcBorders>
              <w:left w:val="single" w:sz="4" w:space="0" w:color="000000"/>
              <w:right w:val="single" w:sz="4" w:space="0" w:color="000000"/>
            </w:tcBorders>
            <w:shd w:val="clear" w:color="auto" w:fill="D2D2D2"/>
          </w:tcPr>
          <w:p>
            <w:pPr/>
          </w:p>
        </w:tc>
      </w:tr>
      <w:tr>
        <w:trPr>
          <w:trHeight w:val="156" w:hRule="exact"/>
        </w:trPr>
        <w:tc>
          <w:tcPr>
            <w:tcW w:w="1618" w:type="dxa"/>
            <w:vMerge w:val="restart"/>
            <w:tcBorders>
              <w:top w:val="nil" w:sz="6" w:space="0" w:color="auto"/>
              <w:left w:val="single" w:sz="4" w:space="0" w:color="000000"/>
              <w:right w:val="single" w:sz="4" w:space="0" w:color="000000"/>
            </w:tcBorders>
            <w:shd w:val="clear" w:color="auto" w:fill="D2D2D2"/>
          </w:tcPr>
          <w:p>
            <w:pPr/>
          </w:p>
        </w:tc>
        <w:tc>
          <w:tcPr>
            <w:tcW w:w="919" w:type="dxa"/>
            <w:vMerge/>
            <w:tcBorders>
              <w:left w:val="single" w:sz="4" w:space="0" w:color="000000"/>
              <w:right w:val="single" w:sz="4" w:space="0" w:color="000000"/>
            </w:tcBorders>
            <w:shd w:val="clear" w:color="auto" w:fill="D2D2D2"/>
          </w:tcPr>
          <w:p>
            <w:pPr/>
          </w:p>
        </w:tc>
        <w:tc>
          <w:tcPr>
            <w:tcW w:w="957"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2" w:type="dxa"/>
            <w:vMerge w:val="restart"/>
            <w:tcBorders>
              <w:top w:val="nil" w:sz="6" w:space="0" w:color="auto"/>
              <w:left w:val="single" w:sz="4" w:space="0" w:color="000000"/>
              <w:right w:val="single" w:sz="4" w:space="0" w:color="000000"/>
            </w:tcBorders>
            <w:shd w:val="clear" w:color="auto" w:fill="D2D2D2"/>
          </w:tcPr>
          <w:p>
            <w:pPr/>
          </w:p>
        </w:tc>
        <w:tc>
          <w:tcPr>
            <w:tcW w:w="1091" w:type="dxa"/>
            <w:vMerge w:val="restart"/>
            <w:tcBorders>
              <w:top w:val="nil" w:sz="6" w:space="0" w:color="auto"/>
              <w:left w:val="single" w:sz="4" w:space="0" w:color="000000"/>
              <w:right w:val="single" w:sz="4" w:space="0" w:color="000000"/>
            </w:tcBorders>
            <w:shd w:val="clear" w:color="auto" w:fill="D2D2D2"/>
          </w:tcPr>
          <w:p>
            <w:pPr/>
          </w:p>
        </w:tc>
        <w:tc>
          <w:tcPr>
            <w:tcW w:w="1029" w:type="dxa"/>
            <w:vMerge w:val="restart"/>
            <w:tcBorders>
              <w:top w:val="nil" w:sz="6" w:space="0" w:color="auto"/>
              <w:left w:val="single" w:sz="4" w:space="0" w:color="000000"/>
              <w:right w:val="single" w:sz="4" w:space="0" w:color="000000"/>
            </w:tcBorders>
            <w:shd w:val="clear" w:color="auto" w:fill="D2D2D2"/>
          </w:tcPr>
          <w:p>
            <w:pPr/>
          </w:p>
        </w:tc>
        <w:tc>
          <w:tcPr>
            <w:tcW w:w="806" w:type="dxa"/>
            <w:vMerge/>
            <w:tcBorders>
              <w:left w:val="single" w:sz="4" w:space="0" w:color="000000"/>
              <w:bottom w:val="nil" w:sz="6" w:space="0" w:color="auto"/>
              <w:right w:val="single" w:sz="4" w:space="0" w:color="000000"/>
            </w:tcBorders>
            <w:shd w:val="clear" w:color="auto" w:fill="D2D2D2"/>
          </w:tcPr>
          <w:p>
            <w:pPr/>
          </w:p>
        </w:tc>
        <w:tc>
          <w:tcPr>
            <w:tcW w:w="775" w:type="dxa"/>
            <w:vMerge/>
            <w:tcBorders>
              <w:left w:val="single" w:sz="4" w:space="0" w:color="000000"/>
              <w:right w:val="single" w:sz="4" w:space="0" w:color="000000"/>
            </w:tcBorders>
            <w:shd w:val="clear" w:color="auto" w:fill="D2D2D2"/>
          </w:tcPr>
          <w:p>
            <w:pPr/>
          </w:p>
        </w:tc>
      </w:tr>
      <w:tr>
        <w:trPr>
          <w:trHeight w:val="156" w:hRule="exact"/>
        </w:trPr>
        <w:tc>
          <w:tcPr>
            <w:tcW w:w="1618" w:type="dxa"/>
            <w:vMerge/>
            <w:tcBorders>
              <w:left w:val="single" w:sz="4" w:space="0" w:color="000000"/>
              <w:right w:val="single" w:sz="4" w:space="0" w:color="000000"/>
            </w:tcBorders>
            <w:shd w:val="clear" w:color="auto" w:fill="D2D2D2"/>
          </w:tcPr>
          <w:p>
            <w:pPr/>
          </w:p>
        </w:tc>
        <w:tc>
          <w:tcPr>
            <w:tcW w:w="919" w:type="dxa"/>
            <w:vMerge/>
            <w:tcBorders>
              <w:left w:val="single" w:sz="4" w:space="0" w:color="000000"/>
              <w:bottom w:val="nil" w:sz="6" w:space="0" w:color="auto"/>
              <w:right w:val="single" w:sz="4" w:space="0" w:color="000000"/>
            </w:tcBorders>
            <w:shd w:val="clear" w:color="auto" w:fill="D2D2D2"/>
          </w:tcPr>
          <w:p>
            <w:pPr/>
          </w:p>
        </w:tc>
        <w:tc>
          <w:tcPr>
            <w:tcW w:w="95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2" w:type="dxa"/>
            <w:vMerge/>
            <w:tcBorders>
              <w:left w:val="single" w:sz="4" w:space="0" w:color="000000"/>
              <w:right w:val="single" w:sz="4" w:space="0" w:color="000000"/>
            </w:tcBorders>
            <w:shd w:val="clear" w:color="auto" w:fill="D2D2D2"/>
          </w:tcPr>
          <w:p>
            <w:pPr/>
          </w:p>
        </w:tc>
        <w:tc>
          <w:tcPr>
            <w:tcW w:w="1091" w:type="dxa"/>
            <w:vMerge/>
            <w:tcBorders>
              <w:left w:val="single" w:sz="4" w:space="0" w:color="000000"/>
              <w:right w:val="single" w:sz="4" w:space="0" w:color="000000"/>
            </w:tcBorders>
            <w:shd w:val="clear" w:color="auto" w:fill="D2D2D2"/>
          </w:tcPr>
          <w:p>
            <w:pPr/>
          </w:p>
        </w:tc>
        <w:tc>
          <w:tcPr>
            <w:tcW w:w="1029" w:type="dxa"/>
            <w:vMerge/>
            <w:tcBorders>
              <w:left w:val="single" w:sz="4" w:space="0" w:color="000000"/>
              <w:right w:val="single" w:sz="4" w:space="0" w:color="000000"/>
            </w:tcBorders>
            <w:shd w:val="clear" w:color="auto" w:fill="D2D2D2"/>
          </w:tcPr>
          <w:p>
            <w:pPr/>
          </w:p>
        </w:tc>
        <w:tc>
          <w:tcPr>
            <w:tcW w:w="806"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right w:val="single" w:sz="4" w:space="0" w:color="000000"/>
            </w:tcBorders>
            <w:shd w:val="clear" w:color="auto" w:fill="D2D2D2"/>
          </w:tcPr>
          <w:p>
            <w:pPr/>
          </w:p>
        </w:tc>
      </w:tr>
      <w:tr>
        <w:trPr>
          <w:trHeight w:val="166" w:hRule="exact"/>
        </w:trPr>
        <w:tc>
          <w:tcPr>
            <w:tcW w:w="1618" w:type="dxa"/>
            <w:vMerge/>
            <w:tcBorders>
              <w:left w:val="single" w:sz="4" w:space="0" w:color="000000"/>
              <w:bottom w:val="single" w:sz="4" w:space="0" w:color="000000"/>
              <w:right w:val="single" w:sz="4" w:space="0" w:color="000000"/>
            </w:tcBorders>
            <w:shd w:val="clear" w:color="auto" w:fill="D2D2D2"/>
          </w:tcPr>
          <w:p>
            <w:pPr/>
          </w:p>
        </w:tc>
        <w:tc>
          <w:tcPr>
            <w:tcW w:w="919" w:type="dxa"/>
            <w:tcBorders>
              <w:top w:val="nil" w:sz="6" w:space="0" w:color="auto"/>
              <w:left w:val="single" w:sz="4" w:space="0" w:color="000000"/>
              <w:bottom w:val="single" w:sz="4" w:space="0" w:color="000000"/>
              <w:right w:val="single" w:sz="4" w:space="0" w:color="000000"/>
            </w:tcBorders>
            <w:shd w:val="clear" w:color="auto" w:fill="D2D2D2"/>
          </w:tcPr>
          <w:p>
            <w:pPr/>
          </w:p>
        </w:tc>
        <w:tc>
          <w:tcPr>
            <w:tcW w:w="95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2" w:type="dxa"/>
            <w:vMerge/>
            <w:tcBorders>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1029" w:type="dxa"/>
            <w:vMerge/>
            <w:tcBorders>
              <w:left w:val="single" w:sz="4" w:space="0" w:color="000000"/>
              <w:bottom w:val="single" w:sz="4" w:space="0" w:color="000000"/>
              <w:right w:val="single" w:sz="4" w:space="0" w:color="000000"/>
            </w:tcBorders>
            <w:shd w:val="clear" w:color="auto" w:fill="D2D2D2"/>
          </w:tcPr>
          <w:p>
            <w:pPr/>
          </w:p>
        </w:tc>
        <w:tc>
          <w:tcPr>
            <w:tcW w:w="806" w:type="dxa"/>
            <w:vMerge/>
            <w:tcBorders>
              <w:left w:val="single" w:sz="4" w:space="0" w:color="000000"/>
              <w:bottom w:val="single" w:sz="4" w:space="0" w:color="000000"/>
              <w:right w:val="single" w:sz="4" w:space="0" w:color="000000"/>
            </w:tcBorders>
            <w:shd w:val="clear" w:color="auto" w:fill="D2D2D2"/>
          </w:tcPr>
          <w:p>
            <w:pPr/>
          </w:p>
        </w:tc>
        <w:tc>
          <w:tcPr>
            <w:tcW w:w="775"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5" w:hRule="exact"/>
        </w:trPr>
        <w:tc>
          <w:tcPr>
            <w:tcW w:w="25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53" w:type="dxa"/>
            <w:gridSpan w:val="2"/>
            <w:tcBorders>
              <w:top w:val="single" w:sz="4" w:space="0" w:color="000000"/>
              <w:left w:val="single" w:sz="10" w:space="0" w:color="D2D2D2"/>
              <w:bottom w:val="single" w:sz="4" w:space="0" w:color="000000"/>
              <w:right w:val="single" w:sz="14"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5,000</w:t>
            </w:r>
          </w:p>
        </w:tc>
        <w:tc>
          <w:tcPr>
            <w:tcW w:w="22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4"/>
              <w:ind w:left="2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8" w:hRule="exact"/>
        </w:trPr>
        <w:tc>
          <w:tcPr>
            <w:tcW w:w="469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883"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31.41%</w:t>
            </w:r>
          </w:p>
        </w:tc>
      </w:tr>
      <w:tr>
        <w:trPr>
          <w:trHeight w:val="39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9" w:hRule="exact"/>
        </w:trPr>
        <w:tc>
          <w:tcPr>
            <w:tcW w:w="469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13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83"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469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83"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5,000</w:t>
            </w:r>
          </w:p>
        </w:tc>
      </w:tr>
    </w:tbl>
    <w:p>
      <w:pPr>
        <w:pStyle w:val="BodyText"/>
        <w:spacing w:line="357" w:lineRule="auto" w:before="49"/>
        <w:ind w:right="8054"/>
        <w:jc w:val="left"/>
      </w:pPr>
      <w:r>
        <w:rPr/>
        <w:t>采用复合方式担保的具体情况说明 无</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r>
        <w:rPr/>
        <w:t>六、承诺事项履行情况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、公司或持股</w:t>
      </w:r>
      <w:r>
        <w:rPr>
          <w:spacing w:val="-55"/>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2588" w:hRule="exact"/>
        </w:trPr>
        <w:tc>
          <w:tcPr>
            <w:tcW w:w="3195"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青岛亚星实业 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、禁售承诺： 股权分置改革 完成后所持深 大通股份在获 得上市流通权 之日起三十六 个月内不上市 交易或者转让。</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408" w:hRule="exact"/>
        </w:trPr>
        <w:tc>
          <w:tcPr>
            <w:tcW w:w="3195"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3"/>
                <w:szCs w:val="13"/>
              </w:rPr>
            </w:pPr>
          </w:p>
          <w:p>
            <w:pPr>
              <w:pStyle w:val="TableParagraph"/>
              <w:spacing w:line="316" w:lineRule="auto"/>
              <w:ind w:left="18" w:right="158"/>
              <w:jc w:val="left"/>
              <w:rPr>
                <w:rFonts w:ascii="宋体" w:hAnsi="宋体" w:cs="宋体" w:eastAsia="宋体" w:hint="default"/>
                <w:sz w:val="18"/>
                <w:szCs w:val="18"/>
              </w:rPr>
            </w:pPr>
            <w:r>
              <w:rPr>
                <w:rFonts w:ascii="宋体" w:hAnsi="宋体" w:cs="宋体" w:eastAsia="宋体" w:hint="default"/>
                <w:sz w:val="18"/>
                <w:szCs w:val="18"/>
              </w:rPr>
              <w:t>青岛亚星实业 有限公司</w:t>
            </w:r>
          </w:p>
        </w:tc>
        <w:tc>
          <w:tcPr>
            <w:tcW w:w="1277"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、提议向深大 通注入亚星实 业相关房地产 开发业务资产 </w:t>
            </w:r>
            <w:r>
              <w:rPr>
                <w:rFonts w:ascii="宋体" w:hAnsi="宋体" w:cs="宋体" w:eastAsia="宋体" w:hint="default"/>
                <w:spacing w:val="-6"/>
                <w:sz w:val="18"/>
                <w:szCs w:val="18"/>
              </w:rPr>
              <w:t>的承诺：为解决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亚星实业与深 大通将来产生 </w:t>
            </w:r>
            <w:r>
              <w:rPr>
                <w:rFonts w:ascii="宋体" w:hAnsi="宋体" w:cs="宋体" w:eastAsia="宋体" w:hint="default"/>
                <w:spacing w:val="-6"/>
                <w:sz w:val="18"/>
                <w:szCs w:val="18"/>
              </w:rPr>
              <w:t>的同业竞争，亚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星实业承诺在 深大通相关股 东会议通过股 权分置改革方</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尚未履行完毕</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4" w:type="dxa"/>
            <w:vMerge/>
            <w:tcBorders>
              <w:left w:val="single" w:sz="9"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2996"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9"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7"/>
        <w:gridCol w:w="1277"/>
        <w:gridCol w:w="1277"/>
        <w:gridCol w:w="1272"/>
      </w:tblGrid>
      <w:tr>
        <w:trPr>
          <w:trHeight w:val="5355"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23" w:right="19"/>
              <w:jc w:val="left"/>
              <w:rPr>
                <w:rFonts w:ascii="宋体" w:hAnsi="宋体" w:cs="宋体" w:eastAsia="宋体" w:hint="default"/>
                <w:sz w:val="18"/>
                <w:szCs w:val="18"/>
              </w:rPr>
            </w:pPr>
            <w:r>
              <w:rPr>
                <w:rFonts w:ascii="宋体" w:hAnsi="宋体" w:cs="宋体" w:eastAsia="宋体" w:hint="default"/>
                <w:sz w:val="18"/>
                <w:szCs w:val="18"/>
              </w:rPr>
              <w:t>案且方正延中 传媒有限公司 将其所持深大 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万股股 份转让给亚星 实业的过户手 续办理完毕后 </w:t>
            </w:r>
            <w:r>
              <w:rPr>
                <w:rFonts w:ascii="宋体" w:hAnsi="宋体" w:cs="宋体" w:eastAsia="宋体" w:hint="default"/>
                <w:spacing w:val="-6"/>
                <w:sz w:val="18"/>
                <w:szCs w:val="18"/>
              </w:rPr>
              <w:t>三个月内，就与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深大通可能产 生同业竞争的 全部相关资产 以市场公允价 格注入深大通 事宜召开董事 会议并提交深 大通临时股东 大会审议</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8475"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4" w:lineRule="auto"/>
              <w:ind w:left="24" w:right="158"/>
              <w:jc w:val="left"/>
              <w:rPr>
                <w:rFonts w:ascii="宋体" w:hAnsi="宋体" w:cs="宋体" w:eastAsia="宋体" w:hint="default"/>
                <w:sz w:val="18"/>
                <w:szCs w:val="18"/>
              </w:rPr>
            </w:pPr>
            <w:r>
              <w:rPr>
                <w:rFonts w:ascii="宋体" w:hAnsi="宋体" w:cs="宋体" w:eastAsia="宋体" w:hint="default"/>
                <w:sz w:val="18"/>
                <w:szCs w:val="18"/>
              </w:rPr>
              <w:t>青岛亚星实业 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、向全体股东 转增股本的承 </w:t>
            </w:r>
            <w:r>
              <w:rPr>
                <w:rFonts w:ascii="宋体" w:hAnsi="宋体" w:cs="宋体" w:eastAsia="宋体" w:hint="default"/>
                <w:spacing w:val="-6"/>
                <w:sz w:val="18"/>
                <w:szCs w:val="18"/>
              </w:rPr>
              <w:t>诺：在亚星实业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将可能与深大 通产生同业竞 争的全部相关 资产注入深大 通且资产过户 相关手续办理 </w:t>
            </w:r>
            <w:r>
              <w:rPr>
                <w:rFonts w:ascii="宋体" w:hAnsi="宋体" w:cs="宋体" w:eastAsia="宋体" w:hint="default"/>
                <w:spacing w:val="-6"/>
                <w:sz w:val="18"/>
                <w:szCs w:val="18"/>
              </w:rPr>
              <w:t>完毕后（指经中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国证券监督管 理委员会批准 资产注入方案 并办理完注入 资产的过户手 </w:t>
            </w:r>
            <w:r>
              <w:rPr>
                <w:rFonts w:ascii="宋体" w:hAnsi="宋体" w:cs="宋体" w:eastAsia="宋体" w:hint="default"/>
                <w:spacing w:val="-14"/>
                <w:sz w:val="18"/>
                <w:szCs w:val="18"/>
              </w:rPr>
              <w:t>续），亚星实业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将在深大通公 布最近一期年 度或半年度审 计报告时提出 向全体股东每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w:t>
            </w:r>
            <w:r>
              <w:rPr>
                <w:rFonts w:ascii="宋体" w:hAnsi="宋体" w:cs="宋体" w:eastAsia="宋体" w:hint="default"/>
                <w:spacing w:val="-6"/>
                <w:sz w:val="18"/>
                <w:szCs w:val="18"/>
              </w:rPr>
              <w:t>的议案；若相关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手续（指经中国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证券监督管理 委员会批准资 产注入方案并</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4" w:lineRule="auto"/>
              <w:ind w:left="23" w:right="156"/>
              <w:jc w:val="left"/>
              <w:rPr>
                <w:rFonts w:ascii="宋体" w:hAnsi="宋体" w:cs="宋体" w:eastAsia="宋体" w:hint="default"/>
                <w:sz w:val="18"/>
                <w:szCs w:val="18"/>
              </w:rPr>
            </w:pPr>
            <w:r>
              <w:rPr>
                <w:rFonts w:ascii="宋体" w:hAnsi="宋体" w:cs="宋体" w:eastAsia="宋体" w:hint="default"/>
                <w:sz w:val="18"/>
                <w:szCs w:val="18"/>
              </w:rPr>
              <w:t>尚未触发履行 条件。</w:t>
            </w:r>
          </w:p>
        </w:tc>
      </w:tr>
    </w:tbl>
    <w:p>
      <w:pPr>
        <w:spacing w:after="0" w:line="314" w:lineRule="auto"/>
        <w:jc w:val="left"/>
        <w:rPr>
          <w:rFonts w:ascii="宋体" w:hAnsi="宋体" w:cs="宋体" w:eastAsia="宋体" w:hint="default"/>
          <w:sz w:val="18"/>
          <w:szCs w:val="18"/>
        </w:rPr>
        <w:sectPr>
          <w:pgSz w:w="11910" w:h="16840"/>
          <w:pgMar w:header="877" w:footer="1340" w:top="1060" w:bottom="15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7"/>
        <w:gridCol w:w="1277"/>
        <w:gridCol w:w="1277"/>
        <w:gridCol w:w="1272"/>
      </w:tblGrid>
      <w:tr>
        <w:trPr>
          <w:trHeight w:val="9100" w:hRule="exact"/>
        </w:trPr>
        <w:tc>
          <w:tcPr>
            <w:tcW w:w="3194" w:type="dxa"/>
            <w:vMerge w:val="restart"/>
            <w:tcBorders>
              <w:top w:val="single" w:sz="4" w:space="0" w:color="000000"/>
              <w:left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办理完注入资 产的过户手续） 在该年度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w:t>
            </w:r>
            <w:r>
              <w:rPr>
                <w:rFonts w:ascii="宋体" w:hAnsi="宋体" w:cs="宋体" w:eastAsia="宋体" w:hint="default"/>
                <w:spacing w:val="-6"/>
                <w:sz w:val="18"/>
                <w:szCs w:val="18"/>
              </w:rPr>
              <w:t>前办理完毕，转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增方案将在公 布该年度的半 年度审计报告 </w:t>
            </w:r>
            <w:r>
              <w:rPr>
                <w:rFonts w:ascii="宋体" w:hAnsi="宋体" w:cs="宋体" w:eastAsia="宋体" w:hint="default"/>
                <w:spacing w:val="-6"/>
                <w:sz w:val="18"/>
                <w:szCs w:val="18"/>
              </w:rPr>
              <w:t>时提出；若相关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手续（指经中国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证券监督管理 委员会批准资 产注入方案并 办理完注入资 产的过户手续） 在该会计年度</w:t>
            </w:r>
          </w:p>
          <w:p>
            <w:pPr>
              <w:pStyle w:val="TableParagraph"/>
              <w:spacing w:line="240" w:lineRule="auto" w:before="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日至</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314"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日办理完 </w:t>
            </w:r>
            <w:r>
              <w:rPr>
                <w:rFonts w:ascii="宋体" w:hAnsi="宋体" w:cs="宋体" w:eastAsia="宋体" w:hint="default"/>
                <w:spacing w:val="-6"/>
                <w:sz w:val="18"/>
                <w:szCs w:val="18"/>
              </w:rPr>
              <w:t>毕，转增方案将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在公布该年度 的年度审计报 </w:t>
            </w:r>
            <w:r>
              <w:rPr>
                <w:rFonts w:ascii="宋体" w:hAnsi="宋体" w:cs="宋体" w:eastAsia="宋体" w:hint="default"/>
                <w:spacing w:val="-6"/>
                <w:sz w:val="18"/>
                <w:szCs w:val="18"/>
              </w:rPr>
              <w:t>告时提出。亚星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实业保证在深 大通股东大会 表决时对该议 </w:t>
            </w:r>
            <w:r>
              <w:rPr>
                <w:rFonts w:ascii="宋体" w:hAnsi="宋体" w:cs="宋体" w:eastAsia="宋体" w:hint="default"/>
                <w:spacing w:val="-6"/>
                <w:sz w:val="18"/>
                <w:szCs w:val="18"/>
              </w:rPr>
              <w:t>案投赞成票，保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证在股东大会 通过后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个工 作日内实施。</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r>
      <w:tr>
        <w:trPr>
          <w:trHeight w:val="4731" w:hRule="exact"/>
        </w:trPr>
        <w:tc>
          <w:tcPr>
            <w:tcW w:w="319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其他非流通股 </w:t>
            </w:r>
            <w:r>
              <w:rPr>
                <w:rFonts w:ascii="宋体" w:hAnsi="宋体" w:cs="宋体" w:eastAsia="宋体" w:hint="default"/>
                <w:spacing w:val="-7"/>
                <w:sz w:val="18"/>
                <w:szCs w:val="18"/>
              </w:rPr>
              <w:t>股东（青岛亚星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实业有限公司 以外）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本次股权分置 改革完成后所 持深大通股份 在深大通股票 恢复上市交易 之日起十二个 月内不上市交 </w:t>
            </w:r>
            <w:r>
              <w:rPr>
                <w:rFonts w:ascii="宋体" w:hAnsi="宋体" w:cs="宋体" w:eastAsia="宋体" w:hint="default"/>
                <w:spacing w:val="-6"/>
                <w:sz w:val="18"/>
                <w:szCs w:val="18"/>
              </w:rPr>
              <w:t>易或者转让；在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上述承诺期期 </w:t>
            </w:r>
            <w:r>
              <w:rPr>
                <w:rFonts w:ascii="宋体" w:hAnsi="宋体" w:cs="宋体" w:eastAsia="宋体" w:hint="default"/>
                <w:spacing w:val="-6"/>
                <w:sz w:val="18"/>
                <w:szCs w:val="18"/>
              </w:rPr>
              <w:t>满后，通过深圳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证券交易所挂 牌交易出售股 </w:t>
            </w:r>
            <w:r>
              <w:rPr>
                <w:rFonts w:ascii="宋体" w:hAnsi="宋体" w:cs="宋体" w:eastAsia="宋体" w:hint="default"/>
                <w:spacing w:val="-6"/>
                <w:sz w:val="18"/>
                <w:szCs w:val="18"/>
              </w:rPr>
              <w:t>份，出售数量占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公司股份总数 的比例在十二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1274"/>
        <w:gridCol w:w="1277"/>
        <w:gridCol w:w="1277"/>
        <w:gridCol w:w="1277"/>
        <w:gridCol w:w="1270"/>
      </w:tblGrid>
      <w:tr>
        <w:trPr>
          <w:trHeight w:val="1299"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个月内不超过 </w:t>
            </w:r>
            <w:r>
              <w:rPr>
                <w:rFonts w:ascii="宋体" w:hAnsi="宋体" w:cs="宋体" w:eastAsia="宋体" w:hint="default"/>
                <w:spacing w:val="-6"/>
                <w:sz w:val="18"/>
                <w:szCs w:val="18"/>
              </w:rPr>
              <w:t>百分之五，在二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十四个月内不 超出百分之十。</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14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4"/>
              <w:jc w:val="left"/>
              <w:rPr>
                <w:rFonts w:ascii="宋体" w:hAnsi="宋体" w:cs="宋体" w:eastAsia="宋体" w:hint="default"/>
                <w:sz w:val="18"/>
                <w:szCs w:val="18"/>
              </w:rPr>
            </w:pPr>
            <w:r>
              <w:rPr>
                <w:rFonts w:ascii="宋体" w:hAnsi="宋体" w:cs="宋体" w:eastAsia="宋体" w:hint="default"/>
                <w:spacing w:val="-3"/>
                <w:sz w:val="18"/>
                <w:szCs w:val="18"/>
              </w:rPr>
              <w:t>“提议向深大通注入亚星实业相关房地产开发业务资产的承诺”，亚星实业于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月向深大通董事会提出《关于公司发行股份购买资产具体方案的议案》 等将可能产生同业竞争的全部资产注入深大通的议案，并提议召开股东大会。公 司董事会于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日召开第六届第二十五次董事会审议该事项，未获通 过。后因国家房地产宏观调控及证监会暂停审核房地产企业的增发融资及重大资 产重组事项等原因，亚星实业注入深大通可能产生同业竞争的全部资产的工作暂 </w:t>
            </w:r>
            <w:r>
              <w:rPr>
                <w:rFonts w:ascii="宋体" w:hAnsi="宋体" w:cs="宋体" w:eastAsia="宋体" w:hint="default"/>
                <w:spacing w:val="-5"/>
                <w:sz w:val="18"/>
                <w:szCs w:val="18"/>
              </w:rPr>
              <w:t>时中断。“向全体股东转增股本的承诺”，本承诺实施的条件为在亚星实业将可能</w:t>
            </w:r>
            <w:r>
              <w:rPr>
                <w:rFonts w:ascii="宋体" w:hAnsi="宋体" w:cs="宋体" w:eastAsia="宋体" w:hint="default"/>
                <w:sz w:val="18"/>
                <w:szCs w:val="18"/>
              </w:rPr>
              <w:t> 与深大通产生同业竞争的全部相关资产注入深大通且资产过户相关手续办理完毕 后。目前，尚未触发履行条件。受到近年来国家房地产宏观调控政策和证监会暂 停审核房地产企业的增发融资及重大资产重组事项的影响，公司目前无法进行房 地产开发业务资产注入。公司将积极关注相关政策的变化，在政策许可时，及时</w:t>
            </w:r>
          </w:p>
          <w:p>
            <w:pPr>
              <w:pStyle w:val="TableParagraph"/>
              <w:spacing w:line="319" w:lineRule="auto" w:before="20"/>
              <w:ind w:left="24" w:right="-49"/>
              <w:jc w:val="left"/>
              <w:rPr>
                <w:rFonts w:ascii="宋体" w:hAnsi="宋体" w:cs="宋体" w:eastAsia="宋体" w:hint="default"/>
                <w:sz w:val="18"/>
                <w:szCs w:val="18"/>
              </w:rPr>
            </w:pPr>
            <w:r>
              <w:rPr>
                <w:rFonts w:ascii="宋体" w:hAnsi="宋体" w:cs="宋体" w:eastAsia="宋体" w:hint="default"/>
                <w:spacing w:val="-3"/>
                <w:sz w:val="18"/>
                <w:szCs w:val="18"/>
              </w:rPr>
              <w:t>推进“向深大通注入亚星实业相关房地产开发业务资产的承诺”。并在此基础上，</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在触发履行条件时，积极推进向全体股东转增股本的有关工作。</w:t>
            </w:r>
          </w:p>
        </w:tc>
      </w:tr>
    </w:tbl>
    <w:p>
      <w:pPr>
        <w:spacing w:line="240" w:lineRule="auto" w:before="6"/>
        <w:rPr>
          <w:rFonts w:ascii="Times New Roman" w:hAnsi="Times New Roman" w:cs="Times New Roman" w:eastAsia="Times New Roman" w:hint="default"/>
          <w:sz w:val="20"/>
          <w:szCs w:val="20"/>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七、聘任、解聘会计师事务所情况</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李泽浩、李东安</w:t>
            </w:r>
          </w:p>
        </w:tc>
      </w:tr>
    </w:tbl>
    <w:p>
      <w:pPr>
        <w:pStyle w:val="BodyText"/>
        <w:spacing w:line="240" w:lineRule="auto" w:before="49"/>
        <w:ind w:right="0"/>
        <w:jc w:val="left"/>
      </w:pPr>
      <w:r>
        <w:rPr/>
        <w:t>当期是否改聘会计师事务所</w:t>
      </w:r>
    </w:p>
    <w:p>
      <w:pPr>
        <w:pStyle w:val="BodyText"/>
        <w:spacing w:line="357" w:lineRule="auto" w:before="118"/>
        <w:ind w:right="6254"/>
        <w:jc w:val="left"/>
      </w:pPr>
      <w:r>
        <w:rPr/>
        <w:t>□ 是 √</w:t>
      </w:r>
      <w:r>
        <w:rPr>
          <w:spacing w:val="3"/>
        </w:rPr>
        <w:t> </w:t>
      </w:r>
      <w:r>
        <w:rPr/>
        <w:t>否</w:t>
      </w:r>
      <w:r>
        <w:rPr/>
        <w:t> 聘请内部控制审计会计师事务所、财务顾问或保荐人情况</w:t>
      </w:r>
    </w:p>
    <w:p>
      <w:pPr>
        <w:pStyle w:val="BodyText"/>
        <w:spacing w:line="360" w:lineRule="auto" w:before="29"/>
        <w:ind w:right="4994"/>
        <w:jc w:val="left"/>
      </w:pPr>
      <w:r>
        <w:rPr/>
        <w:t>√ 适用 □</w:t>
      </w:r>
      <w:r>
        <w:rPr>
          <w:spacing w:val="3"/>
        </w:rPr>
        <w:t> </w:t>
      </w:r>
      <w:r>
        <w:rPr/>
        <w:t>不适用</w:t>
      </w:r>
      <w:r>
        <w:rPr/>
        <w:t> 公司因恢复上市申请工作，聘请世纪证券有限责任公司为保荐机构机构。</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八、处罚及整改情况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6"/>
        <w:gridCol w:w="1368"/>
        <w:gridCol w:w="1367"/>
        <w:gridCol w:w="1367"/>
      </w:tblGrid>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4"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9"/>
        <w:rPr>
          <w:rFonts w:ascii="宋体" w:hAnsi="宋体" w:cs="宋体" w:eastAsia="宋体" w:hint="default"/>
          <w:b/>
          <w:bCs/>
          <w:sz w:val="25"/>
          <w:szCs w:val="25"/>
        </w:rPr>
      </w:pPr>
    </w:p>
    <w:p>
      <w:pPr>
        <w:pStyle w:val="BodyText"/>
        <w:spacing w:line="240" w:lineRule="auto" w:before="44"/>
        <w:ind w:right="0"/>
        <w:jc w:val="left"/>
      </w:pPr>
      <w:r>
        <w:rPr/>
        <w:t>整改情况说明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0"/>
        <w:jc w:val="left"/>
      </w:pPr>
      <w:r>
        <w:rPr/>
        <w:t>董事、监事、高级管理人员、持股</w:t>
      </w:r>
      <w:r>
        <w:rPr>
          <w:spacing w:val="-45"/>
        </w:rPr>
        <w:t> </w:t>
      </w:r>
      <w:r>
        <w:rPr>
          <w:rFonts w:ascii="Times New Roman" w:hAnsi="Times New Roman" w:cs="Times New Roman" w:eastAsia="Times New Roman" w:hint="default"/>
        </w:rPr>
        <w:t>5%</w:t>
      </w:r>
      <w:r>
        <w:rPr/>
        <w:t>以上的股东涉嫌违规买卖公司股票且公司已披露将收回涉嫌违规所得收益的情况</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九、其他重大事项的说明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0"/>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日，经深圳证券交易所上市委员会召开的第七届上市委员会第十七次工作会议审议，本公司股票恢复上市申请</w:t>
      </w:r>
      <w:r>
        <w:rPr>
          <w:spacing w:val="-60"/>
        </w:rPr>
        <w:t> </w:t>
      </w:r>
      <w:r>
        <w:rPr>
          <w:spacing w:val="-60"/>
        </w:rPr>
      </w:r>
      <w:r>
        <w:rPr>
          <w:spacing w:val="-2"/>
        </w:rPr>
        <w:t>事项获得审议通过。</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日，本公司收到深圳证券交易所的《关于同意深圳大通实业股份有限公司股票恢复上市的</w:t>
      </w:r>
      <w:r>
        <w:rPr>
          <w:spacing w:val="-59"/>
        </w:rPr>
        <w:t> </w:t>
      </w:r>
      <w:r>
        <w:rPr>
          <w:spacing w:val="-59"/>
        </w:rPr>
      </w:r>
      <w:r>
        <w:rPr/>
        <w:t>决定》（深证上</w:t>
      </w:r>
      <w:r>
        <w:rPr>
          <w:rFonts w:ascii="Times New Roman" w:hAnsi="Times New Roman" w:cs="Times New Roman" w:eastAsia="Times New Roman" w:hint="default"/>
        </w:rPr>
        <w:t>[2012]474</w:t>
      </w:r>
      <w:r>
        <w:rPr/>
        <w:t>号），决定核准本公司股票恢复上市。经公司申请并经深圳交易所同意，公司股票自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8 </w:t>
      </w:r>
      <w:r>
        <w:rPr/>
        <w:t>日起恢复上市，公司股票简称</w:t>
      </w:r>
      <w:r>
        <w:rPr>
          <w:rFonts w:ascii="Times New Roman" w:hAnsi="Times New Roman" w:cs="Times New Roman" w:eastAsia="Times New Roman" w:hint="default"/>
        </w:rPr>
        <w:t>“*ST</w:t>
      </w:r>
      <w:r>
        <w:rPr/>
        <w:t>大通</w:t>
      </w:r>
      <w:r>
        <w:rPr>
          <w:rFonts w:ascii="Times New Roman" w:hAnsi="Times New Roman" w:cs="Times New Roman" w:eastAsia="Times New Roman" w:hint="default"/>
        </w:rPr>
        <w:t>”</w:t>
      </w:r>
      <w:r>
        <w:rPr/>
        <w:t>、证券代码</w:t>
      </w:r>
      <w:r>
        <w:rPr>
          <w:rFonts w:ascii="Times New Roman" w:hAnsi="Times New Roman" w:cs="Times New Roman" w:eastAsia="Times New Roman" w:hint="default"/>
        </w:rPr>
        <w:t>“000038”</w:t>
      </w:r>
      <w:r>
        <w:rPr/>
        <w:t>保持不变。根据相关规定，公司于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w:t>
      </w:r>
      <w:r>
        <w:rPr/>
        <w:t>日向深圳证券交 </w:t>
      </w:r>
      <w:r>
        <w:rPr>
          <w:spacing w:val="-2"/>
        </w:rPr>
        <w:t>易所提交了撤销对公司股票实施退市风险警示的申请。经深圳证券交易所审核批准，自</w:t>
      </w:r>
      <w:r>
        <w:rPr/>
        <w:t> </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14</w:t>
      </w:r>
      <w:r>
        <w:rPr>
          <w:spacing w:val="-1"/>
        </w:rPr>
        <w:t>日起撤销本公司股票交</w:t>
      </w:r>
      <w:r>
        <w:rPr>
          <w:spacing w:val="-78"/>
        </w:rPr>
        <w:t> </w:t>
      </w:r>
      <w:r>
        <w:rPr>
          <w:spacing w:val="-78"/>
        </w:rPr>
      </w:r>
      <w:r>
        <w:rPr/>
        <w:t>易的退市风险警示。公司股票于 </w:t>
      </w: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日停牌一天，于 </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14</w:t>
      </w:r>
      <w:r>
        <w:rPr>
          <w:rFonts w:ascii="Times New Roman" w:hAnsi="Times New Roman" w:cs="Times New Roman" w:eastAsia="Times New Roman" w:hint="default"/>
          <w:spacing w:val="32"/>
        </w:rPr>
        <w:t> </w:t>
      </w:r>
      <w:r>
        <w:rPr/>
        <w:t>日起恢复正常交易。公司证券简称由</w:t>
      </w:r>
      <w:r>
        <w:rPr>
          <w:rFonts w:ascii="Times New Roman" w:hAnsi="Times New Roman" w:cs="Times New Roman" w:eastAsia="Times New Roman" w:hint="default"/>
        </w:rPr>
        <w:t>“*ST</w:t>
      </w:r>
      <w:r>
        <w:rPr>
          <w:rFonts w:ascii="Times New Roman" w:hAnsi="Times New Roman" w:cs="Times New Roman" w:eastAsia="Times New Roman" w:hint="default"/>
          <w:w w:val="100"/>
        </w:rPr>
        <w:t> </w:t>
      </w:r>
      <w:r>
        <w:rPr/>
        <w:t>大通</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深大通</w:t>
      </w:r>
      <w:r>
        <w:rPr>
          <w:rFonts w:ascii="Times New Roman" w:hAnsi="Times New Roman" w:cs="Times New Roman" w:eastAsia="Times New Roman" w:hint="default"/>
        </w:rPr>
        <w:t>”</w:t>
      </w:r>
      <w:r>
        <w:rPr/>
        <w:t>，证券代码</w:t>
      </w:r>
      <w:r>
        <w:rPr>
          <w:rFonts w:ascii="Times New Roman" w:hAnsi="Times New Roman" w:cs="Times New Roman" w:eastAsia="Times New Roman" w:hint="default"/>
        </w:rPr>
        <w:t>“000038”</w:t>
      </w:r>
      <w:r>
        <w:rPr/>
        <w:t>不变。公司股票日涨跌幅限制恢复为</w:t>
      </w:r>
      <w:r>
        <w:rPr>
          <w:rFonts w:ascii="Times New Roman" w:hAnsi="Times New Roman" w:cs="Times New Roman" w:eastAsia="Times New Roman" w:hint="default"/>
        </w:rPr>
        <w:t>10%</w:t>
      </w:r>
      <w:r>
        <w:rPr/>
        <w:t>。</w:t>
      </w:r>
    </w:p>
    <w:p>
      <w:pPr>
        <w:spacing w:after="0" w:line="300" w:lineRule="auto"/>
        <w:jc w:val="left"/>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0"/>
        <w:jc w:val="left"/>
        <w:rPr>
          <w:b w:val="0"/>
          <w:bCs w:val="0"/>
        </w:rPr>
      </w:pP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21"/>
        <w:gridCol w:w="843"/>
        <w:gridCol w:w="845"/>
        <w:gridCol w:w="845"/>
        <w:gridCol w:w="843"/>
        <w:gridCol w:w="842"/>
        <w:gridCol w:w="842"/>
        <w:gridCol w:w="845"/>
        <w:gridCol w:w="814"/>
        <w:gridCol w:w="814"/>
      </w:tblGrid>
      <w:tr>
        <w:trPr>
          <w:trHeight w:val="403"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199"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71,346,00</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74.14%</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71,346,00</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74.14%</w:t>
            </w:r>
          </w:p>
        </w:tc>
      </w:tr>
      <w:tr>
        <w:trPr>
          <w:trHeight w:val="392"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71,346,00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74.14%</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71,346,00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74.14%</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3"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68,196,00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70.87%</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68,196,00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70.87%</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3,150,000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5" w:right="0"/>
              <w:jc w:val="left"/>
              <w:rPr>
                <w:rFonts w:ascii="Times New Roman" w:hAnsi="Times New Roman" w:cs="Times New Roman" w:eastAsia="Times New Roman" w:hint="default"/>
                <w:sz w:val="18"/>
                <w:szCs w:val="18"/>
              </w:rPr>
            </w:pPr>
            <w:r>
              <w:rPr>
                <w:rFonts w:ascii="Times New Roman"/>
                <w:sz w:val="18"/>
              </w:rPr>
              <w:t>3.27%</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3,150,000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3.27%</w:t>
            </w:r>
          </w:p>
        </w:tc>
      </w:tr>
      <w:tr>
        <w:trPr>
          <w:trHeight w:val="163"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24,881,99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25.86%</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24,881,99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25.86%</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24,881,99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25.86%</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24,881,99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25.86%</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3"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96,227,99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96,227,99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100%</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股份变动的原因</w:t>
      </w:r>
    </w:p>
    <w:p>
      <w:pPr>
        <w:pStyle w:val="BodyText"/>
        <w:spacing w:line="360" w:lineRule="auto" w:before="115"/>
        <w:ind w:right="9134"/>
        <w:jc w:val="left"/>
      </w:pPr>
      <w:r>
        <w:rPr/>
        <w:t>□ 适用 √</w:t>
      </w:r>
      <w:r>
        <w:rPr>
          <w:spacing w:val="3"/>
        </w:rPr>
        <w:t> </w:t>
      </w:r>
      <w:r>
        <w:rPr/>
        <w:t>不适用</w:t>
      </w:r>
      <w:r>
        <w:rPr/>
        <w:t> 股份变动的批准情况</w:t>
      </w:r>
    </w:p>
    <w:p>
      <w:pPr>
        <w:pStyle w:val="BodyText"/>
        <w:spacing w:line="357" w:lineRule="auto" w:before="27"/>
        <w:ind w:right="9134"/>
        <w:jc w:val="left"/>
      </w:pPr>
      <w:r>
        <w:rPr/>
        <w:t>□ 适用 √</w:t>
      </w:r>
      <w:r>
        <w:rPr>
          <w:spacing w:val="3"/>
        </w:rPr>
        <w:t> </w:t>
      </w:r>
      <w:r>
        <w:rPr/>
        <w:t>不适用</w:t>
      </w:r>
      <w:r>
        <w:rPr/>
        <w:t> 股份变动的过户情况</w:t>
      </w:r>
    </w:p>
    <w:p>
      <w:pPr>
        <w:pStyle w:val="BodyText"/>
        <w:spacing w:line="360" w:lineRule="auto" w:before="29"/>
        <w:ind w:right="1394"/>
        <w:jc w:val="left"/>
      </w:pPr>
      <w:r>
        <w:rPr/>
        <w:t>□ 适用 √</w:t>
      </w:r>
      <w:r>
        <w:rPr>
          <w:spacing w:val="3"/>
        </w:rPr>
        <w:t> </w:t>
      </w:r>
      <w:r>
        <w:rPr/>
        <w:t>不适用</w:t>
      </w:r>
      <w:r>
        <w:rPr/>
        <w:t> 股份变动对最近一年和最近一期基本每股收益和稀释每股收益、归属于公司普通股股东的每股净资产等财务指标的影响</w:t>
      </w:r>
    </w:p>
    <w:p>
      <w:pPr>
        <w:pStyle w:val="BodyText"/>
        <w:spacing w:line="360" w:lineRule="auto" w:before="25"/>
        <w:ind w:right="6794"/>
        <w:jc w:val="left"/>
      </w:pPr>
      <w:r>
        <w:rPr/>
        <w:t>□ 适用 √</w:t>
      </w:r>
      <w:r>
        <w:rPr>
          <w:spacing w:val="3"/>
        </w:rPr>
        <w:t> </w:t>
      </w:r>
      <w:r>
        <w:rPr/>
        <w:t>不适用</w:t>
      </w:r>
      <w:r>
        <w:rPr/>
        <w:t> 公司认为必要或证券监管机构要求披露的其他内容</w:t>
      </w:r>
    </w:p>
    <w:p>
      <w:pPr>
        <w:pStyle w:val="BodyText"/>
        <w:spacing w:line="240" w:lineRule="auto" w:before="27"/>
        <w:ind w:right="0"/>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二、股东和实际控制人情况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单位：股</w:t>
      </w:r>
    </w:p>
    <w:p>
      <w:pPr>
        <w:spacing w:after="0" w:line="240" w:lineRule="auto"/>
        <w:jc w:val="right"/>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8.106003pt;margin-top:483.309998pt;width:355.8pt;height:19.6pt;mso-position-horizontal-relative:page;mso-position-vertical-relative:page;z-index:-630208" type="#_x0000_t202" filled="false" stroked="false">
            <v:textbox inset="0,0,0,0">
              <w:txbxContent>
                <w:p>
                  <w:pPr>
                    <w:pStyle w:val="BodyText"/>
                    <w:spacing w:line="240" w:lineRule="auto" w:before="46"/>
                    <w:ind w:left="0" w:right="0"/>
                    <w:jc w:val="left"/>
                  </w:pPr>
                  <w:r>
                    <w:rPr/>
                    <w:t>有）</w:t>
                  </w:r>
                </w:p>
              </w:txbxContent>
            </v:textbox>
            <w10:wrap type="none"/>
          </v:shape>
        </w:pict>
      </w:r>
      <w:r>
        <w:rPr/>
        <w:pict>
          <v:group style="position:absolute;margin-left:193.25pt;margin-top:482.709991pt;width:340.65pt;height:20.8pt;mso-position-horizontal-relative:page;mso-position-vertical-relative:page;z-index:-630184" coordorigin="3865,9654" coordsize="6813,416">
            <v:group style="position:absolute;left:3877;top:9666;width:2;height:392" coordorigin="3877,9666" coordsize="2,392">
              <v:shape style="position:absolute;left:3877;top:9666;width:2;height:392" coordorigin="3877,9666" coordsize="0,392" path="m3877,9666l3877,10057e" filled="false" stroked="true" strokeweight="1.2pt" strokecolor="#ffffff">
                <v:path arrowok="t"/>
              </v:shape>
            </v:group>
            <v:group style="position:absolute;left:3889;top:9666;width:6789;height:392" coordorigin="3889,9666" coordsize="6789,392">
              <v:shape style="position:absolute;left:3889;top:9666;width:6789;height:392" coordorigin="3889,9666" coordsize="6789,392" path="m3889,10057l10677,10057,10677,9666,3889,9666,3889,1005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59"/>
        <w:gridCol w:w="1365"/>
        <w:gridCol w:w="865"/>
        <w:gridCol w:w="805"/>
        <w:gridCol w:w="794"/>
        <w:gridCol w:w="797"/>
        <w:gridCol w:w="852"/>
        <w:gridCol w:w="1132"/>
        <w:gridCol w:w="236"/>
        <w:gridCol w:w="1368"/>
      </w:tblGrid>
      <w:tr>
        <w:trPr>
          <w:trHeight w:val="408" w:hRule="exact"/>
        </w:trPr>
        <w:tc>
          <w:tcPr>
            <w:tcW w:w="27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670"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5,688</w:t>
            </w:r>
          </w:p>
        </w:tc>
        <w:tc>
          <w:tcPr>
            <w:tcW w:w="357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0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4,898</w:t>
            </w:r>
          </w:p>
        </w:tc>
      </w:tr>
      <w:tr>
        <w:trPr>
          <w:trHeight w:val="391" w:hRule="exact"/>
        </w:trPr>
        <w:tc>
          <w:tcPr>
            <w:tcW w:w="957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359" w:type="dxa"/>
            <w:vMerge w:val="restart"/>
            <w:tcBorders>
              <w:top w:val="single" w:sz="4" w:space="0" w:color="000000"/>
              <w:left w:val="single" w:sz="4" w:space="0" w:color="000000"/>
              <w:right w:val="single" w:sz="4" w:space="0" w:color="000000"/>
            </w:tcBorders>
            <w:shd w:val="clear" w:color="auto" w:fill="D2D2D2"/>
          </w:tcPr>
          <w:p>
            <w:pPr/>
          </w:p>
        </w:tc>
        <w:tc>
          <w:tcPr>
            <w:tcW w:w="1365" w:type="dxa"/>
            <w:vMerge w:val="restart"/>
            <w:tcBorders>
              <w:top w:val="single" w:sz="4" w:space="0" w:color="000000"/>
              <w:left w:val="single" w:sz="4" w:space="0" w:color="000000"/>
              <w:right w:val="single" w:sz="4" w:space="0" w:color="000000"/>
            </w:tcBorders>
            <w:shd w:val="clear" w:color="auto" w:fill="D2D2D2"/>
          </w:tcPr>
          <w:p>
            <w:pPr/>
          </w:p>
        </w:tc>
        <w:tc>
          <w:tcPr>
            <w:tcW w:w="8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0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9" w:right="33"/>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3" w:right="3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60" w:right="60"/>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3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59" w:type="dxa"/>
            <w:vMerge/>
            <w:tcBorders>
              <w:left w:val="single" w:sz="4" w:space="0" w:color="000000"/>
              <w:bottom w:val="nil" w:sz="6" w:space="0" w:color="auto"/>
              <w:right w:val="single" w:sz="4" w:space="0" w:color="000000"/>
            </w:tcBorders>
            <w:shd w:val="clear" w:color="auto" w:fill="D2D2D2"/>
          </w:tcPr>
          <w:p>
            <w:pPr/>
          </w:p>
        </w:tc>
        <w:tc>
          <w:tcPr>
            <w:tcW w:w="1365" w:type="dxa"/>
            <w:vMerge/>
            <w:tcBorders>
              <w:left w:val="single" w:sz="4" w:space="0" w:color="000000"/>
              <w:bottom w:val="nil" w:sz="6" w:space="0" w:color="auto"/>
              <w:right w:val="single" w:sz="4" w:space="0" w:color="000000"/>
            </w:tcBorders>
            <w:shd w:val="clear" w:color="auto" w:fill="D2D2D2"/>
          </w:tcPr>
          <w:p>
            <w:pPr/>
          </w:p>
        </w:tc>
        <w:tc>
          <w:tcPr>
            <w:tcW w:w="8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6"/>
              <w:ind w:left="6"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0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36" w:right="3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2737" w:type="dxa"/>
            <w:gridSpan w:val="3"/>
            <w:vMerge/>
            <w:tcBorders>
              <w:left w:val="single" w:sz="4" w:space="0" w:color="000000"/>
              <w:right w:val="single" w:sz="4" w:space="0" w:color="000000"/>
            </w:tcBorders>
            <w:shd w:val="clear" w:color="auto" w:fill="D2D2D2"/>
          </w:tcPr>
          <w:p>
            <w:pPr/>
          </w:p>
        </w:tc>
      </w:tr>
      <w:tr>
        <w:trPr>
          <w:trHeight w:val="140" w:hRule="exact"/>
        </w:trPr>
        <w:tc>
          <w:tcPr>
            <w:tcW w:w="13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5" w:type="dxa"/>
            <w:vMerge/>
            <w:tcBorders>
              <w:left w:val="single" w:sz="4" w:space="0" w:color="000000"/>
              <w:right w:val="single" w:sz="4" w:space="0" w:color="000000"/>
            </w:tcBorders>
            <w:shd w:val="clear" w:color="auto" w:fill="D2D2D2"/>
          </w:tcPr>
          <w:p>
            <w:pPr/>
          </w:p>
        </w:tc>
        <w:tc>
          <w:tcPr>
            <w:tcW w:w="805" w:type="dxa"/>
            <w:vMerge/>
            <w:tcBorders>
              <w:left w:val="single" w:sz="4" w:space="0" w:color="000000"/>
              <w:right w:val="single" w:sz="4" w:space="0" w:color="000000"/>
            </w:tcBorders>
            <w:shd w:val="clear" w:color="auto" w:fill="D2D2D2"/>
          </w:tcPr>
          <w:p>
            <w:pPr/>
          </w:p>
        </w:tc>
        <w:tc>
          <w:tcPr>
            <w:tcW w:w="79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2737"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359" w:type="dxa"/>
            <w:vMerge/>
            <w:tcBorders>
              <w:left w:val="single" w:sz="4" w:space="0" w:color="000000"/>
              <w:bottom w:val="nil" w:sz="6" w:space="0" w:color="auto"/>
              <w:right w:val="single" w:sz="4" w:space="0" w:color="000000"/>
            </w:tcBorders>
            <w:shd w:val="clear" w:color="auto" w:fill="D2D2D2"/>
          </w:tcPr>
          <w:p>
            <w:pPr/>
          </w:p>
        </w:tc>
        <w:tc>
          <w:tcPr>
            <w:tcW w:w="1365" w:type="dxa"/>
            <w:vMerge/>
            <w:tcBorders>
              <w:left w:val="single" w:sz="4" w:space="0" w:color="000000"/>
              <w:bottom w:val="nil" w:sz="6" w:space="0" w:color="auto"/>
              <w:right w:val="single" w:sz="4" w:space="0" w:color="000000"/>
            </w:tcBorders>
            <w:shd w:val="clear" w:color="auto" w:fill="D2D2D2"/>
          </w:tcPr>
          <w:p>
            <w:pPr/>
          </w:p>
        </w:tc>
        <w:tc>
          <w:tcPr>
            <w:tcW w:w="865" w:type="dxa"/>
            <w:vMerge/>
            <w:tcBorders>
              <w:left w:val="single" w:sz="4" w:space="0" w:color="000000"/>
              <w:right w:val="single" w:sz="4" w:space="0" w:color="000000"/>
            </w:tcBorders>
            <w:shd w:val="clear" w:color="auto" w:fill="D2D2D2"/>
          </w:tcPr>
          <w:p>
            <w:pPr/>
          </w:p>
        </w:tc>
        <w:tc>
          <w:tcPr>
            <w:tcW w:w="805" w:type="dxa"/>
            <w:vMerge/>
            <w:tcBorders>
              <w:left w:val="single" w:sz="4" w:space="0" w:color="000000"/>
              <w:right w:val="single" w:sz="4" w:space="0" w:color="000000"/>
            </w:tcBorders>
            <w:shd w:val="clear" w:color="auto" w:fill="D2D2D2"/>
          </w:tcPr>
          <w:p>
            <w:pPr/>
          </w:p>
        </w:tc>
        <w:tc>
          <w:tcPr>
            <w:tcW w:w="79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3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59" w:type="dxa"/>
            <w:vMerge w:val="restart"/>
            <w:tcBorders>
              <w:top w:val="nil" w:sz="6" w:space="0" w:color="auto"/>
              <w:left w:val="single" w:sz="4" w:space="0" w:color="000000"/>
              <w:right w:val="single" w:sz="4" w:space="0" w:color="000000"/>
            </w:tcBorders>
            <w:shd w:val="clear" w:color="auto" w:fill="D2D2D2"/>
          </w:tcPr>
          <w:p>
            <w:pPr/>
          </w:p>
        </w:tc>
        <w:tc>
          <w:tcPr>
            <w:tcW w:w="1365" w:type="dxa"/>
            <w:vMerge w:val="restart"/>
            <w:tcBorders>
              <w:top w:val="nil" w:sz="6" w:space="0" w:color="auto"/>
              <w:left w:val="single" w:sz="4" w:space="0" w:color="000000"/>
              <w:right w:val="single" w:sz="4" w:space="0" w:color="000000"/>
            </w:tcBorders>
            <w:shd w:val="clear" w:color="auto" w:fill="D2D2D2"/>
          </w:tcPr>
          <w:p>
            <w:pPr/>
          </w:p>
        </w:tc>
        <w:tc>
          <w:tcPr>
            <w:tcW w:w="865" w:type="dxa"/>
            <w:vMerge/>
            <w:tcBorders>
              <w:left w:val="single" w:sz="4" w:space="0" w:color="000000"/>
              <w:bottom w:val="nil" w:sz="6" w:space="0" w:color="auto"/>
              <w:right w:val="single" w:sz="4" w:space="0" w:color="000000"/>
            </w:tcBorders>
            <w:shd w:val="clear" w:color="auto" w:fill="D2D2D2"/>
          </w:tcPr>
          <w:p>
            <w:pPr/>
          </w:p>
        </w:tc>
        <w:tc>
          <w:tcPr>
            <w:tcW w:w="805"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369" w:type="dxa"/>
            <w:gridSpan w:val="2"/>
            <w:vMerge/>
            <w:tcBorders>
              <w:left w:val="single" w:sz="4" w:space="0" w:color="000000"/>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r>
      <w:tr>
        <w:trPr>
          <w:trHeight w:val="161" w:hRule="exact"/>
        </w:trPr>
        <w:tc>
          <w:tcPr>
            <w:tcW w:w="1359" w:type="dxa"/>
            <w:vMerge/>
            <w:tcBorders>
              <w:left w:val="single" w:sz="4" w:space="0" w:color="000000"/>
              <w:bottom w:val="single" w:sz="4" w:space="0" w:color="000000"/>
              <w:right w:val="single" w:sz="4" w:space="0" w:color="000000"/>
            </w:tcBorders>
            <w:shd w:val="clear" w:color="auto" w:fill="D2D2D2"/>
          </w:tcPr>
          <w:p>
            <w:pPr/>
          </w:p>
        </w:tc>
        <w:tc>
          <w:tcPr>
            <w:tcW w:w="1365" w:type="dxa"/>
            <w:vMerge/>
            <w:tcBorders>
              <w:left w:val="single" w:sz="4" w:space="0" w:color="000000"/>
              <w:bottom w:val="single" w:sz="4" w:space="0" w:color="000000"/>
              <w:right w:val="single" w:sz="4" w:space="0" w:color="000000"/>
            </w:tcBorders>
            <w:shd w:val="clear" w:color="auto" w:fill="D2D2D2"/>
          </w:tcPr>
          <w:p>
            <w:pPr/>
          </w:p>
        </w:tc>
        <w:tc>
          <w:tcPr>
            <w:tcW w:w="8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0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369"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青岛亚星实业有 限公司</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44.79%</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43,101,09</w:t>
            </w:r>
          </w:p>
          <w:p>
            <w:pPr>
              <w:pStyle w:val="TableParagraph"/>
              <w:spacing w:line="240" w:lineRule="auto" w:before="102"/>
              <w:ind w:right="26"/>
              <w:jc w:val="right"/>
              <w:rPr>
                <w:rFonts w:ascii="Times New Roman" w:hAnsi="Times New Roman" w:cs="Times New Roman" w:eastAsia="Times New Roman" w:hint="default"/>
                <w:sz w:val="18"/>
                <w:szCs w:val="18"/>
              </w:rPr>
            </w:pPr>
            <w:r>
              <w:rPr>
                <w:rFonts w:ascii="Times New Roman"/>
                <w:sz w:val="18"/>
              </w:rPr>
              <w:t>8</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43,101,09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852" w:type="dxa"/>
            <w:tcBorders>
              <w:top w:val="single" w:sz="4" w:space="0" w:color="000000"/>
              <w:left w:val="single" w:sz="4" w:space="0" w:color="000000"/>
              <w:bottom w:val="single" w:sz="4" w:space="0" w:color="000000"/>
              <w:right w:val="single" w:sz="4" w:space="0" w:color="000000"/>
            </w:tcBorders>
          </w:tcPr>
          <w:p>
            <w:pPr/>
          </w:p>
        </w:tc>
        <w:tc>
          <w:tcPr>
            <w:tcW w:w="136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2"/>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8"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w:t>
            </w:r>
          </w:p>
        </w:tc>
      </w:tr>
      <w:tr>
        <w:trPr>
          <w:trHeight w:val="713"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方正延中传媒有 限公司</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8.07%</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7,762,150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7,762,150</w:t>
            </w:r>
          </w:p>
        </w:tc>
        <w:tc>
          <w:tcPr>
            <w:tcW w:w="852" w:type="dxa"/>
            <w:tcBorders>
              <w:top w:val="single" w:sz="4" w:space="0" w:color="000000"/>
              <w:left w:val="single" w:sz="4" w:space="0" w:color="000000"/>
              <w:bottom w:val="single" w:sz="4" w:space="0" w:color="000000"/>
              <w:right w:val="single" w:sz="4" w:space="0" w:color="000000"/>
            </w:tcBorders>
          </w:tcPr>
          <w:p>
            <w:pP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9" w:type="dxa"/>
            <w:vMerge w:val="restart"/>
            <w:tcBorders>
              <w:top w:val="single" w:sz="4" w:space="0" w:color="000000"/>
              <w:left w:val="single" w:sz="4" w:space="0" w:color="000000"/>
              <w:right w:val="single" w:sz="4" w:space="0" w:color="000000"/>
            </w:tcBorders>
          </w:tcPr>
          <w:p>
            <w:pPr>
              <w:pStyle w:val="TableParagraph"/>
              <w:spacing w:line="316" w:lineRule="auto" w:before="94"/>
              <w:ind w:left="24" w:right="63"/>
              <w:jc w:val="left"/>
              <w:rPr>
                <w:rFonts w:ascii="宋体" w:hAnsi="宋体" w:cs="宋体" w:eastAsia="宋体" w:hint="default"/>
                <w:sz w:val="18"/>
                <w:szCs w:val="18"/>
              </w:rPr>
            </w:pPr>
            <w:r>
              <w:rPr>
                <w:rFonts w:ascii="宋体" w:hAnsi="宋体" w:cs="宋体" w:eastAsia="宋体" w:hint="default"/>
                <w:sz w:val="18"/>
                <w:szCs w:val="18"/>
              </w:rPr>
              <w:t>上海文慧投资有 限公司</w:t>
            </w:r>
          </w:p>
        </w:tc>
        <w:tc>
          <w:tcPr>
            <w:tcW w:w="136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6.44%</w:t>
            </w:r>
          </w:p>
        </w:tc>
        <w:tc>
          <w:tcPr>
            <w:tcW w:w="80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6,199,442</w:t>
            </w:r>
          </w:p>
        </w:tc>
        <w:tc>
          <w:tcPr>
            <w:tcW w:w="794"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6,199,442</w:t>
            </w:r>
          </w:p>
        </w:tc>
        <w:tc>
          <w:tcPr>
            <w:tcW w:w="852" w:type="dxa"/>
            <w:vMerge w:val="restart"/>
            <w:tcBorders>
              <w:top w:val="single" w:sz="4" w:space="0" w:color="000000"/>
              <w:left w:val="single" w:sz="4" w:space="0" w:color="000000"/>
              <w:right w:val="single" w:sz="4" w:space="0" w:color="000000"/>
            </w:tcBorders>
          </w:tcPr>
          <w:p>
            <w:pP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6,199,442</w:t>
            </w:r>
          </w:p>
        </w:tc>
      </w:tr>
      <w:tr>
        <w:trPr>
          <w:trHeight w:val="401" w:hRule="exact"/>
        </w:trPr>
        <w:tc>
          <w:tcPr>
            <w:tcW w:w="1359" w:type="dxa"/>
            <w:vMerge/>
            <w:tcBorders>
              <w:left w:val="single" w:sz="4" w:space="0" w:color="000000"/>
              <w:bottom w:val="single" w:sz="4" w:space="0" w:color="000000"/>
              <w:right w:val="single" w:sz="4" w:space="0" w:color="000000"/>
            </w:tcBorders>
          </w:tcPr>
          <w:p>
            <w:pPr/>
          </w:p>
        </w:tc>
        <w:tc>
          <w:tcPr>
            <w:tcW w:w="1365" w:type="dxa"/>
            <w:vMerge/>
            <w:tcBorders>
              <w:left w:val="single" w:sz="4" w:space="0" w:color="000000"/>
              <w:bottom w:val="single" w:sz="4" w:space="0" w:color="000000"/>
              <w:right w:val="single" w:sz="4" w:space="0" w:color="000000"/>
            </w:tcBorders>
          </w:tcPr>
          <w:p>
            <w:pPr/>
          </w:p>
        </w:tc>
        <w:tc>
          <w:tcPr>
            <w:tcW w:w="865" w:type="dxa"/>
            <w:vMerge/>
            <w:tcBorders>
              <w:left w:val="single" w:sz="4" w:space="0" w:color="000000"/>
              <w:bottom w:val="single" w:sz="4" w:space="0" w:color="000000"/>
              <w:right w:val="single" w:sz="4" w:space="0" w:color="000000"/>
            </w:tcBorders>
          </w:tcPr>
          <w:p>
            <w:pPr/>
          </w:p>
        </w:tc>
        <w:tc>
          <w:tcPr>
            <w:tcW w:w="805"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6,199,442</w:t>
            </w:r>
          </w:p>
        </w:tc>
      </w:tr>
      <w:tr>
        <w:trPr>
          <w:trHeight w:val="715"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北京科希盟科技 集团有限公司</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5.19%</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4,994,220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4,994,220</w:t>
            </w:r>
          </w:p>
        </w:tc>
        <w:tc>
          <w:tcPr>
            <w:tcW w:w="852" w:type="dxa"/>
            <w:tcBorders>
              <w:top w:val="single" w:sz="4" w:space="0" w:color="000000"/>
              <w:left w:val="single" w:sz="4" w:space="0" w:color="000000"/>
              <w:bottom w:val="single" w:sz="4" w:space="0" w:color="000000"/>
              <w:right w:val="single" w:sz="4" w:space="0" w:color="000000"/>
            </w:tcBorders>
          </w:tcPr>
          <w:p>
            <w:pP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9" w:type="dxa"/>
            <w:vMerge w:val="restart"/>
            <w:tcBorders>
              <w:top w:val="single" w:sz="4" w:space="0" w:color="000000"/>
              <w:left w:val="single" w:sz="4" w:space="0" w:color="000000"/>
              <w:right w:val="single" w:sz="4" w:space="0" w:color="000000"/>
            </w:tcBorders>
          </w:tcPr>
          <w:p>
            <w:pPr>
              <w:pStyle w:val="TableParagraph"/>
              <w:spacing w:line="316" w:lineRule="auto" w:before="94"/>
              <w:ind w:left="24" w:right="63"/>
              <w:jc w:val="left"/>
              <w:rPr>
                <w:rFonts w:ascii="宋体" w:hAnsi="宋体" w:cs="宋体" w:eastAsia="宋体" w:hint="default"/>
                <w:sz w:val="18"/>
                <w:szCs w:val="18"/>
              </w:rPr>
            </w:pPr>
            <w:r>
              <w:rPr>
                <w:rFonts w:ascii="宋体" w:hAnsi="宋体" w:cs="宋体" w:eastAsia="宋体" w:hint="default"/>
                <w:sz w:val="18"/>
                <w:szCs w:val="18"/>
              </w:rPr>
              <w:t>上海港银投资管 理有限公司</w:t>
            </w:r>
          </w:p>
        </w:tc>
        <w:tc>
          <w:tcPr>
            <w:tcW w:w="136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3.64%</w:t>
            </w:r>
          </w:p>
        </w:tc>
        <w:tc>
          <w:tcPr>
            <w:tcW w:w="80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3,500,000</w:t>
            </w:r>
          </w:p>
        </w:tc>
        <w:tc>
          <w:tcPr>
            <w:tcW w:w="794"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3,500,000</w:t>
            </w:r>
          </w:p>
        </w:tc>
        <w:tc>
          <w:tcPr>
            <w:tcW w:w="852" w:type="dxa"/>
            <w:vMerge w:val="restart"/>
            <w:tcBorders>
              <w:top w:val="single" w:sz="4" w:space="0" w:color="000000"/>
              <w:left w:val="single" w:sz="4" w:space="0" w:color="000000"/>
              <w:right w:val="single" w:sz="4" w:space="0" w:color="000000"/>
            </w:tcBorders>
          </w:tcPr>
          <w:p>
            <w:pP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w:t>
            </w:r>
          </w:p>
        </w:tc>
      </w:tr>
      <w:tr>
        <w:trPr>
          <w:trHeight w:val="403" w:hRule="exact"/>
        </w:trPr>
        <w:tc>
          <w:tcPr>
            <w:tcW w:w="1359" w:type="dxa"/>
            <w:vMerge/>
            <w:tcBorders>
              <w:left w:val="single" w:sz="4" w:space="0" w:color="000000"/>
              <w:bottom w:val="single" w:sz="4" w:space="0" w:color="000000"/>
              <w:right w:val="single" w:sz="4" w:space="0" w:color="000000"/>
            </w:tcBorders>
          </w:tcPr>
          <w:p>
            <w:pPr/>
          </w:p>
        </w:tc>
        <w:tc>
          <w:tcPr>
            <w:tcW w:w="1365" w:type="dxa"/>
            <w:vMerge/>
            <w:tcBorders>
              <w:left w:val="single" w:sz="4" w:space="0" w:color="000000"/>
              <w:bottom w:val="single" w:sz="4" w:space="0" w:color="000000"/>
              <w:right w:val="single" w:sz="4" w:space="0" w:color="000000"/>
            </w:tcBorders>
          </w:tcPr>
          <w:p>
            <w:pPr/>
          </w:p>
        </w:tc>
        <w:tc>
          <w:tcPr>
            <w:tcW w:w="865" w:type="dxa"/>
            <w:vMerge/>
            <w:tcBorders>
              <w:left w:val="single" w:sz="4" w:space="0" w:color="000000"/>
              <w:bottom w:val="single" w:sz="4" w:space="0" w:color="000000"/>
              <w:right w:val="single" w:sz="4" w:space="0" w:color="000000"/>
            </w:tcBorders>
          </w:tcPr>
          <w:p>
            <w:pPr/>
          </w:p>
        </w:tc>
        <w:tc>
          <w:tcPr>
            <w:tcW w:w="805"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3,500,000</w:t>
            </w:r>
          </w:p>
        </w:tc>
      </w:tr>
      <w:tr>
        <w:trPr>
          <w:trHeight w:val="713"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深圳市立信创展 投资有限公司</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2,140,380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2,140,380</w:t>
            </w:r>
          </w:p>
        </w:tc>
        <w:tc>
          <w:tcPr>
            <w:tcW w:w="852" w:type="dxa"/>
            <w:tcBorders>
              <w:top w:val="single" w:sz="4" w:space="0" w:color="000000"/>
              <w:left w:val="single" w:sz="4" w:space="0" w:color="000000"/>
              <w:bottom w:val="single" w:sz="4" w:space="0" w:color="000000"/>
              <w:right w:val="single" w:sz="4" w:space="0" w:color="000000"/>
            </w:tcBorders>
          </w:tcPr>
          <w:p>
            <w:pP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吴凤鸣</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0.82%</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787,500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787,500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史银娣</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0.82%</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787,500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787,500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张玉麟</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0.82%</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787,500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787,500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陈才根</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0.82%</w:t>
            </w:r>
          </w:p>
        </w:tc>
        <w:tc>
          <w:tcPr>
            <w:tcW w:w="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787,500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787,500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7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8"/>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名股东的情况（如</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5" w:type="dxa"/>
            <w:tcBorders>
              <w:top w:val="single" w:sz="4" w:space="0" w:color="000000"/>
              <w:left w:val="single" w:sz="9" w:space="0" w:color="D2D2D2"/>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05" w:type="dxa"/>
            <w:tcBorders>
              <w:top w:val="single" w:sz="4" w:space="0" w:color="000000"/>
              <w:left w:val="nil" w:sz="6" w:space="0" w:color="auto"/>
              <w:bottom w:val="single" w:sz="4" w:space="0" w:color="000000"/>
              <w:right w:val="nil" w:sz="6" w:space="0" w:color="auto"/>
            </w:tcBorders>
          </w:tcPr>
          <w:p>
            <w:pPr/>
          </w:p>
        </w:tc>
        <w:tc>
          <w:tcPr>
            <w:tcW w:w="794" w:type="dxa"/>
            <w:tcBorders>
              <w:top w:val="single" w:sz="4" w:space="0" w:color="000000"/>
              <w:left w:val="nil" w:sz="6" w:space="0" w:color="auto"/>
              <w:bottom w:val="single" w:sz="4" w:space="0" w:color="000000"/>
              <w:right w:val="nil" w:sz="6" w:space="0" w:color="auto"/>
            </w:tcBorders>
          </w:tcPr>
          <w:p>
            <w:pPr/>
          </w:p>
        </w:tc>
        <w:tc>
          <w:tcPr>
            <w:tcW w:w="797" w:type="dxa"/>
            <w:tcBorders>
              <w:top w:val="single" w:sz="4" w:space="0" w:color="000000"/>
              <w:left w:val="nil" w:sz="6" w:space="0" w:color="auto"/>
              <w:bottom w:val="single" w:sz="4" w:space="0" w:color="000000"/>
              <w:right w:val="nil" w:sz="6" w:space="0" w:color="auto"/>
            </w:tcBorders>
          </w:tcPr>
          <w:p>
            <w:pPr/>
          </w:p>
        </w:tc>
        <w:tc>
          <w:tcPr>
            <w:tcW w:w="852" w:type="dxa"/>
            <w:tcBorders>
              <w:top w:val="single" w:sz="4" w:space="0" w:color="000000"/>
              <w:left w:val="nil" w:sz="6" w:space="0" w:color="auto"/>
              <w:bottom w:val="single" w:sz="4" w:space="0" w:color="000000"/>
              <w:right w:val="nil" w:sz="6" w:space="0" w:color="auto"/>
            </w:tcBorders>
          </w:tcPr>
          <w:p>
            <w:pPr/>
          </w:p>
        </w:tc>
        <w:tc>
          <w:tcPr>
            <w:tcW w:w="1132" w:type="dxa"/>
            <w:tcBorders>
              <w:top w:val="single" w:sz="4" w:space="0" w:color="000000"/>
              <w:left w:val="nil" w:sz="6" w:space="0" w:color="auto"/>
              <w:bottom w:val="single" w:sz="4" w:space="0" w:color="000000"/>
              <w:right w:val="nil" w:sz="6" w:space="0" w:color="auto"/>
            </w:tcBorders>
          </w:tcPr>
          <w:p>
            <w:pPr/>
          </w:p>
        </w:tc>
        <w:tc>
          <w:tcPr>
            <w:tcW w:w="236" w:type="dxa"/>
            <w:tcBorders>
              <w:top w:val="single" w:sz="4" w:space="0" w:color="000000"/>
              <w:left w:val="nil" w:sz="6" w:space="0" w:color="auto"/>
              <w:bottom w:val="single" w:sz="4" w:space="0" w:color="000000"/>
              <w:right w:val="nil" w:sz="6" w:space="0" w:color="auto"/>
            </w:tcBorders>
          </w:tcPr>
          <w:p>
            <w:pPr/>
          </w:p>
        </w:tc>
        <w:tc>
          <w:tcPr>
            <w:tcW w:w="1368" w:type="dxa"/>
            <w:tcBorders>
              <w:top w:val="single" w:sz="4" w:space="0" w:color="000000"/>
              <w:left w:val="nil" w:sz="6" w:space="0" w:color="auto"/>
              <w:bottom w:val="single" w:sz="4" w:space="0" w:color="000000"/>
              <w:right w:val="single" w:sz="4" w:space="0" w:color="000000"/>
            </w:tcBorders>
          </w:tcPr>
          <w:p>
            <w:pPr/>
          </w:p>
        </w:tc>
      </w:tr>
      <w:tr>
        <w:trPr>
          <w:trHeight w:val="714" w:hRule="exact"/>
        </w:trPr>
        <w:tc>
          <w:tcPr>
            <w:tcW w:w="27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8"/>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9" w:type="dxa"/>
            <w:gridSpan w:val="8"/>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957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72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72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13"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0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7"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724" w:type="dxa"/>
            <w:gridSpan w:val="2"/>
            <w:vMerge/>
            <w:tcBorders>
              <w:left w:val="single" w:sz="4" w:space="0" w:color="000000"/>
              <w:bottom w:val="nil" w:sz="6" w:space="0" w:color="auto"/>
              <w:right w:val="single" w:sz="4" w:space="0" w:color="000000"/>
            </w:tcBorders>
            <w:shd w:val="clear" w:color="auto" w:fill="D2D2D2"/>
          </w:tcPr>
          <w:p>
            <w:pPr/>
          </w:p>
        </w:tc>
        <w:tc>
          <w:tcPr>
            <w:tcW w:w="4113" w:type="dxa"/>
            <w:gridSpan w:val="5"/>
            <w:vMerge/>
            <w:tcBorders>
              <w:left w:val="single" w:sz="4" w:space="0" w:color="000000"/>
              <w:bottom w:val="nil" w:sz="6" w:space="0" w:color="auto"/>
              <w:right w:val="single" w:sz="4" w:space="0" w:color="000000"/>
            </w:tcBorders>
            <w:shd w:val="clear" w:color="auto" w:fill="D2D2D2"/>
          </w:tcPr>
          <w:p>
            <w:pPr/>
          </w:p>
        </w:tc>
        <w:tc>
          <w:tcPr>
            <w:tcW w:w="13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2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13"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gridSpan w:val="2"/>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7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钟耀区</w:t>
            </w:r>
          </w:p>
        </w:tc>
        <w:tc>
          <w:tcPr>
            <w:tcW w:w="41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647,622</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647,622</w:t>
            </w:r>
          </w:p>
        </w:tc>
      </w:tr>
      <w:tr>
        <w:trPr>
          <w:trHeight w:val="403" w:hRule="exact"/>
        </w:trPr>
        <w:tc>
          <w:tcPr>
            <w:tcW w:w="27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汤玫</w:t>
            </w:r>
          </w:p>
        </w:tc>
        <w:tc>
          <w:tcPr>
            <w:tcW w:w="41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594,124</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594,124</w:t>
            </w:r>
          </w:p>
        </w:tc>
      </w:tr>
      <w:tr>
        <w:trPr>
          <w:trHeight w:val="401" w:hRule="exact"/>
        </w:trPr>
        <w:tc>
          <w:tcPr>
            <w:tcW w:w="27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李宁</w:t>
            </w:r>
          </w:p>
        </w:tc>
        <w:tc>
          <w:tcPr>
            <w:tcW w:w="41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518,600</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518,600</w:t>
            </w:r>
          </w:p>
        </w:tc>
      </w:tr>
      <w:tr>
        <w:trPr>
          <w:trHeight w:val="403" w:hRule="exact"/>
        </w:trPr>
        <w:tc>
          <w:tcPr>
            <w:tcW w:w="27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张强</w:t>
            </w:r>
          </w:p>
        </w:tc>
        <w:tc>
          <w:tcPr>
            <w:tcW w:w="41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483,936</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483,936</w:t>
            </w:r>
          </w:p>
        </w:tc>
      </w:tr>
      <w:tr>
        <w:trPr>
          <w:trHeight w:val="401" w:hRule="exact"/>
        </w:trPr>
        <w:tc>
          <w:tcPr>
            <w:tcW w:w="27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李菁菲</w:t>
            </w:r>
          </w:p>
        </w:tc>
        <w:tc>
          <w:tcPr>
            <w:tcW w:w="41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450,801</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450,801</w:t>
            </w:r>
          </w:p>
        </w:tc>
      </w:tr>
      <w:tr>
        <w:trPr>
          <w:trHeight w:val="403" w:hRule="exact"/>
        </w:trPr>
        <w:tc>
          <w:tcPr>
            <w:tcW w:w="27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付文臣</w:t>
            </w:r>
          </w:p>
        </w:tc>
        <w:tc>
          <w:tcPr>
            <w:tcW w:w="41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396,852</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396,852</w:t>
            </w:r>
          </w:p>
        </w:tc>
      </w:tr>
      <w:tr>
        <w:trPr>
          <w:trHeight w:val="403" w:hRule="exact"/>
        </w:trPr>
        <w:tc>
          <w:tcPr>
            <w:tcW w:w="27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王青</w:t>
            </w:r>
          </w:p>
        </w:tc>
        <w:tc>
          <w:tcPr>
            <w:tcW w:w="41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305,700</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305,700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630136"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31</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726"/>
        <w:gridCol w:w="4109"/>
        <w:gridCol w:w="1369"/>
        <w:gridCol w:w="1368"/>
      </w:tblGrid>
      <w:tr>
        <w:trPr>
          <w:trHeight w:val="401"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徐琴</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293,900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293,900</w:t>
            </w:r>
          </w:p>
        </w:tc>
      </w:tr>
      <w:tr>
        <w:trPr>
          <w:trHeight w:val="403"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钟培金</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291,100</w:t>
            </w:r>
          </w:p>
        </w:tc>
      </w:tr>
      <w:tr>
        <w:trPr>
          <w:trHeight w:val="401" w:hRule="exact"/>
        </w:trPr>
        <w:tc>
          <w:tcPr>
            <w:tcW w:w="2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吴黛云</w:t>
            </w:r>
          </w:p>
        </w:tc>
        <w:tc>
          <w:tcPr>
            <w:tcW w:w="4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282,100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282,100</w:t>
            </w:r>
          </w:p>
        </w:tc>
      </w:tr>
      <w:tr>
        <w:trPr>
          <w:trHeight w:val="1339" w:hRule="exact"/>
        </w:trPr>
        <w:tc>
          <w:tcPr>
            <w:tcW w:w="2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22" w:right="8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68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2"/>
              <w:jc w:val="both"/>
              <w:rPr>
                <w:rFonts w:ascii="宋体" w:hAnsi="宋体" w:cs="宋体" w:eastAsia="宋体" w:hint="default"/>
                <w:sz w:val="18"/>
                <w:szCs w:val="18"/>
              </w:rPr>
            </w:pPr>
            <w:r>
              <w:rPr>
                <w:rFonts w:ascii="宋体" w:hAnsi="宋体" w:cs="宋体" w:eastAsia="宋体" w:hint="default"/>
                <w:spacing w:val="-2"/>
                <w:sz w:val="18"/>
                <w:szCs w:val="18"/>
              </w:rPr>
              <w:t>公司未知前十名无限售流通股股东是否存在关联关系，也未知前十名无限售流通股股东</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和前十名股东之间是否存在关联关系，也未知是否属于《上市公司持股变动情况信息披</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露管理办法》中规定的一致行动人。</w:t>
            </w:r>
          </w:p>
        </w:tc>
      </w:tr>
      <w:tr>
        <w:trPr>
          <w:trHeight w:val="715" w:hRule="exact"/>
        </w:trPr>
        <w:tc>
          <w:tcPr>
            <w:tcW w:w="2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5"/>
              <w:jc w:val="left"/>
              <w:rPr>
                <w:rFonts w:ascii="宋体" w:hAnsi="宋体" w:cs="宋体" w:eastAsia="宋体" w:hint="default"/>
                <w:sz w:val="18"/>
                <w:szCs w:val="18"/>
              </w:rPr>
            </w:pPr>
            <w:r>
              <w:rPr>
                <w:rFonts w:ascii="宋体" w:hAnsi="宋体" w:cs="宋体" w:eastAsia="宋体" w:hint="default"/>
                <w:sz w:val="18"/>
                <w:szCs w:val="18"/>
              </w:rPr>
              <w:t>前十大股东参与融资融券业务股 </w:t>
            </w:r>
            <w:r>
              <w:rPr>
                <w:rFonts w:ascii="宋体" w:hAnsi="宋体" w:cs="宋体" w:eastAsia="宋体" w:hint="default"/>
                <w:spacing w:val="-8"/>
                <w:sz w:val="18"/>
                <w:szCs w:val="18"/>
              </w:rPr>
              <w:t>东情况说明（如有）（参见注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前十大股东未参融资融券业务</w:t>
            </w:r>
          </w:p>
        </w:tc>
      </w:tr>
    </w:tbl>
    <w:p>
      <w:pPr>
        <w:pStyle w:val="BodyText"/>
        <w:spacing w:line="240" w:lineRule="auto" w:before="49"/>
        <w:ind w:right="0"/>
        <w:jc w:val="left"/>
      </w:pPr>
      <w:r>
        <w:rPr/>
        <w:t>公司股东在报告期内是否进行约定购回交易</w:t>
      </w:r>
    </w:p>
    <w:p>
      <w:pPr>
        <w:pStyle w:val="BodyText"/>
        <w:spacing w:line="240" w:lineRule="auto" w:before="115"/>
        <w:ind w:right="0"/>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法人</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82"/>
        <w:gridCol w:w="1095"/>
        <w:gridCol w:w="888"/>
        <w:gridCol w:w="1800"/>
        <w:gridCol w:w="1801"/>
        <w:gridCol w:w="1802"/>
      </w:tblGrid>
      <w:tr>
        <w:trPr>
          <w:trHeight w:val="715"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91" w:right="65"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457"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姜剑</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26459132-6</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16000 </w:t>
            </w:r>
            <w:r>
              <w:rPr>
                <w:rFonts w:ascii="宋体" w:hAnsi="宋体" w:cs="宋体" w:eastAsia="宋体" w:hint="default"/>
                <w:sz w:val="18"/>
                <w:szCs w:val="18"/>
              </w:rPr>
              <w:t>万元</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pacing w:val="-6"/>
                <w:sz w:val="18"/>
                <w:szCs w:val="18"/>
              </w:rPr>
              <w:t>批发、零售：金属材料</w:t>
            </w:r>
          </w:p>
          <w:p>
            <w:pPr>
              <w:pStyle w:val="TableParagraph"/>
              <w:spacing w:line="316" w:lineRule="auto" w:before="76"/>
              <w:ind w:left="26" w:right="17"/>
              <w:jc w:val="left"/>
              <w:rPr>
                <w:rFonts w:ascii="宋体" w:hAnsi="宋体" w:cs="宋体" w:eastAsia="宋体" w:hint="default"/>
                <w:sz w:val="18"/>
                <w:szCs w:val="18"/>
              </w:rPr>
            </w:pPr>
            <w:r>
              <w:rPr>
                <w:rFonts w:ascii="宋体" w:hAnsi="宋体" w:cs="宋体" w:eastAsia="宋体" w:hint="default"/>
                <w:spacing w:val="-10"/>
                <w:sz w:val="18"/>
                <w:szCs w:val="18"/>
              </w:rPr>
              <w:t>（不含贵重金属），建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筑装饰材料，机电产 品，汽车（不含小轿 </w:t>
            </w:r>
            <w:r>
              <w:rPr>
                <w:rFonts w:ascii="宋体" w:hAnsi="宋体" w:cs="宋体" w:eastAsia="宋体" w:hint="default"/>
                <w:spacing w:val="-10"/>
                <w:sz w:val="18"/>
                <w:szCs w:val="18"/>
              </w:rPr>
              <w:t>车），摩托车，木材，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化工产品（不含危险 </w:t>
            </w:r>
            <w:r>
              <w:rPr>
                <w:rFonts w:ascii="宋体" w:hAnsi="宋体" w:cs="宋体" w:eastAsia="宋体" w:hint="default"/>
                <w:spacing w:val="-10"/>
                <w:sz w:val="18"/>
                <w:szCs w:val="18"/>
              </w:rPr>
              <w:t>品），五金交电，办公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自动化设备，百货；电</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子产品及机械配套产 </w:t>
            </w:r>
            <w:r>
              <w:rPr>
                <w:rFonts w:ascii="宋体" w:hAnsi="宋体" w:cs="宋体" w:eastAsia="宋体" w:hint="default"/>
                <w:spacing w:val="-6"/>
                <w:sz w:val="18"/>
                <w:szCs w:val="18"/>
              </w:rPr>
              <w:t>品、包装容器开发、生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产；劳务服务；房地产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开发、经营（以上范围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需要经营许可证的，须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2"/>
                <w:sz w:val="18"/>
                <w:szCs w:val="18"/>
              </w:rPr>
              <w:t>凭许可证经营）。</w:t>
            </w:r>
          </w:p>
        </w:tc>
      </w:tr>
      <w:tr>
        <w:trPr>
          <w:trHeight w:val="3524"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8"/>
              <w:jc w:val="left"/>
              <w:rPr>
                <w:rFonts w:ascii="宋体" w:hAnsi="宋体" w:cs="宋体" w:eastAsia="宋体" w:hint="default"/>
                <w:sz w:val="18"/>
                <w:szCs w:val="18"/>
              </w:rPr>
            </w:pPr>
            <w:r>
              <w:rPr>
                <w:rFonts w:ascii="宋体" w:hAnsi="宋体" w:cs="宋体" w:eastAsia="宋体" w:hint="default"/>
                <w:spacing w:val="-2"/>
                <w:sz w:val="18"/>
                <w:szCs w:val="18"/>
              </w:rPr>
              <w:t>控股股东青岛亚星实业有限公司（以下简称亚星实业）是一家以房地产开发经营、股权投资为</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主、跨地域的民营企业，注册资金</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万元。公司经营范围为批发零售金属材料、建筑装饰 </w:t>
            </w:r>
            <w:r>
              <w:rPr>
                <w:rFonts w:ascii="宋体" w:hAnsi="宋体" w:cs="宋体" w:eastAsia="宋体" w:hint="default"/>
                <w:spacing w:val="-6"/>
                <w:sz w:val="18"/>
                <w:szCs w:val="18"/>
              </w:rPr>
              <w:t>材料、机电产品，电子产品及机械配套产品等，以及房地产开发、经营。亚星实业先后荣获“省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1"/>
                <w:sz w:val="18"/>
                <w:szCs w:val="18"/>
              </w:rPr>
              <w:t>级优秀民营企业”、 </w:t>
            </w:r>
            <w:r>
              <w:rPr>
                <w:rFonts w:ascii="宋体" w:hAnsi="宋体" w:cs="宋体" w:eastAsia="宋体" w:hint="default"/>
                <w:spacing w:val="-1"/>
                <w:sz w:val="18"/>
                <w:szCs w:val="18"/>
              </w:rPr>
              <w:t>“省级守合同重信用企业”等荣誉称号；连续多年入选“中国青岛十大城</w:t>
            </w:r>
            <w:r>
              <w:rPr>
                <w:rFonts w:ascii="宋体" w:hAnsi="宋体" w:cs="宋体" w:eastAsia="宋体" w:hint="default"/>
                <w:sz w:val="18"/>
                <w:szCs w:val="18"/>
              </w:rPr>
              <w:t> </w:t>
            </w:r>
            <w:r>
              <w:rPr>
                <w:rFonts w:ascii="宋体" w:hAnsi="宋体" w:cs="宋体" w:eastAsia="宋体" w:hint="default"/>
                <w:spacing w:val="-14"/>
                <w:sz w:val="18"/>
                <w:szCs w:val="18"/>
              </w:rPr>
              <w:t>市运营商”、“中国青岛十大房地产品牌企业”、“青岛品牌房地产企业”、“中国（青岛）城市土</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3"/>
                <w:sz w:val="18"/>
                <w:szCs w:val="18"/>
              </w:rPr>
              <w:t>地建筑精品运营商”；“青岛市纳税先进单位”。</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日，亚星实业获得了住建部颁</w:t>
            </w:r>
            <w:r>
              <w:rPr>
                <w:rFonts w:ascii="宋体" w:hAnsi="宋体" w:cs="宋体" w:eastAsia="宋体" w:hint="default"/>
                <w:sz w:val="18"/>
                <w:szCs w:val="18"/>
              </w:rPr>
              <w:t> </w:t>
            </w:r>
            <w:r>
              <w:rPr>
                <w:rFonts w:ascii="宋体" w:hAnsi="宋体" w:cs="宋体" w:eastAsia="宋体" w:hint="default"/>
                <w:spacing w:val="-2"/>
                <w:sz w:val="18"/>
                <w:szCs w:val="18"/>
              </w:rPr>
              <w:t>发的“国家康居示范工程示范企业”证书，是全国第一个获此殊荣的房地产开发企业。通过多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年的快速健康发展，亚星实业积累了丰富的房地产开发经验和储备了大量的土地资源，截至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日，亚星实业资产总额为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12.69 </w:t>
            </w:r>
            <w:r>
              <w:rPr>
                <w:rFonts w:ascii="宋体" w:hAnsi="宋体" w:cs="宋体" w:eastAsia="宋体" w:hint="default"/>
                <w:sz w:val="18"/>
                <w:szCs w:val="18"/>
              </w:rPr>
              <w:t>亿，所有者权益为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7.56 </w:t>
            </w:r>
            <w:r>
              <w:rPr>
                <w:rFonts w:ascii="宋体" w:hAnsi="宋体" w:cs="宋体" w:eastAsia="宋体" w:hint="default"/>
                <w:sz w:val="18"/>
                <w:szCs w:val="18"/>
              </w:rPr>
              <w:t>亿。亚星实业已承诺 </w:t>
            </w:r>
            <w:r>
              <w:rPr>
                <w:rFonts w:ascii="宋体" w:hAnsi="宋体" w:cs="宋体" w:eastAsia="宋体" w:hint="default"/>
                <w:spacing w:val="-2"/>
                <w:sz w:val="18"/>
                <w:szCs w:val="18"/>
              </w:rPr>
              <w:t>继续推进构成同业竞争的房地产公司及其开发项目全部注入旗下上市公司（深圳大通实业股份</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有限公司）名下的相关工作。</w:t>
            </w:r>
          </w:p>
        </w:tc>
      </w:tr>
    </w:tbl>
    <w:p>
      <w:pPr>
        <w:spacing w:after="0" w:line="312" w:lineRule="auto"/>
        <w:jc w:val="left"/>
        <w:rPr>
          <w:rFonts w:ascii="宋体" w:hAnsi="宋体" w:cs="宋体" w:eastAsia="宋体" w:hint="default"/>
          <w:sz w:val="18"/>
          <w:szCs w:val="18"/>
        </w:rPr>
        <w:sectPr>
          <w:headerReference w:type="default" r:id="rId31"/>
          <w:footerReference w:type="default" r:id="rId32"/>
          <w:pgSz w:w="11910" w:h="16840"/>
          <w:pgMar w:header="877" w:footer="0" w:top="1060" w:bottom="0" w:left="980" w:right="0"/>
        </w:sectPr>
      </w:pPr>
    </w:p>
    <w:p>
      <w:pPr>
        <w:spacing w:line="240" w:lineRule="auto" w:before="5"/>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181"/>
        <w:gridCol w:w="7386"/>
      </w:tblGrid>
      <w:tr>
        <w:trPr>
          <w:trHeight w:val="334" w:hRule="exact"/>
        </w:trPr>
        <w:tc>
          <w:tcPr>
            <w:tcW w:w="2181" w:type="dxa"/>
            <w:tcBorders>
              <w:top w:val="nil" w:sz="6" w:space="0" w:color="auto"/>
              <w:left w:val="nil" w:sz="6" w:space="0" w:color="auto"/>
              <w:bottom w:val="single" w:sz="4" w:space="0" w:color="000000"/>
              <w:right w:val="nil" w:sz="6" w:space="0" w:color="auto"/>
            </w:tcBorders>
          </w:tcPr>
          <w:p>
            <w:pPr/>
          </w:p>
        </w:tc>
        <w:tc>
          <w:tcPr>
            <w:tcW w:w="7386" w:type="dxa"/>
            <w:tcBorders>
              <w:top w:val="nil" w:sz="6" w:space="0" w:color="auto"/>
              <w:left w:val="nil" w:sz="6" w:space="0" w:color="auto"/>
              <w:bottom w:val="single" w:sz="4" w:space="0" w:color="000000"/>
              <w:right w:val="nil" w:sz="6" w:space="0" w:color="auto"/>
            </w:tcBorders>
          </w:tcPr>
          <w:p>
            <w:pPr/>
          </w:p>
        </w:tc>
      </w:tr>
      <w:tr>
        <w:trPr>
          <w:trHeight w:val="1028" w:hRule="exact"/>
        </w:trPr>
        <w:tc>
          <w:tcPr>
            <w:tcW w:w="2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66"/>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pict>
          <v:group style="position:absolute;margin-left:55.200001pt;margin-top:-68.298309pt;width:484.9pt;height:.1pt;mso-position-horizontal-relative:page;mso-position-vertical-relative:paragraph;z-index:-630112" coordorigin="1104,-1366" coordsize="9698,2">
            <v:shape style="position:absolute;left:1104;top:-1366;width:9698;height:2" coordorigin="1104,-1366" coordsize="9698,0" path="m1104,-1366l10802,-1366e" filled="false" stroked="true" strokeweight=".72pt" strokecolor="#000000">
              <v:path arrowok="t"/>
            </v:shape>
            <w10:wrap type="none"/>
          </v:group>
        </w:pict>
      </w:r>
      <w:r>
        <w:rPr/>
        <w:t>控股股东报告期内变更</w:t>
      </w:r>
    </w:p>
    <w:p>
      <w:pPr>
        <w:pStyle w:val="BodyText"/>
        <w:spacing w:line="240" w:lineRule="auto" w:before="115"/>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19"/>
        <w:gridCol w:w="2031"/>
        <w:gridCol w:w="4119"/>
      </w:tblGrid>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姜剑</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青岛亚星实业有限公司董事长、总裁</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实际控制人报告期内变更</w:t>
      </w:r>
    </w:p>
    <w:p>
      <w:pPr>
        <w:pStyle w:val="BodyText"/>
        <w:spacing w:line="357" w:lineRule="auto" w:before="117"/>
        <w:ind w:right="6794"/>
        <w:jc w:val="left"/>
      </w:pPr>
      <w:r>
        <w:rPr/>
        <w:t>□ 适用 √</w:t>
      </w:r>
      <w:r>
        <w:rPr>
          <w:spacing w:val="3"/>
        </w:rPr>
        <w:t> </w:t>
      </w:r>
      <w:r>
        <w:rPr/>
        <w:t>不适用</w:t>
      </w:r>
      <w:r>
        <w:rPr/>
        <w:t> 公司与实际控制人之间的产权及控制关系的方框图</w:t>
      </w:r>
    </w:p>
    <w:p>
      <w:pPr>
        <w:spacing w:line="240" w:lineRule="auto" w:before="9"/>
        <w:rPr>
          <w:rFonts w:ascii="宋体" w:hAnsi="宋体" w:cs="宋体" w:eastAsia="宋体" w:hint="default"/>
          <w:sz w:val="16"/>
          <w:szCs w:val="16"/>
        </w:rPr>
      </w:pPr>
    </w:p>
    <w:p>
      <w:pPr>
        <w:spacing w:line="5553" w:lineRule="exact"/>
        <w:ind w:left="328" w:right="0" w:firstLine="0"/>
        <w:rPr>
          <w:rFonts w:ascii="宋体" w:hAnsi="宋体" w:cs="宋体" w:eastAsia="宋体" w:hint="default"/>
          <w:sz w:val="20"/>
          <w:szCs w:val="20"/>
        </w:rPr>
      </w:pPr>
      <w:r>
        <w:rPr>
          <w:rFonts w:ascii="宋体" w:hAnsi="宋体" w:cs="宋体" w:eastAsia="宋体" w:hint="default"/>
          <w:position w:val="-110"/>
          <w:sz w:val="20"/>
          <w:szCs w:val="20"/>
        </w:rPr>
        <w:drawing>
          <wp:inline distT="0" distB="0" distL="0" distR="0">
            <wp:extent cx="5915401" cy="352644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34" cstate="print"/>
                    <a:stretch>
                      <a:fillRect/>
                    </a:stretch>
                  </pic:blipFill>
                  <pic:spPr>
                    <a:xfrm>
                      <a:off x="0" y="0"/>
                      <a:ext cx="5915401" cy="3526440"/>
                    </a:xfrm>
                    <a:prstGeom prst="rect">
                      <a:avLst/>
                    </a:prstGeom>
                  </pic:spPr>
                </pic:pic>
              </a:graphicData>
            </a:graphic>
          </wp:inline>
        </w:drawing>
      </w:r>
      <w:r>
        <w:rPr>
          <w:rFonts w:ascii="宋体" w:hAnsi="宋体" w:cs="宋体" w:eastAsia="宋体" w:hint="default"/>
          <w:position w:val="-110"/>
          <w:sz w:val="20"/>
          <w:szCs w:val="20"/>
        </w:rPr>
      </w:r>
    </w:p>
    <w:p>
      <w:pPr>
        <w:spacing w:line="240" w:lineRule="auto" w:before="5"/>
        <w:rPr>
          <w:rFonts w:ascii="宋体" w:hAnsi="宋体" w:cs="宋体" w:eastAsia="宋体" w:hint="default"/>
          <w:sz w:val="14"/>
          <w:szCs w:val="14"/>
        </w:rPr>
      </w:pPr>
    </w:p>
    <w:p>
      <w:pPr>
        <w:spacing w:before="0"/>
        <w:ind w:left="152"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8"/>
        <w:rPr>
          <w:rFonts w:ascii="宋体" w:hAnsi="宋体" w:cs="宋体" w:eastAsia="宋体" w:hint="default"/>
          <w:sz w:val="18"/>
          <w:szCs w:val="18"/>
        </w:rPr>
      </w:pPr>
    </w:p>
    <w:p>
      <w:pPr>
        <w:pStyle w:val="BodyText"/>
        <w:spacing w:line="240" w:lineRule="auto"/>
        <w:ind w:right="0"/>
        <w:jc w:val="left"/>
      </w:pPr>
      <w:r>
        <w:rPr/>
        <w:t>□ 适用 √</w:t>
      </w:r>
      <w:r>
        <w:rPr>
          <w:spacing w:val="3"/>
        </w:rPr>
        <w:t> </w:t>
      </w:r>
      <w:r>
        <w:rPr/>
        <w:t>不适用</w:t>
      </w:r>
    </w:p>
    <w:p>
      <w:pPr>
        <w:spacing w:after="0" w:line="240" w:lineRule="auto"/>
        <w:jc w:val="left"/>
        <w:sectPr>
          <w:footerReference w:type="default" r:id="rId33"/>
          <w:pgSz w:w="11910" w:h="16840"/>
          <w:pgMar w:footer="1340" w:header="877" w:top="1060" w:bottom="1540" w:left="980" w:right="0"/>
          <w:pgNumType w:start="32"/>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left="1679" w:right="0"/>
        <w:jc w:val="left"/>
        <w:rPr>
          <w:b w:val="0"/>
          <w:bCs w:val="0"/>
        </w:rPr>
      </w:pPr>
      <w:r>
        <w:rPr/>
        <w:t>第七节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69"/>
        <w:gridCol w:w="871"/>
        <w:gridCol w:w="869"/>
        <w:gridCol w:w="872"/>
        <w:gridCol w:w="869"/>
        <w:gridCol w:w="871"/>
      </w:tblGrid>
      <w:tr>
        <w:trPr>
          <w:trHeight w:val="102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7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许亚楠</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3"/>
              <w:jc w:val="left"/>
              <w:rPr>
                <w:rFonts w:ascii="宋体" w:hAnsi="宋体" w:cs="宋体" w:eastAsia="宋体" w:hint="default"/>
                <w:sz w:val="18"/>
                <w:szCs w:val="18"/>
              </w:rPr>
            </w:pPr>
            <w:r>
              <w:rPr>
                <w:rFonts w:ascii="宋体" w:hAnsi="宋体" w:cs="宋体" w:eastAsia="宋体" w:hint="default"/>
                <w:spacing w:val="-18"/>
                <w:sz w:val="18"/>
                <w:szCs w:val="18"/>
              </w:rPr>
              <w:t>董事长、总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于秀庆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高明明</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姜蓬</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齐二石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张世兴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张庆文</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杨嵘</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赵垲</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王小连</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王立平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孙登义</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pacing w:val="-18"/>
                <w:sz w:val="18"/>
                <w:szCs w:val="18"/>
              </w:rPr>
              <w:t>董事、常务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肖勤福</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易平良</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pacing w:val="-18"/>
                <w:sz w:val="18"/>
                <w:szCs w:val="18"/>
              </w:rPr>
              <w:t>董事、财务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毛诚</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69"/>
        <w:gridCol w:w="871"/>
        <w:gridCol w:w="869"/>
        <w:gridCol w:w="872"/>
        <w:gridCol w:w="869"/>
        <w:gridCol w:w="871"/>
      </w:tblGrid>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王勇利</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孙洪祥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王茂旭</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吕辉</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5"/>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二、任职情况</w:t>
      </w:r>
      <w:r>
        <w:rPr>
          <w:rFonts w:ascii="宋体" w:hAnsi="宋体" w:cs="宋体" w:eastAsia="宋体" w:hint="default"/>
          <w:sz w:val="24"/>
          <w:szCs w:val="24"/>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302" w:lineRule="auto" w:before="103"/>
        <w:ind w:right="1051"/>
        <w:jc w:val="left"/>
      </w:pPr>
      <w:r>
        <w:rPr>
          <w:rFonts w:ascii="Times New Roman" w:hAnsi="Times New Roman" w:cs="Times New Roman" w:eastAsia="Times New Roman" w:hint="default"/>
        </w:rPr>
        <w:t>1</w:t>
      </w:r>
      <w:r>
        <w:rPr/>
        <w:t>、许亚楠先生，男，</w:t>
      </w:r>
      <w:r>
        <w:rPr>
          <w:rFonts w:ascii="Times New Roman" w:hAnsi="Times New Roman" w:cs="Times New Roman" w:eastAsia="Times New Roman" w:hint="default"/>
        </w:rPr>
        <w:t>1962</w:t>
      </w:r>
      <w:r>
        <w:rPr>
          <w:rFonts w:ascii="Times New Roman" w:hAnsi="Times New Roman" w:cs="Times New Roman" w:eastAsia="Times New Roman" w:hint="default"/>
          <w:spacing w:val="-4"/>
        </w:rPr>
        <w:t> </w:t>
      </w:r>
      <w:r>
        <w:rPr/>
        <w:t>年生，现任深圳大通实业股份有限公司董事长、总经理。中共党员，大学本科学历。曾服役于中 国人民解放军东海舰队，历任青岛市机电设备总公司总经理助理、副总经理、党委委员，青岛亚星置业有限公司副总经理、 总经理，青岛亚星实业有限公司副总经理。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w:t>
      </w:r>
      <w:r>
        <w:rPr/>
        <w:t>月起至今任深圳大通实业股份有限公司总经理，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月起至今任深 圳大通实业股份有限公司董事长，</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月起至今兼任公司内控委员会主任。许亚楠先生在大、中型房地产企业及相关产 业有超过</w:t>
      </w:r>
      <w:r>
        <w:rPr>
          <w:rFonts w:ascii="Times New Roman" w:hAnsi="Times New Roman" w:cs="Times New Roman" w:eastAsia="Times New Roman" w:hint="default"/>
        </w:rPr>
        <w:t>20</w:t>
      </w:r>
      <w:r>
        <w:rPr/>
        <w:t>年的高层管理经历，在公司治理、综合管理和房地产经营方面具有丰富的职业经验。 </w:t>
      </w:r>
      <w:r>
        <w:rPr>
          <w:rFonts w:ascii="Times New Roman" w:hAnsi="Times New Roman" w:cs="Times New Roman" w:eastAsia="Times New Roman" w:hint="default"/>
        </w:rPr>
        <w:t>2</w:t>
      </w:r>
      <w:r>
        <w:rPr/>
        <w:t>、于秀庆先生，男，</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10</w:t>
      </w:r>
      <w:r>
        <w:rPr/>
        <w:t>月生，现任深圳大通实业股份有限公司董事。大学本科学历。</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6</w:t>
      </w:r>
      <w:r>
        <w:rPr/>
        <w:t>月在中国 </w:t>
      </w:r>
      <w:r>
        <w:rPr>
          <w:spacing w:val="-2"/>
        </w:rPr>
        <w:t>海洋大学学习。</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10</w:t>
      </w:r>
      <w:r>
        <w:rPr>
          <w:spacing w:val="-2"/>
        </w:rPr>
        <w:t>月任青岛国风大药房连锁有限公司部门主管。</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7</w:t>
      </w:r>
      <w:r>
        <w:rPr>
          <w:spacing w:val="-2"/>
        </w:rPr>
        <w:t>月，任青岛亚星置</w:t>
      </w:r>
      <w:r>
        <w:rPr>
          <w:spacing w:val="-53"/>
        </w:rPr>
        <w:t> </w:t>
      </w:r>
      <w:r>
        <w:rPr>
          <w:spacing w:val="-53"/>
        </w:rPr>
      </w:r>
      <w:r>
        <w:rPr>
          <w:spacing w:val="-3"/>
        </w:rPr>
        <w:t>业有限公司综合管理部主管、副经理。</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7</w:t>
      </w:r>
      <w:r>
        <w:rPr>
          <w:spacing w:val="-3"/>
        </w:rPr>
        <w:t>月至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月，任深大通（</w:t>
      </w:r>
      <w:r>
        <w:rPr>
          <w:rFonts w:ascii="Times New Roman" w:hAnsi="Times New Roman" w:cs="Times New Roman" w:eastAsia="Times New Roman" w:hint="default"/>
          <w:spacing w:val="-3"/>
        </w:rPr>
        <w:t>000038</w:t>
      </w:r>
      <w:r>
        <w:rPr>
          <w:spacing w:val="-3"/>
        </w:rPr>
        <w:t>）济宁海情置业有限公司副总经理。</w:t>
      </w:r>
      <w:r>
        <w:rPr>
          <w:rFonts w:ascii="Times New Roman" w:hAnsi="Times New Roman" w:cs="Times New Roman" w:eastAsia="Times New Roman" w:hint="default"/>
          <w:spacing w:val="-3"/>
        </w:rPr>
        <w:t>2013</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t>年</w:t>
      </w:r>
      <w:r>
        <w:rPr>
          <w:rFonts w:ascii="Times New Roman" w:hAnsi="Times New Roman" w:cs="Times New Roman" w:eastAsia="Times New Roman" w:hint="default"/>
        </w:rPr>
        <w:t>1</w:t>
      </w:r>
      <w:r>
        <w:rPr/>
        <w:t>至今，任青岛亚星实业有限公司董事会办公室行政人事经理。 </w:t>
      </w:r>
      <w:r>
        <w:rPr>
          <w:rFonts w:ascii="Times New Roman" w:hAnsi="Times New Roman" w:cs="Times New Roman" w:eastAsia="Times New Roman" w:hint="default"/>
          <w:spacing w:val="-6"/>
        </w:rPr>
        <w:t>3</w:t>
      </w:r>
      <w:r>
        <w:rPr>
          <w:spacing w:val="-6"/>
        </w:rPr>
        <w:t>、高明明，男，</w:t>
      </w:r>
      <w:r>
        <w:rPr>
          <w:rFonts w:ascii="Times New Roman" w:hAnsi="Times New Roman" w:cs="Times New Roman" w:eastAsia="Times New Roman" w:hint="default"/>
          <w:spacing w:val="-6"/>
        </w:rPr>
        <w:t>1963</w:t>
      </w:r>
      <w:r>
        <w:rPr>
          <w:spacing w:val="-6"/>
        </w:rPr>
        <w:t>年</w:t>
      </w:r>
      <w:r>
        <w:rPr>
          <w:rFonts w:ascii="Times New Roman" w:hAnsi="Times New Roman" w:cs="Times New Roman" w:eastAsia="Times New Roman" w:hint="default"/>
          <w:spacing w:val="-6"/>
        </w:rPr>
        <w:t>12</w:t>
      </w:r>
      <w:r>
        <w:rPr>
          <w:spacing w:val="-6"/>
        </w:rPr>
        <w:t>月出生，工商管理硕士学位，工程师，</w:t>
      </w:r>
      <w:r>
        <w:rPr>
          <w:rFonts w:ascii="Times New Roman" w:hAnsi="Times New Roman" w:cs="Times New Roman" w:eastAsia="Times New Roman" w:hint="default"/>
          <w:spacing w:val="-6"/>
        </w:rPr>
        <w:t>1983.9-2001.9</w:t>
      </w:r>
      <w:r>
        <w:rPr>
          <w:rFonts w:ascii="Times New Roman" w:hAnsi="Times New Roman" w:cs="Times New Roman" w:eastAsia="Times New Roman" w:hint="default"/>
          <w:spacing w:val="18"/>
        </w:rPr>
        <w:t> </w:t>
      </w:r>
      <w:r>
        <w:rPr/>
        <w:t>淄博石油化工工程公司副经理，</w:t>
      </w:r>
      <w:r>
        <w:rPr>
          <w:rFonts w:ascii="Times New Roman" w:hAnsi="Times New Roman" w:cs="Times New Roman" w:eastAsia="Times New Roman" w:hint="default"/>
        </w:rPr>
        <w:t>2002.3-2005.11 </w:t>
      </w:r>
      <w:r>
        <w:rPr/>
        <w:t>天泰房地产集团总工程师；</w:t>
      </w:r>
      <w:r>
        <w:rPr>
          <w:rFonts w:ascii="Times New Roman" w:hAnsi="Times New Roman" w:cs="Times New Roman" w:eastAsia="Times New Roman" w:hint="default"/>
        </w:rPr>
        <w:t>2006.4-2012.7</w:t>
      </w:r>
      <w:r>
        <w:rPr/>
        <w:t>浙江昆河集团总监；</w:t>
      </w:r>
      <w:r>
        <w:rPr>
          <w:rFonts w:ascii="Times New Roman" w:hAnsi="Times New Roman" w:cs="Times New Roman" w:eastAsia="Times New Roman" w:hint="default"/>
        </w:rPr>
        <w:t>2012.7-</w:t>
      </w:r>
      <w:r>
        <w:rPr/>
        <w:t>至今青岛亚星置业公司副总经理。 </w:t>
      </w:r>
      <w:r>
        <w:rPr>
          <w:rFonts w:ascii="Times New Roman" w:hAnsi="Times New Roman" w:cs="Times New Roman" w:eastAsia="Times New Roman" w:hint="default"/>
          <w:spacing w:val="-2"/>
        </w:rPr>
        <w:t>4</w:t>
      </w:r>
      <w:r>
        <w:rPr>
          <w:spacing w:val="-2"/>
        </w:rPr>
        <w:t>、姜蓬先生，男，</w:t>
      </w:r>
      <w:r>
        <w:rPr>
          <w:rFonts w:ascii="Times New Roman" w:hAnsi="Times New Roman" w:cs="Times New Roman" w:eastAsia="Times New Roman" w:hint="default"/>
          <w:spacing w:val="-2"/>
        </w:rPr>
        <w:t>1977</w:t>
      </w:r>
      <w:r>
        <w:rPr>
          <w:spacing w:val="-2"/>
        </w:rPr>
        <w:t>年</w:t>
      </w:r>
      <w:r>
        <w:rPr>
          <w:rFonts w:ascii="Times New Roman" w:hAnsi="Times New Roman" w:cs="Times New Roman" w:eastAsia="Times New Roman" w:hint="default"/>
          <w:spacing w:val="-2"/>
        </w:rPr>
        <w:t>5</w:t>
      </w:r>
      <w:r>
        <w:rPr>
          <w:spacing w:val="-2"/>
        </w:rPr>
        <w:t>月生，大学专科学历，拟任深圳大通实业股份有限公司董事。</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11</w:t>
      </w:r>
      <w:r>
        <w:rPr>
          <w:spacing w:val="-2"/>
        </w:rPr>
        <w:t>月至</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11</w:t>
      </w:r>
      <w:r>
        <w:rPr>
          <w:spacing w:val="-2"/>
        </w:rPr>
        <w:t>月任青岛天</w:t>
      </w:r>
      <w:r>
        <w:rPr>
          <w:spacing w:val="-52"/>
        </w:rPr>
        <w:t> </w:t>
      </w:r>
      <w:r>
        <w:rPr>
          <w:spacing w:val="-52"/>
        </w:rPr>
      </w:r>
      <w:r>
        <w:rPr>
          <w:spacing w:val="-2"/>
        </w:rPr>
        <w:t>泰集团营销部经理。</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11</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月，曾任青岛亚星置业有限公司营销部经理。</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月至今，任深大通营销管</w:t>
      </w:r>
      <w:r>
        <w:rPr>
          <w:spacing w:val="-52"/>
        </w:rPr>
        <w:t> </w:t>
      </w:r>
      <w:r>
        <w:rPr>
          <w:spacing w:val="-52"/>
        </w:rPr>
      </w:r>
      <w:r>
        <w:rPr/>
        <w:t>理部负责人。</w:t>
      </w:r>
    </w:p>
    <w:p>
      <w:pPr>
        <w:pStyle w:val="BodyText"/>
        <w:spacing w:line="304" w:lineRule="auto" w:before="29"/>
        <w:ind w:right="1041"/>
        <w:jc w:val="left"/>
      </w:pPr>
      <w:r>
        <w:rPr>
          <w:rFonts w:ascii="Times New Roman" w:hAnsi="Times New Roman" w:cs="Times New Roman" w:eastAsia="Times New Roman" w:hint="default"/>
        </w:rPr>
        <w:t>5</w:t>
      </w:r>
      <w:r>
        <w:rPr/>
        <w:t>、齐二石先生，男，</w:t>
      </w:r>
      <w:r>
        <w:rPr>
          <w:rFonts w:ascii="Times New Roman" w:hAnsi="Times New Roman" w:cs="Times New Roman" w:eastAsia="Times New Roman" w:hint="default"/>
        </w:rPr>
        <w:t>1953</w:t>
      </w:r>
      <w:r>
        <w:rPr>
          <w:rFonts w:ascii="Times New Roman" w:hAnsi="Times New Roman" w:cs="Times New Roman" w:eastAsia="Times New Roman" w:hint="default"/>
          <w:spacing w:val="-1"/>
        </w:rPr>
        <w:t> </w:t>
      </w:r>
      <w:r>
        <w:rPr/>
        <w:t>年生，博士，教授，博士生导师。现任深圳大通实业股份有限公司独立董事。曾任天津大学管理 学院院长。齐二石先生于</w:t>
      </w:r>
      <w:r>
        <w:rPr>
          <w:rFonts w:ascii="Times New Roman" w:hAnsi="Times New Roman" w:cs="Times New Roman" w:eastAsia="Times New Roman" w:hint="default"/>
        </w:rPr>
        <w:t>2009</w:t>
      </w:r>
      <w:r>
        <w:rPr>
          <w:rFonts w:ascii="Times New Roman" w:hAnsi="Times New Roman" w:cs="Times New Roman" w:eastAsia="Times New Roman" w:hint="default"/>
          <w:spacing w:val="26"/>
        </w:rPr>
        <w:t> </w:t>
      </w:r>
      <w:r>
        <w:rPr/>
        <w:t>年</w:t>
      </w:r>
      <w:r>
        <w:rPr>
          <w:rFonts w:ascii="Times New Roman" w:hAnsi="Times New Roman" w:cs="Times New Roman" w:eastAsia="Times New Roman" w:hint="default"/>
        </w:rPr>
        <w:t>5</w:t>
      </w:r>
      <w:r>
        <w:rPr/>
        <w:t>月参加上市公司独立董事培训并获得结业证书。 </w:t>
      </w:r>
      <w:r>
        <w:rPr>
          <w:rFonts w:ascii="Times New Roman" w:hAnsi="Times New Roman" w:cs="Times New Roman" w:eastAsia="Times New Roman" w:hint="default"/>
          <w:spacing w:val="-3"/>
        </w:rPr>
        <w:t>6</w:t>
      </w:r>
      <w:r>
        <w:rPr>
          <w:spacing w:val="-3"/>
        </w:rPr>
        <w:t>、张世兴，男，</w:t>
      </w:r>
      <w:r>
        <w:rPr>
          <w:rFonts w:ascii="Times New Roman" w:hAnsi="Times New Roman" w:cs="Times New Roman" w:eastAsia="Times New Roman" w:hint="default"/>
          <w:spacing w:val="-3"/>
        </w:rPr>
        <w:t>1961</w:t>
      </w:r>
      <w:r>
        <w:rPr>
          <w:spacing w:val="-3"/>
        </w:rPr>
        <w:t>年</w:t>
      </w:r>
      <w:r>
        <w:rPr>
          <w:rFonts w:ascii="Times New Roman" w:hAnsi="Times New Roman" w:cs="Times New Roman" w:eastAsia="Times New Roman" w:hint="default"/>
          <w:spacing w:val="-3"/>
        </w:rPr>
        <w:t>2</w:t>
      </w:r>
      <w:r>
        <w:rPr>
          <w:spacing w:val="-3"/>
        </w:rPr>
        <w:t>月生，教授、博士生导师，中国注册会计师非执业会员；现任深圳大通实业股份有限公司独立董事。</w:t>
      </w:r>
      <w:r>
        <w:rPr/>
        <w:t> </w:t>
      </w:r>
      <w:r>
        <w:rPr>
          <w:spacing w:val="-2"/>
        </w:rPr>
        <w:t>中国海洋大学会计专业硕士教育中心副主任；山东省会计学会理事、青岛市国资委招标评审专家、青岛市财贸专家咨询团成</w:t>
      </w:r>
      <w:r>
        <w:rPr>
          <w:spacing w:val="-63"/>
        </w:rPr>
        <w:t> </w:t>
      </w:r>
      <w:r>
        <w:rPr>
          <w:spacing w:val="-63"/>
        </w:rPr>
      </w:r>
      <w:r>
        <w:rPr/>
        <w:t>员；青岛东方铁塔股份有限公司独立董事。</w:t>
      </w:r>
      <w:r>
        <w:rPr>
          <w:rFonts w:ascii="Times New Roman" w:hAnsi="Times New Roman" w:cs="Times New Roman" w:eastAsia="Times New Roman" w:hint="default"/>
        </w:rPr>
        <w:t>1998.8----2010.1</w:t>
      </w:r>
      <w:r>
        <w:rPr/>
        <w:t>，中国海洋大学任教授。</w:t>
      </w:r>
      <w:r>
        <w:rPr>
          <w:spacing w:val="-59"/>
        </w:rPr>
        <w:t> </w:t>
      </w:r>
      <w:r>
        <w:rPr>
          <w:rFonts w:ascii="Times New Roman" w:hAnsi="Times New Roman" w:cs="Times New Roman" w:eastAsia="Times New Roman" w:hint="default"/>
        </w:rPr>
        <w:t>2010.1</w:t>
      </w:r>
      <w:r>
        <w:rPr/>
        <w:t>至今，在中国海洋大学任博士生 导师。</w:t>
      </w:r>
    </w:p>
    <w:p>
      <w:pPr>
        <w:pStyle w:val="BodyText"/>
        <w:spacing w:line="312" w:lineRule="auto" w:before="28"/>
        <w:ind w:right="1129"/>
        <w:jc w:val="both"/>
      </w:pPr>
      <w:r>
        <w:rPr>
          <w:rFonts w:ascii="Times New Roman" w:hAnsi="Times New Roman" w:cs="Times New Roman" w:eastAsia="Times New Roman" w:hint="default"/>
          <w:spacing w:val="-3"/>
        </w:rPr>
        <w:t>7</w:t>
      </w:r>
      <w:r>
        <w:rPr>
          <w:spacing w:val="-3"/>
        </w:rPr>
        <w:t>、张庆文，男，</w:t>
      </w:r>
      <w:r>
        <w:rPr>
          <w:rFonts w:ascii="Times New Roman" w:hAnsi="Times New Roman" w:cs="Times New Roman" w:eastAsia="Times New Roman" w:hint="default"/>
          <w:spacing w:val="-3"/>
        </w:rPr>
        <w:t>1964</w:t>
      </w:r>
      <w:r>
        <w:rPr>
          <w:rFonts w:ascii="Times New Roman" w:hAnsi="Times New Roman" w:cs="Times New Roman" w:eastAsia="Times New Roman" w:hint="default"/>
          <w:spacing w:val="-1"/>
        </w:rPr>
        <w:t> </w:t>
      </w:r>
      <w:r>
        <w:rPr/>
        <w:t>年生，硕士，现任深圳大通实业股份有限公司监事。青岛亚星置业有限公司财务总监，曾任青岛天悦 </w:t>
      </w:r>
      <w:r>
        <w:rPr>
          <w:spacing w:val="-2"/>
        </w:rPr>
        <w:t>国际物流有限公司财务总监、青岛嘉合置业有限公司财务总监、中国福泰实业总公司财务部经理，曾任深圳大通股份有限公</w:t>
      </w:r>
      <w:r>
        <w:rPr>
          <w:spacing w:val="-63"/>
        </w:rPr>
        <w:t> </w:t>
      </w:r>
      <w:r>
        <w:rPr>
          <w:spacing w:val="-63"/>
        </w:rPr>
      </w:r>
      <w:r>
        <w:rPr>
          <w:spacing w:val="-2"/>
        </w:rPr>
        <w:t>司董事。担任青岛市崂山国际税收研究会理事，并在国家核心期刊发表过多篇论文。张庆文先生在房地产及相关行业有超过</w:t>
      </w:r>
      <w:r>
        <w:rPr>
          <w:spacing w:val="-61"/>
        </w:rPr>
        <w:t> </w:t>
      </w:r>
      <w:r>
        <w:rPr>
          <w:spacing w:val="-61"/>
        </w:rPr>
      </w:r>
      <w:r>
        <w:rPr>
          <w:rFonts w:ascii="Times New Roman" w:hAnsi="Times New Roman" w:cs="Times New Roman" w:eastAsia="Times New Roman" w:hint="default"/>
        </w:rPr>
        <w:t>20</w:t>
      </w:r>
      <w:r>
        <w:rPr/>
        <w:t>年的中高层管理经历，在财务会计、重大涉税、招投标及审计工作方面具有丰富的专业经验。</w:t>
      </w:r>
    </w:p>
    <w:p>
      <w:pPr>
        <w:pStyle w:val="BodyText"/>
        <w:spacing w:line="300" w:lineRule="auto" w:before="3"/>
        <w:ind w:right="1133"/>
        <w:jc w:val="both"/>
      </w:pPr>
      <w:r>
        <w:rPr>
          <w:rFonts w:ascii="Times New Roman" w:hAnsi="Times New Roman" w:cs="Times New Roman" w:eastAsia="Times New Roman" w:hint="default"/>
        </w:rPr>
        <w:t>8</w:t>
      </w:r>
      <w:r>
        <w:rPr/>
        <w:t>、杨嵘，女，</w:t>
      </w:r>
      <w:r>
        <w:rPr>
          <w:rFonts w:ascii="Times New Roman" w:hAnsi="Times New Roman" w:cs="Times New Roman" w:eastAsia="Times New Roman" w:hint="default"/>
        </w:rPr>
        <w:t>1968</w:t>
      </w:r>
      <w:r>
        <w:rPr/>
        <w:t>年生，大专，</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9</w:t>
      </w:r>
      <w:r>
        <w:rPr/>
        <w:t>月，现任深圳大通实业股份有限公司职工监事。曾任青岛市物资贸易 中心，主管会计；</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9</w:t>
      </w:r>
      <w:r>
        <w:rPr/>
        <w:t>月，青岛基建物资总公司，财务物价部主任；</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月，青岛亚星集 团，财务结算经理。</w:t>
      </w:r>
    </w:p>
    <w:p>
      <w:pPr>
        <w:pStyle w:val="BodyText"/>
        <w:spacing w:line="300" w:lineRule="auto" w:before="31"/>
        <w:ind w:right="1038"/>
        <w:jc w:val="left"/>
        <w:rPr>
          <w:rFonts w:ascii="Times New Roman" w:hAnsi="Times New Roman" w:cs="Times New Roman" w:eastAsia="Times New Roman" w:hint="default"/>
        </w:rPr>
      </w:pPr>
      <w:r>
        <w:rPr>
          <w:rFonts w:ascii="Times New Roman" w:hAnsi="Times New Roman" w:cs="Times New Roman" w:eastAsia="Times New Roman" w:hint="default"/>
          <w:spacing w:val="-9"/>
        </w:rPr>
        <w:t>9</w:t>
      </w:r>
      <w:r>
        <w:rPr>
          <w:spacing w:val="-9"/>
        </w:rPr>
        <w:t>、赵垲，男，</w:t>
      </w:r>
      <w:r>
        <w:rPr>
          <w:rFonts w:ascii="Times New Roman" w:hAnsi="Times New Roman" w:cs="Times New Roman" w:eastAsia="Times New Roman" w:hint="default"/>
          <w:spacing w:val="-9"/>
        </w:rPr>
        <w:t>1977</w:t>
      </w:r>
      <w:r>
        <w:rPr>
          <w:spacing w:val="-9"/>
        </w:rPr>
        <w:t>年生，大学本科学历，</w:t>
      </w:r>
      <w:r>
        <w:rPr>
          <w:spacing w:val="-62"/>
        </w:rPr>
        <w:t> </w:t>
      </w:r>
      <w:r>
        <w:rPr>
          <w:rFonts w:ascii="Times New Roman" w:hAnsi="Times New Roman" w:cs="Times New Roman" w:eastAsia="Times New Roman" w:hint="default"/>
        </w:rPr>
        <w:t>2008/01</w:t>
      </w:r>
      <w:r>
        <w:rPr>
          <w:rFonts w:ascii="Times New Roman" w:hAnsi="Times New Roman" w:cs="Times New Roman" w:eastAsia="Times New Roman" w:hint="default"/>
          <w:spacing w:val="-5"/>
        </w:rPr>
        <w:t> </w:t>
      </w:r>
      <w:r>
        <w:rPr>
          <w:rFonts w:ascii="Times New Roman" w:hAnsi="Times New Roman" w:cs="Times New Roman" w:eastAsia="Times New Roman" w:hint="default"/>
        </w:rPr>
        <w:t>--</w:t>
      </w:r>
      <w:r>
        <w:rPr>
          <w:rFonts w:ascii="Times New Roman" w:hAnsi="Times New Roman" w:cs="Times New Roman" w:eastAsia="Times New Roman" w:hint="default"/>
          <w:spacing w:val="32"/>
        </w:rPr>
        <w:t> </w:t>
      </w:r>
      <w:r>
        <w:rPr>
          <w:spacing w:val="-5"/>
        </w:rPr>
        <w:t>至今：青岛亚星集团董事会办公室，审计监察部经理；</w:t>
      </w:r>
      <w:r>
        <w:rPr>
          <w:rFonts w:ascii="Times New Roman" w:hAnsi="Times New Roman" w:cs="Times New Roman" w:eastAsia="Times New Roman" w:hint="default"/>
          <w:spacing w:val="-5"/>
        </w:rPr>
        <w:t>2004/05 </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rFonts w:ascii="Times New Roman" w:hAnsi="Times New Roman" w:cs="Times New Roman" w:eastAsia="Times New Roman" w:hint="default"/>
        </w:rPr>
        <w:t>2007/12</w:t>
      </w:r>
      <w:r>
        <w:rPr/>
        <w:t>： 山东莱钢建设有限公司，内部审计、监察主管 ；</w:t>
      </w:r>
      <w:r>
        <w:rPr>
          <w:rFonts w:ascii="Times New Roman" w:hAnsi="Times New Roman" w:cs="Times New Roman" w:eastAsia="Times New Roman" w:hint="default"/>
        </w:rPr>
        <w:t>2003/07 -- 2004/05</w:t>
      </w:r>
      <w:r>
        <w:rPr/>
        <w:t>：青岛好美家装潢建材有限公司，财务经理；</w:t>
      </w:r>
      <w:r>
        <w:rPr>
          <w:rFonts w:ascii="Times New Roman" w:hAnsi="Times New Roman" w:cs="Times New Roman" w:eastAsia="Times New Roman" w:hint="default"/>
        </w:rPr>
        <w:t>2000/07</w:t>
      </w:r>
      <w:r>
        <w:rPr>
          <w:rFonts w:ascii="Times New Roman" w:hAnsi="Times New Roman" w:cs="Times New Roman" w:eastAsia="Times New Roman" w:hint="default"/>
          <w:spacing w:val="-22"/>
        </w:rPr>
        <w:t> </w:t>
      </w:r>
      <w:r>
        <w:rPr>
          <w:rFonts w:ascii="Times New Roman" w:hAnsi="Times New Roman" w:cs="Times New Roman" w:eastAsia="Times New Roman" w:hint="default"/>
        </w:rPr>
        <w:t>--</w:t>
      </w:r>
    </w:p>
    <w:p>
      <w:pPr>
        <w:pStyle w:val="BodyText"/>
        <w:spacing w:line="240" w:lineRule="auto" w:before="13"/>
        <w:ind w:right="0"/>
        <w:jc w:val="left"/>
      </w:pPr>
      <w:r>
        <w:rPr>
          <w:rFonts w:ascii="Times New Roman" w:hAnsi="Times New Roman" w:cs="Times New Roman" w:eastAsia="Times New Roman" w:hint="default"/>
        </w:rPr>
        <w:t>2003/07</w:t>
      </w:r>
      <w:r>
        <w:rPr/>
        <w:t>：青岛第五针织厂</w:t>
      </w:r>
      <w:r>
        <w:rPr>
          <w:spacing w:val="-20"/>
        </w:rPr>
        <w:t> </w:t>
      </w:r>
      <w:r>
        <w:rPr/>
        <w:t>，会计</w:t>
      </w:r>
      <w:r>
        <w:rPr>
          <w:rFonts w:ascii="Times New Roman" w:hAnsi="Times New Roman" w:cs="Times New Roman" w:eastAsia="Times New Roman" w:hint="default"/>
        </w:rPr>
        <w:t>/</w:t>
      </w:r>
      <w:r>
        <w:rPr/>
        <w:t>出纳。</w:t>
      </w:r>
    </w:p>
    <w:p>
      <w:pPr>
        <w:spacing w:after="0" w:line="24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304" w:lineRule="auto" w:before="44"/>
        <w:ind w:right="1119"/>
        <w:jc w:val="left"/>
      </w:pPr>
      <w:r>
        <w:rPr>
          <w:rFonts w:ascii="Times New Roman" w:hAnsi="Times New Roman" w:cs="Times New Roman" w:eastAsia="Times New Roman" w:hint="default"/>
          <w:spacing w:val="-2"/>
        </w:rPr>
        <w:t>10</w:t>
      </w:r>
      <w:r>
        <w:rPr>
          <w:spacing w:val="-2"/>
        </w:rPr>
        <w:t>、王小连，女，山东人，</w:t>
      </w:r>
      <w:r>
        <w:rPr>
          <w:rFonts w:ascii="Times New Roman" w:hAnsi="Times New Roman" w:cs="Times New Roman" w:eastAsia="Times New Roman" w:hint="default"/>
          <w:spacing w:val="-2"/>
        </w:rPr>
        <w:t>1983</w:t>
      </w:r>
      <w:r>
        <w:rPr>
          <w:spacing w:val="-2"/>
        </w:rPr>
        <w:t>年，本科毕业。现任深圳大通实业股份有限公司董事会秘书。曾先后就职于青岛森泰达集团</w:t>
      </w:r>
      <w:r>
        <w:rPr>
          <w:spacing w:val="-66"/>
        </w:rPr>
        <w:t> </w:t>
      </w:r>
      <w:r>
        <w:rPr>
          <w:spacing w:val="-66"/>
        </w:rPr>
      </w:r>
      <w:r>
        <w:rPr>
          <w:spacing w:val="-2"/>
        </w:rPr>
        <w:t>有限公司、青岛亚星实业有限公司，负责行政管理及上市业务处理。</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月任深圳大通实业股份有限公司证券事务代表</w:t>
      </w:r>
      <w:r>
        <w:rPr>
          <w:spacing w:val="-58"/>
        </w:rPr>
        <w:t> </w:t>
      </w:r>
      <w:r>
        <w:rPr>
          <w:spacing w:val="-58"/>
        </w:rPr>
      </w:r>
      <w:r>
        <w:rPr/>
        <w:t>一职。 </w:t>
      </w:r>
      <w:r>
        <w:rPr>
          <w:rFonts w:ascii="Times New Roman" w:hAnsi="Times New Roman" w:cs="Times New Roman" w:eastAsia="Times New Roman" w:hint="default"/>
          <w:spacing w:val="-2"/>
        </w:rPr>
        <w:t>11</w:t>
      </w:r>
      <w:r>
        <w:rPr>
          <w:spacing w:val="-2"/>
        </w:rPr>
        <w:t>、王立平，女，</w:t>
      </w:r>
      <w:r>
        <w:rPr>
          <w:rFonts w:ascii="Times New Roman" w:hAnsi="Times New Roman" w:cs="Times New Roman" w:eastAsia="Times New Roman" w:hint="default"/>
          <w:spacing w:val="-2"/>
        </w:rPr>
        <w:t>1967</w:t>
      </w:r>
      <w:r>
        <w:rPr>
          <w:spacing w:val="-2"/>
        </w:rPr>
        <w:t>年生。大学本科学历，会计师。现任深圳大通实业股份有限公司财务总监。历任威海市书画院办公室</w:t>
      </w:r>
      <w:r>
        <w:rPr>
          <w:spacing w:val="-66"/>
        </w:rPr>
        <w:t> </w:t>
      </w:r>
      <w:r>
        <w:rPr>
          <w:spacing w:val="-66"/>
        </w:rPr>
      </w:r>
      <w:r>
        <w:rPr/>
        <w:t>主任财务负责人，青岛亚星置业有限公司财务部副经理。</w:t>
      </w:r>
    </w:p>
    <w:p>
      <w:pPr>
        <w:pStyle w:val="BodyText"/>
        <w:spacing w:line="240" w:lineRule="auto" w:before="68"/>
        <w:ind w:right="0"/>
        <w:jc w:val="left"/>
      </w:pPr>
      <w:r>
        <w:rPr/>
        <w:t>在股东单位任职情况</w:t>
      </w:r>
    </w:p>
    <w:p>
      <w:pPr>
        <w:pStyle w:val="BodyText"/>
        <w:spacing w:line="240" w:lineRule="auto" w:before="115"/>
        <w:ind w:right="0"/>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张庆文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青岛亚星置业有限公司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于秀庆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0"/>
              <w:jc w:val="left"/>
              <w:rPr>
                <w:rFonts w:ascii="宋体" w:hAnsi="宋体" w:cs="宋体" w:eastAsia="宋体" w:hint="default"/>
                <w:sz w:val="18"/>
                <w:szCs w:val="18"/>
              </w:rPr>
            </w:pPr>
            <w:r>
              <w:rPr>
                <w:rFonts w:ascii="宋体" w:hAnsi="宋体" w:cs="宋体" w:eastAsia="宋体" w:hint="default"/>
                <w:sz w:val="18"/>
                <w:szCs w:val="18"/>
              </w:rPr>
              <w:t>行政人事经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高明明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青岛亚星置业有限公司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0"/>
              <w:jc w:val="left"/>
              <w:rPr>
                <w:rFonts w:ascii="宋体" w:hAnsi="宋体" w:cs="宋体" w:eastAsia="宋体" w:hint="default"/>
                <w:sz w:val="18"/>
                <w:szCs w:val="18"/>
              </w:rPr>
            </w:pPr>
            <w:r>
              <w:rPr>
                <w:rFonts w:ascii="宋体" w:hAnsi="宋体" w:cs="宋体" w:eastAsia="宋体" w:hint="default"/>
                <w:sz w:val="18"/>
                <w:szCs w:val="18"/>
              </w:rPr>
              <w:t>审计监察部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0"/>
        <w:jc w:val="left"/>
      </w:pPr>
      <w:r>
        <w:rPr/>
        <w:t>在其他单位任职情况</w:t>
      </w:r>
    </w:p>
    <w:p>
      <w:pPr>
        <w:pStyle w:val="BodyText"/>
        <w:spacing w:line="240" w:lineRule="auto" w:before="115"/>
        <w:ind w:right="0"/>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齐二石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天津大学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肖勤福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中央党校报刊社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社长兼总编</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张世兴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中国海洋大学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博士生导师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0"/>
        <w:jc w:val="left"/>
      </w:pPr>
      <w:r>
        <w:rPr/>
        <w:t>董事、监事、高级管理人员报酬的决策程序、确定依据、实际支付情况 </w:t>
      </w:r>
      <w:r>
        <w:rPr>
          <w:spacing w:val="-2"/>
        </w:rPr>
        <w:t>高级管理人员绩效考核实行直接上级考核制，考核者为被考核者的直接上级。考核的内容为公司确定的目标指标及分解的业</w:t>
      </w:r>
      <w:r>
        <w:rPr>
          <w:spacing w:val="-64"/>
        </w:rPr>
        <w:t> </w:t>
      </w:r>
      <w:r>
        <w:rPr>
          <w:spacing w:val="-64"/>
        </w:rPr>
      </w:r>
      <w:r>
        <w:rPr>
          <w:spacing w:val="-2"/>
        </w:rPr>
        <w:t>绩指标。关键业绩指标来自公司年度目标的层层分解，能够反映公司关键重点经营活动情况，用来定期衡量完成重要工作和</w:t>
      </w:r>
    </w:p>
    <w:p>
      <w:pPr>
        <w:pStyle w:val="BodyText"/>
        <w:spacing w:line="307" w:lineRule="auto" w:before="2"/>
        <w:ind w:right="1130"/>
        <w:jc w:val="both"/>
      </w:pPr>
      <w:r>
        <w:rPr>
          <w:spacing w:val="-2"/>
        </w:rPr>
        <w:t>关键工作的成果。考核分为月度和年度考核。月度考核，考核时间为次月</w:t>
      </w:r>
      <w:r>
        <w:rPr>
          <w:rFonts w:ascii="Times New Roman" w:hAnsi="Times New Roman" w:cs="Times New Roman" w:eastAsia="Times New Roman" w:hint="default"/>
          <w:spacing w:val="-2"/>
        </w:rPr>
        <w:t>1</w:t>
      </w:r>
      <w:r>
        <w:rPr>
          <w:spacing w:val="-2"/>
        </w:rPr>
        <w:t>日起，</w:t>
      </w:r>
      <w:r>
        <w:rPr>
          <w:rFonts w:ascii="Times New Roman" w:hAnsi="Times New Roman" w:cs="Times New Roman" w:eastAsia="Times New Roman" w:hint="default"/>
          <w:spacing w:val="-2"/>
        </w:rPr>
        <w:t>5</w:t>
      </w:r>
      <w:r>
        <w:rPr>
          <w:spacing w:val="-2"/>
        </w:rPr>
        <w:t>日前结束。年度考核一年开展一次：在每</w:t>
      </w:r>
      <w:r>
        <w:rPr>
          <w:spacing w:val="-66"/>
        </w:rPr>
        <w:t> </w:t>
      </w:r>
      <w:r>
        <w:rPr>
          <w:spacing w:val="-66"/>
        </w:rPr>
      </w:r>
      <w:r>
        <w:rPr/>
        <w:t>年的</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w:t>
      </w:r>
      <w:r>
        <w:rPr>
          <w:rFonts w:ascii="Times New Roman" w:hAnsi="Times New Roman" w:cs="Times New Roman" w:eastAsia="Times New Roman" w:hint="default"/>
        </w:rPr>
        <w:t>—</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日进行；月度考核结果应用：用于月度浮动绩效工资的发放，月度绩效奖金</w:t>
      </w:r>
      <w:r>
        <w:rPr>
          <w:rFonts w:ascii="Times New Roman" w:hAnsi="Times New Roman" w:cs="Times New Roman" w:eastAsia="Times New Roman" w:hint="default"/>
        </w:rPr>
        <w:t>=</w:t>
      </w:r>
      <w:r>
        <w:rPr/>
        <w:t>总得分</w:t>
      </w:r>
      <w:r>
        <w:rPr>
          <w:rFonts w:ascii="Times New Roman" w:hAnsi="Times New Roman" w:cs="Times New Roman" w:eastAsia="Times New Roman" w:hint="default"/>
        </w:rPr>
        <w:t>/100*</w:t>
      </w:r>
      <w:r>
        <w:rPr/>
        <w:t>月度浮动绩效 </w:t>
      </w:r>
      <w:r>
        <w:rPr>
          <w:spacing w:val="-1"/>
        </w:rPr>
        <w:t>奖金基数，月度浮动绩效奖金基数为月度工资的</w:t>
      </w:r>
      <w:r>
        <w:rPr>
          <w:rFonts w:ascii="Times New Roman" w:hAnsi="Times New Roman" w:cs="Times New Roman" w:eastAsia="Times New Roman" w:hint="default"/>
          <w:spacing w:val="-1"/>
        </w:rPr>
        <w:t>10%</w:t>
      </w:r>
      <w:r>
        <w:rPr>
          <w:spacing w:val="-1"/>
        </w:rPr>
        <w:t>。为了纠正由于月度指标分解不合理带来的月度考核偏差，实行季度修</w:t>
      </w:r>
      <w:r>
        <w:rPr/>
        <w:t> </w:t>
      </w:r>
      <w:r>
        <w:rPr>
          <w:spacing w:val="-2"/>
        </w:rPr>
        <w:t>正平衡，对于收入、费用和成本类指标，每季度进行一次综合绩效修正和平衡。根据季度累计完成情况对整个季度的绩效工</w:t>
      </w:r>
      <w:r>
        <w:rPr>
          <w:spacing w:val="-63"/>
        </w:rPr>
        <w:t> </w:t>
      </w:r>
      <w:r>
        <w:rPr>
          <w:spacing w:val="-63"/>
        </w:rPr>
      </w:r>
      <w:r>
        <w:rPr>
          <w:spacing w:val="-2"/>
        </w:rPr>
        <w:t>资实行多退少补，即每季度的前两个月绩效工资按照月度考核执行，第三个月绩效工资等季度绩效指标考核结束后实行多退</w:t>
      </w:r>
      <w:r>
        <w:rPr>
          <w:spacing w:val="-64"/>
        </w:rPr>
        <w:t> </w:t>
      </w:r>
      <w:r>
        <w:rPr>
          <w:spacing w:val="-64"/>
        </w:rPr>
      </w:r>
      <w:r>
        <w:rPr>
          <w:spacing w:val="-1"/>
        </w:rPr>
        <w:t>少补。年度考核结果应用于高级管理人员年薪预留部分的考核兑现。高级管理人员预留年薪的</w:t>
      </w:r>
      <w:r>
        <w:rPr>
          <w:rFonts w:ascii="Times New Roman" w:hAnsi="Times New Roman" w:cs="Times New Roman" w:eastAsia="Times New Roman" w:hint="default"/>
          <w:spacing w:val="-1"/>
        </w:rPr>
        <w:t>30%</w:t>
      </w:r>
      <w:r>
        <w:rPr>
          <w:spacing w:val="-1"/>
        </w:rPr>
        <w:t>作为年底绩效考核，其中</w:t>
      </w:r>
      <w:r>
        <w:rPr>
          <w:spacing w:val="-88"/>
        </w:rPr>
        <w:t> </w:t>
      </w:r>
      <w:r>
        <w:rPr>
          <w:spacing w:val="-88"/>
        </w:rPr>
      </w:r>
      <w:r>
        <w:rPr>
          <w:rFonts w:ascii="Times New Roman" w:hAnsi="Times New Roman" w:cs="Times New Roman" w:eastAsia="Times New Roman" w:hint="default"/>
          <w:spacing w:val="-2"/>
        </w:rPr>
        <w:t>50%</w:t>
      </w:r>
      <w:r>
        <w:rPr>
          <w:spacing w:val="-2"/>
        </w:rPr>
        <w:t>和公司的利润挂钩，其余</w:t>
      </w:r>
      <w:r>
        <w:rPr>
          <w:rFonts w:ascii="Times New Roman" w:hAnsi="Times New Roman" w:cs="Times New Roman" w:eastAsia="Times New Roman" w:hint="default"/>
          <w:spacing w:val="-2"/>
        </w:rPr>
        <w:t>50%</w:t>
      </w:r>
      <w:r>
        <w:rPr>
          <w:spacing w:val="-2"/>
        </w:rPr>
        <w:t>和年终绩效考核挂钩，具体如下：年终绩效奖金＝年度实际得分</w:t>
      </w:r>
      <w:r>
        <w:rPr>
          <w:rFonts w:ascii="Times New Roman" w:hAnsi="Times New Roman" w:cs="Times New Roman" w:eastAsia="Times New Roman" w:hint="default"/>
          <w:spacing w:val="-2"/>
        </w:rPr>
        <w:t>/100×</w:t>
      </w:r>
      <w:r>
        <w:rPr>
          <w:spacing w:val="-2"/>
        </w:rPr>
        <w:t>绩效奖金基数，其中</w:t>
      </w:r>
    </w:p>
    <w:p>
      <w:pPr>
        <w:pStyle w:val="BodyText"/>
        <w:spacing w:line="240" w:lineRule="auto" w:before="7"/>
        <w:ind w:right="0"/>
        <w:jc w:val="left"/>
      </w:pPr>
      <w:r>
        <w:rPr/>
        <w:t>绩效奖金基数：高级管理人员为年度预留基本年薪的</w:t>
      </w:r>
      <w:r>
        <w:rPr>
          <w:rFonts w:ascii="Times New Roman" w:hAnsi="Times New Roman" w:cs="Times New Roman" w:eastAsia="Times New Roman" w:hint="default"/>
        </w:rPr>
        <w:t>15%</w:t>
      </w:r>
      <w:r>
        <w:rPr/>
        <w:t>；</w:t>
      </w:r>
    </w:p>
    <w:p>
      <w:pPr>
        <w:spacing w:after="0" w:line="24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309" w:lineRule="auto" w:before="44"/>
        <w:ind w:right="1124"/>
        <w:jc w:val="left"/>
      </w:pPr>
      <w:r>
        <w:rPr>
          <w:spacing w:val="-2"/>
        </w:rPr>
        <w:t>公司针对高级管理人员建立了一套绩效考评制度和薪酬制度。</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7</w:t>
      </w:r>
      <w:r>
        <w:rPr>
          <w:spacing w:val="-2"/>
        </w:rPr>
        <w:t>日公司第七届第十四次董事会审议通过了《深圳大</w:t>
      </w:r>
      <w:r>
        <w:rPr>
          <w:spacing w:val="-60"/>
        </w:rPr>
        <w:t> </w:t>
      </w:r>
      <w:r>
        <w:rPr>
          <w:spacing w:val="-60"/>
        </w:rPr>
      </w:r>
      <w:r>
        <w:rPr/>
        <w:t>通实业股份有限公司绩效考核制度》；</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日公司第七届第十五次董事会审议通过了《深圳大通实业股份有限公司 </w:t>
      </w:r>
      <w:r>
        <w:rPr>
          <w:spacing w:val="-2"/>
        </w:rPr>
        <w:t>董事会薪酬与考核委员会工作细则》。薪酬委员会是董事会设立的专门工作机构，主要负责制定公司董事及高级管理人员的</w:t>
      </w:r>
      <w:r>
        <w:rPr>
          <w:spacing w:val="-66"/>
        </w:rPr>
        <w:t> </w:t>
      </w:r>
      <w:r>
        <w:rPr>
          <w:spacing w:val="-66"/>
        </w:rPr>
      </w:r>
      <w:r>
        <w:rPr/>
        <w:t>考核标准并进行考核，负责制定、审查公司董事及高级管理人员的薪酬政策与方案，对董事会负责。 董事、监事和高级管理人员报酬如期按实支付。</w:t>
      </w:r>
    </w:p>
    <w:p>
      <w:pPr>
        <w:pStyle w:val="BodyText"/>
        <w:spacing w:line="240" w:lineRule="auto" w:before="65"/>
        <w:ind w:right="0"/>
        <w:jc w:val="left"/>
      </w:pPr>
      <w:r>
        <w:rPr/>
        <w:t>公司报告期内董事、监事和高级管理人员报酬情况</w:t>
      </w:r>
    </w:p>
    <w:p>
      <w:pPr>
        <w:pStyle w:val="BodyText"/>
        <w:spacing w:line="240" w:lineRule="auto" w:before="115"/>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许亚楠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于秀庆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高明明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21.8</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齐二石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张世兴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6.96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张庆文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杨嵘</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11.7</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赵垲</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王小连</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13.85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13.85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王立平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w:t>
            </w:r>
          </w:p>
        </w:tc>
      </w:tr>
      <w:tr>
        <w:trPr>
          <w:trHeight w:val="71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孙登义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董事、常务副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肖勤福</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易平良</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董事、财务总 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毛诚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王勇利</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孙洪祥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王茂旭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7.3</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13"/>
              <w:jc w:val="righ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2"/>
                <w:sz w:val="18"/>
              </w:rPr>
              <w:t>116.03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108.7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224.73</w:t>
            </w:r>
          </w:p>
        </w:tc>
      </w:tr>
    </w:tbl>
    <w:p>
      <w:pPr>
        <w:pStyle w:val="BodyText"/>
        <w:spacing w:line="240" w:lineRule="auto" w:before="49"/>
        <w:ind w:right="0"/>
        <w:jc w:val="left"/>
      </w:pPr>
      <w:r>
        <w:rPr/>
        <w:t>公司董事、监事、高级管理人员报告期内被授予的股权激励情况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29"/>
        <w:gridCol w:w="1330"/>
        <w:gridCol w:w="1330"/>
        <w:gridCol w:w="1330"/>
        <w:gridCol w:w="4238"/>
      </w:tblGrid>
      <w:tr>
        <w:trPr>
          <w:trHeight w:val="402"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after="0" w:line="240" w:lineRule="auto"/>
        <w:jc w:val="center"/>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于秀庆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不在担任监事，换届后担任董事。</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张庆文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不在担任董事，换届后担任监事。</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赵垲</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王小连</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王立平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毛诚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王勇利</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孙洪祥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王茂旭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辞职</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易平良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辞职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吕辉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辞职</w:t>
            </w:r>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五、公司员工情况</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300" w:lineRule="auto"/>
        <w:ind w:right="0"/>
        <w:jc w:val="left"/>
      </w:pPr>
      <w:r>
        <w:rPr>
          <w:spacing w:val="-2"/>
        </w:rPr>
        <w:t>截至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日，公司在职员工</w:t>
      </w:r>
      <w:r>
        <w:rPr>
          <w:rFonts w:ascii="Times New Roman" w:hAnsi="Times New Roman" w:cs="Times New Roman" w:eastAsia="Times New Roman" w:hint="default"/>
          <w:spacing w:val="-2"/>
        </w:rPr>
        <w:t>73</w:t>
      </w:r>
      <w:r>
        <w:rPr>
          <w:spacing w:val="-2"/>
        </w:rPr>
        <w:t>人，公司为员工提供在行业和地区内具有一定竞争力的薪酬福利待遇，同时在公司内</w:t>
      </w:r>
      <w:r>
        <w:rPr>
          <w:spacing w:val="-58"/>
        </w:rPr>
        <w:t> </w:t>
      </w:r>
      <w:r>
        <w:rPr>
          <w:spacing w:val="-58"/>
        </w:rPr>
      </w:r>
      <w:r>
        <w:rPr/>
        <w:t>部实施具有公平性、激励性、竞争性、规范化的薪酬管理制度，以实现公司与员工的共赢。</w:t>
      </w:r>
    </w:p>
    <w:p>
      <w:pPr>
        <w:pStyle w:val="BodyText"/>
        <w:spacing w:line="240" w:lineRule="auto" w:before="31"/>
        <w:ind w:right="0"/>
        <w:jc w:val="left"/>
      </w:pPr>
      <w:r>
        <w:rPr/>
        <w:t>图</w:t>
      </w:r>
    </w:p>
    <w:p>
      <w:pPr>
        <w:spacing w:after="0" w:line="240" w:lineRule="auto"/>
        <w:jc w:val="left"/>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3"/>
          <w:szCs w:val="13"/>
        </w:rPr>
      </w:pPr>
    </w:p>
    <w:p>
      <w:pPr>
        <w:spacing w:line="4035" w:lineRule="exact"/>
        <w:ind w:left="15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0"/>
          <w:sz w:val="20"/>
          <w:szCs w:val="20"/>
        </w:rPr>
        <w:drawing>
          <wp:inline distT="0" distB="0" distL="0" distR="0">
            <wp:extent cx="5278793" cy="2562225"/>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35" cstate="print"/>
                    <a:stretch>
                      <a:fillRect/>
                    </a:stretch>
                  </pic:blipFill>
                  <pic:spPr>
                    <a:xfrm>
                      <a:off x="0" y="0"/>
                      <a:ext cx="5278793" cy="2562225"/>
                    </a:xfrm>
                    <a:prstGeom prst="rect">
                      <a:avLst/>
                    </a:prstGeom>
                  </pic:spPr>
                </pic:pic>
              </a:graphicData>
            </a:graphic>
          </wp:inline>
        </w:drawing>
      </w:r>
      <w:r>
        <w:rPr>
          <w:rFonts w:ascii="Times New Roman" w:hAnsi="Times New Roman" w:cs="Times New Roman" w:eastAsia="Times New Roman" w:hint="default"/>
          <w:position w:val="-80"/>
          <w:sz w:val="20"/>
          <w:szCs w:val="20"/>
        </w:rPr>
      </w:r>
    </w:p>
    <w:p>
      <w:pPr>
        <w:spacing w:line="240" w:lineRule="auto" w:before="10"/>
        <w:rPr>
          <w:rFonts w:ascii="Times New Roman" w:hAnsi="Times New Roman" w:cs="Times New Roman" w:eastAsia="Times New Roman" w:hint="default"/>
          <w:sz w:val="8"/>
          <w:szCs w:val="8"/>
        </w:rPr>
      </w:pPr>
    </w:p>
    <w:p>
      <w:pPr>
        <w:spacing w:line="3870" w:lineRule="exact"/>
        <w:ind w:left="15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6"/>
          <w:sz w:val="20"/>
          <w:szCs w:val="20"/>
        </w:rPr>
        <w:drawing>
          <wp:inline distT="0" distB="0" distL="0" distR="0">
            <wp:extent cx="5276121" cy="2457450"/>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36" cstate="print"/>
                    <a:stretch>
                      <a:fillRect/>
                    </a:stretch>
                  </pic:blipFill>
                  <pic:spPr>
                    <a:xfrm>
                      <a:off x="0" y="0"/>
                      <a:ext cx="5276121" cy="2457450"/>
                    </a:xfrm>
                    <a:prstGeom prst="rect">
                      <a:avLst/>
                    </a:prstGeom>
                  </pic:spPr>
                </pic:pic>
              </a:graphicData>
            </a:graphic>
          </wp:inline>
        </w:drawing>
      </w:r>
      <w:r>
        <w:rPr>
          <w:rFonts w:ascii="Times New Roman" w:hAnsi="Times New Roman" w:cs="Times New Roman" w:eastAsia="Times New Roman" w:hint="default"/>
          <w:position w:val="-76"/>
          <w:sz w:val="20"/>
          <w:szCs w:val="20"/>
        </w:rPr>
      </w:r>
    </w:p>
    <w:p>
      <w:pPr>
        <w:spacing w:after="0" w:line="3870" w:lineRule="exact"/>
        <w:rPr>
          <w:rFonts w:ascii="Times New Roman" w:hAnsi="Times New Roman" w:cs="Times New Roman" w:eastAsia="Times New Roman" w:hint="default"/>
          <w:sz w:val="20"/>
          <w:szCs w:val="20"/>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630040"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39</w:t>
                    </w:r>
                  </w:p>
                </w:txbxContent>
              </v:textbox>
              <w10:wrap type="none"/>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right="3760"/>
        <w:jc w:val="center"/>
        <w:rPr>
          <w:b w:val="0"/>
          <w:bCs w:val="0"/>
        </w:rPr>
      </w:pPr>
      <w:r>
        <w:rPr/>
        <w:t>第八节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right="0"/>
        <w:jc w:val="left"/>
      </w:pPr>
      <w:r>
        <w:rPr>
          <w:spacing w:val="-2"/>
        </w:rPr>
        <w:t>报告期内，公司严格按照《公司法》、《证券法》、《上市公司治理准则》等法律法规的要求，规范公司运作，不断健全和</w:t>
      </w:r>
      <w:r>
        <w:rPr>
          <w:spacing w:val="-71"/>
        </w:rPr>
        <w:t> </w:t>
      </w:r>
      <w:r>
        <w:rPr>
          <w:spacing w:val="-71"/>
        </w:rPr>
      </w:r>
      <w:r>
        <w:rPr/>
        <w:t>完善公司治理结构和治理制度，建立了较为完善的法人治理结构。 </w:t>
      </w:r>
      <w:r>
        <w:rPr>
          <w:spacing w:val="-2"/>
        </w:rPr>
        <w:t>公司股东大会、董事会、监事会运作规范，按照法律法规和公司章程的规定履行职权。公司股东大会、董事会、监事会历次</w:t>
      </w:r>
      <w:r>
        <w:rPr>
          <w:spacing w:val="-67"/>
        </w:rPr>
        <w:t> </w:t>
      </w:r>
      <w:r>
        <w:rPr>
          <w:spacing w:val="-67"/>
        </w:rPr>
      </w:r>
      <w:r>
        <w:rPr>
          <w:spacing w:val="-2"/>
        </w:rPr>
        <w:t>会议通知、决议、会议程序及信息披露工作均符合法定程序要求。公司一贯重视信息披露工作，真实、准确、完整、及时的</w:t>
      </w:r>
      <w:r>
        <w:rPr>
          <w:spacing w:val="-71"/>
        </w:rPr>
        <w:t> </w:t>
      </w:r>
      <w:r>
        <w:rPr>
          <w:spacing w:val="-71"/>
        </w:rPr>
      </w:r>
      <w:r>
        <w:rPr/>
        <w:t>信息披露确保了全体股东享有平等地位，保证了全体股东尤其是中小股东对公司重大事项享有的知情权和参与权。 </w:t>
      </w:r>
      <w:r>
        <w:rPr>
          <w:rFonts w:ascii="Times New Roman" w:hAnsi="Times New Roman" w:cs="Times New Roman" w:eastAsia="Times New Roman" w:hint="default"/>
          <w:spacing w:val="-2"/>
        </w:rPr>
        <w:t>2013</w:t>
      </w:r>
      <w:r>
        <w:rPr>
          <w:spacing w:val="-2"/>
        </w:rPr>
        <w:t>年公司修订了：深圳大通实业股份有限公司授权管理制度（</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日经公司第八届董事会第八次会议通过）。公</w:t>
      </w:r>
      <w:r>
        <w:rPr>
          <w:spacing w:val="-56"/>
        </w:rPr>
        <w:t> </w:t>
      </w:r>
      <w:r>
        <w:rPr>
          <w:spacing w:val="-56"/>
        </w:rPr>
      </w:r>
      <w:r>
        <w:rPr/>
        <w:t>司今后将继续完善公司治理体系，提高规范运作水平，切实维护股东利益，促进公司持续、健康发展。</w:t>
      </w:r>
    </w:p>
    <w:p>
      <w:pPr>
        <w:spacing w:line="240" w:lineRule="auto" w:before="0"/>
        <w:rPr>
          <w:rFonts w:ascii="宋体" w:hAnsi="宋体" w:cs="宋体" w:eastAsia="宋体" w:hint="default"/>
          <w:sz w:val="18"/>
          <w:szCs w:val="18"/>
        </w:rPr>
      </w:pPr>
    </w:p>
    <w:p>
      <w:pPr>
        <w:pStyle w:val="BodyText"/>
        <w:spacing w:line="240" w:lineRule="auto" w:before="138"/>
        <w:ind w:right="0"/>
        <w:jc w:val="left"/>
      </w:pPr>
      <w:r>
        <w:rPr/>
        <w:t>公司治理与《公司法》和中国证监会相关规定的要求是否存在差异</w:t>
      </w:r>
    </w:p>
    <w:p>
      <w:pPr>
        <w:pStyle w:val="BodyText"/>
        <w:spacing w:line="340" w:lineRule="auto" w:before="115"/>
        <w:ind w:right="55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公司治理与《公司法》和中国证监会相关规定的要求不存在差异。</w:t>
      </w:r>
    </w:p>
    <w:p>
      <w:pPr>
        <w:pStyle w:val="BodyText"/>
        <w:spacing w:line="240" w:lineRule="auto" w:before="39"/>
        <w:ind w:right="0"/>
        <w:jc w:val="left"/>
      </w:pPr>
      <w:r>
        <w:rPr/>
        <w:t>公司治理专项活动开展情况以及内幕信息知情人登记管理制度的制定、实施情况</w:t>
      </w:r>
    </w:p>
    <w:p>
      <w:pPr>
        <w:pStyle w:val="BodyText"/>
        <w:spacing w:line="309" w:lineRule="auto" w:before="117"/>
        <w:ind w:right="1116"/>
        <w:jc w:val="left"/>
      </w:pPr>
      <w:r>
        <w:rPr>
          <w:rFonts w:ascii="Times New Roman" w:hAnsi="Times New Roman" w:cs="Times New Roman" w:eastAsia="Times New Roman" w:hint="default"/>
        </w:rPr>
        <w:t>(1)</w:t>
      </w:r>
      <w:r>
        <w:rPr/>
        <w:t>公司治理专项活动开展情况：</w:t>
      </w:r>
      <w:r>
        <w:rPr>
          <w:rFonts w:ascii="Times New Roman" w:hAnsi="Times New Roman" w:cs="Times New Roman" w:eastAsia="Times New Roman" w:hint="default"/>
        </w:rPr>
        <w:t>2013</w:t>
      </w:r>
      <w:r>
        <w:rPr>
          <w:rFonts w:ascii="Times New Roman" w:hAnsi="Times New Roman" w:cs="Times New Roman" w:eastAsia="Times New Roman" w:hint="default"/>
          <w:spacing w:val="23"/>
        </w:rPr>
        <w:t> </w:t>
      </w:r>
      <w:r>
        <w:rPr/>
        <w:t>年，公司按照监管部门的要求，进一步完善公司组织结构、制度建设等，确保公司治</w:t>
      </w:r>
      <w:r>
        <w:rPr>
          <w:w w:val="99"/>
        </w:rPr>
        <w:t> </w:t>
      </w:r>
      <w:r>
        <w:rPr>
          <w:spacing w:val="-2"/>
        </w:rPr>
        <w:t>理的实际状况符合监管部门关于上市公司治理的规范性文件的要求。公司治理是一项长期的工作，公司将一如既往地遵循合</w:t>
      </w:r>
      <w:r>
        <w:rPr>
          <w:spacing w:val="-65"/>
        </w:rPr>
        <w:t> </w:t>
      </w:r>
      <w:r>
        <w:rPr>
          <w:spacing w:val="-65"/>
        </w:rPr>
      </w:r>
      <w:r>
        <w:rPr/>
        <w:t>规、专业、透明的原则，规范公司行为，提高公司治理透明度，在广大投资者监督和支持下持续提高公司治理水平。</w:t>
      </w:r>
      <w:r>
        <w:rPr>
          <w:rFonts w:ascii="Times New Roman" w:hAnsi="Times New Roman" w:cs="Times New Roman" w:eastAsia="Times New Roman" w:hint="default"/>
        </w:rPr>
        <w:t>(2)</w:t>
      </w:r>
      <w:r>
        <w:rPr/>
        <w:t>公</w:t>
      </w:r>
      <w:r>
        <w:rPr>
          <w:w w:val="99"/>
        </w:rPr>
        <w:t> </w:t>
      </w:r>
      <w:r>
        <w:rPr/>
        <w:t>司内幕信息知情人管理制度的执行情况：为规范公司各类信息报送和使用管理工作，加强内幕信息保密，公司于</w:t>
      </w:r>
      <w:r>
        <w:rPr>
          <w:spacing w:val="-5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8"/>
        </w:rPr>
        <w:t> </w:t>
      </w:r>
      <w:r>
        <w:rPr/>
        <w:t>年制</w:t>
      </w:r>
      <w:r>
        <w:rPr>
          <w:w w:val="99"/>
        </w:rPr>
        <w:t> </w:t>
      </w:r>
      <w:r>
        <w:rPr>
          <w:spacing w:val="-2"/>
          <w:w w:val="99"/>
        </w:rPr>
        <w:t>定了《信息披露事务管理制度》和《内幕信息知情人报备制度》。报告期内，公司根据监管部门的要求，不断完善内幕信息</w:t>
      </w:r>
      <w:r>
        <w:rPr>
          <w:spacing w:val="-72"/>
          <w:w w:val="99"/>
        </w:rPr>
        <w:t> </w:t>
      </w:r>
      <w:r>
        <w:rPr>
          <w:spacing w:val="-72"/>
          <w:w w:val="99"/>
        </w:rPr>
      </w:r>
      <w:r>
        <w:rPr>
          <w:spacing w:val="-2"/>
        </w:rPr>
        <w:t>知情人登记和内幕交易防控工作，做到执行严密；控制出口，统一对外；加强审核，杜绝出错。近年来，公司内幕信息管控</w:t>
      </w:r>
      <w:r>
        <w:rPr>
          <w:spacing w:val="-73"/>
        </w:rPr>
        <w:t> </w:t>
      </w:r>
      <w:r>
        <w:rPr>
          <w:spacing w:val="-73"/>
        </w:rPr>
      </w:r>
      <w:r>
        <w:rPr/>
        <w:t>有效，没有出现违规事项。 《信息披露事务管理制度》刊登在</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4"/>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44"/>
        </w:rPr>
        <w:t> </w:t>
      </w:r>
      <w:r>
        <w:rPr/>
        <w:t>月</w:t>
      </w:r>
      <w:r>
        <w:rPr>
          <w:spacing w:val="-48"/>
        </w:rPr>
        <w:t> </w:t>
      </w:r>
      <w:r>
        <w:rPr>
          <w:rFonts w:ascii="Times New Roman" w:hAnsi="Times New Roman" w:cs="Times New Roman" w:eastAsia="Times New Roman" w:hint="default"/>
        </w:rPr>
        <w:t>24 </w:t>
      </w:r>
      <w:r>
        <w:rPr/>
        <w:t>日的巨潮资讯网上。</w:t>
      </w:r>
    </w:p>
    <w:p>
      <w:pPr>
        <w:spacing w:line="240" w:lineRule="auto" w:before="10"/>
        <w:rPr>
          <w:rFonts w:ascii="宋体" w:hAnsi="宋体" w:cs="宋体" w:eastAsia="宋体" w:hint="default"/>
          <w:sz w:val="19"/>
          <w:szCs w:val="19"/>
        </w:rPr>
      </w:pPr>
    </w:p>
    <w:p>
      <w:pPr>
        <w:pStyle w:val="Heading2"/>
        <w:spacing w:line="240" w:lineRule="auto"/>
        <w:ind w:right="0"/>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79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8"/>
              <w:jc w:val="left"/>
              <w:rPr>
                <w:rFonts w:ascii="宋体" w:hAnsi="宋体" w:cs="宋体" w:eastAsia="宋体" w:hint="default"/>
                <w:sz w:val="18"/>
                <w:szCs w:val="18"/>
              </w:rPr>
            </w:pPr>
            <w:r>
              <w:rPr>
                <w:rFonts w:ascii="宋体" w:hAnsi="宋体" w:cs="宋体" w:eastAsia="宋体" w:hint="default"/>
                <w:spacing w:val="-19"/>
                <w:sz w:val="18"/>
                <w:szCs w:val="18"/>
              </w:rPr>
              <w:t>议案一：《公司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年董事会工作报 </w:t>
            </w:r>
            <w:r>
              <w:rPr>
                <w:rFonts w:ascii="宋体" w:hAnsi="宋体" w:cs="宋体" w:eastAsia="宋体" w:hint="default"/>
                <w:spacing w:val="-27"/>
                <w:sz w:val="18"/>
                <w:szCs w:val="18"/>
              </w:rPr>
              <w:t>告》；议案二：《公司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年监事会报 </w:t>
            </w:r>
            <w:r>
              <w:rPr>
                <w:rFonts w:ascii="宋体" w:hAnsi="宋体" w:cs="宋体" w:eastAsia="宋体" w:hint="default"/>
                <w:spacing w:val="-27"/>
                <w:sz w:val="18"/>
                <w:szCs w:val="18"/>
              </w:rPr>
              <w:t>告》；议案三：《公司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 </w:t>
            </w:r>
            <w:r>
              <w:rPr>
                <w:rFonts w:ascii="宋体" w:hAnsi="宋体" w:cs="宋体" w:eastAsia="宋体" w:hint="default"/>
                <w:spacing w:val="-27"/>
                <w:sz w:val="18"/>
                <w:szCs w:val="18"/>
              </w:rPr>
              <w:t>及摘要；议案四：《公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年度财务审 </w:t>
            </w:r>
            <w:r>
              <w:rPr>
                <w:rFonts w:ascii="宋体" w:hAnsi="宋体" w:cs="宋体" w:eastAsia="宋体" w:hint="default"/>
                <w:spacing w:val="-11"/>
                <w:sz w:val="18"/>
                <w:szCs w:val="18"/>
              </w:rPr>
              <w:t>计报告》；议案五：</w:t>
            </w:r>
          </w:p>
          <w:p>
            <w:pPr>
              <w:pStyle w:val="TableParagraph"/>
              <w:spacing w:line="309" w:lineRule="auto" w:before="24"/>
              <w:ind w:left="23" w:right="24"/>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 </w:t>
            </w:r>
            <w:r>
              <w:rPr>
                <w:rFonts w:ascii="宋体" w:hAnsi="宋体" w:cs="宋体" w:eastAsia="宋体" w:hint="default"/>
                <w:spacing w:val="-11"/>
                <w:sz w:val="18"/>
                <w:szCs w:val="18"/>
              </w:rPr>
              <w:t>润分配预案》；议案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六：《公司关于续聘</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360" w:lineRule="auto"/>
              <w:ind w:left="23" w:right="31"/>
              <w:jc w:val="left"/>
              <w:rPr>
                <w:rFonts w:ascii="Times New Roman" w:hAnsi="Times New Roman" w:cs="Times New Roman" w:eastAsia="Times New Roman" w:hint="default"/>
                <w:sz w:val="18"/>
                <w:szCs w:val="18"/>
              </w:rPr>
            </w:pPr>
            <w:hyperlink r:id="rId39">
              <w:r>
                <w:rPr>
                  <w:rFonts w:ascii="Times New Roman"/>
                  <w:spacing w:val="-1"/>
                  <w:sz w:val="18"/>
                </w:rPr>
                <w:t>http://www.cninfo.co</w:t>
              </w:r>
            </w:hyperlink>
            <w:r>
              <w:rPr>
                <w:rFonts w:ascii="Times New Roman"/>
                <w:sz w:val="18"/>
              </w:rPr>
              <w:t> m.cn/</w:t>
            </w:r>
          </w:p>
        </w:tc>
      </w:tr>
    </w:tbl>
    <w:p>
      <w:pPr>
        <w:spacing w:after="0" w:line="360" w:lineRule="auto"/>
        <w:jc w:val="left"/>
        <w:rPr>
          <w:rFonts w:ascii="Times New Roman" w:hAnsi="Times New Roman" w:cs="Times New Roman" w:eastAsia="Times New Roman" w:hint="default"/>
          <w:sz w:val="18"/>
          <w:szCs w:val="18"/>
        </w:rPr>
        <w:sectPr>
          <w:headerReference w:type="default" r:id="rId37"/>
          <w:footerReference w:type="default" r:id="rId38"/>
          <w:pgSz w:w="11910" w:h="16840"/>
          <w:pgMar w:header="877" w:footer="0" w:top="1060" w:bottom="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67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19"/>
              <w:jc w:val="left"/>
              <w:rPr>
                <w:rFonts w:ascii="宋体" w:hAnsi="宋体" w:cs="宋体" w:eastAsia="宋体" w:hint="default"/>
                <w:sz w:val="18"/>
                <w:szCs w:val="18"/>
              </w:rPr>
            </w:pPr>
            <w:r>
              <w:rPr>
                <w:rFonts w:ascii="宋体" w:hAnsi="宋体" w:cs="宋体" w:eastAsia="宋体" w:hint="default"/>
                <w:sz w:val="18"/>
                <w:szCs w:val="18"/>
              </w:rPr>
              <w:t>会计师事务所的议 案》</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2"/>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left"/>
              <w:rPr>
                <w:rFonts w:ascii="宋体" w:hAnsi="宋体" w:cs="宋体" w:eastAsia="宋体" w:hint="default"/>
                <w:sz w:val="18"/>
                <w:szCs w:val="18"/>
              </w:rPr>
            </w:pPr>
            <w:r>
              <w:rPr>
                <w:rFonts w:ascii="宋体" w:hAnsi="宋体" w:cs="宋体" w:eastAsia="宋体" w:hint="default"/>
                <w:spacing w:val="-11"/>
                <w:sz w:val="18"/>
                <w:szCs w:val="18"/>
              </w:rPr>
              <w:t>议案一：《关于公司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董事会换届选举议 </w:t>
            </w:r>
            <w:r>
              <w:rPr>
                <w:rFonts w:ascii="宋体" w:hAnsi="宋体" w:cs="宋体" w:eastAsia="宋体" w:hint="default"/>
                <w:spacing w:val="-27"/>
                <w:sz w:val="18"/>
                <w:szCs w:val="18"/>
              </w:rPr>
              <w:t>案》；议案二：《关于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监事会换届和提名 第八届监事会股东 代表监事候选人的 议案》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362" w:lineRule="auto"/>
              <w:ind w:left="23" w:right="31"/>
              <w:jc w:val="left"/>
              <w:rPr>
                <w:rFonts w:ascii="Times New Roman" w:hAnsi="Times New Roman" w:cs="Times New Roman" w:eastAsia="Times New Roman" w:hint="default"/>
                <w:sz w:val="18"/>
                <w:szCs w:val="18"/>
              </w:rPr>
            </w:pPr>
            <w:hyperlink r:id="rId39">
              <w:r>
                <w:rPr>
                  <w:rFonts w:ascii="Times New Roman"/>
                  <w:spacing w:val="-1"/>
                  <w:sz w:val="18"/>
                </w:rPr>
                <w:t>http://www.cninfo.co</w:t>
              </w:r>
            </w:hyperlink>
            <w:r>
              <w:rPr>
                <w:rFonts w:ascii="Times New Roman"/>
                <w:sz w:val="18"/>
              </w:rPr>
              <w:t> m.cn/</w:t>
            </w:r>
          </w:p>
        </w:tc>
      </w:tr>
      <w:tr>
        <w:trPr>
          <w:trHeight w:val="320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19"/>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pacing w:val="-11"/>
                <w:sz w:val="18"/>
                <w:szCs w:val="18"/>
              </w:rPr>
              <w:t>议案一：《关于《资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金使用协议》的议 </w:t>
            </w:r>
            <w:r>
              <w:rPr>
                <w:rFonts w:ascii="宋体" w:hAnsi="宋体" w:cs="宋体" w:eastAsia="宋体" w:hint="default"/>
                <w:spacing w:val="-11"/>
                <w:sz w:val="18"/>
                <w:szCs w:val="18"/>
              </w:rPr>
              <w:t>案》；议案二《关于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提名赵垲先生为公 司第八届监事会股 东代表监事的议 </w:t>
            </w:r>
            <w:r>
              <w:rPr>
                <w:rFonts w:ascii="宋体" w:hAnsi="宋体" w:cs="宋体" w:eastAsia="宋体" w:hint="default"/>
                <w:spacing w:val="-11"/>
                <w:sz w:val="18"/>
                <w:szCs w:val="18"/>
              </w:rPr>
              <w:t>案》；议案三《关于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提名高明明先生为 公司第八届董事会</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60" w:lineRule="auto" w:before="161"/>
              <w:ind w:left="23" w:right="31"/>
              <w:jc w:val="left"/>
              <w:rPr>
                <w:rFonts w:ascii="Times New Roman" w:hAnsi="Times New Roman" w:cs="Times New Roman" w:eastAsia="Times New Roman" w:hint="default"/>
                <w:sz w:val="18"/>
                <w:szCs w:val="18"/>
              </w:rPr>
            </w:pPr>
            <w:hyperlink r:id="rId39">
              <w:r>
                <w:rPr>
                  <w:rFonts w:ascii="Times New Roman"/>
                  <w:spacing w:val="-1"/>
                  <w:sz w:val="18"/>
                </w:rPr>
                <w:t>http://www.cninfo.co</w:t>
              </w:r>
            </w:hyperlink>
            <w:r>
              <w:rPr>
                <w:rFonts w:ascii="Times New Roman"/>
                <w:sz w:val="18"/>
              </w:rPr>
              <w:t> m.cn/</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pict>
          <v:shape style="position:absolute;margin-left:217.610001pt;margin-top:-82.508377pt;width:157.85pt;height:70.25pt;mso-position-horizontal-relative:page;mso-position-vertical-relative:paragraph;z-index:-63001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6"/>
                      <w:szCs w:val="26"/>
                    </w:rPr>
                  </w:pPr>
                </w:p>
                <w:p>
                  <w:pPr>
                    <w:pStyle w:val="BodyText"/>
                    <w:spacing w:line="240" w:lineRule="auto"/>
                    <w:ind w:left="0" w:right="0"/>
                    <w:jc w:val="left"/>
                  </w:pPr>
                  <w:r>
                    <w:rPr/>
                    <w:t>非独立董事的议案》</w:t>
                  </w:r>
                </w:p>
              </w:txbxContent>
            </v:textbox>
            <w10:wrap type="none"/>
          </v:shape>
        </w:pict>
      </w:r>
      <w:r>
        <w:rPr/>
        <w:pict>
          <v:group style="position:absolute;margin-left:296.209991pt;margin-top:-82.508377pt;width:79.25pt;height:70.25pt;mso-position-horizontal-relative:page;mso-position-vertical-relative:paragraph;z-index:-629992" coordorigin="5924,-1650" coordsize="1585,1405">
            <v:shape style="position:absolute;left:5924;top:-1650;width:1585;height:1405" coordorigin="5924,-1650" coordsize="1585,1405" path="m5924,-246l7509,-246,7509,-1650,5924,-1650,5924,-246xe" filled="true" fillcolor="#ffffff" stroked="false">
              <v:path arrowok="t"/>
              <v:fill type="solid"/>
            </v:shape>
            <w10:wrap type="none"/>
          </v:group>
        </w:pict>
      </w:r>
      <w:r>
        <w:rPr/>
        <w:t>三、报告期内独立董事履行职责的情况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齐二石</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张世兴</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肖勤福</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49"/>
        <w:ind w:right="0"/>
        <w:jc w:val="left"/>
      </w:pPr>
      <w:r>
        <w:rPr/>
        <w:t>连续两次未亲自出席董事会的说明</w:t>
      </w:r>
    </w:p>
    <w:p>
      <w:pPr>
        <w:pStyle w:val="BodyText"/>
        <w:spacing w:line="240" w:lineRule="auto" w:before="117"/>
        <w:ind w:right="0"/>
        <w:jc w:val="left"/>
      </w:pPr>
      <w:r>
        <w:rPr/>
        <w:t>肖勤福先生因工作原因，未能参加公司</w:t>
      </w:r>
      <w:r>
        <w:rPr>
          <w:spacing w:val="-5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5"/>
        </w:rPr>
        <w:t> </w:t>
      </w:r>
      <w:r>
        <w:rPr/>
        <w:t>年</w:t>
      </w:r>
      <w:r>
        <w:rPr>
          <w:spacing w:val="-60"/>
        </w:rPr>
        <w:t> </w:t>
      </w:r>
      <w:r>
        <w:rPr>
          <w:rFonts w:ascii="Times New Roman" w:hAnsi="Times New Roman" w:cs="Times New Roman" w:eastAsia="Times New Roman" w:hint="default"/>
        </w:rPr>
        <w:t>4</w:t>
      </w:r>
      <w:r>
        <w:rPr>
          <w:rFonts w:ascii="Times New Roman" w:hAnsi="Times New Roman" w:cs="Times New Roman" w:eastAsia="Times New Roman" w:hint="default"/>
          <w:spacing w:val="-15"/>
        </w:rPr>
        <w:t> </w:t>
      </w:r>
      <w:r>
        <w:rPr/>
        <w:t>月</w:t>
      </w:r>
      <w:r>
        <w:rPr>
          <w:spacing w:val="-60"/>
        </w:rPr>
        <w:t> </w:t>
      </w:r>
      <w:r>
        <w:rPr>
          <w:rFonts w:ascii="Times New Roman" w:hAnsi="Times New Roman" w:cs="Times New Roman" w:eastAsia="Times New Roman" w:hint="default"/>
        </w:rPr>
        <w:t>23</w:t>
      </w:r>
      <w:r>
        <w:rPr>
          <w:rFonts w:ascii="Times New Roman" w:hAnsi="Times New Roman" w:cs="Times New Roman" w:eastAsia="Times New Roman" w:hint="default"/>
          <w:spacing w:val="-14"/>
        </w:rPr>
        <w:t> </w:t>
      </w:r>
      <w:r>
        <w:rPr/>
        <w:t>日第八届董事会第二次会议，授权独立董事张世兴先生代为表决；未</w:t>
      </w:r>
    </w:p>
    <w:p>
      <w:pPr>
        <w:pStyle w:val="BodyText"/>
        <w:spacing w:line="240" w:lineRule="auto" w:before="63"/>
        <w:ind w:right="0"/>
        <w:jc w:val="left"/>
      </w:pPr>
      <w:r>
        <w:rPr/>
        <w:t>能参加公司</w:t>
      </w:r>
      <w:r>
        <w:rPr>
          <w:spacing w:val="-4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25 </w:t>
      </w:r>
      <w:r>
        <w:rPr/>
        <w:t>日第八届董事会第三次会议，授权独立董事张世兴先生代为表决。</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spacing w:after="0" w:line="240" w:lineRule="auto"/>
        <w:jc w:val="left"/>
        <w:sectPr>
          <w:footerReference w:type="default" r:id="rId40"/>
          <w:pgSz w:w="11910" w:h="16840"/>
          <w:pgMar w:footer="1250" w:header="877" w:top="1060" w:bottom="1440" w:left="980" w:right="0"/>
          <w:pgNumType w:start="40"/>
        </w:sectPr>
      </w:pPr>
    </w:p>
    <w:p>
      <w:pPr>
        <w:spacing w:line="240" w:lineRule="auto" w:before="9"/>
        <w:rPr>
          <w:rFonts w:ascii="宋体" w:hAnsi="宋体" w:cs="宋体" w:eastAsia="宋体" w:hint="default"/>
          <w:sz w:val="25"/>
          <w:szCs w:val="25"/>
        </w:rPr>
      </w:pPr>
    </w:p>
    <w:p>
      <w:pPr>
        <w:pStyle w:val="BodyText"/>
        <w:spacing w:line="340" w:lineRule="auto" w:before="44"/>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0"/>
        <w:jc w:val="left"/>
      </w:pPr>
      <w:r>
        <w:rPr>
          <w:rFonts w:ascii="Times New Roman" w:hAnsi="Times New Roman" w:cs="Times New Roman" w:eastAsia="Times New Roman" w:hint="default"/>
        </w:rPr>
        <w:t>1</w:t>
      </w:r>
      <w:r>
        <w:rPr/>
        <w:t>、战略发展与投资委员会履职情况 </w:t>
      </w:r>
      <w:r>
        <w:rPr>
          <w:spacing w:val="-2"/>
        </w:rPr>
        <w:t>报告期内，战略发展与投资委员会关注董事会对项目发展和融资等授权情况，与管理层保持着顺畅的日常沟通，对授权范围</w:t>
      </w:r>
      <w:r>
        <w:rPr>
          <w:spacing w:val="-63"/>
        </w:rPr>
        <w:t> </w:t>
      </w:r>
      <w:r>
        <w:rPr>
          <w:spacing w:val="-63"/>
        </w:rPr>
      </w:r>
      <w:r>
        <w:rPr/>
        <w:t>内各项事务保持充分了解。</w:t>
      </w:r>
    </w:p>
    <w:p>
      <w:pPr>
        <w:pStyle w:val="BodyText"/>
        <w:spacing w:line="304" w:lineRule="auto" w:before="24"/>
        <w:ind w:right="1119"/>
        <w:jc w:val="left"/>
      </w:pPr>
      <w:r>
        <w:rPr>
          <w:rFonts w:ascii="Times New Roman" w:hAnsi="Times New Roman" w:cs="Times New Roman" w:eastAsia="Times New Roman" w:hint="default"/>
        </w:rPr>
        <w:t>2</w:t>
      </w:r>
      <w:r>
        <w:rPr/>
        <w:t>、薪酬与考核委员会履职情况 报告期内，薪酬与考核委员会认真履行职责，保持与管理层的顺畅沟通，就有关方面多次与管理层进行了沟通。 </w:t>
      </w:r>
      <w:r>
        <w:rPr>
          <w:rFonts w:ascii="Times New Roman" w:hAnsi="Times New Roman" w:cs="Times New Roman" w:eastAsia="Times New Roman" w:hint="default"/>
        </w:rPr>
        <w:t>3</w:t>
      </w:r>
      <w:r>
        <w:rPr/>
        <w:t>、审计委员会履职情况 </w:t>
      </w:r>
      <w:r>
        <w:rPr>
          <w:spacing w:val="-2"/>
        </w:rPr>
        <w:t>报告期内，审计委员会召开多次会议，听取会计师、财务人员等汇报工作情况，董事会审计委员会就公司</w:t>
      </w:r>
      <w:r>
        <w:rPr>
          <w:rFonts w:ascii="Times New Roman" w:hAnsi="Times New Roman" w:cs="Times New Roman" w:eastAsia="Times New Roman" w:hint="default"/>
          <w:spacing w:val="-2"/>
        </w:rPr>
        <w:t>2013</w:t>
      </w:r>
      <w:r>
        <w:rPr>
          <w:spacing w:val="-2"/>
        </w:rPr>
        <w:t>年度财务报表</w:t>
      </w:r>
      <w:r>
        <w:rPr>
          <w:spacing w:val="-61"/>
        </w:rPr>
        <w:t> </w:t>
      </w:r>
      <w:r>
        <w:rPr>
          <w:spacing w:val="-61"/>
        </w:rPr>
      </w:r>
      <w:r>
        <w:rPr/>
        <w:t>发表了意见。</w:t>
      </w:r>
    </w:p>
    <w:p>
      <w:pPr>
        <w:pStyle w:val="BodyText"/>
        <w:spacing w:line="300" w:lineRule="auto" w:before="28"/>
        <w:ind w:right="0"/>
        <w:jc w:val="left"/>
      </w:pPr>
      <w:r>
        <w:rPr>
          <w:rFonts w:ascii="Times New Roman" w:hAnsi="Times New Roman" w:cs="Times New Roman" w:eastAsia="Times New Roman" w:hint="default"/>
        </w:rPr>
        <w:t>4</w:t>
      </w:r>
      <w:r>
        <w:rPr/>
        <w:t>、提名委员会履职情况 </w:t>
      </w:r>
      <w:r>
        <w:rPr>
          <w:spacing w:val="-2"/>
        </w:rPr>
        <w:t>报告期内，提名委员会依据公司</w:t>
      </w:r>
      <w:r>
        <w:rPr>
          <w:rFonts w:ascii="Times New Roman" w:hAnsi="Times New Roman" w:cs="Times New Roman" w:eastAsia="Times New Roman" w:hint="default"/>
          <w:spacing w:val="-2"/>
        </w:rPr>
        <w:t>2013</w:t>
      </w:r>
      <w:r>
        <w:rPr>
          <w:spacing w:val="-2"/>
        </w:rPr>
        <w:t>内控工作计划开展工作，本年度的内控工作情况参见第九节</w:t>
      </w:r>
      <w:r>
        <w:rPr>
          <w:rFonts w:ascii="Times New Roman" w:hAnsi="Times New Roman" w:cs="Times New Roman" w:eastAsia="Times New Roman" w:hint="default"/>
          <w:spacing w:val="-2"/>
        </w:rPr>
        <w:t>“</w:t>
      </w:r>
      <w:r>
        <w:rPr>
          <w:spacing w:val="-2"/>
        </w:rPr>
        <w:t>内部控制</w:t>
      </w:r>
      <w:r>
        <w:rPr>
          <w:rFonts w:ascii="Times New Roman" w:hAnsi="Times New Roman" w:cs="Times New Roman" w:eastAsia="Times New Roman" w:hint="default"/>
          <w:spacing w:val="-2"/>
        </w:rPr>
        <w:t>”</w:t>
      </w:r>
      <w:r>
        <w:rPr>
          <w:spacing w:val="-2"/>
        </w:rPr>
        <w:t>以及公司内部控</w:t>
      </w:r>
      <w:r>
        <w:rPr>
          <w:spacing w:val="-41"/>
        </w:rPr>
        <w:t> </w:t>
      </w:r>
      <w:r>
        <w:rPr>
          <w:spacing w:val="-41"/>
        </w:rPr>
      </w:r>
      <w:r>
        <w:rPr/>
        <w:t>制自我评价报告。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6"/>
        <w:ind w:right="0"/>
        <w:jc w:val="left"/>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60" w:lineRule="auto" w:before="115"/>
        <w:ind w:right="7694"/>
        <w:jc w:val="left"/>
      </w:pPr>
      <w:r>
        <w:rPr/>
        <w:t>□ 是 √</w:t>
      </w:r>
      <w:r>
        <w:rPr>
          <w:spacing w:val="3"/>
        </w:rPr>
        <w:t> </w:t>
      </w:r>
      <w:r>
        <w:rPr/>
        <w:t>否</w:t>
      </w:r>
      <w:r>
        <w:rPr/>
        <w:t> 监事会对报告期内的监督事项无异议。</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六、公司相对于控股股东在业务、人员、资产、机构、财务等方面的独立完整情况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32"/>
        <w:jc w:val="both"/>
      </w:pPr>
      <w:r>
        <w:rPr/>
        <w:t>本公司与控股股东在业务、人员资产、机构、财务等方面严格分开，公司具有独立完整的业务和自主经营能力。</w:t>
      </w:r>
      <w:r>
        <w:rPr>
          <w:rFonts w:ascii="Times New Roman" w:hAnsi="Times New Roman" w:cs="Times New Roman" w:eastAsia="Times New Roman" w:hint="default"/>
        </w:rPr>
        <w:t>1</w:t>
      </w:r>
      <w:r>
        <w:rPr/>
        <w:t>、业务方</w:t>
      </w:r>
      <w:r>
        <w:rPr>
          <w:spacing w:val="-87"/>
        </w:rPr>
        <w:t> </w:t>
      </w:r>
      <w:r>
        <w:rPr/>
        <w:t>面：公司具有独立完整的业务和决策体系及自主经营能力，完全独立于控股股东；</w:t>
      </w:r>
      <w:r>
        <w:rPr>
          <w:spacing w:val="-28"/>
        </w:rPr>
        <w:t> </w:t>
      </w:r>
      <w:r>
        <w:rPr>
          <w:rFonts w:ascii="Times New Roman" w:hAnsi="Times New Roman" w:cs="Times New Roman" w:eastAsia="Times New Roman" w:hint="default"/>
          <w:spacing w:val="-3"/>
        </w:rPr>
        <w:t>2</w:t>
      </w:r>
      <w:r>
        <w:rPr>
          <w:spacing w:val="-3"/>
        </w:rPr>
        <w:t>、人员方面：公司在劳动、人事及工资</w:t>
      </w:r>
      <w:r>
        <w:rPr/>
        <w:t> 管理方面独立，高级管理人员均不在股东单位担任要职；</w:t>
      </w:r>
      <w:r>
        <w:rPr>
          <w:spacing w:val="-3"/>
        </w:rPr>
        <w:t> </w:t>
      </w:r>
      <w:r>
        <w:rPr>
          <w:rFonts w:ascii="Times New Roman" w:hAnsi="Times New Roman" w:cs="Times New Roman" w:eastAsia="Times New Roman" w:hint="default"/>
          <w:spacing w:val="-3"/>
        </w:rPr>
        <w:t>3</w:t>
      </w:r>
      <w:r>
        <w:rPr>
          <w:spacing w:val="-3"/>
        </w:rPr>
        <w:t>、资产方面：公司与控股股东产权关系明确，资产独立完整，拥</w:t>
      </w:r>
      <w:r>
        <w:rPr/>
        <w:t> 有独立的运营系统和相应的配套设施；</w:t>
      </w:r>
      <w:r>
        <w:rPr>
          <w:spacing w:val="-11"/>
        </w:rPr>
        <w:t> </w:t>
      </w:r>
      <w:r>
        <w:rPr>
          <w:rFonts w:ascii="Times New Roman" w:hAnsi="Times New Roman" w:cs="Times New Roman" w:eastAsia="Times New Roman" w:hint="default"/>
          <w:spacing w:val="-2"/>
        </w:rPr>
        <w:t>4</w:t>
      </w:r>
      <w:r>
        <w:rPr>
          <w:spacing w:val="-2"/>
        </w:rPr>
        <w:t>、机构方面：公司设立了完全独立于控股股东的组织机构，不存在与控股股东合署</w:t>
      </w:r>
      <w:r>
        <w:rPr/>
        <w:t> 办公的情况；</w:t>
      </w:r>
      <w:r>
        <w:rPr>
          <w:spacing w:val="9"/>
        </w:rPr>
        <w:t> </w:t>
      </w:r>
      <w:r>
        <w:rPr>
          <w:rFonts w:ascii="Times New Roman" w:hAnsi="Times New Roman" w:cs="Times New Roman" w:eastAsia="Times New Roman" w:hint="default"/>
          <w:spacing w:val="-2"/>
        </w:rPr>
        <w:t>5</w:t>
      </w:r>
      <w:r>
        <w:rPr>
          <w:spacing w:val="-2"/>
        </w:rPr>
        <w:t>、财务方面：公司拥有独立的财务机构，并建立了独立的会计核算体系和财务管理制度，在银行独立开设账</w:t>
      </w:r>
      <w:r>
        <w:rPr>
          <w:spacing w:val="-87"/>
        </w:rPr>
        <w:t> </w:t>
      </w:r>
      <w:r>
        <w:rPr>
          <w:spacing w:val="-87"/>
        </w:rPr>
      </w:r>
      <w:r>
        <w:rPr/>
        <w:t>户，独立进行纳税申报和缴纳；</w:t>
      </w:r>
      <w:r>
        <w:rPr>
          <w:spacing w:val="2"/>
        </w:rPr>
        <w:t> </w:t>
      </w:r>
      <w:r>
        <w:rPr/>
        <w:t>公司不存在向大股东、实际控制人提供未公开信息等治理非规范情况。</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r>
        <w:rPr/>
        <w:t>七、同业竞争情况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因股改历史原因存在的同业竞争问题，公司控股股股东、实际控制人对此作出承诺：</w:t>
      </w:r>
    </w:p>
    <w:p>
      <w:pPr>
        <w:pStyle w:val="BodyText"/>
        <w:spacing w:line="314" w:lineRule="auto" w:before="76"/>
        <w:ind w:right="1124"/>
        <w:jc w:val="left"/>
      </w:pPr>
      <w:r>
        <w:rPr/>
        <w:t>（</w:t>
      </w:r>
      <w:r>
        <w:rPr>
          <w:rFonts w:ascii="Times New Roman" w:hAnsi="Times New Roman" w:cs="Times New Roman" w:eastAsia="Times New Roman" w:hint="default"/>
        </w:rPr>
        <w:t>1</w:t>
      </w:r>
      <w:r>
        <w:rPr/>
        <w:t>）公司郑重声明，截至本声明与承诺函签署日，除拟注入上市公司的青岛亚星置业有限公司、青岛嘉合福远置业有限公 </w:t>
      </w:r>
      <w:r>
        <w:rPr>
          <w:spacing w:val="-2"/>
        </w:rPr>
        <w:t>司、青岛美丰置业有限公司、绵阳亿嘉合投资有限公司及其下属公司外，公司及公司控制的其他企业未从事与上市公司青岛</w:t>
      </w:r>
      <w:r>
        <w:rPr>
          <w:spacing w:val="-65"/>
        </w:rPr>
        <w:t> </w:t>
      </w:r>
      <w:r>
        <w:rPr>
          <w:spacing w:val="-65"/>
        </w:rPr>
      </w:r>
      <w:r>
        <w:rPr/>
        <w:t>广顺房地产有限公司、济宁海情置业有限公司及其控股子公司主营业务构成实质竞争的业务。 </w:t>
      </w:r>
      <w:r>
        <w:rPr>
          <w:spacing w:val="-2"/>
        </w:rPr>
        <w:t>自恢复上市之日在政策允许下三年内公司再次向上市公司提议将青岛亚星置业有限公司、青岛嘉合福远置业有限公司、青岛</w:t>
      </w:r>
      <w:r>
        <w:rPr>
          <w:spacing w:val="-63"/>
        </w:rPr>
        <w:t> </w:t>
      </w:r>
      <w:r>
        <w:rPr>
          <w:spacing w:val="-63"/>
        </w:rPr>
      </w:r>
      <w:r>
        <w:rPr>
          <w:spacing w:val="-2"/>
        </w:rPr>
        <w:t>美丰置业有限公司、绵阳亿嘉合投资有限公司及其下属公司的房地产业务注入上市公司。如果自恢复上市之日三年内政策不</w:t>
      </w:r>
      <w:r>
        <w:rPr>
          <w:spacing w:val="-64"/>
        </w:rPr>
        <w:t> </w:t>
      </w:r>
      <w:r>
        <w:rPr>
          <w:spacing w:val="-64"/>
        </w:rPr>
      </w:r>
      <w:r>
        <w:rPr>
          <w:spacing w:val="-2"/>
        </w:rPr>
        <w:t>允许房地产业务注入上市公司，公司同意上市公司在期后两年内以市场公允价格收购公司的项目或土地，促进上市公司房地</w:t>
      </w:r>
      <w:r>
        <w:rPr>
          <w:spacing w:val="-64"/>
        </w:rPr>
        <w:t> </w:t>
      </w:r>
      <w:r>
        <w:rPr>
          <w:spacing w:val="-64"/>
        </w:rPr>
      </w:r>
      <w:r>
        <w:rPr/>
        <w:t>产业务的可持续发展。</w:t>
      </w:r>
    </w:p>
    <w:p>
      <w:pPr>
        <w:pStyle w:val="BodyText"/>
        <w:spacing w:line="240" w:lineRule="auto" w:before="20"/>
        <w:ind w:right="0"/>
        <w:jc w:val="left"/>
      </w:pPr>
      <w:r>
        <w:rPr/>
        <w:t>（</w:t>
      </w:r>
      <w:r>
        <w:rPr>
          <w:rFonts w:ascii="Times New Roman" w:hAnsi="Times New Roman" w:cs="Times New Roman" w:eastAsia="Times New Roman" w:hint="default"/>
        </w:rPr>
        <w:t>2</w:t>
      </w:r>
      <w:r>
        <w:rPr/>
        <w:t>）公司将不以直接或间接的方式从事与上市公司经营的业务构成可能的直接或间接竞争的业务；保证将采取合法及有效</w:t>
      </w:r>
    </w:p>
    <w:p>
      <w:pPr>
        <w:spacing w:after="0" w:line="240" w:lineRule="auto"/>
        <w:jc w:val="left"/>
        <w:sectPr>
          <w:pgSz w:w="11910" w:h="16840"/>
          <w:pgMar w:header="877" w:footer="1250" w:top="1060" w:bottom="144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的措施，促使公司拥有控制权的其他企业（包括但不限于自营、合资或联营）不从事、不参与与上市公司的经营运作相竞争</w:t>
      </w:r>
      <w:r>
        <w:rPr>
          <w:spacing w:val="-65"/>
        </w:rPr>
        <w:t> </w:t>
      </w:r>
      <w:r>
        <w:rPr>
          <w:spacing w:val="-65"/>
        </w:rPr>
      </w:r>
      <w:r>
        <w:rPr/>
        <w:t>的任何活动的业务。</w:t>
      </w:r>
    </w:p>
    <w:p>
      <w:pPr>
        <w:pStyle w:val="BodyText"/>
        <w:spacing w:line="309" w:lineRule="auto" w:before="17"/>
        <w:ind w:right="1124"/>
        <w:jc w:val="left"/>
      </w:pPr>
      <w:r>
        <w:rPr/>
        <w:t>（</w:t>
      </w:r>
      <w:r>
        <w:rPr>
          <w:rFonts w:ascii="Times New Roman" w:hAnsi="Times New Roman" w:cs="Times New Roman" w:eastAsia="Times New Roman" w:hint="default"/>
        </w:rPr>
        <w:t>3</w:t>
      </w:r>
      <w:r>
        <w:rPr/>
        <w:t>）如上市公司进一步拓展其业务范围，公司及公司拥有控制权的其他企业将不与上市公司拓展后的业务相竞争；可能与 上市公司拓展后的业务产生竞争的，公司及公司拥有控制权的其他企业将按照如下方式退出与上市公司的竞争： </w:t>
      </w:r>
      <w:r>
        <w:rPr>
          <w:rFonts w:ascii="Times New Roman" w:hAnsi="Times New Roman" w:cs="Times New Roman" w:eastAsia="Times New Roman" w:hint="default"/>
        </w:rPr>
        <w:t>A</w:t>
      </w:r>
      <w:r>
        <w:rPr/>
        <w:t>、停止与上市公司构成竞争或可能构成竞争的业务；</w:t>
      </w:r>
    </w:p>
    <w:p>
      <w:pPr>
        <w:pStyle w:val="BodyText"/>
        <w:spacing w:line="300" w:lineRule="auto" w:before="5"/>
        <w:ind w:right="7214"/>
        <w:jc w:val="left"/>
      </w:pPr>
      <w:r>
        <w:rPr>
          <w:rFonts w:ascii="Times New Roman" w:hAnsi="Times New Roman" w:cs="Times New Roman" w:eastAsia="Times New Roman" w:hint="default"/>
        </w:rPr>
        <w:t>B</w:t>
      </w:r>
      <w:r>
        <w:rPr/>
        <w:t>、将相竞争的业务纳入到上市公司来经营； </w:t>
      </w:r>
      <w:r>
        <w:rPr>
          <w:rFonts w:ascii="Times New Roman" w:hAnsi="Times New Roman" w:cs="Times New Roman" w:eastAsia="Times New Roman" w:hint="default"/>
        </w:rPr>
        <w:t>C</w:t>
      </w:r>
      <w:r>
        <w:rPr/>
        <w:t>、将相竞争的业务转让给无关联的第三方。</w:t>
      </w:r>
    </w:p>
    <w:p>
      <w:pPr>
        <w:pStyle w:val="BodyText"/>
        <w:spacing w:line="309" w:lineRule="auto" w:before="13"/>
        <w:ind w:right="1129"/>
        <w:jc w:val="both"/>
      </w:pPr>
      <w:r>
        <w:rPr/>
        <w:t>（</w:t>
      </w:r>
      <w:r>
        <w:rPr>
          <w:rFonts w:ascii="Times New Roman" w:hAnsi="Times New Roman" w:cs="Times New Roman" w:eastAsia="Times New Roman" w:hint="default"/>
        </w:rPr>
        <w:t>4</w:t>
      </w:r>
      <w:r>
        <w:rPr/>
        <w:t>）如公司及公司拥有控制权的其他企业有任何商业机会可从事、参与任何可能与上市公司的经营运作构成竞争的活动， </w:t>
      </w:r>
      <w:r>
        <w:rPr>
          <w:spacing w:val="-2"/>
        </w:rPr>
        <w:t>则立即将上述商业机会通知上市公司，在通知中所指定的合理期间内，上市公司作出愿意利用该商业机会的肯定答复，则公</w:t>
      </w:r>
      <w:r>
        <w:rPr>
          <w:spacing w:val="-62"/>
        </w:rPr>
        <w:t> </w:t>
      </w:r>
      <w:r>
        <w:rPr>
          <w:spacing w:val="-62"/>
        </w:rPr>
      </w:r>
      <w:r>
        <w:rPr/>
        <w:t>司尽力将该商业机会给予上市公司。</w:t>
      </w:r>
    </w:p>
    <w:p>
      <w:pPr>
        <w:pStyle w:val="BodyText"/>
        <w:spacing w:line="240" w:lineRule="auto" w:before="24"/>
        <w:ind w:right="0"/>
        <w:jc w:val="left"/>
      </w:pPr>
      <w:r>
        <w:rPr/>
        <w:t>（</w:t>
      </w:r>
      <w:r>
        <w:rPr>
          <w:rFonts w:ascii="Times New Roman" w:hAnsi="Times New Roman" w:cs="Times New Roman" w:eastAsia="Times New Roman" w:hint="default"/>
        </w:rPr>
        <w:t>5</w:t>
      </w:r>
      <w:r>
        <w:rPr/>
        <w:t>）如违反以上承诺，公司愿意承担由此产生的全部责任，充分赔偿或补偿由此给上市公司造成的所有直接或间接损失。</w:t>
      </w:r>
    </w:p>
    <w:p>
      <w:pPr>
        <w:pStyle w:val="BodyText"/>
        <w:spacing w:line="240" w:lineRule="auto" w:before="63"/>
        <w:ind w:right="0"/>
        <w:jc w:val="left"/>
      </w:pPr>
      <w:r>
        <w:rPr/>
        <w:t>（</w:t>
      </w:r>
      <w:r>
        <w:rPr>
          <w:rFonts w:ascii="Times New Roman" w:hAnsi="Times New Roman" w:cs="Times New Roman" w:eastAsia="Times New Roman" w:hint="default"/>
        </w:rPr>
        <w:t>6</w:t>
      </w:r>
      <w:r>
        <w:rPr/>
        <w:t>）本承诺函在公司作为上市公司控股股东期间内持续有效且不可变更或撤销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8"/>
        <w:ind w:right="0"/>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参见：董事、监事、高级管理人员报酬情况</w:t>
      </w:r>
    </w:p>
    <w:p>
      <w:pPr>
        <w:spacing w:after="0" w:line="240" w:lineRule="auto"/>
        <w:jc w:val="left"/>
        <w:sectPr>
          <w:pgSz w:w="11910" w:h="16840"/>
          <w:pgMar w:header="877" w:footer="1250" w:top="1060" w:bottom="14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760"/>
        <w:jc w:val="center"/>
        <w:rPr>
          <w:b w:val="0"/>
          <w:bCs w:val="0"/>
        </w:rPr>
      </w:pPr>
      <w:r>
        <w:rPr/>
        <w:t>第九节</w:t>
      </w:r>
      <w:r>
        <w:rPr>
          <w:spacing w:val="-2"/>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一、内部控制建设情况</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1035"/>
        <w:jc w:val="left"/>
      </w:pPr>
      <w:r>
        <w:rPr/>
        <w:t>为贯彻落实内控规范实施工作要求，确保公司内部控制规范体系建设及评价工作顺利开展，</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月，公司成立了内控 </w:t>
      </w:r>
      <w:r>
        <w:rPr>
          <w:spacing w:val="-2"/>
        </w:rPr>
        <w:t>领导小组和工作小组。领导小组是公司内部控制规范实施工作的领导机构，总负责内部控制项目、方案决策、协调组织内外</w:t>
      </w:r>
      <w:r>
        <w:rPr>
          <w:spacing w:val="-64"/>
        </w:rPr>
        <w:t> </w:t>
      </w:r>
      <w:r>
        <w:rPr>
          <w:spacing w:val="-64"/>
        </w:rPr>
      </w:r>
      <w:r>
        <w:rPr>
          <w:spacing w:val="-2"/>
        </w:rPr>
        <w:t>资源、保证项目顺利实施；任命工作小组负责人及其他有关项目全局性、方向行的工作。工作小组负责落实推进内控实施工</w:t>
      </w:r>
      <w:r>
        <w:rPr>
          <w:spacing w:val="-66"/>
        </w:rPr>
        <w:t> </w:t>
      </w:r>
      <w:r>
        <w:rPr>
          <w:spacing w:val="-66"/>
        </w:rPr>
      </w:r>
      <w:r>
        <w:rPr/>
        <w:t>作安排，组织相关单位开展内控体系建设和评价的具体工作。 </w:t>
      </w:r>
      <w:r>
        <w:rPr>
          <w:rFonts w:ascii="Times New Roman" w:hAnsi="Times New Roman" w:cs="Times New Roman" w:eastAsia="Times New Roman" w:hint="default"/>
        </w:rPr>
        <w:t>2013</w:t>
      </w:r>
      <w:r>
        <w:rPr>
          <w:rFonts w:ascii="Times New Roman" w:hAnsi="Times New Roman" w:cs="Times New Roman" w:eastAsia="Times New Roman" w:hint="default"/>
          <w:spacing w:val="44"/>
        </w:rPr>
        <w:t> </w:t>
      </w:r>
      <w:r>
        <w:rPr/>
        <w:t>年公司进一步梳理了内部控制体系建设、维护、实施、 </w:t>
      </w:r>
      <w:r>
        <w:rPr>
          <w:spacing w:val="-4"/>
        </w:rPr>
        <w:t>监督的体系文件，初步形成了重大风险识别、流程制度落实、权责要求遵守、管控效果检查、缺陷整改追踪的风险管控闭环，</w:t>
      </w:r>
      <w:r>
        <w:rPr>
          <w:spacing w:val="-44"/>
        </w:rPr>
        <w:t> </w:t>
      </w:r>
      <w:r>
        <w:rPr>
          <w:spacing w:val="-44"/>
        </w:rPr>
      </w:r>
      <w:r>
        <w:rPr/>
        <w:t>为公司的战略实现提供了相对坚实的保障。</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45"/>
        <w:jc w:val="both"/>
      </w:pPr>
      <w:r>
        <w:rPr>
          <w:spacing w:val="-2"/>
        </w:rPr>
        <w:t>总体而言，公司已建立起规范、健全的内部控制管理体系，各项内控制度均得到了有效执行，内部控制在日常生产经营管理</w:t>
      </w:r>
      <w:r>
        <w:rPr>
          <w:spacing w:val="-64"/>
        </w:rPr>
        <w:t> </w:t>
      </w:r>
      <w:r>
        <w:rPr>
          <w:spacing w:val="-64"/>
        </w:rPr>
      </w:r>
      <w:r>
        <w:rPr>
          <w:spacing w:val="-2"/>
        </w:rPr>
        <w:t>中能够及时预防、发现和纠正公司运营过程可能出现的风险、错误和舞弊，保护公司资产的安全与完整，保证会计记录和会</w:t>
      </w:r>
      <w:r>
        <w:rPr>
          <w:spacing w:val="-64"/>
        </w:rPr>
        <w:t> </w:t>
      </w:r>
      <w:r>
        <w:rPr>
          <w:spacing w:val="-64"/>
        </w:rPr>
      </w:r>
      <w:r>
        <w:rPr/>
        <w:t>计信息的真实性、准确性和及时性。</w:t>
      </w:r>
      <w:r>
        <w:rPr>
          <w:spacing w:val="2"/>
        </w:rPr>
        <w:t> </w:t>
      </w:r>
      <w:r>
        <w:rPr/>
        <w:t>董事会认为，公司内部控制体系在完整性、合规性、有效性等方面不存在重大缺陷。</w:t>
      </w:r>
      <w:r>
        <w:rPr/>
        <w:t> </w:t>
      </w:r>
      <w:r>
        <w:rPr>
          <w:spacing w:val="-2"/>
        </w:rPr>
        <w:t>但由于内部控制固有的局限性、内部环境以及宏观环境、政策法规持续变化，可能导致原有控制活动不适用或出现偏差，对</w:t>
      </w:r>
      <w:r>
        <w:rPr>
          <w:spacing w:val="-66"/>
        </w:rPr>
        <w:t> </w:t>
      </w:r>
      <w:r>
        <w:rPr>
          <w:spacing w:val="-66"/>
        </w:rPr>
      </w:r>
      <w:r>
        <w:rPr>
          <w:spacing w:val="-4"/>
        </w:rPr>
        <w:t>此公司将及时进行内部控制体系的补充和完善，为财务报告的真实性、完整性以及公司战略、经营目标的实现提供合理保障。</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304" w:lineRule="auto"/>
        <w:ind w:right="1036"/>
        <w:jc w:val="left"/>
      </w:pPr>
      <w:r>
        <w:rPr/>
        <w:t>公司依据深圳证券交易所</w:t>
      </w:r>
      <w:r>
        <w:rPr>
          <w:spacing w:val="-42"/>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42"/>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spacing w:val="-11"/>
        </w:rPr>
        <w:t>月发布的《上市公司内部控制指引》和</w:t>
      </w:r>
      <w:r>
        <w:rPr>
          <w:spacing w:val="-43"/>
        </w:rPr>
        <w:t>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spacing w:val="-10"/>
        </w:rPr>
        <w:t>月发布的《主板上市公司规范运作指引》，</w:t>
      </w:r>
      <w:r>
        <w:rPr/>
        <w:t> </w:t>
      </w:r>
      <w:r>
        <w:rPr>
          <w:spacing w:val="-3"/>
        </w:rPr>
        <w:t>财政部、证监会、审计署、银监会、保监会（以下简称“五部委”）</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spacing w:val="-5"/>
        </w:rPr>
        <w:t>月联合发布的《企业内部控制基础规范》，以</w:t>
      </w:r>
      <w:r>
        <w:rPr>
          <w:spacing w:val="-81"/>
        </w:rPr>
        <w:t> </w:t>
      </w:r>
      <w:r>
        <w:rPr>
          <w:spacing w:val="-81"/>
        </w:rPr>
      </w:r>
      <w:r>
        <w:rPr/>
        <w:t>及五部委</w:t>
      </w:r>
      <w:r>
        <w:rPr>
          <w:spacing w:val="-3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5"/>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spacing w:val="-3"/>
        </w:rPr>
        <w:t>月联合发布的《企业内部控制配套指引》，公司章程、公司内部控制实施工作方案、公司内部控制监督</w:t>
      </w:r>
      <w:r>
        <w:rPr>
          <w:spacing w:val="-73"/>
        </w:rPr>
        <w:t> </w:t>
      </w:r>
      <w:r>
        <w:rPr>
          <w:spacing w:val="-73"/>
        </w:rPr>
      </w:r>
      <w:r>
        <w:rPr>
          <w:spacing w:val="-2"/>
        </w:rPr>
        <w:t>制度、财务控制制度、安全生产制度、子公司管理制度、合同管理制度、内部审计制度等二十多项内控制度，以及财政部办</w:t>
      </w:r>
      <w:r>
        <w:rPr>
          <w:spacing w:val="-67"/>
        </w:rPr>
        <w:t> </w:t>
      </w:r>
      <w:r>
        <w:rPr>
          <w:spacing w:val="-67"/>
        </w:rPr>
      </w:r>
      <w:r>
        <w:rPr>
          <w:spacing w:val="-3"/>
        </w:rPr>
        <w:t>公厅、证监会办公厅</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spacing w:val="-3"/>
        </w:rPr>
        <w:t>月联合下发的《关于</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年主板上市公司分类分批实施企业内部控制规范体系的通知》等建 立公司财务报告的内部控制管理体系。</w:t>
      </w:r>
    </w:p>
    <w:p>
      <w:pPr>
        <w:spacing w:line="240" w:lineRule="auto" w:before="7"/>
        <w:rPr>
          <w:rFonts w:ascii="宋体" w:hAnsi="宋体" w:cs="宋体" w:eastAsia="宋体" w:hint="default"/>
          <w:sz w:val="21"/>
          <w:szCs w:val="21"/>
        </w:rPr>
      </w:pPr>
    </w:p>
    <w:p>
      <w:pPr>
        <w:pStyle w:val="Heading2"/>
        <w:spacing w:line="240" w:lineRule="auto"/>
        <w:ind w:right="0"/>
        <w:jc w:val="left"/>
        <w:rPr>
          <w:b w:val="0"/>
          <w:bCs w:val="0"/>
        </w:rPr>
      </w:pPr>
      <w:r>
        <w:rPr/>
        <w:t>四、内部控制评价报告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3"/>
        <w:gridCol w:w="6908"/>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70"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1">
              <w:r>
                <w:rPr>
                  <w:rFonts w:ascii="Times New Roman" w:hAnsi="Times New Roman" w:cs="Times New Roman" w:eastAsia="Times New Roman" w:hint="default"/>
                  <w:sz w:val="18"/>
                  <w:szCs w:val="18"/>
                </w:rPr>
                <w:t>http://www.cninfo.com.cn</w:t>
              </w:r>
            </w:hyperlink>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五、内部控制审计报告</w:t>
      </w:r>
      <w:r>
        <w:rPr>
          <w:rFonts w:ascii="宋体" w:hAnsi="宋体" w:cs="宋体" w:eastAsia="宋体" w:hint="default"/>
          <w:sz w:val="24"/>
          <w:szCs w:val="24"/>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after="0" w:line="240" w:lineRule="auto"/>
        <w:jc w:val="left"/>
        <w:sectPr>
          <w:pgSz w:w="11910" w:h="16840"/>
          <w:pgMar w:header="877" w:footer="1250" w:top="1060" w:bottom="14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六、年度报告重大差错责任追究制度的建立与执行情况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4"/>
        </w:rPr>
        <w:t> </w:t>
      </w:r>
      <w:r>
        <w:rPr>
          <w:rFonts w:ascii="Times New Roman" w:hAnsi="Times New Roman" w:cs="Times New Roman" w:eastAsia="Times New Roman" w:hint="default"/>
          <w:spacing w:val="-1"/>
        </w:rPr>
        <w:t>23</w:t>
      </w:r>
      <w:r>
        <w:rPr>
          <w:rFonts w:ascii="Times New Roman" w:hAnsi="Times New Roman" w:cs="Times New Roman" w:eastAsia="Times New Roman" w:hint="default"/>
          <w:spacing w:val="4"/>
        </w:rPr>
        <w:t> </w:t>
      </w:r>
      <w:r>
        <w:rPr>
          <w:spacing w:val="-3"/>
        </w:rPr>
        <w:t>日公司第七届第三次董事会审议通过了《年报信息披露重大差错追求制度》。报告期内，公司未发生年报信</w:t>
      </w:r>
      <w:r>
        <w:rPr/>
        <w:t> 息披露重大差错、重大会计差错更正、重大遗漏信息补充以及业绩预告修正等情况。</w:t>
      </w:r>
    </w:p>
    <w:p>
      <w:pPr>
        <w:spacing w:after="0" w:line="300" w:lineRule="auto"/>
        <w:jc w:val="left"/>
        <w:sectPr>
          <w:pgSz w:w="11910" w:h="16840"/>
          <w:pgMar w:header="877" w:footer="1250" w:top="1060" w:bottom="14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760"/>
        <w:jc w:val="center"/>
        <w:rPr>
          <w:b w:val="0"/>
          <w:bCs w:val="0"/>
        </w:rPr>
      </w:pPr>
      <w:r>
        <w:rPr/>
        <w:t>第十节</w:t>
      </w:r>
      <w:r>
        <w:rPr>
          <w:spacing w:val="-2"/>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48040042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李泽浩</w:t>
            </w:r>
            <w:r>
              <w:rPr>
                <w:rFonts w:ascii="宋体" w:hAnsi="宋体" w:cs="宋体" w:eastAsia="宋体" w:hint="default"/>
                <w:spacing w:val="1"/>
                <w:sz w:val="18"/>
                <w:szCs w:val="18"/>
              </w:rPr>
              <w:t> </w:t>
            </w:r>
            <w:r>
              <w:rPr>
                <w:rFonts w:ascii="宋体" w:hAnsi="宋体" w:cs="宋体" w:eastAsia="宋体" w:hint="default"/>
                <w:sz w:val="18"/>
                <w:szCs w:val="18"/>
              </w:rPr>
              <w:t>李东安</w:t>
            </w:r>
          </w:p>
        </w:tc>
      </w:tr>
    </w:tbl>
    <w:p>
      <w:pPr>
        <w:pStyle w:val="BodyText"/>
        <w:spacing w:line="240" w:lineRule="auto" w:before="49"/>
        <w:ind w:left="2784" w:right="3762"/>
        <w:jc w:val="center"/>
      </w:pPr>
      <w:r>
        <w:rPr/>
        <w:t>审计报告正文</w:t>
      </w:r>
    </w:p>
    <w:p>
      <w:pPr>
        <w:pStyle w:val="BodyText"/>
        <w:spacing w:line="240" w:lineRule="auto" w:before="115"/>
        <w:ind w:left="2784" w:right="2368"/>
        <w:jc w:val="center"/>
      </w:pPr>
      <w:r>
        <w:rPr/>
        <w:t>审 计 报</w:t>
      </w:r>
      <w:r>
        <w:rPr>
          <w:spacing w:val="-54"/>
        </w:rPr>
        <w:t> </w:t>
      </w:r>
      <w:r>
        <w:rPr/>
        <w:t>告</w:t>
      </w:r>
    </w:p>
    <w:p>
      <w:pPr>
        <w:spacing w:line="240" w:lineRule="auto" w:before="4"/>
        <w:rPr>
          <w:rFonts w:ascii="宋体" w:hAnsi="宋体" w:cs="宋体" w:eastAsia="宋体" w:hint="default"/>
          <w:sz w:val="26"/>
          <w:szCs w:val="26"/>
        </w:rPr>
      </w:pPr>
    </w:p>
    <w:p>
      <w:pPr>
        <w:pStyle w:val="BodyText"/>
        <w:spacing w:line="240" w:lineRule="auto" w:before="44"/>
        <w:ind w:left="0" w:right="1179"/>
        <w:jc w:val="right"/>
      </w:pPr>
      <w:r>
        <w:rPr/>
        <w:t>瑞华审字</w:t>
      </w:r>
    </w:p>
    <w:p>
      <w:pPr>
        <w:pStyle w:val="BodyText"/>
        <w:spacing w:line="240" w:lineRule="auto" w:before="76"/>
        <w:ind w:right="0"/>
        <w:jc w:val="left"/>
      </w:pPr>
      <w:r>
        <w:rPr/>
        <w:t>【</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48040042</w:t>
      </w:r>
      <w:r>
        <w:rPr/>
        <w:t>号</w:t>
      </w:r>
    </w:p>
    <w:p>
      <w:pPr>
        <w:spacing w:line="240" w:lineRule="auto" w:before="3"/>
        <w:rPr>
          <w:rFonts w:ascii="宋体" w:hAnsi="宋体" w:cs="宋体" w:eastAsia="宋体" w:hint="default"/>
          <w:sz w:val="25"/>
          <w:szCs w:val="25"/>
        </w:rPr>
      </w:pPr>
    </w:p>
    <w:p>
      <w:pPr>
        <w:pStyle w:val="BodyText"/>
        <w:spacing w:line="312" w:lineRule="auto" w:before="44"/>
        <w:ind w:right="1124"/>
        <w:jc w:val="left"/>
      </w:pPr>
      <w:r>
        <w:rPr/>
        <w:t>深圳大通实业股份有限公司全体股东： </w:t>
      </w:r>
      <w:r>
        <w:rPr>
          <w:spacing w:val="-2"/>
        </w:rPr>
        <w:t>我们审计了后附的深圳大通实业股份有限公司（以下简称</w:t>
      </w:r>
      <w:r>
        <w:rPr>
          <w:rFonts w:ascii="Times New Roman" w:hAnsi="Times New Roman" w:cs="Times New Roman" w:eastAsia="Times New Roman" w:hint="default"/>
          <w:spacing w:val="-2"/>
        </w:rPr>
        <w:t>“</w:t>
      </w:r>
      <w:r>
        <w:rPr>
          <w:spacing w:val="-2"/>
        </w:rPr>
        <w:t>深大通公司</w:t>
      </w:r>
      <w:r>
        <w:rPr>
          <w:rFonts w:ascii="Times New Roman" w:hAnsi="Times New Roman" w:cs="Times New Roman" w:eastAsia="Times New Roman" w:hint="default"/>
          <w:spacing w:val="-2"/>
        </w:rPr>
        <w:t>”</w:t>
      </w:r>
      <w:r>
        <w:rPr>
          <w:spacing w:val="-2"/>
        </w:rPr>
        <w:t>）的财务报表，包括</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日合并及公司的资</w:t>
      </w:r>
      <w:r>
        <w:rPr>
          <w:spacing w:val="-39"/>
        </w:rPr>
        <w:t> </w:t>
      </w:r>
      <w:r>
        <w:rPr>
          <w:spacing w:val="-39"/>
        </w:rPr>
      </w:r>
      <w:r>
        <w:rPr/>
        <w:t>产负债表，</w:t>
      </w:r>
      <w:r>
        <w:rPr>
          <w:rFonts w:ascii="Times New Roman" w:hAnsi="Times New Roman" w:cs="Times New Roman" w:eastAsia="Times New Roman" w:hint="default"/>
        </w:rPr>
        <w:t>2013</w:t>
      </w:r>
      <w:r>
        <w:rPr/>
        <w:t>年度合并及公司的利润表、合并及公司的现金流量表和合并及公司的股东权益变动表以及财务报表附注。 一、管理层对财务报表的责任 编制和公允列报财务报表是深大通公司管理层的责任。这种责任包括：（</w:t>
      </w:r>
      <w:r>
        <w:rPr>
          <w:rFonts w:ascii="Times New Roman" w:hAnsi="Times New Roman" w:cs="Times New Roman" w:eastAsia="Times New Roman" w:hint="default"/>
        </w:rPr>
        <w:t>1</w:t>
      </w:r>
      <w:r>
        <w:rPr/>
        <w:t>）按照企业会计准则的规定编制财务报表，并使 其实现公允反映；（</w:t>
      </w:r>
      <w:r>
        <w:rPr>
          <w:rFonts w:ascii="Times New Roman" w:hAnsi="Times New Roman" w:cs="Times New Roman" w:eastAsia="Times New Roman" w:hint="default"/>
        </w:rPr>
        <w:t>2</w:t>
      </w:r>
      <w:r>
        <w:rPr/>
        <w:t>）设计、执行和维护必要的内部控制，以使财务报表不存在由于舞弊或错误导致的重大错报。 二、注册会计师的责任 我们的责任是在执行审计工作的基础上对财务报表发表审计意见。我们按照中国注册会计师审计准则的规定执行了审计工 </w:t>
      </w:r>
      <w:r>
        <w:rPr>
          <w:spacing w:val="-2"/>
        </w:rPr>
        <w:t>作。中国注册会计师审计准则要求我们遵守中国注册会计师职业道德守则，计划和执行审计工作以对财务报表是否不存在重</w:t>
      </w:r>
      <w:r>
        <w:rPr>
          <w:spacing w:val="-64"/>
        </w:rPr>
        <w:t> </w:t>
      </w:r>
      <w:r>
        <w:rPr>
          <w:spacing w:val="-64"/>
        </w:rPr>
      </w:r>
      <w:r>
        <w:rPr/>
        <w:t>大错报获取合理保证。 </w:t>
      </w:r>
      <w:r>
        <w:rPr>
          <w:spacing w:val="-2"/>
        </w:rPr>
        <w:t>审计工作涉及实施审计程序，以获取有关财务报表金额和披露的审计证据。选择的审计程序取决于注册会计师的判断，包括</w:t>
      </w:r>
      <w:r>
        <w:rPr>
          <w:spacing w:val="-63"/>
        </w:rPr>
        <w:t> </w:t>
      </w:r>
      <w:r>
        <w:rPr>
          <w:spacing w:val="-63"/>
        </w:rPr>
      </w:r>
      <w:r>
        <w:rPr>
          <w:spacing w:val="-2"/>
        </w:rPr>
        <w:t>对由于舞弊或错误导致的财务报表重大错报风险的评估。在进行风险评估时，注册会计师考虑与财务报表编制和公允列报相</w:t>
      </w:r>
      <w:r>
        <w:rPr>
          <w:spacing w:val="-62"/>
        </w:rPr>
        <w:t> </w:t>
      </w:r>
      <w:r>
        <w:rPr>
          <w:spacing w:val="-62"/>
        </w:rPr>
      </w:r>
      <w:r>
        <w:rPr>
          <w:spacing w:val="-2"/>
        </w:rPr>
        <w:t>关的内部控制，以设计恰当的审计程序，但目的并非对内部控制的有效性发表意见。审计工作还包括评价管理层选用会计政</w:t>
      </w:r>
      <w:r>
        <w:rPr>
          <w:spacing w:val="-63"/>
        </w:rPr>
        <w:t> </w:t>
      </w:r>
      <w:r>
        <w:rPr>
          <w:spacing w:val="-63"/>
        </w:rPr>
      </w:r>
      <w:r>
        <w:rPr/>
        <w:t>策的恰当性和作出会计估计的合理性，以及评价财务报表的总体列报。 我们相信，我们获取的审计证据是充分、适当的，为发表审计意见提供了基础。</w:t>
      </w:r>
    </w:p>
    <w:p>
      <w:pPr>
        <w:pStyle w:val="BodyText"/>
        <w:spacing w:line="309" w:lineRule="auto" w:before="22"/>
        <w:ind w:right="1119"/>
        <w:jc w:val="left"/>
      </w:pPr>
      <w:r>
        <w:rPr/>
        <w:t>三、审计意见 </w:t>
      </w:r>
      <w:r>
        <w:rPr>
          <w:spacing w:val="-2"/>
        </w:rPr>
        <w:t>我们认为，上述财务报表在所有重大方面按照企业会计准则的规定编制，公允反映了深大通公司</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日合并及公司</w:t>
      </w:r>
      <w:r>
        <w:rPr>
          <w:spacing w:val="-58"/>
        </w:rPr>
        <w:t> </w:t>
      </w:r>
      <w:r>
        <w:rPr>
          <w:spacing w:val="-58"/>
        </w:rPr>
      </w:r>
      <w:r>
        <w:rPr/>
        <w:t>的财务状况以及</w:t>
      </w:r>
      <w:r>
        <w:rPr>
          <w:rFonts w:ascii="Times New Roman" w:hAnsi="Times New Roman" w:cs="Times New Roman" w:eastAsia="Times New Roman" w:hint="default"/>
        </w:rPr>
        <w:t>2013</w:t>
      </w:r>
      <w:r>
        <w:rPr/>
        <w:t>年度合并及公司的经营成果和现金流量。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tabs>
          <w:tab w:pos="3216" w:val="left" w:leader="none"/>
          <w:tab w:pos="3585" w:val="left" w:leader="none"/>
        </w:tabs>
        <w:spacing w:line="636" w:lineRule="auto"/>
        <w:ind w:right="5394"/>
        <w:jc w:val="left"/>
      </w:pPr>
      <w:r>
        <w:rPr/>
        <w:t>瑞华会计师事务所（特殊普通合伙）</w:t>
        <w:tab/>
        <w:tab/>
        <w:t>中国注册会计师</w:t>
      </w:r>
      <w:r>
        <w:rPr>
          <w:spacing w:val="54"/>
        </w:rPr>
        <w:t> </w:t>
      </w:r>
      <w:r>
        <w:rPr/>
        <w:t>李泽浩</w:t>
      </w:r>
      <w:r>
        <w:rPr/>
        <w:t> </w:t>
      </w:r>
      <w:r>
        <w:rPr>
          <w:spacing w:val="-3"/>
        </w:rPr>
        <w:t>中国</w:t>
      </w:r>
      <w:r>
        <w:rPr>
          <w:rFonts w:ascii="Times New Roman" w:hAnsi="Times New Roman" w:cs="Times New Roman" w:eastAsia="Times New Roman" w:hint="default"/>
          <w:spacing w:val="-3"/>
        </w:rPr>
        <w:t>·</w:t>
      </w:r>
      <w:r>
        <w:rPr>
          <w:spacing w:val="-3"/>
        </w:rPr>
        <w:t>北京</w:t>
        <w:tab/>
      </w:r>
      <w:r>
        <w:rPr/>
        <w:t>中国注册会计师</w:t>
      </w:r>
      <w:r>
        <w:rPr>
          <w:spacing w:val="56"/>
        </w:rPr>
        <w:t> </w:t>
      </w:r>
      <w:r>
        <w:rPr/>
        <w:t>李东安</w:t>
      </w:r>
    </w:p>
    <w:p>
      <w:pPr>
        <w:spacing w:after="0" w:line="636" w:lineRule="auto"/>
        <w:jc w:val="left"/>
        <w:sectPr>
          <w:pgSz w:w="11910" w:h="16840"/>
          <w:pgMar w:header="877" w:footer="1250" w:top="1060" w:bottom="14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二〇一四年四月二十四日</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编制单位：深圳大通实业股份有限公司</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19,082,950.92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18,448,741.58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5,067,837.16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48,057,996.92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8,084,388.32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6,637,679.00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615,575,693.61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511,920,367.26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25,779,956.88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21,200,004.60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674,750,826.89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606,264,789.36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50" w:top="1060" w:bottom="14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125,875.00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151,018.06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6,038,896.36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3,740,457.00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6,164,771.36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3,891,475.06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680,915,598.25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610,156,264.42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182,317,293.36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149,751,609.25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196,825,827.48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128,615,207.40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67,073.41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66,033.51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36,025,150.13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24,002,763.39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206,029.02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206,029.02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61,729,440.88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69,755,985.62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50" w:top="1060" w:bottom="14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42,150,000.00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477,170,814.28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414,547,628.19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1,999,045.00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1,999,045.00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1,999,045.00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1,999,045.00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479,169,859.28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416,546,673.19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96,227,998.00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96,227,998.00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22,345,024.64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21,760,565.81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5,887,067.95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5,887,067.95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34,704,769.81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32,714,793.89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159,164,860.40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156,590,425.65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42,580,878.57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37,019,165.58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201,745,738.97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193,609,591.23</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680,915,598.25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610,156,264.42</w:t>
            </w: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899" w:val="left" w:leader="none"/>
        </w:tabs>
        <w:spacing w:line="240" w:lineRule="auto" w:before="44"/>
        <w:ind w:right="0"/>
        <w:jc w:val="left"/>
      </w:pPr>
      <w:r>
        <w:rPr/>
        <w:t>法定代表人：许亚楠</w:t>
        <w:tab/>
      </w:r>
      <w:r>
        <w:rPr>
          <w:spacing w:val="-1"/>
        </w:rPr>
        <w:t>主管会计工作负责人：王立平</w:t>
        <w:tab/>
      </w:r>
      <w:r>
        <w:rPr/>
        <w:t>会计机构负责人：陈璇</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编制单位：深圳大通实业股份有限公司</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4"/>
        <w:gridCol w:w="3303"/>
        <w:gridCol w:w="3291"/>
      </w:tblGrid>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1250" w:top="1060" w:bottom="14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81,704.85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34,923.57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52,650.00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2,055,265.00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134,354.85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2,090,188.57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271,315,537.00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265,562,237.00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25,235.46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5,057.10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271,340,772.46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265,567,294.10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271,475,127.31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267,657,482.67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1250" w:top="1060" w:bottom="14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8,588,972.45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8,588,972.45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11,079,107.85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11,081,152.04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206,029.02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206,029.02</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158,000,065.50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150,113,822.63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177,874,174.82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169,989,976.14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177,874,174.82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169,989,976.14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96,227,998.00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96,227,998.00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21,760,565.81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21,760,565.81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5,887,067.95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5,887,067.95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-30,274,679.27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-26,208,125.23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93,600,952.49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97,667,506.53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271,475,127.31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267,657,482.67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50" w:top="1060" w:bottom="144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629944"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51</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4"/>
        <w:gridCol w:w="3303"/>
        <w:gridCol w:w="3303"/>
      </w:tblGrid>
      <w:tr>
        <w:trPr>
          <w:trHeight w:val="363"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计</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899" w:val="left" w:leader="none"/>
        </w:tabs>
        <w:spacing w:line="240" w:lineRule="auto" w:before="44"/>
        <w:ind w:right="0"/>
        <w:jc w:val="left"/>
      </w:pPr>
      <w:r>
        <w:rPr/>
        <w:t>法定代表人：许亚楠</w:t>
        <w:tab/>
      </w:r>
      <w:r>
        <w:rPr>
          <w:spacing w:val="-1"/>
        </w:rPr>
        <w:t>主管会计工作负责人：王立平</w:t>
        <w:tab/>
      </w:r>
      <w:r>
        <w:rPr/>
        <w:t>会计机构负责人：陈璇</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编制单位：深圳大通实业股份有限公司</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168,435,591.26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206,236,809.33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168,435,591.26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206,236,809.33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156,541,261.05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194,793,216.26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122,992,243.06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159,055,100.49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17,115,884.47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13,534,958.84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2,137,553.31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3,086,760.93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10,155,987.62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9,873,205.10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1,749,358.02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4,734,660.39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2,390,234.57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4,508,530.51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11,894,330.21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11,443,593.07</w:t>
            </w:r>
          </w:p>
        </w:tc>
      </w:tr>
    </w:tbl>
    <w:p>
      <w:pPr>
        <w:spacing w:after="0" w:line="240" w:lineRule="auto"/>
        <w:jc w:val="right"/>
        <w:rPr>
          <w:rFonts w:ascii="Times New Roman" w:hAnsi="Times New Roman" w:cs="Times New Roman" w:eastAsia="Times New Roman" w:hint="default"/>
          <w:sz w:val="18"/>
          <w:szCs w:val="18"/>
        </w:rPr>
        <w:sectPr>
          <w:headerReference w:type="default" r:id="rId41"/>
          <w:footerReference w:type="default" r:id="rId42"/>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12,308.99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111,729.72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526,196.98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11,800,850.49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10,929,705.08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8,893,484.97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8,141,723.90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2,907,365.52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2,787,981.18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1,989,975.92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2,078,042.37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917,389.60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709,938.81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2,907,365.52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2,787,981.18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1,989,975.92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2,078,042.37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917,389.60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709,938.81</w:t>
            </w:r>
          </w:p>
        </w:tc>
      </w:tr>
    </w:tbl>
    <w:p>
      <w:pPr>
        <w:spacing w:line="240" w:lineRule="auto" w:before="2"/>
        <w:rPr>
          <w:rFonts w:ascii="宋体" w:hAnsi="宋体" w:cs="宋体" w:eastAsia="宋体" w:hint="default"/>
          <w:sz w:val="20"/>
          <w:szCs w:val="20"/>
        </w:rPr>
      </w:pPr>
    </w:p>
    <w:p>
      <w:pPr>
        <w:pStyle w:val="BodyText"/>
        <w:tabs>
          <w:tab w:pos="3667" w:val="left" w:leader="none"/>
          <w:tab w:pos="7899" w:val="left" w:leader="none"/>
        </w:tabs>
        <w:spacing w:line="240" w:lineRule="auto" w:before="44"/>
        <w:ind w:right="0"/>
        <w:jc w:val="left"/>
      </w:pPr>
      <w:r>
        <w:rPr/>
        <w:t>法定代表人：许亚楠</w:t>
        <w:tab/>
      </w:r>
      <w:r>
        <w:rPr>
          <w:spacing w:val="-1"/>
        </w:rPr>
        <w:t>主管会计工作负责人：王立平</w:t>
        <w:tab/>
      </w:r>
      <w:r>
        <w:rPr/>
        <w:t>会计机构负责人：陈璇</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编制单位：深圳大通实业股份有限公司</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4,065,099.67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4,264,147.10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1,454.37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768,267.68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378,181.24</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3"/>
          <w:pgSz w:w="11910" w:h="16840"/>
          <w:pgMar w:footer="1331" w:header="877" w:top="1060" w:bottom="1520" w:left="980" w:right="0"/>
          <w:pgNumType w:start="52"/>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-4,066,554.04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-5,410,596.02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127,058.06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-4,066,554.04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-5,537,654.08</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-4,066,554.04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-5,537,654.08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-4,066,554.04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-5,537,654.08</w:t>
            </w:r>
          </w:p>
        </w:tc>
      </w:tr>
    </w:tbl>
    <w:p>
      <w:pPr>
        <w:spacing w:line="240" w:lineRule="auto" w:before="2"/>
        <w:rPr>
          <w:rFonts w:ascii="宋体" w:hAnsi="宋体" w:cs="宋体" w:eastAsia="宋体" w:hint="default"/>
          <w:sz w:val="20"/>
          <w:szCs w:val="20"/>
        </w:rPr>
      </w:pPr>
    </w:p>
    <w:p>
      <w:pPr>
        <w:pStyle w:val="BodyText"/>
        <w:tabs>
          <w:tab w:pos="3667" w:val="left" w:leader="none"/>
          <w:tab w:pos="7899" w:val="left" w:leader="none"/>
        </w:tabs>
        <w:spacing w:line="240" w:lineRule="auto" w:before="44"/>
        <w:ind w:right="0"/>
        <w:jc w:val="left"/>
      </w:pPr>
      <w:r>
        <w:rPr/>
        <w:t>法定代表人：许亚楠</w:t>
        <w:tab/>
      </w:r>
      <w:r>
        <w:rPr>
          <w:spacing w:val="-1"/>
        </w:rPr>
        <w:t>主管会计工作负责人：王立平</w:t>
        <w:tab/>
      </w:r>
      <w:r>
        <w:rPr/>
        <w:t>会计机构负责人：陈璇</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编制单位：深圳大通实业股份有限公司</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169,631,336.38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166,957,077.30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31" w:top="1060" w:bottom="152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629896"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54</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183,722.95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169,815,059.33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166,957,077.30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73,477,623.95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64,157,533.87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5,679,930.20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3,732,423.40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22,698,260.71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32,056,197.59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23,004,976.04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14,057,017.98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124,860,790.90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114,003,172.84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44,954,268.43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52,953,904.46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24,874.00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3,880.00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5,736,480.03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5,761,354.03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3,880.00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-5,761,354.03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-3,880.00</w:t>
            </w:r>
          </w:p>
        </w:tc>
      </w:tr>
    </w:tbl>
    <w:p>
      <w:pPr>
        <w:spacing w:after="0" w:line="240" w:lineRule="auto"/>
        <w:jc w:val="right"/>
        <w:rPr>
          <w:rFonts w:ascii="Times New Roman" w:hAnsi="Times New Roman" w:cs="Times New Roman" w:eastAsia="Times New Roman" w:hint="default"/>
          <w:sz w:val="18"/>
          <w:szCs w:val="18"/>
        </w:rPr>
        <w:sectPr>
          <w:headerReference w:type="default" r:id="rId44"/>
          <w:footerReference w:type="default" r:id="rId45"/>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629848"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55</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7,151,352.85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7,151,352.85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39,806,482.60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1,206,632.31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6,127,280.36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43,356,632.31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45,933,762.96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-36,205,279.46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-45,933,762.96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2,987,634.94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7,016,261.50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16,095,315.98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9,079,054.48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19,082,950.92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16,095,315.98</w:t>
            </w: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899" w:val="left" w:leader="none"/>
        </w:tabs>
        <w:spacing w:line="240" w:lineRule="auto" w:before="44"/>
        <w:ind w:right="0"/>
        <w:jc w:val="left"/>
      </w:pPr>
      <w:r>
        <w:rPr/>
        <w:t>法定代表人：许亚楠</w:t>
        <w:tab/>
      </w:r>
      <w:r>
        <w:rPr>
          <w:spacing w:val="-1"/>
        </w:rPr>
        <w:t>主管会计工作负责人：王立平</w:t>
        <w:tab/>
      </w:r>
      <w:r>
        <w:rPr/>
        <w:t>会计机构负责人：陈璇</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编制单位：深圳大通实业股份有限公司</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507,803.88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570,592.84</w:t>
            </w:r>
          </w:p>
        </w:tc>
      </w:tr>
    </w:tbl>
    <w:p>
      <w:pPr>
        <w:spacing w:after="0" w:line="240" w:lineRule="auto"/>
        <w:jc w:val="right"/>
        <w:rPr>
          <w:rFonts w:ascii="Times New Roman" w:hAnsi="Times New Roman" w:cs="Times New Roman" w:eastAsia="Times New Roman" w:hint="default"/>
          <w:sz w:val="18"/>
          <w:szCs w:val="18"/>
        </w:rPr>
        <w:sectPr>
          <w:headerReference w:type="default" r:id="rId46"/>
          <w:footerReference w:type="default" r:id="rId47"/>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629800"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56</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1,057,897.71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3,681,479.90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1,565,701.59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4,252,072.74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-1,565,701.59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-4,252,072.74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23,075.00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5,753,300.00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5,776,375.00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-5,776,375.00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7,388,857.87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38,390,013.55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7,388,857.87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38,390,013.55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31,956,482.60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2,194,670.21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34,151,152.81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7,388,857.87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4,238,860.74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46,781.28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-13,212.00</w:t>
            </w:r>
          </w:p>
        </w:tc>
      </w:tr>
    </w:tbl>
    <w:p>
      <w:pPr>
        <w:spacing w:after="0" w:line="240" w:lineRule="auto"/>
        <w:jc w:val="right"/>
        <w:rPr>
          <w:rFonts w:ascii="Times New Roman" w:hAnsi="Times New Roman" w:cs="Times New Roman" w:eastAsia="Times New Roman" w:hint="default"/>
          <w:sz w:val="18"/>
          <w:szCs w:val="18"/>
        </w:rPr>
        <w:sectPr>
          <w:headerReference w:type="default" r:id="rId48"/>
          <w:footerReference w:type="default" r:id="rId49"/>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34,923.57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48,135.57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81,704.85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34,923.57</w:t>
            </w: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899" w:val="left" w:leader="none"/>
        </w:tabs>
        <w:spacing w:line="240" w:lineRule="auto" w:before="44"/>
        <w:ind w:right="0"/>
        <w:jc w:val="left"/>
      </w:pPr>
      <w:r>
        <w:rPr/>
        <w:t>法定代表人：许亚楠</w:t>
        <w:tab/>
      </w:r>
      <w:r>
        <w:rPr>
          <w:spacing w:val="-1"/>
        </w:rPr>
        <w:t>主管会计工作负责人：王立平</w:t>
        <w:tab/>
      </w:r>
      <w:r>
        <w:rPr/>
        <w:t>会计机构负责人：陈璇</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50"/>
          <w:pgSz w:w="11910" w:h="16840"/>
          <w:pgMar w:footer="1241" w:header="877" w:top="1060" w:bottom="1440" w:left="980" w:right="0"/>
          <w:pgNumType w:start="57"/>
        </w:sectPr>
      </w:pPr>
    </w:p>
    <w:p>
      <w:pPr>
        <w:pStyle w:val="BodyText"/>
        <w:spacing w:line="357" w:lineRule="auto" w:before="44"/>
        <w:ind w:right="-20"/>
        <w:jc w:val="left"/>
      </w:pPr>
      <w:r>
        <w:rPr/>
        <w:t>编制单位：深圳大通实业股份有限公司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540" w:left="980" w:right="0"/>
          <w:cols w:num="2" w:equalWidth="0">
            <w:col w:w="3213" w:space="5707"/>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96,227,</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998.00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21,760,5</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65.81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5,887,0</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67.95</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32,714,7</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93.89</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37,019,16</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5.58</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193,609,59</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1.23</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96,227,</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998.00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21,760,5</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65.81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5,887,0</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67.95</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32,714,7</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93.89</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37,019,16</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5.58</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193,609,59</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1.23</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584,458.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1,989,97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5.92</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5,561,712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8,136,147.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74</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1,989,97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5.92</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917,389.6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2,907,365.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1,989,97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5.92</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917,389.6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2,907,365.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584,458.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4,644,323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5,228,782.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584,458.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4,644,323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5,228,782.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96,227,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998.00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22,345,0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24.64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5,887,0</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67.95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34,704,7</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69.81</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42,580,87</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8.57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201,745,73</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8.97</w:t>
            </w:r>
          </w:p>
        </w:tc>
      </w:tr>
    </w:tbl>
    <w:p>
      <w:pPr>
        <w:pStyle w:val="BodyText"/>
        <w:spacing w:line="240" w:lineRule="auto" w:before="49"/>
        <w:ind w:right="0"/>
        <w:jc w:val="left"/>
      </w:pPr>
      <w:r>
        <w:rPr/>
        <w:t>上年金额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96,227,</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998.00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21,760,5</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65.81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5,887,0</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67.95</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30,636,7</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51.52</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36,309,22</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6.77</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190,821,61</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0.05</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96,227,</w:t>
            </w:r>
          </w:p>
          <w:p>
            <w:pPr>
              <w:pStyle w:val="TableParagraph"/>
              <w:spacing w:line="240" w:lineRule="auto" w:before="102"/>
              <w:ind w:left="161" w:right="0"/>
              <w:jc w:val="left"/>
              <w:rPr>
                <w:rFonts w:ascii="Times New Roman" w:hAnsi="Times New Roman" w:cs="Times New Roman" w:eastAsia="Times New Roman" w:hint="default"/>
                <w:sz w:val="18"/>
                <w:szCs w:val="18"/>
              </w:rPr>
            </w:pPr>
            <w:r>
              <w:rPr>
                <w:rFonts w:ascii="Times New Roman"/>
                <w:sz w:val="18"/>
              </w:rPr>
              <w:t>998.00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21,760,5</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65.81</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5,887,0</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67.95</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30,636,7</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51.52</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36,309,22</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6.77</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190,821,61</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0.05</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2,078,04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2.37</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709,938.8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2,787,981.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18</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2,078,04</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2.37</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709,938.8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2,787,981.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18</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241"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2,078,04</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2.37</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709,938.8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2,787,981.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18</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96,227,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998.00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21,760,5</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65.81</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5,887,0</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67.95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32,714,7</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93.89</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37,019,16</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5.58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193,609,59</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1.23</w:t>
            </w:r>
          </w:p>
        </w:tc>
      </w:tr>
    </w:tbl>
    <w:p>
      <w:pPr>
        <w:spacing w:line="240" w:lineRule="auto" w:before="2"/>
        <w:rPr>
          <w:rFonts w:ascii="宋体" w:hAnsi="宋体" w:cs="宋体" w:eastAsia="宋体" w:hint="default"/>
          <w:sz w:val="20"/>
          <w:szCs w:val="20"/>
        </w:rPr>
      </w:pPr>
    </w:p>
    <w:p>
      <w:pPr>
        <w:pStyle w:val="BodyText"/>
        <w:tabs>
          <w:tab w:pos="3667" w:val="left" w:leader="none"/>
          <w:tab w:pos="7899" w:val="left" w:leader="none"/>
        </w:tabs>
        <w:spacing w:line="240" w:lineRule="auto" w:before="44"/>
        <w:ind w:right="0"/>
        <w:jc w:val="left"/>
      </w:pPr>
      <w:r>
        <w:rPr/>
        <w:t>法定代表人：许亚楠</w:t>
        <w:tab/>
      </w:r>
      <w:r>
        <w:rPr>
          <w:spacing w:val="-1"/>
        </w:rPr>
        <w:t>主管会计工作负责人：王立平</w:t>
        <w:tab/>
      </w:r>
      <w:r>
        <w:rPr/>
        <w:t>会计机构负责人：陈璇</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241" w:top="1060" w:bottom="1540" w:left="980" w:right="0"/>
        </w:sectPr>
      </w:pPr>
    </w:p>
    <w:p>
      <w:pPr>
        <w:pStyle w:val="BodyText"/>
        <w:spacing w:line="360" w:lineRule="auto" w:before="44"/>
        <w:ind w:right="-20"/>
        <w:jc w:val="left"/>
      </w:pPr>
      <w:r>
        <w:rPr/>
        <w:t>编制单位：深圳大通实业股份有限公司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540" w:left="980" w:right="0"/>
          <w:cols w:num="2" w:equalWidth="0">
            <w:col w:w="3213" w:space="5707"/>
            <w:col w:w="2010"/>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3"/>
      </w:tblGrid>
      <w:tr>
        <w:trPr>
          <w:trHeight w:val="403" w:hRule="exact"/>
        </w:trPr>
        <w:tc>
          <w:tcPr>
            <w:tcW w:w="24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9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01" w:hRule="exact"/>
        </w:trPr>
        <w:tc>
          <w:tcPr>
            <w:tcW w:w="2476" w:type="dxa"/>
            <w:vMerge/>
            <w:tcBorders>
              <w:left w:val="single" w:sz="4" w:space="0" w:color="000000"/>
              <w:bottom w:val="single" w:sz="4" w:space="0" w:color="000000"/>
              <w:right w:val="single" w:sz="4" w:space="0" w:color="000000"/>
            </w:tcBorders>
            <w:shd w:val="clear" w:color="auto" w:fill="D2D2D2"/>
          </w:tcPr>
          <w:p>
            <w:pPr/>
          </w:p>
        </w:tc>
        <w:tc>
          <w:tcPr>
            <w:tcW w:w="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6" w:right="0"/>
              <w:jc w:val="left"/>
              <w:rPr>
                <w:rFonts w:ascii="宋体" w:hAnsi="宋体" w:cs="宋体" w:eastAsia="宋体" w:hint="default"/>
                <w:sz w:val="18"/>
                <w:szCs w:val="18"/>
              </w:rPr>
            </w:pPr>
            <w:r>
              <w:rPr>
                <w:rFonts w:ascii="宋体" w:hAnsi="宋体" w:cs="宋体" w:eastAsia="宋体" w:hint="default"/>
                <w:sz w:val="18"/>
                <w:szCs w:val="18"/>
              </w:rPr>
              <w:t>实收资本</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9" w:right="0"/>
              <w:jc w:val="left"/>
              <w:rPr>
                <w:rFonts w:ascii="宋体" w:hAnsi="宋体" w:cs="宋体" w:eastAsia="宋体" w:hint="default"/>
                <w:sz w:val="18"/>
                <w:szCs w:val="18"/>
              </w:rPr>
            </w:pPr>
            <w:r>
              <w:rPr>
                <w:rFonts w:ascii="宋体" w:hAnsi="宋体" w:cs="宋体" w:eastAsia="宋体" w:hint="default"/>
                <w:sz w:val="18"/>
                <w:szCs w:val="18"/>
              </w:rPr>
              <w:t>一般风险</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81" w:right="0"/>
              <w:jc w:val="left"/>
              <w:rPr>
                <w:rFonts w:ascii="宋体" w:hAnsi="宋体" w:cs="宋体" w:eastAsia="宋体" w:hint="default"/>
                <w:sz w:val="18"/>
                <w:szCs w:val="18"/>
              </w:rPr>
            </w:pPr>
            <w:r>
              <w:rPr>
                <w:rFonts w:ascii="宋体" w:hAnsi="宋体" w:cs="宋体" w:eastAsia="宋体" w:hint="default"/>
                <w:sz w:val="18"/>
                <w:szCs w:val="18"/>
              </w:rPr>
              <w:t>未分配利</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81"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08.970001pt;margin-top:72.475983pt;width:59.9pt;height:17.7pt;mso-position-horizontal-relative:page;mso-position-vertical-relative:page;z-index:-629776" type="#_x0000_t202" filled="false" stroked="false">
            <v:textbox inset="0,0,0,0">
              <w:txbxContent>
                <w:p>
                  <w:pPr>
                    <w:pStyle w:val="BodyText"/>
                    <w:spacing w:line="240" w:lineRule="auto" w:before="8"/>
                    <w:ind w:left="0" w:right="0"/>
                    <w:jc w:val="left"/>
                  </w:pPr>
                  <w:r>
                    <w:rPr/>
                    <w:t>本）</w:t>
                  </w:r>
                </w:p>
              </w:txbxContent>
            </v:textbox>
            <w10:wrap type="none"/>
          </v:shape>
        </w:pict>
      </w:r>
      <w:r>
        <w:rPr/>
        <w:pict>
          <v:shape style="position:absolute;margin-left:138.600006pt;margin-top:566.109985pt;width:84.8pt;height:19.7pt;mso-position-horizontal-relative:page;mso-position-vertical-relative:page;z-index:-629752"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shape style="position:absolute;margin-left:138.600006pt;margin-top:586.269958pt;width:84.8pt;height:19.6pt;mso-position-horizontal-relative:page;mso-position-vertical-relative:page;z-index:-629728"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group style="position:absolute;margin-left:180.740005pt;margin-top:565.51001pt;width:42.65pt;height:40.950pt;mso-position-horizontal-relative:page;mso-position-vertical-relative:page;z-index:-629704" coordorigin="3615,11310" coordsize="853,819">
            <v:group style="position:absolute;left:3627;top:11322;width:2;height:394" coordorigin="3627,11322" coordsize="2,394">
              <v:shape style="position:absolute;left:3627;top:11322;width:2;height:394" coordorigin="3627,11322" coordsize="0,394" path="m3627,11322l3627,11716e" filled="false" stroked="true" strokeweight="1.2pt" strokecolor="#ffffff">
                <v:path arrowok="t"/>
              </v:shape>
            </v:group>
            <v:group style="position:absolute;left:3639;top:11322;width:829;height:394" coordorigin="3639,11322" coordsize="829,394">
              <v:shape style="position:absolute;left:3639;top:11322;width:829;height:394" coordorigin="3639,11322" coordsize="829,394" path="m3639,11716l4467,11716,4467,11322,3639,11322,3639,11716xe" filled="true" fillcolor="#ffffff" stroked="false">
                <v:path arrowok="t"/>
                <v:fill type="solid"/>
              </v:shape>
            </v:group>
            <v:group style="position:absolute;left:3627;top:11725;width:2;height:392" coordorigin="3627,11725" coordsize="2,392">
              <v:shape style="position:absolute;left:3627;top:11725;width:2;height:392" coordorigin="3627,11725" coordsize="0,392" path="m3627,11725l3627,12117e" filled="false" stroked="true" strokeweight="1.2pt" strokecolor="#ffffff">
                <v:path arrowok="t"/>
              </v:shape>
            </v:group>
            <v:group style="position:absolute;left:3639;top:11725;width:829;height:392" coordorigin="3639,11725" coordsize="829,392">
              <v:shape style="position:absolute;left:3639;top:11725;width:829;height:392" coordorigin="3639,11725" coordsize="829,392" path="m3639,12117l4467,12117,4467,11725,3639,11725,3639,12117xe" filled="true" fillcolor="#ffffff" stroked="false">
                <v:path arrowok="t"/>
                <v:fill type="solid"/>
              </v:shape>
            </v:group>
            <w10:wrap type="none"/>
          </v:group>
        </w:pict>
      </w:r>
    </w:p>
    <w:p>
      <w:pPr>
        <w:spacing w:line="240" w:lineRule="auto" w:before="7"/>
        <w:rPr>
          <w:rFonts w:ascii="Times New Roman" w:hAnsi="Times New Roman" w:cs="Times New Roman" w:eastAsia="Times New Roman"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465"/>
        <w:gridCol w:w="896"/>
        <w:gridCol w:w="886"/>
        <w:gridCol w:w="886"/>
        <w:gridCol w:w="886"/>
        <w:gridCol w:w="886"/>
        <w:gridCol w:w="886"/>
        <w:gridCol w:w="888"/>
        <w:gridCol w:w="890"/>
      </w:tblGrid>
      <w:tr>
        <w:trPr>
          <w:trHeight w:val="36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5" w:right="0"/>
              <w:jc w:val="left"/>
              <w:rPr>
                <w:rFonts w:ascii="宋体" w:hAnsi="宋体" w:cs="宋体" w:eastAsia="宋体" w:hint="default"/>
                <w:sz w:val="18"/>
                <w:szCs w:val="18"/>
              </w:rPr>
            </w:pPr>
            <w:r>
              <w:rPr>
                <w:rFonts w:ascii="宋体" w:hAnsi="宋体" w:cs="宋体" w:eastAsia="宋体" w:hint="default"/>
                <w:sz w:val="18"/>
                <w:szCs w:val="18"/>
              </w:rPr>
              <w:t>（或股</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59"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8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70"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161"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96,227,998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21,760,565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.81</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5,887,067.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z w:val="18"/>
              </w:rPr>
              <w:t>-26,208,12</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5.23</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97,667,506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.53</w:t>
            </w:r>
          </w:p>
        </w:tc>
      </w:tr>
      <w:tr>
        <w:trPr>
          <w:trHeight w:val="391"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96,227,998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21,760,565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.81</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5,887,067.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z w:val="18"/>
              </w:rPr>
              <w:t>-26,208,12</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5.23</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97,667,506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.53</w:t>
            </w:r>
          </w:p>
        </w:tc>
      </w:tr>
      <w:tr>
        <w:trPr>
          <w:trHeight w:val="391"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5"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-4,066,554.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-4,066,554.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r>
      <w:tr>
        <w:trPr>
          <w:trHeight w:val="161"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-4,066,554.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-4,066,554.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r>
      <w:tr>
        <w:trPr>
          <w:trHeight w:val="392"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-4,066,554.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-4,066,554.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r>
      <w:tr>
        <w:trPr>
          <w:trHeight w:val="391"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7"/>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65"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96,227,998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21,760,565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.81</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5,887,067.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z w:val="18"/>
              </w:rPr>
              <w:t>-30,274,67</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9.27</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93,600,952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.49</w:t>
            </w:r>
          </w:p>
        </w:tc>
      </w:tr>
      <w:tr>
        <w:trPr>
          <w:trHeight w:val="394" w:hRule="exact"/>
        </w:trPr>
        <w:tc>
          <w:tcPr>
            <w:tcW w:w="24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65"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1241" w:top="1060" w:bottom="1580" w:left="980" w:right="0"/>
        </w:sectPr>
      </w:pPr>
    </w:p>
    <w:p>
      <w:pPr>
        <w:spacing w:line="240" w:lineRule="auto" w:before="3"/>
        <w:rPr>
          <w:rFonts w:ascii="Times New Roman" w:hAnsi="Times New Roman" w:cs="Times New Roman" w:eastAsia="Times New Roman" w:hint="default"/>
          <w:sz w:val="29"/>
          <w:szCs w:val="29"/>
        </w:rPr>
      </w:pPr>
      <w:r>
        <w:rPr/>
        <w:pict>
          <v:shape style="position:absolute;margin-left:166.580002pt;margin-top:639.099976pt;width:57.75pt;height:19.6pt;mso-position-horizontal-relative:page;mso-position-vertical-relative:page;z-index:-629680" type="#_x0000_t202" filled="false" stroked="false">
            <v:textbox inset="0,0,0,0">
              <w:txbxContent>
                <w:p>
                  <w:pPr>
                    <w:pStyle w:val="BodyText"/>
                    <w:spacing w:line="240" w:lineRule="auto" w:before="49"/>
                    <w:ind w:left="0" w:right="0"/>
                    <w:jc w:val="left"/>
                  </w:pPr>
                  <w:r>
                    <w:rPr/>
                    <w:t>本）</w:t>
                  </w:r>
                </w:p>
              </w:txbxContent>
            </v:textbox>
            <w10:wrap type="none"/>
          </v:shape>
        </w:pict>
      </w:r>
      <w:r>
        <w:rPr/>
        <w:pict>
          <v:shape style="position:absolute;margin-left:139.554001pt;margin-top:659.139954pt;width:84.8pt;height:19.7pt;mso-position-horizontal-relative:page;mso-position-vertical-relative:page;z-index:-629656"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group style="position:absolute;margin-left:182.899994pt;margin-top:639.099976pt;width:41.45pt;height:39.75pt;mso-position-horizontal-relative:page;mso-position-vertical-relative:page;z-index:-629632" coordorigin="3658,12782" coordsize="829,795">
            <v:group style="position:absolute;left:3658;top:12782;width:829;height:392" coordorigin="3658,12782" coordsize="829,392">
              <v:shape style="position:absolute;left:3658;top:12782;width:829;height:392" coordorigin="3658,12782" coordsize="829,392" path="m3658,13173l4486,13173,4486,12782,3658,12782,3658,13173xe" filled="true" fillcolor="#ffffff" stroked="false">
                <v:path arrowok="t"/>
                <v:fill type="solid"/>
              </v:shape>
            </v:group>
            <v:group style="position:absolute;left:3658;top:13183;width:829;height:394" coordorigin="3658,13183" coordsize="829,394">
              <v:shape style="position:absolute;left:3658;top:13183;width:829;height:394" coordorigin="3658,13183" coordsize="829,394" path="m3658,13576l4486,13576,4486,13183,3658,13183,3658,13576xe" filled="true" fillcolor="#ffffff" stroked="false">
                <v:path arrowok="t"/>
                <v:fill type="solid"/>
              </v:shape>
            </v:group>
            <w10:wrap type="none"/>
          </v:group>
        </w:pict>
      </w:r>
    </w:p>
    <w:p>
      <w:pPr>
        <w:pStyle w:val="BodyText"/>
        <w:spacing w:line="240" w:lineRule="auto" w:before="44"/>
        <w:ind w:right="0"/>
        <w:jc w:val="left"/>
      </w:pPr>
      <w:r>
        <w:rPr/>
        <w:t>上年金额</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84"/>
        <w:gridCol w:w="896"/>
        <w:gridCol w:w="886"/>
        <w:gridCol w:w="886"/>
        <w:gridCol w:w="884"/>
        <w:gridCol w:w="886"/>
        <w:gridCol w:w="884"/>
        <w:gridCol w:w="883"/>
        <w:gridCol w:w="883"/>
      </w:tblGrid>
      <w:tr>
        <w:trPr>
          <w:trHeight w:val="398"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4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6"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84"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6"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99" w:hRule="exact"/>
        </w:trPr>
        <w:tc>
          <w:tcPr>
            <w:tcW w:w="2484"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84"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96,227,998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21,760,565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.81</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5,887,067.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-20,670,47</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1.15</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103,205,16</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0.61</w:t>
            </w:r>
          </w:p>
        </w:tc>
      </w:tr>
      <w:tr>
        <w:trPr>
          <w:trHeight w:val="394"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96,227,998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21,760,565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.81</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5,887,067.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-20,670,47</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1.15</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103,205,16</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0.61</w:t>
            </w:r>
          </w:p>
        </w:tc>
      </w:tr>
      <w:tr>
        <w:trPr>
          <w:trHeight w:val="394"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-5,537,654.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-5,537,654.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r>
      <w:tr>
        <w:trPr>
          <w:trHeight w:val="16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-5,537,654.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-5,537,654.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r>
      <w:tr>
        <w:trPr>
          <w:trHeight w:val="394"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-5,537,654.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-5,537,654.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r>
      <w:tr>
        <w:trPr>
          <w:trHeight w:val="394"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．资本公积转增资本（或股</w:t>
            </w:r>
          </w:p>
        </w:tc>
        <w:tc>
          <w:tcPr>
            <w:tcW w:w="896" w:type="dxa"/>
            <w:tcBorders>
              <w:top w:val="single" w:sz="4" w:space="0" w:color="000000"/>
              <w:left w:val="single" w:sz="2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tc>
        <w:tc>
          <w:tcPr>
            <w:tcW w:w="896" w:type="dxa"/>
            <w:tcBorders>
              <w:top w:val="single" w:sz="4" w:space="0" w:color="000000"/>
              <w:left w:val="single" w:sz="2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41"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96,227,998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21,760,565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5,887,067.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-26,208,12</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5.23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97,667,506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.53</w:t>
            </w:r>
          </w:p>
        </w:tc>
      </w:tr>
    </w:tbl>
    <w:p>
      <w:pPr>
        <w:spacing w:line="240" w:lineRule="auto" w:before="2"/>
        <w:rPr>
          <w:rFonts w:ascii="宋体" w:hAnsi="宋体" w:cs="宋体" w:eastAsia="宋体" w:hint="default"/>
          <w:sz w:val="20"/>
          <w:szCs w:val="20"/>
        </w:rPr>
      </w:pPr>
    </w:p>
    <w:p>
      <w:pPr>
        <w:pStyle w:val="BodyText"/>
        <w:tabs>
          <w:tab w:pos="3667" w:val="left" w:leader="none"/>
          <w:tab w:pos="7899" w:val="left" w:leader="none"/>
        </w:tabs>
        <w:spacing w:line="240" w:lineRule="auto" w:before="44"/>
        <w:ind w:right="0"/>
        <w:jc w:val="left"/>
      </w:pPr>
      <w:r>
        <w:rPr/>
        <w:t>法定代表人：许亚楠</w:t>
        <w:tab/>
      </w:r>
      <w:r>
        <w:rPr>
          <w:spacing w:val="-1"/>
        </w:rPr>
        <w:t>主管会计工作负责人：王立平</w:t>
        <w:tab/>
      </w:r>
      <w:r>
        <w:rPr/>
        <w:t>会计机构负责人：陈璇</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7" w:lineRule="auto"/>
        <w:ind w:right="7244"/>
        <w:jc w:val="left"/>
      </w:pPr>
      <w:r>
        <w:rPr>
          <w:rFonts w:ascii="Times New Roman" w:hAnsi="Times New Roman" w:cs="Times New Roman" w:eastAsia="Times New Roman" w:hint="default"/>
        </w:rPr>
        <w:t>1</w:t>
      </w:r>
      <w:r>
        <w:rPr/>
        <w:t>、公司概况 公司名称：深圳大通实业股份有限公司 注册地址：深圳市华侨城东部工业区 注册资本：</w:t>
      </w:r>
      <w:r>
        <w:rPr>
          <w:rFonts w:ascii="Times New Roman" w:hAnsi="Times New Roman" w:cs="Times New Roman" w:eastAsia="Times New Roman" w:hint="default"/>
        </w:rPr>
        <w:t>96,227,998.00</w:t>
      </w:r>
      <w:r>
        <w:rPr/>
        <w:t>元 企业法人营业执照注册号：</w:t>
      </w:r>
      <w:r>
        <w:rPr>
          <w:rFonts w:ascii="Times New Roman" w:hAnsi="Times New Roman" w:cs="Times New Roman" w:eastAsia="Times New Roman" w:hint="default"/>
        </w:rPr>
        <w:t>440301104515702 </w:t>
      </w:r>
      <w:r>
        <w:rPr/>
        <w:t>企业法定代表人：许亚楠</w:t>
      </w:r>
    </w:p>
    <w:p>
      <w:pPr>
        <w:pStyle w:val="BodyText"/>
        <w:spacing w:line="302" w:lineRule="auto" w:before="26"/>
        <w:ind w:right="1107"/>
        <w:jc w:val="left"/>
      </w:pPr>
      <w:r>
        <w:rPr>
          <w:rFonts w:ascii="Times New Roman" w:hAnsi="Times New Roman" w:cs="Times New Roman" w:eastAsia="Times New Roman" w:hint="default"/>
        </w:rPr>
        <w:t>2</w:t>
      </w:r>
      <w:r>
        <w:rPr/>
        <w:t>、公司历史沿革 深圳大通实业股份有限公司（以下简称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）前身为大通实业</w:t>
      </w:r>
      <w:r>
        <w:rPr>
          <w:rFonts w:ascii="Times New Roman" w:hAnsi="Times New Roman" w:cs="Times New Roman" w:eastAsia="Times New Roman" w:hint="default"/>
        </w:rPr>
        <w:t>(</w:t>
      </w:r>
      <w:r>
        <w:rPr/>
        <w:t>深圳</w:t>
      </w:r>
      <w:r>
        <w:rPr>
          <w:rFonts w:ascii="Times New Roman" w:hAnsi="Times New Roman" w:cs="Times New Roman" w:eastAsia="Times New Roman" w:hint="default"/>
        </w:rPr>
        <w:t>)</w:t>
      </w:r>
      <w:r>
        <w:rPr/>
        <w:t>有限公司，经深圳市人民政府</w:t>
      </w:r>
      <w:r>
        <w:rPr>
          <w:rFonts w:ascii="Times New Roman" w:hAnsi="Times New Roman" w:cs="Times New Roman" w:eastAsia="Times New Roman" w:hint="default"/>
        </w:rPr>
        <w:t>“</w:t>
      </w:r>
      <w:r>
        <w:rPr/>
        <w:t>深府外复</w:t>
      </w:r>
      <w:r>
        <w:rPr>
          <w:rFonts w:ascii="Times New Roman" w:hAnsi="Times New Roman" w:cs="Times New Roman" w:eastAsia="Times New Roman" w:hint="default"/>
        </w:rPr>
        <w:t>(1990)686 </w:t>
      </w:r>
      <w:r>
        <w:rPr>
          <w:spacing w:val="-2"/>
        </w:rPr>
        <w:t>号</w:t>
      </w:r>
      <w:r>
        <w:rPr>
          <w:rFonts w:ascii="Times New Roman" w:hAnsi="Times New Roman" w:cs="Times New Roman" w:eastAsia="Times New Roman" w:hint="default"/>
          <w:spacing w:val="-2"/>
        </w:rPr>
        <w:t>”</w:t>
      </w:r>
      <w:r>
        <w:rPr>
          <w:spacing w:val="-2"/>
        </w:rPr>
        <w:t>文批准，于</w:t>
      </w:r>
      <w:r>
        <w:rPr>
          <w:rFonts w:ascii="Times New Roman" w:hAnsi="Times New Roman" w:cs="Times New Roman" w:eastAsia="Times New Roman" w:hint="default"/>
          <w:spacing w:val="-2"/>
        </w:rPr>
        <w:t>1990</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26</w:t>
      </w:r>
      <w:r>
        <w:rPr>
          <w:spacing w:val="-2"/>
        </w:rPr>
        <w:t>日由广东华侨投资公司、香港益通电子有限公司、深圳新通阳电子元件工业有限公司、运通电子</w:t>
      </w:r>
      <w:r>
        <w:rPr>
          <w:spacing w:val="-49"/>
        </w:rPr>
        <w:t> </w:t>
      </w:r>
      <w:r>
        <w:rPr>
          <w:spacing w:val="-49"/>
        </w:rPr>
      </w:r>
      <w:r>
        <w:rPr>
          <w:rFonts w:ascii="Times New Roman" w:hAnsi="Times New Roman" w:cs="Times New Roman" w:eastAsia="Times New Roman" w:hint="default"/>
        </w:rPr>
        <w:t>(</w:t>
      </w:r>
      <w:r>
        <w:rPr/>
        <w:t>深圳</w:t>
      </w:r>
      <w:r>
        <w:rPr>
          <w:rFonts w:ascii="Times New Roman" w:hAnsi="Times New Roman" w:cs="Times New Roman" w:eastAsia="Times New Roman" w:hint="default"/>
        </w:rPr>
        <w:t>)</w:t>
      </w:r>
      <w:r>
        <w:rPr/>
        <w:t>实业有限公司、香港威利马电器有限公司共同发起设立。</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日经深圳证券管理办公室以深证办复（</w:t>
      </w:r>
      <w:r>
        <w:rPr>
          <w:rFonts w:ascii="Times New Roman" w:hAnsi="Times New Roman" w:cs="Times New Roman" w:eastAsia="Times New Roman" w:hint="default"/>
        </w:rPr>
        <w:t>1993</w:t>
      </w:r>
      <w:r>
        <w:rPr/>
        <w:t>） </w:t>
      </w:r>
      <w:r>
        <w:rPr>
          <w:spacing w:val="-2"/>
        </w:rPr>
        <w:t>第</w:t>
      </w:r>
      <w:r>
        <w:rPr>
          <w:rFonts w:ascii="Times New Roman" w:hAnsi="Times New Roman" w:cs="Times New Roman" w:eastAsia="Times New Roman" w:hint="default"/>
          <w:spacing w:val="-2"/>
        </w:rPr>
        <w:t>147</w:t>
      </w:r>
      <w:r>
        <w:rPr>
          <w:spacing w:val="-2"/>
        </w:rPr>
        <w:t>号文批准，公司发行面值</w:t>
      </w:r>
      <w:r>
        <w:rPr>
          <w:rFonts w:ascii="Times New Roman" w:hAnsi="Times New Roman" w:cs="Times New Roman" w:eastAsia="Times New Roman" w:hint="default"/>
          <w:spacing w:val="-2"/>
        </w:rPr>
        <w:t>1</w:t>
      </w:r>
      <w:r>
        <w:rPr>
          <w:spacing w:val="-2"/>
        </w:rPr>
        <w:t>元的</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4,302</w:t>
      </w:r>
      <w:r>
        <w:rPr>
          <w:spacing w:val="-2"/>
        </w:rPr>
        <w:t>万股，外资法人股</w:t>
      </w:r>
      <w:r>
        <w:rPr>
          <w:rFonts w:ascii="Times New Roman" w:hAnsi="Times New Roman" w:cs="Times New Roman" w:eastAsia="Times New Roman" w:hint="default"/>
          <w:spacing w:val="-2"/>
        </w:rPr>
        <w:t>2,538</w:t>
      </w:r>
      <w:r>
        <w:rPr>
          <w:spacing w:val="-2"/>
        </w:rPr>
        <w:t>万股，于</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8</w:t>
      </w:r>
      <w:r>
        <w:rPr>
          <w:spacing w:val="-2"/>
        </w:rPr>
        <w:t>日在深圳证券交易所上市。经</w:t>
      </w:r>
      <w:r>
        <w:rPr>
          <w:rFonts w:ascii="Times New Roman" w:hAnsi="Times New Roman" w:cs="Times New Roman" w:eastAsia="Times New Roman" w:hint="default"/>
          <w:spacing w:val="-2"/>
        </w:rPr>
        <w:t>1996</w:t>
      </w:r>
      <w:r>
        <w:rPr>
          <w:rFonts w:ascii="Times New Roman" w:hAnsi="Times New Roman" w:cs="Times New Roman" w:eastAsia="Times New Roman" w:hint="default"/>
        </w:rPr>
        <w:t> </w:t>
      </w:r>
      <w:r>
        <w:rPr>
          <w:spacing w:val="-2"/>
        </w:rPr>
        <w:t>年送红股配送新股，</w:t>
      </w:r>
      <w:r>
        <w:rPr>
          <w:rFonts w:ascii="Times New Roman" w:hAnsi="Times New Roman" w:cs="Times New Roman" w:eastAsia="Times New Roman" w:hint="default"/>
          <w:spacing w:val="-2"/>
        </w:rPr>
        <w:t>1998</w:t>
      </w:r>
      <w:r>
        <w:rPr>
          <w:spacing w:val="-2"/>
        </w:rPr>
        <w:t>年资本公积转增股本后，截至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日本公司股本已增至</w:t>
      </w:r>
      <w:r>
        <w:rPr>
          <w:rFonts w:ascii="Times New Roman" w:hAnsi="Times New Roman" w:cs="Times New Roman" w:eastAsia="Times New Roman" w:hint="default"/>
          <w:spacing w:val="-2"/>
        </w:rPr>
        <w:t>9,048.6</w:t>
      </w:r>
      <w:r>
        <w:rPr>
          <w:spacing w:val="-2"/>
        </w:rPr>
        <w:t>万元。据本公司</w:t>
      </w:r>
      <w:r>
        <w:rPr>
          <w:rFonts w:ascii="Times New Roman" w:hAnsi="Times New Roman" w:cs="Times New Roman" w:eastAsia="Times New Roman" w:hint="default"/>
          <w:spacing w:val="-2"/>
        </w:rPr>
        <w:t>2008</w:t>
      </w:r>
      <w:r>
        <w:rPr>
          <w:spacing w:val="-2"/>
        </w:rPr>
        <w:t>年第一</w:t>
      </w:r>
      <w:r>
        <w:rPr>
          <w:spacing w:val="-48"/>
        </w:rPr>
        <w:t> </w:t>
      </w:r>
      <w:r>
        <w:rPr>
          <w:spacing w:val="-48"/>
        </w:rPr>
      </w:r>
      <w:r>
        <w:rPr>
          <w:spacing w:val="-2"/>
        </w:rPr>
        <w:t>次临时股东大会通过的《资产赠与、资本公积金定向转增股本暨股权分置改革方案的议案》和修改后的章程规定，本公司以</w:t>
      </w:r>
      <w:r>
        <w:rPr>
          <w:spacing w:val="-64"/>
        </w:rPr>
        <w:t> </w:t>
      </w:r>
      <w:r>
        <w:rPr>
          <w:spacing w:val="-64"/>
        </w:rPr>
      </w:r>
      <w:r>
        <w:rPr>
          <w:spacing w:val="-2"/>
        </w:rPr>
        <w:t>总股本</w:t>
      </w:r>
      <w:r>
        <w:rPr>
          <w:rFonts w:ascii="Times New Roman" w:hAnsi="Times New Roman" w:cs="Times New Roman" w:eastAsia="Times New Roman" w:hint="default"/>
          <w:spacing w:val="-2"/>
        </w:rPr>
        <w:t>90,486,000</w:t>
      </w:r>
      <w:r>
        <w:rPr>
          <w:spacing w:val="-2"/>
        </w:rPr>
        <w:t>股中的</w:t>
      </w:r>
      <w:r>
        <w:rPr>
          <w:rFonts w:ascii="Times New Roman" w:hAnsi="Times New Roman" w:cs="Times New Roman" w:eastAsia="Times New Roman" w:hint="default"/>
          <w:spacing w:val="-2"/>
        </w:rPr>
        <w:t>19,140,000</w:t>
      </w:r>
      <w:r>
        <w:rPr>
          <w:spacing w:val="-2"/>
        </w:rPr>
        <w:t>股流通股为基数，以截至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日经审计的资本公积金向股改实施股份变更登记日</w:t>
      </w:r>
      <w:r>
        <w:rPr>
          <w:spacing w:val="-43"/>
        </w:rPr>
        <w:t> </w:t>
      </w:r>
      <w:r>
        <w:rPr>
          <w:spacing w:val="-43"/>
        </w:rPr>
      </w:r>
      <w:r>
        <w:rPr/>
        <w:t>登记在册的公司全体流通股股东每</w:t>
      </w:r>
      <w:r>
        <w:rPr>
          <w:rFonts w:ascii="Times New Roman" w:hAnsi="Times New Roman" w:cs="Times New Roman" w:eastAsia="Times New Roman" w:hint="default"/>
        </w:rPr>
        <w:t>10</w:t>
      </w:r>
      <w:r>
        <w:rPr/>
        <w:t>股定向转增</w:t>
      </w:r>
      <w:r>
        <w:rPr>
          <w:rFonts w:ascii="Times New Roman" w:hAnsi="Times New Roman" w:cs="Times New Roman" w:eastAsia="Times New Roman" w:hint="default"/>
        </w:rPr>
        <w:t>3</w:t>
      </w:r>
      <w:r>
        <w:rPr/>
        <w:t>股，共转增股本</w:t>
      </w:r>
      <w:r>
        <w:rPr>
          <w:rFonts w:ascii="Times New Roman" w:hAnsi="Times New Roman" w:cs="Times New Roman" w:eastAsia="Times New Roman" w:hint="default"/>
        </w:rPr>
        <w:t>5,741,998</w:t>
      </w:r>
      <w:r>
        <w:rPr/>
        <w:t>元，公司股本增至人民币</w:t>
      </w:r>
      <w:r>
        <w:rPr>
          <w:rFonts w:ascii="Times New Roman" w:hAnsi="Times New Roman" w:cs="Times New Roman" w:eastAsia="Times New Roman" w:hint="default"/>
        </w:rPr>
        <w:t>96,227,998</w:t>
      </w:r>
      <w:r>
        <w:rPr/>
        <w:t>元。 </w:t>
      </w:r>
      <w:r>
        <w:rPr>
          <w:rFonts w:ascii="Times New Roman" w:hAnsi="Times New Roman" w:cs="Times New Roman" w:eastAsia="Times New Roman" w:hint="default"/>
        </w:rPr>
        <w:t>3</w:t>
      </w:r>
      <w:r>
        <w:rPr/>
        <w:t>、公司经营范围 </w:t>
      </w:r>
      <w:r>
        <w:rPr>
          <w:spacing w:val="-2"/>
        </w:rPr>
        <w:t>经营范围：房地产开发，经营；国内贸易（不含专营、专控、专卖商品）；兴办实业（具体项目另行申报），计算机软硬件</w:t>
      </w:r>
      <w:r>
        <w:rPr>
          <w:spacing w:val="-70"/>
        </w:rPr>
        <w:t> </w:t>
      </w:r>
      <w:r>
        <w:rPr>
          <w:spacing w:val="-70"/>
        </w:rPr>
      </w:r>
      <w:r>
        <w:rPr/>
        <w:t>开发及销售，经营进出口业务（具体按照深贸管准证字第</w:t>
      </w:r>
      <w:r>
        <w:rPr>
          <w:rFonts w:ascii="Times New Roman" w:hAnsi="Times New Roman" w:cs="Times New Roman" w:eastAsia="Times New Roman" w:hint="default"/>
        </w:rPr>
        <w:t>2003-3670</w:t>
      </w:r>
      <w:r>
        <w:rPr/>
        <w:t>号资格证书办理）。 本公司的母公司和最终母公司为青岛亚星实业有限公司。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Heading2"/>
        <w:spacing w:line="240" w:lineRule="auto"/>
        <w:ind w:right="0"/>
        <w:jc w:val="left"/>
        <w:rPr>
          <w:b w:val="0"/>
          <w:bCs w:val="0"/>
        </w:rPr>
      </w:pPr>
      <w:r>
        <w:rPr/>
        <w:t>四、公司主要会计政策、会计估计和前期差错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2"/>
        <w:rPr>
          <w:rFonts w:ascii="宋体" w:hAnsi="宋体" w:cs="宋体" w:eastAsia="宋体" w:hint="default"/>
          <w:b/>
          <w:bCs/>
          <w:sz w:val="26"/>
          <w:szCs w:val="26"/>
        </w:rPr>
      </w:pPr>
    </w:p>
    <w:p>
      <w:pPr>
        <w:pStyle w:val="BodyText"/>
        <w:spacing w:line="304" w:lineRule="auto"/>
        <w:ind w:right="1124"/>
        <w:jc w:val="left"/>
      </w:pPr>
      <w:r>
        <w:rPr/>
        <w:t>本公司财务报表以持续经营假设为基础编制，根据实际发生的交易和事项，按照财政部于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日颁布的《企业会计 </w:t>
      </w:r>
      <w:r>
        <w:rPr>
          <w:spacing w:val="-2"/>
        </w:rPr>
        <w:t>准则</w:t>
      </w:r>
      <w:r>
        <w:rPr>
          <w:rFonts w:ascii="Times New Roman" w:hAnsi="Times New Roman" w:cs="Times New Roman" w:eastAsia="Times New Roman" w:hint="default"/>
          <w:spacing w:val="-2"/>
        </w:rPr>
        <w:t>——</w:t>
      </w:r>
      <w:r>
        <w:rPr>
          <w:spacing w:val="-2"/>
        </w:rPr>
        <w:t>基本准则》和</w:t>
      </w:r>
      <w:r>
        <w:rPr>
          <w:rFonts w:ascii="Times New Roman" w:hAnsi="Times New Roman" w:cs="Times New Roman" w:eastAsia="Times New Roman" w:hint="default"/>
          <w:spacing w:val="-2"/>
        </w:rPr>
        <w:t>38</w:t>
      </w:r>
      <w:r>
        <w:rPr>
          <w:spacing w:val="-2"/>
        </w:rPr>
        <w:t>项具体会计准则、其后颁布的企业会计准则应用指南、企业会计准则解释及其他相关规定（以下合</w:t>
      </w:r>
      <w:r>
        <w:rPr>
          <w:spacing w:val="-63"/>
        </w:rPr>
        <w:t> </w:t>
      </w:r>
      <w:r>
        <w:rPr>
          <w:spacing w:val="-63"/>
        </w:rPr>
      </w:r>
      <w:r>
        <w:rPr>
          <w:spacing w:val="-2"/>
        </w:rPr>
        <w:t>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w:t>
      </w:r>
      <w:r>
        <w:rPr>
          <w:spacing w:val="-44"/>
        </w:rPr>
        <w:t> </w:t>
      </w:r>
      <w:r>
        <w:rPr>
          <w:spacing w:val="-44"/>
        </w:rPr>
      </w:r>
      <w:r>
        <w:rPr/>
        <w:t>定》（</w:t>
      </w:r>
      <w:r>
        <w:rPr>
          <w:rFonts w:ascii="Times New Roman" w:hAnsi="Times New Roman" w:cs="Times New Roman" w:eastAsia="Times New Roman" w:hint="default"/>
        </w:rPr>
        <w:t>2010</w:t>
      </w:r>
      <w:r>
        <w:rPr/>
        <w:t>年修订）的披露规定编制。 </w:t>
      </w:r>
      <w:r>
        <w:rPr>
          <w:spacing w:val="-2"/>
        </w:rPr>
        <w:t>根据企业会计准则的相关规定，本公司会计核算以权责发生制为基础。除某些金融工具外，本财务报表均以历史成本为计量</w:t>
      </w:r>
      <w:r>
        <w:rPr>
          <w:spacing w:val="-63"/>
        </w:rPr>
        <w:t> </w:t>
      </w:r>
      <w:r>
        <w:rPr>
          <w:spacing w:val="-63"/>
        </w:rPr>
      </w:r>
      <w:r>
        <w:rPr/>
        <w:t>基础。资产如果发生减值，则按照相关规定计提相应的减值准备。</w:t>
      </w:r>
    </w:p>
    <w:p>
      <w:pPr>
        <w:spacing w:after="0" w:line="304" w:lineRule="auto"/>
        <w:jc w:val="left"/>
        <w:sectPr>
          <w:pgSz w:w="11910" w:h="16840"/>
          <w:pgMar w:header="877" w:footer="1241"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128"/>
        <w:jc w:val="both"/>
      </w:pPr>
      <w:r>
        <w:rPr>
          <w:spacing w:val="-2"/>
        </w:rPr>
        <w:t>本公司编制的财务报表符合企业会计准则的要求，真实、完整地反映了本公司</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日的财务状况及</w:t>
      </w:r>
      <w:r>
        <w:rPr>
          <w:rFonts w:ascii="Times New Roman" w:hAnsi="Times New Roman" w:cs="Times New Roman" w:eastAsia="Times New Roman" w:hint="default"/>
          <w:spacing w:val="-2"/>
        </w:rPr>
        <w:t>2013</w:t>
      </w:r>
      <w:r>
        <w:rPr>
          <w:spacing w:val="-2"/>
        </w:rPr>
        <w:t>年度的经营</w:t>
      </w:r>
      <w:r>
        <w:rPr>
          <w:spacing w:val="-57"/>
        </w:rPr>
        <w:t> </w:t>
      </w:r>
      <w:r>
        <w:rPr>
          <w:spacing w:val="-57"/>
        </w:rPr>
      </w:r>
      <w:r>
        <w:rPr>
          <w:spacing w:val="-2"/>
        </w:rPr>
        <w:t>成果和现金流量等有关信息。此外，本公司的财务报表在所有重大方面符合中国证券监督管理委员会</w:t>
      </w:r>
      <w:r>
        <w:rPr>
          <w:rFonts w:ascii="Times New Roman" w:hAnsi="Times New Roman" w:cs="Times New Roman" w:eastAsia="Times New Roman" w:hint="default"/>
          <w:spacing w:val="-2"/>
        </w:rPr>
        <w:t>2010</w:t>
      </w:r>
      <w:r>
        <w:rPr>
          <w:spacing w:val="-2"/>
        </w:rPr>
        <w:t>年修订的《公开发</w:t>
      </w:r>
      <w:r>
        <w:rPr>
          <w:spacing w:val="-59"/>
        </w:rPr>
        <w:t> </w:t>
      </w:r>
      <w:r>
        <w:rPr>
          <w:spacing w:val="-59"/>
        </w:rPr>
      </w:r>
      <w:r>
        <w:rPr/>
        <w:t>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jc w:val="left"/>
      </w:pPr>
      <w:r>
        <w:rPr>
          <w:spacing w:val="-2"/>
        </w:rPr>
        <w:t>本公司的会计期间分为年度和中期，会计中期指短于一个完整的会计年度的报告期间。本公司会计年度采用公历年度，即每</w:t>
      </w:r>
      <w:r>
        <w:rPr>
          <w:spacing w:val="-63"/>
        </w:rPr>
        <w:t> </w:t>
      </w:r>
      <w:r>
        <w:rPr>
          <w:spacing w:val="-63"/>
        </w:rPr>
      </w:r>
      <w:r>
        <w:rPr/>
        <w:t>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jc w:val="left"/>
      </w:pPr>
      <w:r>
        <w:rPr>
          <w:spacing w:val="-2"/>
        </w:rPr>
        <w:t>人民币为本公司及境内子公司经营所处的主要经济环境中的货币，本公司及境内子公司以人民币为记账本位币。本公司编制</w:t>
      </w:r>
      <w:r>
        <w:rPr>
          <w:spacing w:val="-64"/>
        </w:rPr>
        <w:t> </w:t>
      </w:r>
      <w:r>
        <w:rPr>
          <w:spacing w:val="-64"/>
        </w:rPr>
      </w:r>
      <w:r>
        <w:rPr/>
        <w:t>本财务报表时所采用的货币为人民币。</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参与合并的企业在合并前后均受同一方或相同的多方最终控制，且该控制并非暂时性的，为同一控制下的企业合并。同一控</w:t>
      </w:r>
      <w:r>
        <w:rPr>
          <w:spacing w:val="-65"/>
        </w:rPr>
        <w:t> </w:t>
      </w:r>
      <w:r>
        <w:rPr>
          <w:spacing w:val="-65"/>
        </w:rPr>
      </w:r>
      <w:r>
        <w:rPr>
          <w:spacing w:val="-2"/>
        </w:rPr>
        <w:t>制下的企业合并，在合并日取得对其他参与合并企业控制权的一方为合并方，参与合并的其他企业为被合并方。合并日，是</w:t>
      </w:r>
      <w:r>
        <w:rPr>
          <w:spacing w:val="-64"/>
        </w:rPr>
        <w:t> </w:t>
      </w:r>
      <w:r>
        <w:rPr>
          <w:spacing w:val="-64"/>
        </w:rPr>
      </w:r>
      <w:r>
        <w:rPr/>
        <w:t>指合并方实际取得对被合并方控制权的日期。 </w:t>
      </w:r>
      <w:r>
        <w:rPr>
          <w:spacing w:val="-2"/>
        </w:rPr>
        <w:t>合并方取得的资产和负债均按合并日在被合并方的账面价值计量。合并方取得的净资产账面价值与支付的合并对价账面价值</w:t>
      </w:r>
    </w:p>
    <w:p>
      <w:pPr>
        <w:pStyle w:val="BodyText"/>
        <w:spacing w:line="316" w:lineRule="auto" w:before="19"/>
        <w:ind w:right="1394"/>
        <w:jc w:val="left"/>
      </w:pPr>
      <w:r>
        <w:rPr/>
        <w:t>（或发行股份面值总额）的差额，调整资本公积（股本溢价）；资本公积（股本溢价）不足以冲减的，调整留存收益。 合并方为进行企业合并发生的各项直接费用，于发生时计入当期损益。</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2"/>
        <w:rPr>
          <w:rFonts w:ascii="宋体" w:hAnsi="宋体" w:cs="宋体" w:eastAsia="宋体" w:hint="default"/>
          <w:b/>
          <w:bCs/>
          <w:sz w:val="26"/>
          <w:szCs w:val="26"/>
        </w:rPr>
      </w:pPr>
    </w:p>
    <w:p>
      <w:pPr>
        <w:pStyle w:val="BodyText"/>
        <w:spacing w:line="314" w:lineRule="auto"/>
        <w:ind w:right="1034"/>
        <w:jc w:val="left"/>
      </w:pPr>
      <w:r>
        <w:rPr/>
        <w:t>参与合并的企业在合并前后不受同一方或相同的多方最终控制的，为非同一控制下的企业合并。非同一控制下的企业合并， </w:t>
      </w:r>
      <w:r>
        <w:rPr>
          <w:spacing w:val="-2"/>
        </w:rPr>
        <w:t>在购买日取得对其他参与合并企业控制权的一方为购买方，参与合并的其他企业为被购买方。购买日，是指为购买方实际取</w:t>
      </w:r>
      <w:r>
        <w:rPr>
          <w:spacing w:val="-65"/>
        </w:rPr>
        <w:t> </w:t>
      </w:r>
      <w:r>
        <w:rPr>
          <w:spacing w:val="-65"/>
        </w:rPr>
      </w:r>
      <w:r>
        <w:rPr/>
        <w:t>得对被购买方控制权的日期。 </w:t>
      </w:r>
      <w:r>
        <w:rPr>
          <w:spacing w:val="-2"/>
        </w:rPr>
        <w:t>对于非同一控制下的企业合并，合并成本包含购买日购买方为取得对被购买方的控制权而付出的资产、发生或承担的负债以</w:t>
      </w:r>
      <w:r>
        <w:rPr>
          <w:spacing w:val="-64"/>
        </w:rPr>
        <w:t> </w:t>
      </w:r>
      <w:r>
        <w:rPr>
          <w:spacing w:val="-64"/>
        </w:rPr>
      </w:r>
      <w:r>
        <w:rPr>
          <w:spacing w:val="-2"/>
        </w:rPr>
        <w:t>及发行的权益性证券的公允价值，为企业合并发生的审计、法律服务、评估咨询等中介费用以及其他管理费用于发生时计入</w:t>
      </w:r>
      <w:r>
        <w:rPr>
          <w:spacing w:val="-65"/>
        </w:rPr>
        <w:t> </w:t>
      </w:r>
      <w:r>
        <w:rPr>
          <w:spacing w:val="-65"/>
        </w:rPr>
      </w:r>
      <w:r>
        <w:rPr>
          <w:spacing w:val="-4"/>
        </w:rPr>
        <w:t>当期损益。购买方作为合并对价发行的权益性证券或债务性证券的交易费用，计入权益性证券或债务性证券的初始确认金额。</w:t>
      </w:r>
      <w:r>
        <w:rPr>
          <w:spacing w:val="-44"/>
        </w:rPr>
        <w:t> </w:t>
      </w:r>
      <w:r>
        <w:rPr>
          <w:spacing w:val="-44"/>
        </w:rPr>
      </w:r>
      <w:r>
        <w:rPr>
          <w:spacing w:val="-2"/>
        </w:rPr>
        <w:t>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个月内出现对购买日已存在情况的新的或进一步证据</w:t>
      </w:r>
      <w:r>
        <w:rPr>
          <w:spacing w:val="-62"/>
        </w:rPr>
        <w:t> </w:t>
      </w:r>
      <w:r>
        <w:rPr>
          <w:spacing w:val="-62"/>
        </w:rPr>
      </w:r>
      <w:r>
        <w:rPr>
          <w:spacing w:val="-2"/>
        </w:rPr>
        <w:t>而需要调整或有对价的，相应调整合并商誉。购买方发生的合并成本及在合并中取得的可辨认净资产按购买日的公允价值计</w:t>
      </w:r>
      <w:r>
        <w:rPr>
          <w:spacing w:val="-64"/>
        </w:rPr>
        <w:t> </w:t>
      </w:r>
      <w:r>
        <w:rPr>
          <w:spacing w:val="-64"/>
        </w:rPr>
      </w:r>
      <w:r>
        <w:rPr>
          <w:spacing w:val="-2"/>
        </w:rPr>
        <w:t>量。合并成本大于合并中取得的被购买方于购买日可辨认净资产公允价值份额的差额，确认为商誉。合并成本小于合并中取</w:t>
      </w:r>
      <w:r>
        <w:rPr>
          <w:spacing w:val="-63"/>
        </w:rPr>
        <w:t> </w:t>
      </w:r>
      <w:r>
        <w:rPr>
          <w:spacing w:val="-63"/>
        </w:rPr>
      </w:r>
      <w:r>
        <w:rPr>
          <w:spacing w:val="-2"/>
        </w:rPr>
        <w:t>得的被购买方可辨认净资产公允价值份额的，首先对取得的被购买方各项可辨认资产、负债及或有负债的公允价值以及合并</w:t>
      </w:r>
      <w:r>
        <w:rPr>
          <w:spacing w:val="-64"/>
        </w:rPr>
        <w:t> </w:t>
      </w:r>
      <w:r>
        <w:rPr>
          <w:spacing w:val="-64"/>
        </w:rPr>
      </w:r>
      <w:r>
        <w:rPr/>
        <w:t>成本的计量进行复核，复核后合并成本仍小于合并中取得的被购买方可辨认净资产公允价值份额的，其差额计入当期损益。 </w:t>
      </w:r>
      <w:r>
        <w:rPr>
          <w:spacing w:val="-4"/>
        </w:rPr>
        <w:t>购买方取得被购买方的可抵扣暂时性差异，在购买日因不符合递延所得税资产确认条件而未予确认的，在购买日后</w:t>
      </w:r>
      <w:r>
        <w:rPr>
          <w:rFonts w:ascii="Times New Roman" w:hAnsi="Times New Roman" w:cs="Times New Roman" w:eastAsia="Times New Roman" w:hint="default"/>
          <w:spacing w:val="-4"/>
        </w:rPr>
        <w:t>12</w:t>
      </w:r>
      <w:r>
        <w:rPr>
          <w:spacing w:val="-4"/>
        </w:rPr>
        <w:t>个月内，</w:t>
      </w:r>
      <w:r>
        <w:rPr>
          <w:spacing w:val="-39"/>
        </w:rPr>
        <w:t> </w:t>
      </w:r>
      <w:r>
        <w:rPr>
          <w:spacing w:val="-39"/>
        </w:rPr>
      </w:r>
      <w:r>
        <w:rPr>
          <w:spacing w:val="-2"/>
        </w:rPr>
        <w:t>如取得新的或进一步的信息表明购买日的相关情况已经存在，预期被购买方在购买日可抵扣暂时性差异带来的经济利益能够</w:t>
      </w:r>
      <w:r>
        <w:rPr>
          <w:spacing w:val="-64"/>
        </w:rPr>
        <w:t> </w:t>
      </w:r>
      <w:r>
        <w:rPr>
          <w:spacing w:val="-64"/>
        </w:rPr>
      </w:r>
      <w:r>
        <w:rPr>
          <w:spacing w:val="-2"/>
        </w:rPr>
        <w:t>实现的，则确认相关的递延所得税资产，同时减少商誉，商誉不足冲减的，差额部分确认为当期损益；除上述情况以外，确</w:t>
      </w:r>
      <w:r>
        <w:rPr>
          <w:spacing w:val="-70"/>
        </w:rPr>
        <w:t> </w:t>
      </w:r>
      <w:r>
        <w:rPr>
          <w:spacing w:val="-70"/>
        </w:rPr>
      </w:r>
      <w:r>
        <w:rPr/>
        <w:t>认与企业合并相关的递延所得税资产的，计入当期损益。</w:t>
      </w:r>
    </w:p>
    <w:p>
      <w:pPr>
        <w:pStyle w:val="BodyText"/>
        <w:spacing w:line="240" w:lineRule="auto" w:before="20"/>
        <w:ind w:right="0"/>
        <w:jc w:val="left"/>
      </w:pPr>
      <w:r>
        <w:rPr/>
        <w:t>通过多次交易分步实现的非同一控制下企业合并，根据《财政部关于印发企业会计准则解释第</w:t>
      </w:r>
      <w:r>
        <w:rPr>
          <w:rFonts w:ascii="Times New Roman" w:hAnsi="Times New Roman" w:cs="Times New Roman" w:eastAsia="Times New Roman" w:hint="default"/>
        </w:rPr>
        <w:t>5</w:t>
      </w:r>
      <w:r>
        <w:rPr/>
        <w:t>号的通知》（财会〔</w:t>
      </w:r>
      <w:r>
        <w:rPr>
          <w:rFonts w:ascii="Times New Roman" w:hAnsi="Times New Roman" w:cs="Times New Roman" w:eastAsia="Times New Roman" w:hint="default"/>
        </w:rPr>
        <w:t>2012</w:t>
      </w:r>
      <w:r>
        <w:rPr/>
        <w:t>〕</w:t>
      </w:r>
    </w:p>
    <w:p>
      <w:pPr>
        <w:spacing w:after="0" w:line="240" w:lineRule="auto"/>
        <w:jc w:val="left"/>
        <w:sectPr>
          <w:pgSz w:w="11910" w:h="16840"/>
          <w:pgMar w:header="877" w:footer="1241" w:top="1060" w:bottom="1500" w:left="980" w:right="0"/>
        </w:sectPr>
      </w:pPr>
    </w:p>
    <w:p>
      <w:pPr>
        <w:spacing w:line="240" w:lineRule="auto" w:before="9"/>
        <w:rPr>
          <w:rFonts w:ascii="宋体" w:hAnsi="宋体" w:cs="宋体" w:eastAsia="宋体" w:hint="default"/>
          <w:sz w:val="25"/>
          <w:szCs w:val="25"/>
        </w:rPr>
      </w:pPr>
    </w:p>
    <w:p>
      <w:pPr>
        <w:pStyle w:val="BodyText"/>
        <w:spacing w:line="314" w:lineRule="auto" w:before="44"/>
        <w:ind w:right="1119"/>
        <w:jc w:val="left"/>
      </w:pPr>
      <w:r>
        <w:rPr>
          <w:rFonts w:ascii="Times New Roman" w:hAnsi="Times New Roman" w:cs="Times New Roman" w:eastAsia="Times New Roman" w:hint="default"/>
        </w:rPr>
        <w:t>19</w:t>
      </w:r>
      <w:r>
        <w:rPr/>
        <w:t>号）关于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w:t>
      </w:r>
      <w:r>
        <w:rPr>
          <w:rFonts w:ascii="Times New Roman" w:hAnsi="Times New Roman" w:cs="Times New Roman" w:eastAsia="Times New Roman" w:hint="default"/>
        </w:rPr>
        <w:t>(</w:t>
      </w:r>
      <w:r>
        <w:rPr/>
        <w:t>参见本附注四、</w:t>
      </w:r>
      <w:r>
        <w:rPr>
          <w:rFonts w:ascii="Times New Roman" w:hAnsi="Times New Roman" w:cs="Times New Roman" w:eastAsia="Times New Roman" w:hint="default"/>
        </w:rPr>
        <w:t>4</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1"/>
        </w:rPr>
        <w:t>的，参考本部分前面各段描述及本附注四、</w:t>
      </w:r>
      <w:r>
        <w:rPr>
          <w:rFonts w:ascii="Times New Roman" w:hAnsi="Times New Roman" w:cs="Times New Roman" w:eastAsia="Times New Roman" w:hint="default"/>
          <w:spacing w:val="-1"/>
        </w:rPr>
        <w:t>10“</w:t>
      </w:r>
      <w:r>
        <w:rPr>
          <w:spacing w:val="-1"/>
        </w:rPr>
        <w:t>长期股权投资</w:t>
      </w:r>
      <w:r>
        <w:rPr>
          <w:rFonts w:ascii="Times New Roman" w:hAnsi="Times New Roman" w:cs="Times New Roman" w:eastAsia="Times New Roman" w:hint="default"/>
          <w:spacing w:val="-1"/>
        </w:rPr>
        <w:t>”</w:t>
      </w:r>
      <w:r>
        <w:rPr>
          <w:spacing w:val="-1"/>
        </w:rPr>
        <w:t>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的，区分个别财务报表和</w:t>
      </w:r>
      <w:r>
        <w:rPr>
          <w:spacing w:val="-77"/>
        </w:rPr>
        <w:t> </w:t>
      </w:r>
      <w:r>
        <w:rPr>
          <w:spacing w:val="-77"/>
        </w:rPr>
      </w:r>
      <w:r>
        <w:rPr/>
        <w:t>合并财务报表进行相关会计处理： </w:t>
      </w:r>
      <w:r>
        <w:rPr>
          <w:spacing w:val="-2"/>
        </w:rPr>
        <w:t>在个别财务报表中，以购买日之前所持被购买方的股权投资的账面价值与购买日新增投资成本之和，作为该项投资的初始投</w:t>
      </w:r>
      <w:r>
        <w:rPr>
          <w:spacing w:val="-64"/>
        </w:rPr>
        <w:t> </w:t>
      </w:r>
      <w:r>
        <w:rPr>
          <w:spacing w:val="-64"/>
        </w:rPr>
      </w:r>
      <w:r>
        <w:rPr>
          <w:spacing w:val="-2"/>
        </w:rPr>
        <w:t>资成本；购买日之前持有的被购买方的股权涉及其他综合收益的，在处置该项投资时将与其相关的其他综合收益转入当期投</w:t>
      </w:r>
      <w:r>
        <w:rPr>
          <w:spacing w:val="-64"/>
        </w:rPr>
        <w:t> </w:t>
      </w:r>
      <w:r>
        <w:rPr>
          <w:spacing w:val="-64"/>
        </w:rPr>
      </w:r>
      <w:r>
        <w:rPr/>
        <w:t>资收益。 </w:t>
      </w:r>
      <w:r>
        <w:rPr>
          <w:spacing w:val="-2"/>
        </w:rPr>
        <w:t>在合并财务报表中，对于购买日之前持有的被购买方的股权，按照该股权在购买日的公允价值进行重新计量，公允价值与其</w:t>
      </w:r>
      <w:r>
        <w:rPr>
          <w:spacing w:val="-63"/>
        </w:rPr>
        <w:t> </w:t>
      </w:r>
      <w:r>
        <w:rPr>
          <w:spacing w:val="-63"/>
        </w:rPr>
      </w:r>
      <w:r>
        <w:rPr>
          <w:spacing w:val="-2"/>
        </w:rPr>
        <w:t>账面价值的差额计入当期投资收益；购买日之前持有的被购买方的股权涉及其他综合收益的，与其相关的其他综合收益应当</w:t>
      </w:r>
      <w:r>
        <w:rPr>
          <w:spacing w:val="-64"/>
        </w:rPr>
        <w:t> </w:t>
      </w:r>
      <w:r>
        <w:rPr>
          <w:spacing w:val="-64"/>
        </w:rPr>
      </w:r>
      <w:r>
        <w:rPr/>
        <w:t>转为购买日所属当期投资收益。</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00" w:lineRule="auto"/>
        <w:ind w:right="1169"/>
        <w:jc w:val="left"/>
      </w:pPr>
      <w:r>
        <w:rPr/>
        <w:t>（</w:t>
      </w:r>
      <w:r>
        <w:rPr>
          <w:rFonts w:ascii="Times New Roman" w:hAnsi="Times New Roman" w:cs="Times New Roman" w:eastAsia="Times New Roman" w:hint="default"/>
        </w:rPr>
        <w:t>1</w:t>
      </w:r>
      <w:r>
        <w:rPr/>
        <w:t>）合并财务报表范围的确定原则 合并财务报表的合并范围以控制为基础予以确定。控制是指本公司能够决定被投资单位的财务和经营政策</w:t>
      </w:r>
      <w:r>
        <w:rPr>
          <w:rFonts w:ascii="Times New Roman" w:hAnsi="Times New Roman" w:cs="Times New Roman" w:eastAsia="Times New Roman" w:hint="default"/>
        </w:rPr>
        <w:t>,</w:t>
      </w:r>
      <w:r>
        <w:rPr/>
        <w:t>并能据以从被投 资单位的经营活动中获取利益的权力。合并范围包括本公司及全部子公司。子公司，是指被本公司控制的企业或主体。</w:t>
      </w:r>
    </w:p>
    <w:p>
      <w:pPr>
        <w:pStyle w:val="BodyText"/>
        <w:spacing w:line="300" w:lineRule="auto" w:before="31"/>
        <w:ind w:left="573" w:right="1153" w:hanging="421"/>
        <w:jc w:val="left"/>
      </w:pPr>
      <w:r>
        <w:rPr/>
        <w:t>（</w:t>
      </w:r>
      <w:r>
        <w:rPr>
          <w:rFonts w:ascii="Times New Roman" w:hAnsi="Times New Roman" w:cs="Times New Roman" w:eastAsia="Times New Roman" w:hint="default"/>
        </w:rPr>
        <w:t>2</w:t>
      </w:r>
      <w:r>
        <w:rPr/>
        <w:t>）合并财务报表编制的方法 从取得子公司的净资产和生产经营决策的实际控制权之日起，本公司开始将其纳入合并范围；从丧失实际控制权之日</w:t>
      </w:r>
    </w:p>
    <w:p>
      <w:pPr>
        <w:pStyle w:val="BodyText"/>
        <w:spacing w:line="316" w:lineRule="auto" w:before="31"/>
        <w:ind w:right="1119"/>
        <w:jc w:val="left"/>
      </w:pPr>
      <w:r>
        <w:rPr>
          <w:spacing w:val="-2"/>
        </w:rPr>
        <w:t>起停止纳入合并范围。对于处置的子公司，处置日前的经营成果和现金流量已经适当地包括在合并利润表和合并现金流量表</w:t>
      </w:r>
      <w:r>
        <w:rPr>
          <w:spacing w:val="-64"/>
        </w:rPr>
        <w:t> </w:t>
      </w:r>
      <w:r>
        <w:rPr>
          <w:spacing w:val="-64"/>
        </w:rPr>
      </w:r>
      <w:r>
        <w:rPr>
          <w:spacing w:val="-2"/>
        </w:rPr>
        <w:t>中；当期处置的子公司，不调整合并资产负债表的期初数。非同一控制下企业合并增加的子公司，其购买日后的经营成果及</w:t>
      </w:r>
      <w:r>
        <w:rPr>
          <w:spacing w:val="-64"/>
        </w:rPr>
        <w:t> </w:t>
      </w:r>
      <w:r>
        <w:rPr>
          <w:spacing w:val="-64"/>
        </w:rPr>
      </w:r>
      <w:r>
        <w:rPr>
          <w:spacing w:val="-2"/>
        </w:rPr>
        <w:t>现金流量已经适当地包括在合并利润表和合并现金流量表中，且不调整合并财务报表的期初数和对比数。同一控制下企业合</w:t>
      </w:r>
      <w:r>
        <w:rPr>
          <w:spacing w:val="-64"/>
        </w:rPr>
        <w:t> </w:t>
      </w:r>
      <w:r>
        <w:rPr>
          <w:spacing w:val="-64"/>
        </w:rPr>
      </w:r>
      <w:r>
        <w:rPr>
          <w:spacing w:val="-2"/>
        </w:rPr>
        <w:t>并增加的子公司及吸收合并下的被合并方，其自合并当期期初至合并日的经营成果和现金流量已经适当地包括在合并利润表</w:t>
      </w:r>
      <w:r>
        <w:rPr>
          <w:spacing w:val="-64"/>
        </w:rPr>
        <w:t> </w:t>
      </w:r>
      <w:r>
        <w:rPr>
          <w:spacing w:val="-64"/>
        </w:rPr>
      </w:r>
      <w:r>
        <w:rPr/>
        <w:t>和合并现金流量表中，并且同时调整合并财务报表的对比数。</w:t>
      </w:r>
      <w:r>
        <w:rPr/>
        <w:t> </w:t>
      </w:r>
      <w:r>
        <w:rPr>
          <w:spacing w:val="-2"/>
        </w:rPr>
        <w:t>在编制合并财务报表时，子公司与本公司采用的会计政策或会计期间不一致的，按照本公司的会计政策和会计期间对子公司</w:t>
      </w:r>
      <w:r>
        <w:rPr>
          <w:spacing w:val="-64"/>
        </w:rPr>
        <w:t> </w:t>
      </w:r>
      <w:r>
        <w:rPr>
          <w:spacing w:val="-64"/>
        </w:rPr>
      </w:r>
      <w:r>
        <w:rPr>
          <w:spacing w:val="-2"/>
        </w:rPr>
        <w:t>财务报表进行必要的调整。对于非同一控制下企业合并取得的子公司，以购买日可辨认净资产公允价值为基础对其财务报表</w:t>
      </w:r>
      <w:r>
        <w:rPr>
          <w:spacing w:val="-64"/>
        </w:rPr>
        <w:t> </w:t>
      </w:r>
      <w:r>
        <w:rPr>
          <w:spacing w:val="-64"/>
        </w:rPr>
      </w:r>
      <w:r>
        <w:rPr/>
        <w:t>进行调整。</w:t>
      </w:r>
    </w:p>
    <w:p>
      <w:pPr>
        <w:pStyle w:val="BodyText"/>
        <w:spacing w:line="312" w:lineRule="auto" w:before="19"/>
        <w:ind w:right="1124"/>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子公司的股东权益及当期净损益中不属于本公司所拥有的部分分别作为少数股东权益及少数股东损益在合并财务报表中股 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少数股东 损益</w:t>
      </w:r>
      <w:r>
        <w:rPr>
          <w:rFonts w:ascii="Times New Roman" w:hAnsi="Times New Roman" w:cs="Times New Roman" w:eastAsia="Times New Roman" w:hint="default"/>
        </w:rPr>
        <w:t>”</w:t>
      </w:r>
      <w:r>
        <w:rPr/>
        <w:t>项目列示。少数股东分担的子公司的亏损超过了少数股东在该子公司期初股东权益中所享有的份额，冲减少数股东权 益。 </w:t>
      </w:r>
      <w:r>
        <w:rPr>
          <w:spacing w:val="-2"/>
        </w:rPr>
        <w:t>当因处置部分股权投资或其他原因丧失了对原有子公司的控制权时，对于剩余股权，按照其在丧失控制权日的公允价值进行</w:t>
      </w:r>
      <w:r>
        <w:rPr>
          <w:spacing w:val="-64"/>
        </w:rPr>
        <w:t> </w:t>
      </w:r>
      <w:r>
        <w:rPr>
          <w:spacing w:val="-64"/>
        </w:rPr>
      </w:r>
      <w:r>
        <w:rPr>
          <w:spacing w:val="-2"/>
        </w:rPr>
        <w:t>重新计量。处置股权取得的对价与剩余股权公允价值之和，减去按原持股比例计算应享有原有子公司自购买日开始持续计算</w:t>
      </w:r>
      <w:r>
        <w:rPr>
          <w:spacing w:val="-64"/>
        </w:rPr>
        <w:t> </w:t>
      </w:r>
      <w:r>
        <w:rPr>
          <w:spacing w:val="-64"/>
        </w:rPr>
      </w:r>
      <w:r>
        <w:rPr>
          <w:spacing w:val="-2"/>
        </w:rPr>
        <w:t>的净资产的份额之间的差额，计入丧失控制权当期的投资收益。与原有子公司股权投资相关的其他综合收益，在丧失控制权</w:t>
      </w:r>
      <w:r>
        <w:rPr>
          <w:spacing w:val="-63"/>
        </w:rPr>
        <w:t> </w:t>
      </w:r>
      <w:r>
        <w:rPr>
          <w:spacing w:val="-63"/>
        </w:rPr>
      </w:r>
      <w:r>
        <w:rPr/>
        <w:t>时一并转为当期投资收益。其后，对该部分剩余股权按照《企业会计准则第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长期股权投资》或《企业会计准则第</w:t>
      </w:r>
      <w:r>
        <w:rPr>
          <w:rFonts w:ascii="Times New Roman" w:hAnsi="Times New Roman" w:cs="Times New Roman" w:eastAsia="Times New Roman" w:hint="default"/>
        </w:rPr>
        <w:t>22</w:t>
      </w:r>
      <w:r>
        <w:rPr>
          <w:rFonts w:ascii="Times New Roman" w:hAnsi="Times New Roman" w:cs="Times New Roman" w:eastAsia="Times New Roman" w:hint="default"/>
          <w:spacing w:val="-41"/>
        </w:rPr>
        <w:t> </w:t>
      </w:r>
      <w:r>
        <w:rPr/>
        <w:t>号</w:t>
      </w:r>
      <w:r>
        <w:rPr>
          <w:rFonts w:ascii="Times New Roman" w:hAnsi="Times New Roman" w:cs="Times New Roman" w:eastAsia="Times New Roman" w:hint="default"/>
        </w:rPr>
        <w:t>——</w:t>
      </w:r>
      <w:r>
        <w:rPr/>
        <w:t>金融工具确认和计量》等相关规定进行后续计量，详见本附注四、</w:t>
      </w:r>
      <w:r>
        <w:rPr>
          <w:rFonts w:ascii="Times New Roman" w:hAnsi="Times New Roman" w:cs="Times New Roman" w:eastAsia="Times New Roman" w:hint="default"/>
        </w:rPr>
        <w:t>8“</w:t>
      </w:r>
      <w:r>
        <w:rPr/>
        <w:t>长期股权投资</w:t>
      </w:r>
      <w:r>
        <w:rPr>
          <w:rFonts w:ascii="Times New Roman" w:hAnsi="Times New Roman" w:cs="Times New Roman" w:eastAsia="Times New Roman" w:hint="default"/>
        </w:rPr>
        <w:t>”</w:t>
      </w:r>
      <w:r>
        <w:rPr/>
        <w:t>。 </w:t>
      </w:r>
      <w:r>
        <w:rPr>
          <w:spacing w:val="-2"/>
        </w:rPr>
        <w:t>本公司通过多次交易分步处置对子公司股权投资直至丧失控制权的，需区分处置对子公司股权投资直至丧失控制权的各项交</w:t>
      </w:r>
      <w:r>
        <w:rPr>
          <w:spacing w:val="-64"/>
        </w:rPr>
        <w:t> </w:t>
      </w:r>
      <w:r>
        <w:rPr>
          <w:spacing w:val="-64"/>
        </w:rPr>
      </w:r>
      <w:r>
        <w:rPr>
          <w:spacing w:val="-2"/>
        </w:rPr>
        <w:t>易是否属于一揽子交易。处置对子公司股权投资的各项交易的条款、条件以及经济影响符合以下一种或多种情况，通常表明</w:t>
      </w:r>
      <w:r>
        <w:rPr>
          <w:spacing w:val="-63"/>
        </w:rPr>
        <w:t> </w:t>
      </w:r>
      <w:r>
        <w:rPr>
          <w:spacing w:val="-63"/>
        </w:rPr>
      </w:r>
      <w:r>
        <w:rPr>
          <w:spacing w:val="-2"/>
        </w:rPr>
        <w:t>应将多次交易事项作为一揽子交易进行会计处理：①这些交易是同时或者在考虑了彼此影响的情况下订立的；②这些交易整</w:t>
      </w:r>
      <w:r>
        <w:rPr>
          <w:spacing w:val="-64"/>
        </w:rPr>
        <w:t> </w:t>
      </w:r>
      <w:r>
        <w:rPr>
          <w:spacing w:val="-64"/>
        </w:rPr>
      </w:r>
      <w:r>
        <w:rPr>
          <w:spacing w:val="-2"/>
        </w:rPr>
        <w:t>体才能达成一项完整的商业结果；③一项交易的发生取决于其他至少一项交易的发生；④一项交易单独看是不经济的，但是</w:t>
      </w:r>
      <w:r>
        <w:rPr>
          <w:spacing w:val="-62"/>
        </w:rPr>
        <w:t> </w:t>
      </w:r>
      <w:r>
        <w:rPr>
          <w:spacing w:val="-62"/>
        </w:rPr>
      </w:r>
      <w:r>
        <w:rPr/>
        <w:t>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不丧失控制权的情况下部分 </w:t>
      </w:r>
      <w:r>
        <w:rPr>
          <w:spacing w:val="-2"/>
        </w:rPr>
        <w:t>处置对子公司的长期股权投资</w:t>
      </w:r>
      <w:r>
        <w:rPr>
          <w:rFonts w:ascii="Times New Roman" w:hAnsi="Times New Roman" w:cs="Times New Roman" w:eastAsia="Times New Roman" w:hint="default"/>
          <w:spacing w:val="-2"/>
        </w:rPr>
        <w:t>”</w:t>
      </w:r>
      <w:r>
        <w:rPr>
          <w:spacing w:val="-2"/>
        </w:rPr>
        <w:t>（详见本附注四、</w:t>
      </w:r>
      <w:r>
        <w:rPr>
          <w:rFonts w:ascii="Times New Roman" w:hAnsi="Times New Roman" w:cs="Times New Roman" w:eastAsia="Times New Roman" w:hint="default"/>
          <w:spacing w:val="-2"/>
        </w:rPr>
        <w:t>8</w:t>
      </w:r>
      <w:r>
        <w:rPr>
          <w:spacing w:val="-2"/>
        </w:rPr>
        <w:t>、（</w:t>
      </w:r>
      <w:r>
        <w:rPr>
          <w:rFonts w:ascii="Times New Roman" w:hAnsi="Times New Roman" w:cs="Times New Roman" w:eastAsia="Times New Roman" w:hint="default"/>
          <w:spacing w:val="-2"/>
        </w:rPr>
        <w:t>2</w:t>
      </w:r>
      <w:r>
        <w:rPr>
          <w:spacing w:val="-2"/>
        </w:rPr>
        <w:t>）④）和</w:t>
      </w:r>
      <w:r>
        <w:rPr>
          <w:rFonts w:ascii="Times New Roman" w:hAnsi="Times New Roman" w:cs="Times New Roman" w:eastAsia="Times New Roman" w:hint="default"/>
          <w:spacing w:val="-2"/>
        </w:rPr>
        <w:t>“</w:t>
      </w:r>
      <w:r>
        <w:rPr>
          <w:spacing w:val="-2"/>
        </w:rPr>
        <w:t>因处置部分股权投资或其他原因丧失了对原有子公司的控</w:t>
      </w:r>
      <w:r>
        <w:rPr>
          <w:spacing w:val="-43"/>
        </w:rPr>
        <w:t> </w:t>
      </w:r>
      <w:r>
        <w:rPr/>
        <w:t>制权</w:t>
      </w:r>
      <w:r>
        <w:rPr>
          <w:rFonts w:ascii="Times New Roman" w:hAnsi="Times New Roman" w:cs="Times New Roman" w:eastAsia="Times New Roman" w:hint="default"/>
        </w:rPr>
        <w:t>”</w:t>
      </w:r>
      <w:r>
        <w:rPr/>
        <w:t>（详见前段）适用的原则进行会计处理。处置对子公司股权投资直至丧失控制权的各项交易属于一揽子交易的，将各</w:t>
      </w:r>
    </w:p>
    <w:p>
      <w:pPr>
        <w:spacing w:after="0" w:line="312" w:lineRule="auto"/>
        <w:jc w:val="left"/>
        <w:sectPr>
          <w:pgSz w:w="11910" w:h="16840"/>
          <w:pgMar w:header="877" w:footer="1241" w:top="1060" w:bottom="150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项交易作为一项处置子公司并丧失控制权的交易进行会计处理；但是，在丧失控制权之前每一次处置价款与处置投资对应的</w:t>
      </w:r>
      <w:r>
        <w:rPr>
          <w:spacing w:val="-64"/>
        </w:rPr>
        <w:t> </w:t>
      </w:r>
      <w:r>
        <w:rPr>
          <w:spacing w:val="-64"/>
        </w:rPr>
      </w:r>
      <w:r>
        <w:rPr>
          <w:spacing w:val="-4"/>
        </w:rPr>
        <w:t>享有该子公司净资产份额的差额，在合并财务报表中确认为其他综合收益，在丧失控制权时一并转入丧失控制权当期的损益。</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本公司现金及现金等价物包括库存现金、可以随时用于支付的存款以及本公司持有的期限短（一般为从购买日起，三个月内</w:t>
      </w:r>
      <w:r>
        <w:rPr>
          <w:spacing w:val="-66"/>
        </w:rPr>
        <w:t> </w:t>
      </w:r>
      <w:r>
        <w:rPr>
          <w:spacing w:val="-66"/>
        </w:rPr>
      </w:r>
      <w:r>
        <w:rPr/>
        <w:t>到期）、流动性强、易于转换为已知金额的现金、价值变动风险很小的投资。</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8</w:t>
      </w:r>
      <w:r>
        <w:rPr/>
        <w:t>、应收款项坏账准备的确认标准和计提方法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应收款项包括应收账款、其他应收款等。</w:t>
      </w:r>
    </w:p>
    <w:p>
      <w:pPr>
        <w:pStyle w:val="BodyText"/>
        <w:spacing w:line="312" w:lineRule="auto" w:before="76"/>
        <w:ind w:right="0"/>
        <w:jc w:val="left"/>
      </w:pPr>
      <w:r>
        <w:rPr/>
        <w:t>（</w:t>
      </w:r>
      <w:r>
        <w:rPr>
          <w:rFonts w:ascii="Times New Roman" w:hAnsi="Times New Roman" w:cs="Times New Roman" w:eastAsia="Times New Roman" w:hint="default"/>
        </w:rPr>
        <w:t>1</w:t>
      </w:r>
      <w:r>
        <w:rPr/>
        <w:t>）坏账准备的确认标准 </w:t>
      </w:r>
      <w:r>
        <w:rPr>
          <w:spacing w:val="-2"/>
        </w:rPr>
        <w:t>本公司在资产负债表日对应收款项账面价值进行检查，对存在下列客观证据表明应收款项发生减值的，计提减值准备：①债</w:t>
      </w:r>
      <w:r>
        <w:rPr>
          <w:spacing w:val="-63"/>
        </w:rPr>
        <w:t> </w:t>
      </w:r>
      <w:r>
        <w:rPr>
          <w:spacing w:val="-63"/>
        </w:rPr>
      </w:r>
      <w:r>
        <w:rPr>
          <w:spacing w:val="-2"/>
        </w:rPr>
        <w:t>务人发生严重的财务困难；②债务人违反合同条款（如偿付利息或本金发生违约或逾期等）；③债务人很可能倒闭或进行其</w:t>
      </w:r>
      <w:r>
        <w:rPr>
          <w:spacing w:val="-64"/>
        </w:rPr>
        <w:t> </w:t>
      </w:r>
      <w:r>
        <w:rPr>
          <w:spacing w:val="-64"/>
        </w:rPr>
      </w:r>
      <w:r>
        <w:rPr/>
        <w:t>他财务重组；④其他表明应收款项发生减值的客观依据。</w:t>
      </w:r>
    </w:p>
    <w:p>
      <w:pPr>
        <w:pStyle w:val="BodyText"/>
        <w:spacing w:line="240" w:lineRule="auto" w:before="22"/>
        <w:ind w:right="0"/>
        <w:jc w:val="left"/>
      </w:pPr>
      <w:r>
        <w:rPr/>
        <w:t>（</w:t>
      </w:r>
      <w:r>
        <w:rPr>
          <w:rFonts w:ascii="Times New Roman" w:hAnsi="Times New Roman" w:cs="Times New Roman" w:eastAsia="Times New Roman" w:hint="default"/>
        </w:rPr>
        <w:t>2</w:t>
      </w:r>
      <w:r>
        <w:rPr/>
        <w:t>）坏账准备的计提方法</w:t>
      </w:r>
    </w:p>
    <w:p>
      <w:pPr>
        <w:pStyle w:val="BodyText"/>
        <w:spacing w:line="314" w:lineRule="auto" w:before="63"/>
        <w:ind w:right="1119"/>
        <w:jc w:val="left"/>
      </w:pPr>
      <w:r>
        <w:rPr/>
        <w:t>①单项金额重大并单项计提坏账准备的应收款项坏账准备的确认标准、计提方法 本公司将金额为人民币</w:t>
      </w:r>
      <w:r>
        <w:rPr>
          <w:rFonts w:ascii="Times New Roman" w:hAnsi="Times New Roman" w:cs="Times New Roman" w:eastAsia="Times New Roman" w:hint="default"/>
        </w:rPr>
        <w:t>50</w:t>
      </w:r>
      <w:r>
        <w:rPr/>
        <w:t>万元以上的应收款项确认为单项金额重大的应收款项。 </w:t>
      </w:r>
      <w:r>
        <w:rPr>
          <w:spacing w:val="-2"/>
        </w:rPr>
        <w:t>本公司对单项金额重大的应收款项单独进行减值测试，单独测试未发生减值的金融资产，包括在具有类似信用风险特征的金</w:t>
      </w:r>
      <w:r>
        <w:rPr>
          <w:spacing w:val="-64"/>
        </w:rPr>
        <w:t> </w:t>
      </w:r>
      <w:r>
        <w:rPr>
          <w:spacing w:val="-64"/>
        </w:rPr>
      </w:r>
      <w:r>
        <w:rPr>
          <w:spacing w:val="-2"/>
        </w:rPr>
        <w:t>融资产组合中进行减值测试。单项测试已确认减值损失的应收款项，不再包括在具有类似信用风险特征的应收款项组合中进</w:t>
      </w:r>
      <w:r>
        <w:rPr>
          <w:spacing w:val="-63"/>
        </w:rPr>
        <w:t> </w:t>
      </w:r>
      <w:r>
        <w:rPr>
          <w:spacing w:val="-63"/>
        </w:rPr>
      </w:r>
      <w:r>
        <w:rPr/>
        <w:t>行减值测试。</w:t>
      </w:r>
    </w:p>
    <w:p>
      <w:pPr>
        <w:pStyle w:val="BodyText"/>
        <w:spacing w:line="240" w:lineRule="auto" w:before="20"/>
        <w:ind w:right="0"/>
        <w:jc w:val="left"/>
      </w:pPr>
      <w:r>
        <w:rPr/>
        <w:t>②按信用风险组合计提坏账准备的应收款项的确定依据、坏账准备计提方法</w:t>
      </w:r>
    </w:p>
    <w:p>
      <w:pPr>
        <w:pStyle w:val="BodyText"/>
        <w:spacing w:line="312" w:lineRule="auto" w:before="76"/>
        <w:ind w:right="1119"/>
        <w:jc w:val="left"/>
      </w:pPr>
      <w:r>
        <w:rPr>
          <w:rFonts w:ascii="Times New Roman" w:hAnsi="Times New Roman" w:cs="Times New Roman" w:eastAsia="Times New Roman" w:hint="default"/>
        </w:rPr>
        <w:t>A</w:t>
      </w:r>
      <w:r>
        <w:rPr/>
        <w:t>．信用风险特征组合的确定依据 </w:t>
      </w:r>
      <w:r>
        <w:rPr>
          <w:spacing w:val="-2"/>
        </w:rPr>
        <w:t>本公司对单项金额不重大以及金额重大但单项测试未发生减值的应收款项，按信用风险特征的相似性和相关性对金融资产进</w:t>
      </w:r>
      <w:r>
        <w:rPr>
          <w:spacing w:val="-64"/>
        </w:rPr>
        <w:t> </w:t>
      </w:r>
      <w:r>
        <w:rPr>
          <w:spacing w:val="-64"/>
        </w:rPr>
      </w:r>
      <w:r>
        <w:rPr>
          <w:spacing w:val="-2"/>
        </w:rPr>
        <w:t>行分组。这些信用风险通常反映债务人按照该等资产的合同条款偿还所有到期金额的能力，并且与被检查资产的未来现金流</w:t>
      </w:r>
      <w:r>
        <w:rPr>
          <w:spacing w:val="-64"/>
        </w:rPr>
        <w:t> </w:t>
      </w:r>
      <w:r>
        <w:rPr>
          <w:spacing w:val="-64"/>
        </w:rPr>
      </w:r>
      <w:r>
        <w:rPr/>
        <w:t>量测算相关。</w:t>
      </w:r>
    </w:p>
    <w:p>
      <w:pPr>
        <w:pStyle w:val="BodyText"/>
        <w:spacing w:line="316" w:lineRule="auto" w:before="22"/>
        <w:ind w:right="8954"/>
        <w:jc w:val="left"/>
      </w:pPr>
      <w:r>
        <w:rPr/>
        <w:t>不同组合的确定依据： 项目</w:t>
      </w:r>
      <w:r>
        <w:rPr>
          <w:spacing w:val="-30"/>
        </w:rPr>
        <w:t> </w:t>
      </w:r>
      <w:r>
        <w:rPr/>
        <w:t>确定组合的依据</w:t>
      </w:r>
    </w:p>
    <w:p>
      <w:pPr>
        <w:pStyle w:val="BodyText"/>
        <w:spacing w:line="314" w:lineRule="auto" w:before="19"/>
        <w:ind w:right="1119"/>
        <w:jc w:val="left"/>
      </w:pPr>
      <w:r>
        <w:rPr/>
        <w:t>账龄组合</w:t>
      </w:r>
      <w:r>
        <w:rPr>
          <w:spacing w:val="30"/>
        </w:rPr>
        <w:t> </w:t>
      </w:r>
      <w:r>
        <w:rPr/>
        <w:t>无明显减值迹象的应收款项，相同账龄的应收款项具有类似信用风险的特征</w:t>
      </w:r>
      <w:r>
        <w:rPr/>
        <w:t> </w:t>
      </w:r>
      <w:r>
        <w:rPr>
          <w:rFonts w:ascii="Times New Roman" w:hAnsi="Times New Roman" w:cs="Times New Roman" w:eastAsia="Times New Roman" w:hint="default"/>
        </w:rPr>
        <w:t>B</w:t>
      </w:r>
      <w:r>
        <w:rPr/>
        <w:t>．根据信用风险特征组合确定的坏账准备计提方法 </w:t>
      </w:r>
      <w:r>
        <w:rPr>
          <w:spacing w:val="-2"/>
        </w:rPr>
        <w:t>按组合方式实施减值测试时，坏账准备金额系根据应收款项组合结构及类似信用风险特征（债务人根据合同条款偿还欠款的</w:t>
      </w:r>
      <w:r>
        <w:rPr>
          <w:spacing w:val="-64"/>
        </w:rPr>
        <w:t> </w:t>
      </w:r>
      <w:r>
        <w:rPr>
          <w:spacing w:val="-64"/>
        </w:rPr>
      </w:r>
      <w:r>
        <w:rPr/>
        <w:t>能力）按历史损失经验及目前经济状况与预计应收款项组合中已经存在的损失评估确定。 不同组合计提坏账准备的计提方法：</w:t>
      </w:r>
    </w:p>
    <w:p>
      <w:pPr>
        <w:pStyle w:val="BodyText"/>
        <w:spacing w:line="240" w:lineRule="auto" w:before="20"/>
        <w:ind w:right="0"/>
        <w:jc w:val="left"/>
      </w:pPr>
      <w:r>
        <w:rPr/>
        <w:t>项目</w:t>
      </w:r>
      <w:r>
        <w:rPr>
          <w:spacing w:val="-30"/>
        </w:rPr>
        <w:t> </w:t>
      </w:r>
      <w:r>
        <w:rPr/>
        <w:t>计提方法</w:t>
      </w:r>
    </w:p>
    <w:p>
      <w:pPr>
        <w:pStyle w:val="BodyText"/>
        <w:tabs>
          <w:tab w:pos="2253" w:val="left" w:leader="none"/>
        </w:tabs>
        <w:spacing w:line="319" w:lineRule="auto" w:before="76"/>
        <w:ind w:right="7171"/>
        <w:jc w:val="left"/>
        <w:rPr>
          <w:rFonts w:ascii="Times New Roman" w:hAnsi="Times New Roman" w:cs="Times New Roman" w:eastAsia="Times New Roman" w:hint="default"/>
        </w:rPr>
      </w:pPr>
      <w:r>
        <w:rPr/>
        <w:t>账龄组合</w:t>
      </w:r>
      <w:r>
        <w:rPr>
          <w:spacing w:val="30"/>
        </w:rPr>
        <w:t> </w:t>
      </w:r>
      <w:r>
        <w:rPr/>
        <w:t>采用账龄分析法计提坏账准备</w:t>
      </w:r>
      <w:r>
        <w:rPr/>
        <w:t> 采用账龄分析法计提坏账准备的组合计提方法 账龄</w:t>
      </w:r>
      <w:r>
        <w:rPr>
          <w:spacing w:val="-30"/>
        </w:rPr>
        <w:t> </w:t>
      </w:r>
      <w:r>
        <w:rPr/>
        <w:t>应收账款计提比例</w:t>
        <w:tab/>
        <w:t>其他应收计提比例</w:t>
      </w:r>
      <w:r>
        <w:rPr/>
        <w:t> </w:t>
      </w:r>
      <w:r>
        <w:rPr>
          <w:rFonts w:ascii="Times New Roman" w:hAnsi="Times New Roman" w:cs="Times New Roman" w:eastAsia="Times New Roman" w:hint="default"/>
        </w:rPr>
        <w:t>1</w:t>
      </w:r>
      <w:r>
        <w:rPr/>
        <w:t>年以内（含</w:t>
      </w:r>
      <w:r>
        <w:rPr>
          <w:rFonts w:ascii="Times New Roman" w:hAnsi="Times New Roman" w:cs="Times New Roman" w:eastAsia="Times New Roman" w:hint="default"/>
        </w:rPr>
        <w:t>1</w:t>
      </w:r>
      <w:r>
        <w:rPr/>
        <w:t>年，下同） </w:t>
      </w:r>
      <w:r>
        <w:rPr>
          <w:rFonts w:ascii="Times New Roman" w:hAnsi="Times New Roman" w:cs="Times New Roman" w:eastAsia="Times New Roman" w:hint="default"/>
        </w:rPr>
        <w:t>0%   </w:t>
      </w:r>
      <w:r>
        <w:rPr>
          <w:rFonts w:ascii="Times New Roman" w:hAnsi="Times New Roman" w:cs="Times New Roman" w:eastAsia="Times New Roman" w:hint="default"/>
          <w:spacing w:val="30"/>
        </w:rPr>
        <w:t> </w:t>
      </w:r>
      <w:r>
        <w:rPr>
          <w:rFonts w:ascii="Times New Roman" w:hAnsi="Times New Roman" w:cs="Times New Roman" w:eastAsia="Times New Roman" w:hint="default"/>
        </w:rPr>
        <w:t>0%</w:t>
      </w:r>
    </w:p>
    <w:p>
      <w:pPr>
        <w:pStyle w:val="BodyText"/>
        <w:spacing w:line="246" w:lineRule="exact"/>
        <w:ind w:right="0"/>
        <w:jc w:val="left"/>
        <w:rPr>
          <w:rFonts w:ascii="Times New Roman" w:hAnsi="Times New Roman" w:cs="Times New Roman" w:eastAsia="Times New Roman" w:hint="default"/>
        </w:rPr>
      </w:pPr>
      <w:r>
        <w:rPr>
          <w:rFonts w:ascii="Times New Roman" w:hAnsi="Times New Roman" w:cs="Times New Roman" w:eastAsia="Times New Roman" w:hint="default"/>
        </w:rPr>
        <w:t>1-2</w:t>
      </w:r>
      <w:r>
        <w:rPr/>
        <w:t>年</w:t>
      </w:r>
      <w:r>
        <w:rPr>
          <w:rFonts w:ascii="Times New Roman" w:hAnsi="Times New Roman" w:cs="Times New Roman" w:eastAsia="Times New Roman" w:hint="default"/>
        </w:rPr>
        <w:t>20% </w:t>
      </w:r>
      <w:r>
        <w:rPr>
          <w:rFonts w:ascii="Times New Roman" w:hAnsi="Times New Roman" w:cs="Times New Roman" w:eastAsia="Times New Roman" w:hint="default"/>
          <w:spacing w:val="1"/>
        </w:rPr>
        <w:t> </w:t>
      </w:r>
      <w:r>
        <w:rPr>
          <w:rFonts w:ascii="Times New Roman" w:hAnsi="Times New Roman" w:cs="Times New Roman" w:eastAsia="Times New Roman" w:hint="default"/>
        </w:rPr>
        <w:t>20%</w:t>
      </w:r>
    </w:p>
    <w:p>
      <w:pPr>
        <w:pStyle w:val="BodyText"/>
        <w:spacing w:line="240" w:lineRule="auto" w:before="63"/>
        <w:ind w:right="0"/>
        <w:jc w:val="left"/>
        <w:rPr>
          <w:rFonts w:ascii="Times New Roman" w:hAnsi="Times New Roman" w:cs="Times New Roman" w:eastAsia="Times New Roman" w:hint="default"/>
        </w:rPr>
      </w:pPr>
      <w:r>
        <w:rPr>
          <w:rFonts w:ascii="Times New Roman" w:hAnsi="Times New Roman" w:cs="Times New Roman" w:eastAsia="Times New Roman" w:hint="default"/>
        </w:rPr>
        <w:t>2-3</w:t>
      </w:r>
      <w:r>
        <w:rPr/>
        <w:t>年</w:t>
      </w:r>
      <w:r>
        <w:rPr>
          <w:rFonts w:ascii="Times New Roman" w:hAnsi="Times New Roman" w:cs="Times New Roman" w:eastAsia="Times New Roman" w:hint="default"/>
        </w:rPr>
        <w:t>50% </w:t>
      </w:r>
      <w:r>
        <w:rPr>
          <w:rFonts w:ascii="Times New Roman" w:hAnsi="Times New Roman" w:cs="Times New Roman" w:eastAsia="Times New Roman" w:hint="default"/>
          <w:spacing w:val="1"/>
        </w:rPr>
        <w:t> </w:t>
      </w:r>
      <w:r>
        <w:rPr>
          <w:rFonts w:ascii="Times New Roman" w:hAnsi="Times New Roman" w:cs="Times New Roman" w:eastAsia="Times New Roman" w:hint="default"/>
        </w:rPr>
        <w:t>50%</w:t>
      </w:r>
    </w:p>
    <w:p>
      <w:pPr>
        <w:pStyle w:val="BodyText"/>
        <w:tabs>
          <w:tab w:pos="993" w:val="left" w:leader="none"/>
        </w:tabs>
        <w:spacing w:line="240" w:lineRule="auto" w:before="63"/>
        <w:ind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年以上</w:t>
        <w:tab/>
      </w:r>
      <w:r>
        <w:rPr>
          <w:rFonts w:ascii="Times New Roman" w:hAnsi="Times New Roman" w:cs="Times New Roman" w:eastAsia="Times New Roman" w:hint="default"/>
        </w:rPr>
        <w:t>100%100%</w:t>
      </w:r>
    </w:p>
    <w:p>
      <w:pPr>
        <w:pStyle w:val="BodyText"/>
        <w:spacing w:line="316" w:lineRule="auto" w:before="63"/>
        <w:ind w:right="0"/>
        <w:jc w:val="left"/>
      </w:pPr>
      <w:r>
        <w:rPr/>
        <w:t>③单项金额虽不重大但单项计提坏账准备的应收款项 </w:t>
      </w:r>
      <w:r>
        <w:rPr>
          <w:spacing w:val="-2"/>
        </w:rPr>
        <w:t>本公司对于单项金额虽不重大但具备以下特征的应收款项，单独进行减值测试，有客观证据表明其发生了减值的，根据其未</w:t>
      </w:r>
      <w:r>
        <w:rPr>
          <w:spacing w:val="-63"/>
        </w:rPr>
        <w:t> </w:t>
      </w:r>
      <w:r>
        <w:rPr>
          <w:spacing w:val="-63"/>
        </w:rPr>
      </w:r>
      <w:r>
        <w:rPr/>
        <w:t>来现金流量现值低于其账面价值的差额，确认减值损失，计提坏账准备。</w:t>
      </w:r>
    </w:p>
    <w:p>
      <w:pPr>
        <w:pStyle w:val="BodyText"/>
        <w:spacing w:line="240" w:lineRule="auto" w:before="19"/>
        <w:ind w:right="0"/>
        <w:jc w:val="left"/>
      </w:pPr>
      <w:r>
        <w:rPr/>
        <w:t>（</w:t>
      </w:r>
      <w:r>
        <w:rPr>
          <w:rFonts w:ascii="Times New Roman" w:hAnsi="Times New Roman" w:cs="Times New Roman" w:eastAsia="Times New Roman" w:hint="default"/>
        </w:rPr>
        <w:t>3</w:t>
      </w:r>
      <w:r>
        <w:rPr/>
        <w:t>）坏账准备的转回</w:t>
      </w:r>
    </w:p>
    <w:p>
      <w:pPr>
        <w:spacing w:after="0" w:line="240" w:lineRule="auto"/>
        <w:jc w:val="left"/>
        <w:sectPr>
          <w:pgSz w:w="11910" w:h="16840"/>
          <w:pgMar w:header="877" w:footer="1241" w:top="1060" w:bottom="144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如有客观证据表明该应收款项价值已恢复，且客观上与确认该损失后发生的事项有关，原确认的减值损失予以转回，计入当</w:t>
      </w:r>
      <w:r>
        <w:rPr>
          <w:spacing w:val="-63"/>
        </w:rPr>
        <w:t> </w:t>
      </w:r>
      <w:r>
        <w:rPr>
          <w:spacing w:val="-63"/>
        </w:rPr>
      </w:r>
      <w:r>
        <w:rPr/>
        <w:t>期损益。但是，该转回后的账面价值不超过假定不计提减值准备情况下该应收款项在转回日的摊余成本。</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8"/>
        <w:gridCol w:w="2187"/>
        <w:gridCol w:w="4784"/>
      </w:tblGrid>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bl>
    <w:p>
      <w:pPr>
        <w:pStyle w:val="BodyText"/>
        <w:spacing w:line="240" w:lineRule="auto" w:before="49"/>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77"/>
        <w:gridCol w:w="2988"/>
        <w:gridCol w:w="3994"/>
      </w:tblGrid>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right="0"/>
        <w:jc w:val="left"/>
      </w:pPr>
      <w:r>
        <w:rPr/>
        <w:t>组合中，采用余额百分比法计提坏账准备的</w:t>
      </w:r>
    </w:p>
    <w:p>
      <w:pPr>
        <w:pStyle w:val="BodyText"/>
        <w:spacing w:line="340" w:lineRule="auto" w:before="115"/>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存货主要包括库存材料、在建开发产品（开发成本）、已完工开发产品（开发产品）和意图出售而暂时出租的开发产品等。</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2"/>
        <w:rPr>
          <w:rFonts w:ascii="宋体" w:hAnsi="宋体" w:cs="宋体" w:eastAsia="宋体" w:hint="default"/>
          <w:b/>
          <w:bCs/>
          <w:sz w:val="26"/>
          <w:szCs w:val="26"/>
        </w:rPr>
      </w:pPr>
    </w:p>
    <w:p>
      <w:pPr>
        <w:pStyle w:val="BodyText"/>
        <w:spacing w:line="338" w:lineRule="auto"/>
        <w:ind w:right="0"/>
        <w:jc w:val="left"/>
      </w:pPr>
      <w:r>
        <w:rPr/>
        <w:t>计价方法：加权平均法 </w:t>
      </w:r>
      <w:r>
        <w:rPr>
          <w:spacing w:val="-2"/>
        </w:rPr>
        <w:t>存货按成本进行初始计量。开发产品的成本包括土地出让金、基础配套设施支出、建筑安装工程支出、开发项目完工之前所</w:t>
      </w:r>
      <w:r>
        <w:rPr>
          <w:spacing w:val="-64"/>
        </w:rPr>
        <w:t> </w:t>
      </w:r>
      <w:r>
        <w:rPr>
          <w:spacing w:val="-64"/>
        </w:rPr>
      </w:r>
      <w:r>
        <w:rPr/>
        <w:t>发生的借款费用及开发过程中的其他相关费用。存货发出时，采用加权平均法确定其实际成本。</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jc w:val="left"/>
      </w:pPr>
      <w:r>
        <w:rPr>
          <w:spacing w:val="-4"/>
        </w:rPr>
        <w:t>可变现净值是指在日常活动中，存货的估计售价减去至完工时估计将要发生的成本、估计的销售费用以及相关税费后的金额。</w:t>
      </w:r>
      <w:r>
        <w:rPr>
          <w:spacing w:val="-44"/>
        </w:rPr>
        <w:t> </w:t>
      </w:r>
      <w:r>
        <w:rPr>
          <w:spacing w:val="-44"/>
        </w:rPr>
      </w:r>
      <w:r>
        <w:rPr/>
        <w:t>在确定存货的可变现净值时，以取得的确凿证据为基础，同时考虑持有存货的目的以及资产负债表日后事项的影响。</w:t>
      </w:r>
      <w:r>
        <w:rPr/>
        <w:t> </w:t>
      </w:r>
      <w:r>
        <w:rPr>
          <w:spacing w:val="-2"/>
        </w:rPr>
        <w:t>在资产负债表日，存货按照成本与可变现净值孰低计量。当其可变现净值低于成本时，提取存货跌价准备。存货跌价准备按</w:t>
      </w:r>
      <w:r>
        <w:rPr>
          <w:spacing w:val="-65"/>
        </w:rPr>
        <w:t> </w:t>
      </w:r>
      <w:r>
        <w:rPr>
          <w:spacing w:val="-65"/>
        </w:rPr>
      </w:r>
      <w:r>
        <w:rPr/>
        <w:t>单个存货项目的成本高于其可变现净值的差额提取。 </w:t>
      </w:r>
      <w:r>
        <w:rPr>
          <w:spacing w:val="-2"/>
        </w:rPr>
        <w:t>计提存货跌价准备后，如果以前减记存货价值的影响因素已经消失，导致存货的可变现净值高于其账面价值的，在原已计提</w:t>
      </w:r>
      <w:r>
        <w:rPr>
          <w:spacing w:val="-63"/>
        </w:rPr>
        <w:t> </w:t>
      </w:r>
      <w:r>
        <w:rPr>
          <w:spacing w:val="-63"/>
        </w:rPr>
      </w:r>
      <w:r>
        <w:rPr/>
        <w:t>的存货跌价准备金额内予以转回，转回的金额计入当期损益。</w:t>
      </w:r>
    </w:p>
    <w:p>
      <w:pPr>
        <w:spacing w:after="0" w:line="316" w:lineRule="auto"/>
        <w:jc w:val="left"/>
        <w:sectPr>
          <w:pgSz w:w="11910" w:h="16840"/>
          <w:pgMar w:header="877" w:footer="1241" w:top="1060" w:bottom="14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8234"/>
        <w:jc w:val="left"/>
      </w:pPr>
      <w:r>
        <w:rPr/>
        <w:t>盘存制度：永续盘存制 存货的盘存制度为永续盘存制。</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10</w:t>
      </w:r>
      <w:r>
        <w:rPr/>
        <w:t>、长期股权投资</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）投资成本的确定</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6" w:lineRule="auto"/>
        <w:ind w:right="1034"/>
        <w:jc w:val="left"/>
      </w:pPr>
      <w:r>
        <w:rPr>
          <w:spacing w:val="-2"/>
        </w:rPr>
        <w:t>对于企业合并形成的长期股权投资，如为同一控制下的企业合并取得的长期股权投资，在合并日按照取得被合并方股东权益</w:t>
      </w:r>
      <w:r>
        <w:rPr>
          <w:spacing w:val="-63"/>
        </w:rPr>
        <w:t> </w:t>
      </w:r>
      <w:r>
        <w:rPr>
          <w:spacing w:val="-63"/>
        </w:rPr>
      </w:r>
      <w:r>
        <w:rPr>
          <w:spacing w:val="-2"/>
        </w:rPr>
        <w:t>账面价值的份额作为初始投资成本。通过非同一控制下的企业合并取得的长期股权投资，企业合并成本包括购买方付出的资</w:t>
      </w:r>
      <w:r>
        <w:rPr>
          <w:spacing w:val="-64"/>
        </w:rPr>
        <w:t> </w:t>
      </w:r>
      <w:r>
        <w:rPr>
          <w:spacing w:val="-64"/>
        </w:rPr>
      </w:r>
      <w:r>
        <w:rPr>
          <w:spacing w:val="-2"/>
        </w:rPr>
        <w:t>产、发生或承担的负债、发行的权益性证券的公允价值之和；购买方为企业合并发生的审计、法律服务、评估咨询等中介费</w:t>
      </w:r>
      <w:r>
        <w:rPr>
          <w:spacing w:val="-67"/>
        </w:rPr>
        <w:t> </w:t>
      </w:r>
      <w:r>
        <w:rPr>
          <w:spacing w:val="-67"/>
        </w:rPr>
      </w:r>
      <w:r>
        <w:rPr/>
        <w:t>用以及其他相关管理费用，应当于发生时计入当期损益；购买方作为合并对价发行的权益性证券或债务性证券的交易费用， </w:t>
      </w:r>
      <w:r>
        <w:rPr>
          <w:spacing w:val="-2"/>
        </w:rPr>
        <w:t>应当计入权益性证券或债务性证券的初始确认金额。除企业合并形成的长期股权投资外的其他股权投资，按成本进行初始计</w:t>
      </w:r>
      <w:r>
        <w:rPr>
          <w:spacing w:val="-64"/>
        </w:rPr>
        <w:t> </w:t>
      </w:r>
      <w:r>
        <w:rPr>
          <w:spacing w:val="-64"/>
        </w:rPr>
      </w:r>
      <w:r>
        <w:rPr>
          <w:spacing w:val="-2"/>
        </w:rPr>
        <w:t>量，该成本视长期股权投资取得方式的不同，分别按照本公司实际支付的现金购买价款、本公司发行的权益性证券的公允价</w:t>
      </w:r>
      <w:r>
        <w:rPr>
          <w:spacing w:val="-63"/>
        </w:rPr>
        <w:t> </w:t>
      </w:r>
      <w:r>
        <w:rPr>
          <w:spacing w:val="-63"/>
        </w:rPr>
      </w:r>
      <w:r>
        <w:rPr>
          <w:spacing w:val="-2"/>
        </w:rPr>
        <w:t>值、投资合同或协议约定的价值、非货币性资产交换交易中换出资产的公允价值或原账面价值、该项长期股权投资自身的公</w:t>
      </w:r>
      <w:r>
        <w:rPr>
          <w:spacing w:val="-63"/>
        </w:rPr>
        <w:t> </w:t>
      </w:r>
      <w:r>
        <w:rPr>
          <w:spacing w:val="-63"/>
        </w:rPr>
      </w:r>
      <w:r>
        <w:rPr/>
        <w:t>允价值等方式确定。与取得长期股权投资直接相关的费用、税金及其他必要支出也计入投资成本。</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4"/>
        <w:jc w:val="left"/>
      </w:pPr>
      <w:r>
        <w:rPr>
          <w:spacing w:val="-2"/>
        </w:rPr>
        <w:t>对被投资单位不具有共同控制或重大影响并且在活跃市场中没有报价、公允价值不能可靠计量的长期股权投资，采用成本法</w:t>
      </w:r>
      <w:r>
        <w:rPr>
          <w:spacing w:val="-64"/>
        </w:rPr>
        <w:t> </w:t>
      </w:r>
      <w:r>
        <w:rPr>
          <w:spacing w:val="-64"/>
        </w:rPr>
      </w:r>
      <w:r>
        <w:rPr>
          <w:spacing w:val="-2"/>
        </w:rPr>
        <w:t>核算；对被投资单位具有共同控制或重大影响的长期股权投资，采用权益法核算；对被投资单位不具有控制、共同控制或重</w:t>
      </w:r>
      <w:r>
        <w:rPr>
          <w:spacing w:val="-63"/>
        </w:rPr>
        <w:t> </w:t>
      </w:r>
      <w:r>
        <w:rPr>
          <w:spacing w:val="-63"/>
        </w:rPr>
      </w:r>
      <w:r>
        <w:rPr>
          <w:spacing w:val="-2"/>
        </w:rPr>
        <w:t>大影响并且公允价值能够可靠计量的长期股权投资，作为可供出售金融资产或以公允价值计量且其变动计入当期损益的金融</w:t>
      </w:r>
      <w:r>
        <w:rPr>
          <w:spacing w:val="-64"/>
        </w:rPr>
        <w:t> </w:t>
      </w:r>
      <w:r>
        <w:rPr>
          <w:spacing w:val="-64"/>
        </w:rPr>
      </w:r>
      <w:r>
        <w:rPr>
          <w:spacing w:val="-2"/>
        </w:rPr>
        <w:t>资产核算。此外，公司财务报表采用成本法核算能够对被投资单位实施控制的长期股权投资。①成本法核算的长期股权投资</w:t>
      </w:r>
      <w:r>
        <w:rPr>
          <w:spacing w:val="-64"/>
        </w:rPr>
        <w:t> </w:t>
      </w:r>
      <w:r>
        <w:rPr>
          <w:spacing w:val="-64"/>
        </w:rPr>
      </w:r>
      <w:r>
        <w:rPr>
          <w:spacing w:val="-2"/>
        </w:rPr>
        <w:t>采用成本法核算时，长期股权投资按初始投资成本计价，除取得投资时实际支付的价款或者对价中包含的已宣告但尚未发放</w:t>
      </w:r>
      <w:r>
        <w:rPr>
          <w:spacing w:val="-64"/>
        </w:rPr>
        <w:t> </w:t>
      </w:r>
      <w:r>
        <w:rPr>
          <w:spacing w:val="-64"/>
        </w:rPr>
      </w:r>
      <w:r>
        <w:rPr>
          <w:spacing w:val="-2"/>
        </w:rPr>
        <w:t>的现金股利或者利润外，当期投资收益按照享有被投资单位宣告发放的现金股利或利润确认。②权益法核算的长期股权投资</w:t>
      </w:r>
      <w:r>
        <w:rPr>
          <w:spacing w:val="-63"/>
        </w:rPr>
        <w:t> </w:t>
      </w:r>
      <w:r>
        <w:rPr>
          <w:spacing w:val="-63"/>
        </w:rPr>
      </w:r>
      <w:r>
        <w:rPr>
          <w:spacing w:val="-2"/>
        </w:rPr>
        <w:t>采用权益法核算时，长期股权投资的初始投资成本大于投资时应享有被投资单位可辨认净资产公允价值份额的，不调整长期</w:t>
      </w:r>
      <w:r>
        <w:rPr>
          <w:spacing w:val="-63"/>
        </w:rPr>
        <w:t> </w:t>
      </w:r>
      <w:r>
        <w:rPr>
          <w:spacing w:val="-63"/>
        </w:rPr>
      </w:r>
      <w:r>
        <w:rPr>
          <w:spacing w:val="-4"/>
        </w:rPr>
        <w:t>股权投资的初始投资成本；初始投资成本小于投资时应享有被投资单位可辨认净资产公允价值份额的，其差额计入当期损益，</w:t>
      </w:r>
      <w:r>
        <w:rPr>
          <w:spacing w:val="-44"/>
        </w:rPr>
        <w:t> </w:t>
      </w:r>
      <w:r>
        <w:rPr>
          <w:spacing w:val="-44"/>
        </w:rPr>
      </w:r>
      <w:r>
        <w:rPr>
          <w:spacing w:val="-4"/>
        </w:rPr>
        <w:t>同时调整长期股权投资的成本。采用权益法核算时，当期投资损益为应享有或应分担的被投资单位当年实现的净损益的份额。</w:t>
      </w:r>
      <w:r>
        <w:rPr>
          <w:spacing w:val="-44"/>
        </w:rPr>
        <w:t> </w:t>
      </w:r>
      <w:r>
        <w:rPr>
          <w:spacing w:val="-44"/>
        </w:rPr>
      </w:r>
      <w:r>
        <w:rPr>
          <w:spacing w:val="-2"/>
        </w:rPr>
        <w:t>在确认应享有被投资单位净损益的份额时，以取得投资时被投资单位各项可辨认资产等的公允价值为基础，并按照本公司的</w:t>
      </w:r>
      <w:r>
        <w:rPr>
          <w:spacing w:val="-64"/>
        </w:rPr>
        <w:t> </w:t>
      </w:r>
      <w:r>
        <w:rPr>
          <w:spacing w:val="-64"/>
        </w:rPr>
      </w:r>
      <w:r>
        <w:rPr>
          <w:spacing w:val="-2"/>
        </w:rPr>
        <w:t>会计政策及会计期间，对被投资单位的净利润进行调整后确认。对于本公司与联营企业及合营之间发生的未实现内部交易损</w:t>
      </w:r>
      <w:r>
        <w:rPr>
          <w:spacing w:val="-64"/>
        </w:rPr>
        <w:t> </w:t>
      </w:r>
      <w:r>
        <w:rPr>
          <w:spacing w:val="-64"/>
        </w:rPr>
      </w:r>
      <w:r>
        <w:rPr>
          <w:spacing w:val="-2"/>
        </w:rPr>
        <w:t>益，按照持股比例计算属于本公司的部分予以抵销，在此基础上确认投资损益。但本公司与被投资单位发生的未实现内部交</w:t>
      </w:r>
      <w:r>
        <w:rPr>
          <w:spacing w:val="-63"/>
        </w:rPr>
        <w:t> </w:t>
      </w:r>
      <w:r>
        <w:rPr>
          <w:spacing w:val="-63"/>
        </w:rPr>
      </w:r>
      <w:r>
        <w:rPr>
          <w:spacing w:val="-3"/>
        </w:rPr>
        <w:t>易损失，按照《企业会计准则第</w:t>
      </w:r>
      <w:r>
        <w:rPr>
          <w:spacing w:val="-56"/>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号</w:t>
      </w:r>
      <w:r>
        <w:rPr>
          <w:rFonts w:ascii="Times New Roman" w:hAnsi="Times New Roman" w:cs="Times New Roman" w:eastAsia="Times New Roman" w:hint="default"/>
        </w:rPr>
        <w:t>——</w:t>
      </w:r>
      <w:r>
        <w:rPr/>
        <w:t>资产减值》等规定属于所转让资产减值损失的，不予以抵销。对被投资单位的其他 </w:t>
      </w:r>
      <w:r>
        <w:rPr>
          <w:spacing w:val="-2"/>
        </w:rPr>
        <w:t>综合收益，相应调整长期股权投资的账面价值确认为其他综合收益并计入资本公积。在确认应分担被投资单位发生的净亏损</w:t>
      </w:r>
      <w:r>
        <w:rPr>
          <w:spacing w:val="-64"/>
        </w:rPr>
        <w:t> </w:t>
      </w:r>
      <w:r>
        <w:rPr>
          <w:spacing w:val="-64"/>
        </w:rPr>
      </w:r>
      <w:r>
        <w:rPr>
          <w:spacing w:val="-2"/>
        </w:rPr>
        <w:t>时，以长期股权投资的账面价值和其他实质上构成对被投资单位净投资的长期权益减记至零为限。此外，如本公司对被投资</w:t>
      </w:r>
      <w:r>
        <w:rPr>
          <w:spacing w:val="-66"/>
        </w:rPr>
        <w:t> </w:t>
      </w:r>
      <w:r>
        <w:rPr>
          <w:spacing w:val="-66"/>
        </w:rPr>
      </w:r>
      <w:r>
        <w:rPr>
          <w:spacing w:val="-4"/>
        </w:rPr>
        <w:t>单位负有承担额外损失的义务，则按预计承担的义务确认预计负债，计入当期投资损失。被投资单位以后期间实现净利润的，</w:t>
      </w:r>
      <w:r>
        <w:rPr>
          <w:spacing w:val="-42"/>
        </w:rPr>
        <w:t> </w:t>
      </w:r>
      <w:r>
        <w:rPr>
          <w:spacing w:val="-42"/>
        </w:rPr>
      </w:r>
      <w:r>
        <w:rPr>
          <w:spacing w:val="-2"/>
        </w:rPr>
        <w:t>本公司在收益分享额弥补未确认的亏损分担额后，恢复确认收益分享额。③收购少数股权在编制合并财务报表时，因购买少</w:t>
      </w:r>
      <w:r>
        <w:rPr>
          <w:spacing w:val="-61"/>
        </w:rPr>
        <w:t> </w:t>
      </w:r>
      <w:r>
        <w:rPr>
          <w:spacing w:val="-61"/>
        </w:rPr>
      </w:r>
      <w:r>
        <w:rPr>
          <w:spacing w:val="-2"/>
        </w:rPr>
        <w:t>数股权新增的长期股权投资与按照新增持股比例计算应享有子公司自购买日（或合并日）开始持续计算的净资产份额之间的</w:t>
      </w:r>
      <w:r>
        <w:rPr>
          <w:spacing w:val="-64"/>
        </w:rPr>
        <w:t> </w:t>
      </w:r>
      <w:r>
        <w:rPr>
          <w:spacing w:val="-64"/>
        </w:rPr>
      </w:r>
      <w:r>
        <w:rPr>
          <w:spacing w:val="-2"/>
        </w:rPr>
        <w:t>差额，调整资本公积，资本公积不足冲减的，调整留存收益。④处置长期股权投资在合并财务报表中，母公司在不丧失控制</w:t>
      </w:r>
      <w:r>
        <w:rPr>
          <w:spacing w:val="-66"/>
        </w:rPr>
        <w:t> </w:t>
      </w:r>
      <w:r>
        <w:rPr>
          <w:spacing w:val="-66"/>
        </w:rPr>
      </w:r>
      <w:r>
        <w:rPr/>
        <w:t>权的情况下部分处置对子公司的长期股权投资，处置价款与处置长期股权投资相对应享有子公司净资产的差额计入股东权 </w:t>
      </w:r>
      <w:r>
        <w:rPr>
          <w:spacing w:val="-5"/>
          <w:w w:val="100"/>
        </w:rPr>
        <w:t>益；母公司部分处置对子公司的长期股权投资导致丧失对子公司控制权的，按本附注四、</w:t>
      </w:r>
      <w:r>
        <w:rPr>
          <w:rFonts w:ascii="Times New Roman" w:hAnsi="Times New Roman" w:cs="Times New Roman" w:eastAsia="Times New Roman" w:hint="default"/>
          <w:spacing w:val="-5"/>
          <w:w w:val="100"/>
        </w:rPr>
        <w:t>4</w:t>
      </w:r>
      <w:r>
        <w:rPr>
          <w:spacing w:val="-5"/>
          <w:w w:val="100"/>
        </w:rPr>
        <w:t>、（</w:t>
      </w:r>
      <w:r>
        <w:rPr>
          <w:rFonts w:ascii="Times New Roman" w:hAnsi="Times New Roman" w:cs="Times New Roman" w:eastAsia="Times New Roman" w:hint="default"/>
          <w:spacing w:val="-5"/>
          <w:w w:val="100"/>
        </w:rPr>
        <w:t>2</w:t>
      </w:r>
      <w:r>
        <w:rPr>
          <w:spacing w:val="-5"/>
          <w:w w:val="100"/>
        </w:rPr>
        <w:t>）</w:t>
      </w:r>
      <w:r>
        <w:rPr>
          <w:rFonts w:ascii="Times New Roman" w:hAnsi="Times New Roman" w:cs="Times New Roman" w:eastAsia="Times New Roman" w:hint="default"/>
          <w:spacing w:val="-5"/>
          <w:w w:val="100"/>
        </w:rPr>
        <w:t>“</w:t>
      </w:r>
      <w:r>
        <w:rPr>
          <w:spacing w:val="-5"/>
          <w:w w:val="100"/>
        </w:rPr>
        <w:t>合并财务报表编制的方法</w:t>
      </w:r>
      <w:r>
        <w:rPr>
          <w:rFonts w:ascii="Times New Roman" w:hAnsi="Times New Roman" w:cs="Times New Roman" w:eastAsia="Times New Roman" w:hint="default"/>
          <w:spacing w:val="-5"/>
          <w:w w:val="100"/>
        </w:rPr>
        <w:t>”</w:t>
      </w:r>
      <w:r>
        <w:rPr>
          <w:rFonts w:ascii="Times New Roman" w:hAnsi="Times New Roman" w:cs="Times New Roman" w:eastAsia="Times New Roman" w:hint="default"/>
          <w:spacing w:val="-8"/>
          <w:w w:val="100"/>
        </w:rPr>
        <w:t> </w:t>
      </w:r>
      <w:r>
        <w:rPr>
          <w:spacing w:val="-2"/>
        </w:rPr>
        <w:t>中所述的相关会计政策处理。其他情形下的长期股权投资处置，对于处置的股权，其账面价值与实际取得价款的差额，计入</w:t>
      </w:r>
      <w:r>
        <w:rPr>
          <w:spacing w:val="-64"/>
        </w:rPr>
        <w:t> </w:t>
      </w:r>
      <w:r>
        <w:rPr>
          <w:spacing w:val="-64"/>
        </w:rPr>
      </w:r>
      <w:r>
        <w:rPr/>
        <w:t>当期损益；采用权益法核算的长期股权投资，在处置时将原计入股东权益的其他综合收益部分按相应的比例转入当期损益。 </w:t>
      </w:r>
      <w:r>
        <w:rPr>
          <w:spacing w:val="-2"/>
        </w:rPr>
        <w:t>对于剩余股权，按其账面价值确认为长期股权投资或其他相关金融资产，并按前述长期股权投资或金融资产的会计政策进行</w:t>
      </w:r>
    </w:p>
    <w:p>
      <w:pPr>
        <w:spacing w:after="0" w:line="316" w:lineRule="auto"/>
        <w:jc w:val="left"/>
        <w:sectPr>
          <w:pgSz w:w="11910" w:h="16840"/>
          <w:pgMar w:header="877" w:footer="1241" w:top="1060" w:bottom="14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后续计量。涉及对剩余股权由成本法转为权益法核算的，按相关规定进行追溯调整。</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jc w:val="both"/>
      </w:pPr>
      <w:r>
        <w:rPr>
          <w:spacing w:val="-2"/>
        </w:rPr>
        <w:t>控制是指有权决定一个企业的财务和经营政策，并能据以从该企业的经营活动中获取利益。共同控制是指按照合同约定对某</w:t>
      </w:r>
      <w:r>
        <w:rPr>
          <w:spacing w:val="-64"/>
        </w:rPr>
        <w:t> </w:t>
      </w:r>
      <w:r>
        <w:rPr>
          <w:spacing w:val="-64"/>
        </w:rPr>
      </w:r>
      <w:r>
        <w:rPr>
          <w:spacing w:val="-2"/>
        </w:rPr>
        <w:t>项经济活动所共有的控制，仅在与该项经济活动相关的重要财务和经营决策需要分享控制权的投资方一致同意时存在。重大</w:t>
      </w:r>
      <w:r>
        <w:rPr>
          <w:spacing w:val="-64"/>
        </w:rPr>
        <w:t> </w:t>
      </w:r>
      <w:r>
        <w:rPr>
          <w:spacing w:val="-64"/>
        </w:rPr>
      </w:r>
      <w:r>
        <w:rPr>
          <w:spacing w:val="-2"/>
        </w:rPr>
        <w:t>影响是指对一个企业的财务和经营政策有参与决策的权力，但并不能够控制或者与其他方一起共同控制这些政策的制定。在</w:t>
      </w:r>
      <w:r>
        <w:rPr>
          <w:spacing w:val="-64"/>
        </w:rPr>
        <w:t> </w:t>
      </w:r>
      <w:r>
        <w:rPr>
          <w:spacing w:val="-64"/>
        </w:rPr>
      </w:r>
      <w:r>
        <w:rPr>
          <w:spacing w:val="-2"/>
        </w:rPr>
        <w:t>确定能否对被投资单位实施控制或施加重大影响时，已考虑投资企业和其他方持有的被投资单位当期可转换公司债券、当期</w:t>
      </w:r>
      <w:r>
        <w:rPr>
          <w:spacing w:val="-64"/>
        </w:rPr>
        <w:t> </w:t>
      </w:r>
      <w:r>
        <w:rPr>
          <w:spacing w:val="-64"/>
        </w:rPr>
      </w:r>
      <w:r>
        <w:rPr/>
        <w:t>可执行认股权证等潜在表决权因素。</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1"/>
        <w:jc w:val="both"/>
      </w:pPr>
      <w:r>
        <w:rPr>
          <w:spacing w:val="-2"/>
        </w:rPr>
        <w:t>本公司在每一个资产负债表日检查长期股权投资是否存在可能发生减值的迹象。如果该资产存在减值迹象，则估计其可收回</w:t>
      </w:r>
      <w:r>
        <w:rPr>
          <w:spacing w:val="-64"/>
        </w:rPr>
        <w:t> </w:t>
      </w:r>
      <w:r>
        <w:rPr>
          <w:spacing w:val="-64"/>
        </w:rPr>
      </w:r>
      <w:r>
        <w:rPr>
          <w:spacing w:val="-2"/>
        </w:rPr>
        <w:t>金额。如果资产的可收回金额低于其账面价值，按其差额计提资产减值准备，并计入当期损益。长期股权投资的减值损失一</w:t>
      </w:r>
      <w:r>
        <w:rPr>
          <w:spacing w:val="-65"/>
        </w:rPr>
        <w:t> </w:t>
      </w:r>
      <w:r>
        <w:rPr>
          <w:spacing w:val="-65"/>
        </w:rPr>
      </w:r>
      <w:r>
        <w:rPr/>
        <w:t>经确认，在以后会计期间不予转回。</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固定资产是指为生产商品、提供劳务、出租或经营管理而持有的，使用寿命超过一个会计年度的有形资产。</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2</w:t>
      </w:r>
      <w:r>
        <w:rPr/>
        <w:t>）各类固定资产的折旧方法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3"/>
        <w:jc w:val="both"/>
      </w:pPr>
      <w:r>
        <w:rPr>
          <w:spacing w:val="-2"/>
        </w:rPr>
        <w:t>固定资产按成本并考虑预计弃置费用因素的影响进行初始计量。固定资产从达到预定可使用状态的次月起，采用年限平均法</w:t>
      </w:r>
      <w:r>
        <w:rPr>
          <w:spacing w:val="-64"/>
        </w:rPr>
        <w:t> </w:t>
      </w:r>
      <w:r>
        <w:rPr>
          <w:spacing w:val="-64"/>
        </w:rPr>
      </w:r>
      <w:r>
        <w:rPr/>
        <w:t>在使用寿命内计提折旧。各类固定资产的使用寿命、预计净残值和年折旧率如下：</w:t>
      </w:r>
    </w:p>
    <w:p>
      <w:pPr>
        <w:pStyle w:val="BodyText"/>
        <w:tabs>
          <w:tab w:pos="1833" w:val="left" w:leader="none"/>
          <w:tab w:pos="2253" w:val="left" w:leader="none"/>
          <w:tab w:pos="3093" w:val="left" w:leader="none"/>
        </w:tabs>
        <w:spacing w:line="316" w:lineRule="auto" w:before="19"/>
        <w:ind w:right="7110"/>
        <w:jc w:val="left"/>
        <w:rPr>
          <w:rFonts w:ascii="Times New Roman" w:hAnsi="Times New Roman" w:cs="Times New Roman" w:eastAsia="Times New Roman" w:hint="default"/>
        </w:rPr>
      </w:pPr>
      <w:r>
        <w:rPr/>
        <w:pict>
          <v:shape style="position:absolute;margin-left:54.889999pt;margin-top:30.819651pt;width:98.85pt;height:64.55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15"/>
                    <w:gridCol w:w="361"/>
                    <w:gridCol w:w="374"/>
                    <w:gridCol w:w="426"/>
                  </w:tblGrid>
                  <w:tr>
                    <w:trPr>
                      <w:trHeight w:val="333" w:hRule="exact"/>
                    </w:trPr>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36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56"/>
                          <w:jc w:val="center"/>
                          <w:rPr>
                            <w:rFonts w:ascii="Times New Roman" w:hAnsi="Times New Roman" w:cs="Times New Roman" w:eastAsia="Times New Roman" w:hint="default"/>
                            <w:sz w:val="18"/>
                            <w:szCs w:val="18"/>
                          </w:rPr>
                        </w:pPr>
                        <w:r>
                          <w:rPr>
                            <w:rFonts w:ascii="Times New Roman"/>
                            <w:sz w:val="18"/>
                          </w:rPr>
                          <w:t>10</w:t>
                        </w:r>
                      </w:p>
                    </w:tc>
                    <w:tc>
                      <w:tcPr>
                        <w:tcW w:w="37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4"/>
                          <w:jc w:val="center"/>
                          <w:rPr>
                            <w:rFonts w:ascii="Times New Roman" w:hAnsi="Times New Roman" w:cs="Times New Roman" w:eastAsia="Times New Roman" w:hint="default"/>
                            <w:sz w:val="18"/>
                            <w:szCs w:val="18"/>
                          </w:rPr>
                        </w:pPr>
                        <w:r>
                          <w:rPr>
                            <w:rFonts w:ascii="Times New Roman"/>
                            <w:sz w:val="18"/>
                          </w:rPr>
                          <w:t>5</w:t>
                        </w:r>
                      </w:p>
                    </w:tc>
                    <w:tc>
                      <w:tcPr>
                        <w:tcW w:w="42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sz w:val="18"/>
                          </w:rPr>
                          <w:t>9.5</w:t>
                        </w:r>
                      </w:p>
                    </w:tc>
                  </w:tr>
                  <w:tr>
                    <w:trPr>
                      <w:trHeight w:val="312" w:hRule="exact"/>
                    </w:trPr>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36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48"/>
                          <w:jc w:val="center"/>
                          <w:rPr>
                            <w:rFonts w:ascii="Times New Roman" w:hAnsi="Times New Roman" w:cs="Times New Roman" w:eastAsia="Times New Roman" w:hint="default"/>
                            <w:sz w:val="18"/>
                            <w:szCs w:val="18"/>
                          </w:rPr>
                        </w:pPr>
                        <w:r>
                          <w:rPr>
                            <w:rFonts w:ascii="Times New Roman"/>
                            <w:sz w:val="18"/>
                          </w:rPr>
                          <w:t>5</w:t>
                        </w:r>
                      </w:p>
                    </w:tc>
                    <w:tc>
                      <w:tcPr>
                        <w:tcW w:w="37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4"/>
                          <w:jc w:val="center"/>
                          <w:rPr>
                            <w:rFonts w:ascii="Times New Roman" w:hAnsi="Times New Roman" w:cs="Times New Roman" w:eastAsia="Times New Roman" w:hint="default"/>
                            <w:sz w:val="18"/>
                            <w:szCs w:val="18"/>
                          </w:rPr>
                        </w:pPr>
                        <w:r>
                          <w:rPr>
                            <w:rFonts w:ascii="Times New Roman"/>
                            <w:sz w:val="18"/>
                          </w:rPr>
                          <w:t>5</w:t>
                        </w:r>
                      </w:p>
                    </w:tc>
                    <w:tc>
                      <w:tcPr>
                        <w:tcW w:w="42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7"/>
                          <w:jc w:val="right"/>
                          <w:rPr>
                            <w:rFonts w:ascii="Times New Roman" w:hAnsi="Times New Roman" w:cs="Times New Roman" w:eastAsia="Times New Roman" w:hint="default"/>
                            <w:sz w:val="18"/>
                            <w:szCs w:val="18"/>
                          </w:rPr>
                        </w:pPr>
                        <w:r>
                          <w:rPr>
                            <w:rFonts w:ascii="Times New Roman"/>
                            <w:sz w:val="18"/>
                          </w:rPr>
                          <w:t>19</w:t>
                        </w:r>
                      </w:p>
                    </w:tc>
                  </w:tr>
                  <w:tr>
                    <w:trPr>
                      <w:trHeight w:val="312" w:hRule="exact"/>
                    </w:trPr>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36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48"/>
                          <w:jc w:val="center"/>
                          <w:rPr>
                            <w:rFonts w:ascii="Times New Roman" w:hAnsi="Times New Roman" w:cs="Times New Roman" w:eastAsia="Times New Roman" w:hint="default"/>
                            <w:sz w:val="18"/>
                            <w:szCs w:val="18"/>
                          </w:rPr>
                        </w:pPr>
                        <w:r>
                          <w:rPr>
                            <w:rFonts w:ascii="Times New Roman"/>
                            <w:sz w:val="18"/>
                          </w:rPr>
                          <w:t>5</w:t>
                        </w:r>
                      </w:p>
                    </w:tc>
                    <w:tc>
                      <w:tcPr>
                        <w:tcW w:w="37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4"/>
                          <w:jc w:val="center"/>
                          <w:rPr>
                            <w:rFonts w:ascii="Times New Roman" w:hAnsi="Times New Roman" w:cs="Times New Roman" w:eastAsia="Times New Roman" w:hint="default"/>
                            <w:sz w:val="18"/>
                            <w:szCs w:val="18"/>
                          </w:rPr>
                        </w:pPr>
                        <w:r>
                          <w:rPr>
                            <w:rFonts w:ascii="Times New Roman"/>
                            <w:sz w:val="18"/>
                          </w:rPr>
                          <w:t>5</w:t>
                        </w:r>
                      </w:p>
                    </w:tc>
                    <w:tc>
                      <w:tcPr>
                        <w:tcW w:w="42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7"/>
                          <w:jc w:val="right"/>
                          <w:rPr>
                            <w:rFonts w:ascii="Times New Roman" w:hAnsi="Times New Roman" w:cs="Times New Roman" w:eastAsia="Times New Roman" w:hint="default"/>
                            <w:sz w:val="18"/>
                            <w:szCs w:val="18"/>
                          </w:rPr>
                        </w:pPr>
                        <w:r>
                          <w:rPr>
                            <w:rFonts w:ascii="Times New Roman"/>
                            <w:sz w:val="18"/>
                          </w:rPr>
                          <w:t>19</w:t>
                        </w:r>
                      </w:p>
                    </w:tc>
                  </w:tr>
                  <w:tr>
                    <w:trPr>
                      <w:trHeight w:val="333" w:hRule="exact"/>
                    </w:trPr>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36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6"/>
                          <w:jc w:val="center"/>
                          <w:rPr>
                            <w:rFonts w:ascii="Times New Roman" w:hAnsi="Times New Roman" w:cs="Times New Roman" w:eastAsia="Times New Roman" w:hint="default"/>
                            <w:sz w:val="18"/>
                            <w:szCs w:val="18"/>
                          </w:rPr>
                        </w:pPr>
                        <w:r>
                          <w:rPr>
                            <w:rFonts w:ascii="Times New Roman"/>
                            <w:sz w:val="18"/>
                          </w:rPr>
                          <w:t>10</w:t>
                        </w:r>
                      </w:p>
                    </w:tc>
                    <w:tc>
                      <w:tcPr>
                        <w:tcW w:w="37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4"/>
                          <w:jc w:val="center"/>
                          <w:rPr>
                            <w:rFonts w:ascii="Times New Roman" w:hAnsi="Times New Roman" w:cs="Times New Roman" w:eastAsia="Times New Roman" w:hint="default"/>
                            <w:sz w:val="18"/>
                            <w:szCs w:val="18"/>
                          </w:rPr>
                        </w:pPr>
                        <w:r>
                          <w:rPr>
                            <w:rFonts w:ascii="Times New Roman"/>
                            <w:sz w:val="18"/>
                          </w:rPr>
                          <w:t>5</w:t>
                        </w:r>
                      </w:p>
                    </w:tc>
                    <w:tc>
                      <w:tcPr>
                        <w:tcW w:w="42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Times New Roman" w:hAnsi="Times New Roman" w:cs="Times New Roman" w:eastAsia="Times New Roman" w:hint="default"/>
                            <w:sz w:val="18"/>
                            <w:szCs w:val="18"/>
                          </w:rPr>
                        </w:pPr>
                        <w:r>
                          <w:rPr>
                            <w:rFonts w:ascii="Times New Roman"/>
                            <w:sz w:val="18"/>
                          </w:rPr>
                          <w:t>9.5</w:t>
                        </w:r>
                      </w:p>
                    </w:tc>
                  </w:tr>
                </w:tbl>
                <w:p>
                  <w:pPr/>
                </w:p>
              </w:txbxContent>
            </v:textbox>
            <w10:wrap type="none"/>
          </v:shape>
        </w:pict>
      </w:r>
      <w:r>
        <w:rPr/>
        <w:t>类别</w:t>
      </w:r>
      <w:r>
        <w:rPr>
          <w:spacing w:val="-30"/>
        </w:rPr>
        <w:t> </w:t>
      </w:r>
      <w:r>
        <w:rPr/>
        <w:t>折旧年限（年）</w:t>
        <w:tab/>
        <w:t>残值率</w:t>
        <w:tab/>
        <w:t>年折旧率</w:t>
      </w:r>
      <w:r>
        <w:rPr/>
        <w:t> 房屋及建筑物 </w:t>
      </w:r>
      <w:r>
        <w:rPr>
          <w:spacing w:val="1"/>
        </w:rPr>
        <w:t> </w:t>
      </w:r>
      <w:r>
        <w:rPr>
          <w:rFonts w:ascii="Times New Roman" w:hAnsi="Times New Roman" w:cs="Times New Roman" w:eastAsia="Times New Roman" w:hint="default"/>
        </w:rPr>
        <w:t>20</w:t>
        <w:tab/>
        <w:t>5</w:t>
        <w:tab/>
        <w:t>4.75</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4"/>
          <w:szCs w:val="24"/>
        </w:rPr>
      </w:pPr>
    </w:p>
    <w:p>
      <w:pPr>
        <w:pStyle w:val="BodyText"/>
        <w:spacing w:line="316" w:lineRule="auto" w:before="44"/>
        <w:ind w:right="0"/>
        <w:jc w:val="left"/>
      </w:pPr>
      <w:r>
        <w:rPr>
          <w:spacing w:val="-2"/>
        </w:rPr>
        <w:t>预计净残值是指假定固定资产预计使用寿命已满并处于使用寿命终了时的预期状态，本公司目前从该项资产处置中获得的扣</w:t>
      </w:r>
      <w:r>
        <w:rPr>
          <w:spacing w:val="-64"/>
        </w:rPr>
        <w:t> </w:t>
      </w:r>
      <w:r>
        <w:rPr>
          <w:spacing w:val="-64"/>
        </w:rPr>
      </w:r>
      <w:r>
        <w:rPr/>
        <w:t>除预计处置费用后的金额。</w:t>
      </w:r>
    </w:p>
    <w:tbl>
      <w:tblPr>
        <w:tblW w:w="0" w:type="auto"/>
        <w:jc w:val="left"/>
        <w:tblInd w:w="149" w:type="dxa"/>
        <w:tblLayout w:type="fixed"/>
        <w:tblCellMar>
          <w:top w:w="0" w:type="dxa"/>
          <w:left w:w="0" w:type="dxa"/>
          <w:bottom w:w="0" w:type="dxa"/>
          <w:right w:w="0" w:type="dxa"/>
        </w:tblCellMar>
        <w:tblLook w:val="01E0"/>
      </w:tblPr>
      <w:tblGrid>
        <w:gridCol w:w="2517"/>
        <w:gridCol w:w="2105"/>
        <w:gridCol w:w="2220"/>
        <w:gridCol w:w="2715"/>
      </w:tblGrid>
      <w:tr>
        <w:trPr>
          <w:trHeight w:val="401" w:hRule="exact"/>
        </w:trPr>
        <w:tc>
          <w:tcPr>
            <w:tcW w:w="2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年折旧率</w:t>
            </w:r>
          </w:p>
        </w:tc>
      </w:tr>
    </w:tbl>
    <w:p>
      <w:pPr>
        <w:spacing w:line="240" w:lineRule="auto" w:before="1"/>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）固定资产的减值测试方法、减值准备计提方法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固定资产的减值测试方法和减值准备计提方法详见附注四、</w:t>
      </w:r>
      <w:r>
        <w:rPr>
          <w:rFonts w:ascii="Times New Roman" w:hAnsi="Times New Roman" w:cs="Times New Roman" w:eastAsia="Times New Roman" w:hint="default"/>
        </w:rPr>
        <w:t>12“</w:t>
      </w:r>
      <w:r>
        <w:rPr/>
        <w:t>非流动非金融资产减值</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34"/>
        <w:jc w:val="left"/>
      </w:pPr>
      <w:r>
        <w:rPr/>
        <w:t>与固定资产有关的后续支出，如果与该固定资产有关的经济利益很可能流入且其成本能可靠地计量，则计入固定资产成本， 并终止确认被替换部分的账面价值。除此以外的其他后续支出，在发生时计入当期损益。</w:t>
      </w:r>
    </w:p>
    <w:p>
      <w:pPr>
        <w:spacing w:after="0" w:line="316" w:lineRule="auto"/>
        <w:jc w:val="left"/>
        <w:sectPr>
          <w:pgSz w:w="11910" w:h="16840"/>
          <w:pgMar w:header="877" w:footer="1241" w:top="1060" w:bottom="14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12</w:t>
      </w:r>
      <w:r>
        <w:rPr/>
        <w:t>、借款费用</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6" w:lineRule="auto"/>
        <w:ind w:right="1034"/>
        <w:jc w:val="left"/>
      </w:pPr>
      <w:r>
        <w:rPr>
          <w:spacing w:val="-2"/>
        </w:rPr>
        <w:t>借款费用包括借款利息、折价或溢价的摊销、辅助费用以及因外币借款而发生的汇兑差额等。可直接归属于符合资本化条件</w:t>
      </w:r>
      <w:r>
        <w:rPr>
          <w:spacing w:val="-63"/>
        </w:rPr>
        <w:t> </w:t>
      </w:r>
      <w:r>
        <w:rPr>
          <w:spacing w:val="-63"/>
        </w:rPr>
      </w:r>
      <w:r>
        <w:rPr>
          <w:spacing w:val="-2"/>
        </w:rPr>
        <w:t>的资产的购建或者生产的借款费用，在资产支出已经发生、借款费用已经发生、为使资产达到预定可使用或可销售状态所必</w:t>
      </w:r>
      <w:r>
        <w:rPr>
          <w:spacing w:val="-65"/>
        </w:rPr>
        <w:t> </w:t>
      </w:r>
      <w:r>
        <w:rPr>
          <w:spacing w:val="-65"/>
        </w:rPr>
      </w:r>
      <w:r>
        <w:rPr>
          <w:spacing w:val="-2"/>
        </w:rPr>
        <w:t>要的购建或生产活动已经开始时，开始资本化；构建或者生产的符合资本化条件的资产达到预定可使用状态或者可销售状态</w:t>
      </w:r>
      <w:r>
        <w:rPr>
          <w:spacing w:val="-64"/>
        </w:rPr>
        <w:t> </w:t>
      </w:r>
      <w:r>
        <w:rPr>
          <w:spacing w:val="-64"/>
        </w:rPr>
      </w:r>
      <w:r>
        <w:rPr/>
        <w:t>时，停止资本化。其余借款费用在发生当期确认为费用。 </w:t>
      </w:r>
      <w:r>
        <w:rPr>
          <w:spacing w:val="-2"/>
        </w:rPr>
        <w:t>专门借款当期实际发生的利息费用，减去尚未动用的借款资金存入银行取得的利息收入或进行暂时性投资取得的投资收益后</w:t>
      </w:r>
      <w:r>
        <w:rPr>
          <w:spacing w:val="-64"/>
        </w:rPr>
        <w:t> </w:t>
      </w:r>
      <w:r>
        <w:rPr>
          <w:spacing w:val="-64"/>
        </w:rPr>
      </w:r>
      <w:r>
        <w:rPr/>
        <w:t>的金额予以资本化；一般借款根据累计资产支出超过专门借款部分的资产支出加权平均数乘以所占用一般借款的资本化率， 确定资本化金额。资本化率根据一般借款的加权平均利率计算确定。</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符合资本化条件的资产指需要经过相当长时间的购建或者生产活动才能达到预定可使用或可销售状态的固定资产、投资性房</w:t>
      </w:r>
      <w:r>
        <w:rPr>
          <w:spacing w:val="-64"/>
        </w:rPr>
        <w:t> </w:t>
      </w:r>
      <w:r>
        <w:rPr>
          <w:spacing w:val="-64"/>
        </w:rPr>
      </w:r>
      <w:r>
        <w:rPr/>
        <w:t>地产和存货等资产。</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0"/>
        <w:jc w:val="left"/>
      </w:pPr>
      <w:r>
        <w:rPr>
          <w:spacing w:val="-2"/>
        </w:rPr>
        <w:t>如果符合资本化条件的资产在购建或生产过程中发生非正常中断、并且中断时间连续超过</w:t>
      </w:r>
      <w:r>
        <w:rPr>
          <w:rFonts w:ascii="Times New Roman" w:hAnsi="Times New Roman" w:cs="Times New Roman" w:eastAsia="Times New Roman" w:hint="default"/>
          <w:spacing w:val="-2"/>
        </w:rPr>
        <w:t>3</w:t>
      </w:r>
      <w:r>
        <w:rPr>
          <w:spacing w:val="-2"/>
        </w:rPr>
        <w:t>个月的，暂停借款费用的资本化，</w:t>
      </w:r>
      <w:r>
        <w:rPr>
          <w:spacing w:val="-63"/>
        </w:rPr>
        <w:t> </w:t>
      </w:r>
      <w:r>
        <w:rPr>
          <w:spacing w:val="-63"/>
        </w:rPr>
      </w:r>
      <w:r>
        <w:rPr/>
        <w:t>直至资产的购建或生产活动重新开始。</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13</w:t>
      </w:r>
      <w:r>
        <w:rPr/>
        <w:t>、无形资产</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6" w:lineRule="auto"/>
        <w:ind w:right="0"/>
        <w:jc w:val="left"/>
      </w:pPr>
      <w:r>
        <w:rPr/>
        <w:t>无形资产是指本公司拥有或者控制的没有实物形态的可辨认非货币性资产。 </w:t>
      </w:r>
      <w:r>
        <w:rPr>
          <w:spacing w:val="-2"/>
        </w:rPr>
        <w:t>无形资产按成本进行初始计量。与无形资产有关的支出，如果相关的经济利益很可能流入本公司且其成本能可靠地计量，则</w:t>
      </w:r>
      <w:r>
        <w:rPr>
          <w:spacing w:val="-65"/>
        </w:rPr>
        <w:t> </w:t>
      </w:r>
      <w:r>
        <w:rPr>
          <w:spacing w:val="-65"/>
        </w:rPr>
      </w:r>
      <w:r>
        <w:rPr/>
        <w:t>计入无形资产成本。除此以外的其他项目的支出，在发生时计入当期损益。 </w:t>
      </w:r>
      <w:r>
        <w:rPr>
          <w:spacing w:val="-2"/>
        </w:rPr>
        <w:t>取得的土地使用权通常作为无形资产核算。自行开发建造厂房等建筑物，相关的土地使用权支出和建筑物建造成本则分别作</w:t>
      </w:r>
      <w:r>
        <w:rPr>
          <w:spacing w:val="-64"/>
        </w:rPr>
        <w:t> </w:t>
      </w:r>
      <w:r>
        <w:rPr>
          <w:spacing w:val="-64"/>
        </w:rPr>
      </w:r>
      <w:r>
        <w:rPr>
          <w:spacing w:val="-2"/>
        </w:rPr>
        <w:t>为无形资产和固定资产核算。如为外购的房屋及建筑物，则将有关价款在土地使用权和建筑物之间进行分配，难以合理分配</w:t>
      </w:r>
      <w:r>
        <w:rPr>
          <w:spacing w:val="-63"/>
        </w:rPr>
        <w:t> </w:t>
      </w:r>
      <w:r>
        <w:rPr>
          <w:spacing w:val="-63"/>
        </w:rPr>
      </w:r>
      <w:r>
        <w:rPr/>
        <w:t>的，全部作为固定资产处理。 </w:t>
      </w:r>
      <w:r>
        <w:rPr>
          <w:spacing w:val="-2"/>
        </w:rPr>
        <w:t>使用寿命有限的无形资产自可供使用时起，对其原值在其预计使用寿命内采用直线法分期平均摊销。使用寿命不确定的无形</w:t>
      </w:r>
      <w:r>
        <w:rPr>
          <w:spacing w:val="-64"/>
        </w:rPr>
        <w:t> </w:t>
      </w:r>
      <w:r>
        <w:rPr>
          <w:spacing w:val="-64"/>
        </w:rPr>
      </w:r>
      <w:r>
        <w:rPr/>
        <w:t>资产不予摊销。</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期末，对使用寿命有限的无形资产的使用寿命和摊销方法进行复核，如发生变更则作为会计估计变更处理。</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279"/>
        <w:gridCol w:w="2216"/>
        <w:gridCol w:w="5075"/>
      </w:tblGrid>
      <w:tr>
        <w:trPr>
          <w:trHeight w:val="401" w:hRule="exact"/>
        </w:trPr>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8"/>
        <w:rPr>
          <w:rFonts w:ascii="宋体" w:hAnsi="宋体" w:cs="宋体" w:eastAsia="宋体" w:hint="default"/>
          <w:b/>
          <w:bCs/>
          <w:sz w:val="20"/>
          <w:szCs w:val="20"/>
        </w:rPr>
      </w:pPr>
    </w:p>
    <w:p>
      <w:pPr>
        <w:pStyle w:val="BodyText"/>
        <w:spacing w:line="310" w:lineRule="atLeast"/>
        <w:ind w:right="0"/>
        <w:jc w:val="left"/>
      </w:pPr>
      <w:r>
        <w:rPr>
          <w:spacing w:val="-2"/>
        </w:rPr>
        <w:t>此外，还对使用寿命不确定的无形资产的使用寿命进行复核，如果有证据表明该无形资产为企业带来经济利益的期限是可预</w:t>
      </w:r>
      <w:r>
        <w:rPr>
          <w:spacing w:val="-64"/>
        </w:rPr>
        <w:t> </w:t>
      </w:r>
      <w:r>
        <w:rPr>
          <w:spacing w:val="-64"/>
        </w:rPr>
      </w:r>
      <w:r>
        <w:rPr/>
        <w:t>见的，则估计其使用寿命并按照使用寿命有限的无形资产的摊销政策进行摊销。</w:t>
      </w:r>
    </w:p>
    <w:p>
      <w:pPr>
        <w:spacing w:after="0" w:line="310" w:lineRule="atLeast"/>
        <w:jc w:val="left"/>
        <w:sectPr>
          <w:pgSz w:w="11910" w:h="16840"/>
          <w:pgMar w:header="877" w:footer="1241" w:top="1060" w:bottom="14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0"/>
        <w:jc w:val="both"/>
      </w:pPr>
      <w:r>
        <w:rPr>
          <w:spacing w:val="-2"/>
        </w:rPr>
        <w:t>对于固定资产、在建工程、使用寿命有限的无形资产、以成本模式计量的投资性房地产及对子公司、合营企业、联营企业的</w:t>
      </w:r>
      <w:r>
        <w:rPr>
          <w:spacing w:val="-67"/>
        </w:rPr>
        <w:t> </w:t>
      </w:r>
      <w:r>
        <w:rPr>
          <w:spacing w:val="-67"/>
        </w:rPr>
      </w:r>
      <w:r>
        <w:rPr>
          <w:spacing w:val="-2"/>
        </w:rPr>
        <w:t>长期股权投资等非流动非金融资产，本公司于资产负债表日判断是否存在减值迹象。如存在减值迹象的，则估计其可收回金</w:t>
      </w:r>
      <w:r>
        <w:rPr>
          <w:spacing w:val="-63"/>
        </w:rPr>
        <w:t> </w:t>
      </w:r>
      <w:r>
        <w:rPr>
          <w:spacing w:val="-63"/>
        </w:rPr>
      </w:r>
      <w:r>
        <w:rPr>
          <w:spacing w:val="-2"/>
        </w:rPr>
        <w:t>额，进行减值测试。商誉、使用寿命不确定的无形资产和尚未达到可使用状态的无形资产，无论是否存在减值迹象，每年均</w:t>
      </w:r>
      <w:r>
        <w:rPr>
          <w:spacing w:val="-65"/>
        </w:rPr>
        <w:t> </w:t>
      </w:r>
      <w:r>
        <w:rPr>
          <w:spacing w:val="-65"/>
        </w:rPr>
      </w:r>
      <w:r>
        <w:rPr/>
        <w:t>进行减值测试。</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14</w:t>
      </w:r>
      <w:r>
        <w:rPr/>
        <w:t>、预计负债</w:t>
      </w:r>
      <w:r>
        <w:rPr>
          <w:b w:val="0"/>
          <w:bCs w:val="0"/>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00" w:lineRule="auto"/>
        <w:ind w:right="0"/>
        <w:jc w:val="left"/>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）该义务是本公司承担的现时义务；（</w:t>
      </w:r>
      <w:r>
        <w:rPr>
          <w:rFonts w:ascii="Times New Roman" w:hAnsi="Times New Roman" w:cs="Times New Roman" w:eastAsia="Times New Roman" w:hint="default"/>
          <w:spacing w:val="-2"/>
        </w:rPr>
        <w:t>2</w:t>
      </w:r>
      <w:r>
        <w:rPr>
          <w:spacing w:val="-2"/>
        </w:rPr>
        <w:t>）履行该义务很</w:t>
      </w:r>
      <w:r>
        <w:rPr>
          <w:spacing w:val="-64"/>
        </w:rPr>
        <w:t> </w:t>
      </w:r>
      <w:r>
        <w:rPr>
          <w:spacing w:val="-64"/>
        </w:rPr>
      </w:r>
      <w:r>
        <w:rPr/>
        <w:t>可能导致经济利益流出；（</w:t>
      </w:r>
      <w:r>
        <w:rPr>
          <w:rFonts w:ascii="Times New Roman" w:hAnsi="Times New Roman" w:cs="Times New Roman" w:eastAsia="Times New Roman" w:hint="default"/>
        </w:rPr>
        <w:t>3</w:t>
      </w:r>
      <w:r>
        <w:rPr/>
        <w:t>）该义务的金额能够可靠地计量。</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jc w:val="left"/>
      </w:pPr>
      <w:r>
        <w:rPr>
          <w:spacing w:val="-2"/>
        </w:rPr>
        <w:t>在资产负债表日，考虑与或有事项有关的风险、不确定性和货币时间价值等因素，按照履行相关现时义务所需支出的最佳估</w:t>
      </w:r>
      <w:r>
        <w:rPr>
          <w:spacing w:val="-62"/>
        </w:rPr>
        <w:t> </w:t>
      </w:r>
      <w:r>
        <w:rPr>
          <w:spacing w:val="-62"/>
        </w:rPr>
      </w:r>
      <w:r>
        <w:rPr/>
        <w:t>计数对预计负债进行计量。 </w:t>
      </w:r>
      <w:r>
        <w:rPr>
          <w:spacing w:val="-2"/>
        </w:rPr>
        <w:t>如果清偿预计负债所需支出全部或部分预期由第三方补偿的，补偿金额在基本确定能够收到时，作为资产单独确认，且确认</w:t>
      </w:r>
      <w:r>
        <w:rPr>
          <w:spacing w:val="-66"/>
        </w:rPr>
        <w:t> </w:t>
      </w:r>
      <w:r>
        <w:rPr>
          <w:spacing w:val="-66"/>
        </w:rPr>
      </w:r>
      <w:r>
        <w:rPr/>
        <w:t>的补偿金额不超过预计负债的账面价值</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15</w:t>
      </w:r>
      <w:r>
        <w:rPr/>
        <w:t>、收入</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4" w:lineRule="auto"/>
        <w:ind w:right="1128"/>
        <w:jc w:val="both"/>
      </w:pPr>
      <w:r>
        <w:rPr/>
        <w:t>（</w:t>
      </w:r>
      <w:r>
        <w:rPr>
          <w:rFonts w:ascii="Times New Roman" w:hAnsi="Times New Roman" w:cs="Times New Roman" w:eastAsia="Times New Roman" w:hint="default"/>
        </w:rPr>
        <w:t>1</w:t>
      </w:r>
      <w:r>
        <w:rPr/>
        <w:t>）商品销售收入对于房地产购买方在建造工程开始前能够规定房地产设计的主要结构要素，或者能够在建造过程中决定 主要结构变动的，房地产建造协议符合建造合同定义，本公司对于所提供的建造服务按照《企业会计准则第</w:t>
      </w:r>
      <w:r>
        <w:rPr>
          <w:spacing w:val="-44"/>
        </w:rPr>
        <w:t> </w:t>
      </w:r>
      <w:r>
        <w:rPr>
          <w:rFonts w:ascii="Times New Roman" w:hAnsi="Times New Roman" w:cs="Times New Roman" w:eastAsia="Times New Roman" w:hint="default"/>
        </w:rPr>
        <w:t>15 </w:t>
      </w:r>
      <w:r>
        <w:rPr/>
        <w:t>号</w:t>
      </w:r>
      <w:r>
        <w:rPr>
          <w:rFonts w:ascii="Times New Roman" w:hAnsi="Times New Roman" w:cs="Times New Roman" w:eastAsia="Times New Roman" w:hint="default"/>
        </w:rPr>
        <w:t>—</w:t>
      </w:r>
      <w:r>
        <w:rPr/>
        <w:t>建造合 </w:t>
      </w:r>
      <w:r>
        <w:rPr>
          <w:spacing w:val="-2"/>
        </w:rPr>
        <w:t>同》确认相关的收入和费用；对于房地产购买方影响房地产设计的能力有限（如仅能对基本设计方案做微小变动）的，本公</w:t>
      </w:r>
      <w:r>
        <w:rPr>
          <w:spacing w:val="-67"/>
        </w:rPr>
        <w:t> </w:t>
      </w:r>
      <w:r>
        <w:rPr>
          <w:spacing w:val="-67"/>
        </w:rPr>
      </w:r>
      <w:r>
        <w:rPr/>
        <w:t>司按照《企业会计准则第</w:t>
      </w:r>
      <w:r>
        <w:rPr>
          <w:spacing w:val="-45"/>
        </w:rPr>
        <w:t> </w:t>
      </w:r>
      <w:r>
        <w:rPr>
          <w:rFonts w:ascii="Times New Roman" w:hAnsi="Times New Roman" w:cs="Times New Roman" w:eastAsia="Times New Roman" w:hint="default"/>
        </w:rPr>
        <w:t>14 </w:t>
      </w:r>
      <w:r>
        <w:rPr/>
        <w:t>号－收入》中有关商品销售收入确认的原则和方法，并结合本公司房地产销售业务的具体情况 </w:t>
      </w:r>
      <w:r>
        <w:rPr>
          <w:spacing w:val="-2"/>
        </w:rPr>
        <w:t>确认相关的营业收入。①开发产品已经完工并验收合格，签订了销售合同并履行了合同规定的义务，即开发产品所有权上的</w:t>
      </w:r>
      <w:r>
        <w:rPr>
          <w:spacing w:val="-62"/>
        </w:rPr>
        <w:t> </w:t>
      </w:r>
      <w:r>
        <w:rPr>
          <w:spacing w:val="-62"/>
        </w:rPr>
      </w:r>
      <w:r>
        <w:rPr>
          <w:spacing w:val="-2"/>
        </w:rPr>
        <w:t>主要风险和报酬转移给购货方；公司不再保留通常与所有权相联系的继续管理权，也不再对已售出的商品实施有效控制；收</w:t>
      </w:r>
      <w:r>
        <w:rPr>
          <w:spacing w:val="-63"/>
        </w:rPr>
        <w:t> </w:t>
      </w:r>
      <w:r>
        <w:rPr>
          <w:spacing w:val="-63"/>
        </w:rPr>
      </w:r>
      <w:r>
        <w:rPr>
          <w:spacing w:val="-2"/>
        </w:rPr>
        <w:t>入的金额能够可靠地计量；相关的经济利益很可能流入；并且该项目已发生或将发生的成本能够可靠地计量时，确认销售收</w:t>
      </w:r>
      <w:r>
        <w:rPr>
          <w:spacing w:val="-61"/>
        </w:rPr>
        <w:t> </w:t>
      </w:r>
      <w:r>
        <w:rPr>
          <w:spacing w:val="-61"/>
        </w:rPr>
      </w:r>
      <w:r>
        <w:rPr>
          <w:spacing w:val="-2"/>
        </w:rPr>
        <w:t>入的实现。②出售自用房屋自用房屋所有权上的主要风险和报酬转移给购货方，公司不再保留通常与所有权相联系的继续管</w:t>
      </w:r>
      <w:r>
        <w:rPr>
          <w:spacing w:val="-64"/>
        </w:rPr>
        <w:t> </w:t>
      </w:r>
      <w:r>
        <w:rPr>
          <w:spacing w:val="-64"/>
        </w:rPr>
      </w:r>
      <w:r>
        <w:rPr>
          <w:spacing w:val="-2"/>
        </w:rPr>
        <w:t>理权，也不再对已售出的商品实施有效控制，收入的金额能够可靠地计量，相关的经济利益很可能流入，并且该房屋成本能</w:t>
      </w:r>
      <w:r>
        <w:rPr>
          <w:spacing w:val="-65"/>
        </w:rPr>
        <w:t> </w:t>
      </w:r>
      <w:r>
        <w:rPr>
          <w:spacing w:val="-65"/>
        </w:rPr>
      </w:r>
      <w:r>
        <w:rPr>
          <w:spacing w:val="-2"/>
        </w:rPr>
        <w:t>够可靠地计量时，确认销售收入的实现。③代建房屋和工程业务代建房屋和工程签订有不可撤销的建造合同，与代建房屋和</w:t>
      </w:r>
      <w:r>
        <w:rPr>
          <w:spacing w:val="-62"/>
        </w:rPr>
        <w:t> </w:t>
      </w:r>
      <w:r>
        <w:rPr>
          <w:spacing w:val="-62"/>
        </w:rPr>
      </w:r>
      <w:r>
        <w:rPr>
          <w:spacing w:val="-2"/>
        </w:rPr>
        <w:t>工程相关的经济利益能够流入企业，代建房屋和工程的完工进度能够可靠地确定，并且代建房屋和工程有关的成本能够可靠</w:t>
      </w:r>
      <w:r>
        <w:rPr>
          <w:spacing w:val="-64"/>
        </w:rPr>
        <w:t> </w:t>
      </w:r>
      <w:r>
        <w:rPr>
          <w:spacing w:val="-64"/>
        </w:rPr>
      </w:r>
      <w:r>
        <w:rPr>
          <w:spacing w:val="-2"/>
        </w:rPr>
        <w:t>地计量时，采用完工百分比法确认营业收入的实现。④出租物业收入确认方法按租赁合同、协议约定的承租日期（有免租期</w:t>
      </w:r>
      <w:r>
        <w:rPr>
          <w:spacing w:val="-63"/>
        </w:rPr>
        <w:t> </w:t>
      </w:r>
      <w:r>
        <w:rPr>
          <w:spacing w:val="-63"/>
        </w:rPr>
      </w:r>
      <w:r>
        <w:rPr>
          <w:spacing w:val="-2"/>
        </w:rPr>
        <w:t>的考虑免租期）与租金额，在相关租金已经收到或取得了收款的证据时确认出租物业收入的实现。⑤其他业务收入确认方法</w:t>
      </w:r>
      <w:r>
        <w:rPr>
          <w:spacing w:val="-64"/>
        </w:rPr>
        <w:t> </w:t>
      </w:r>
      <w:r>
        <w:rPr>
          <w:spacing w:val="-64"/>
        </w:rPr>
      </w:r>
      <w:r>
        <w:rPr>
          <w:spacing w:val="-2"/>
        </w:rPr>
        <w:t>按相关合同、协议的约定，与交易相关的经济利益很可能流入企业，收入金额能够可靠计量，与收入相关的已发生或将发生</w:t>
      </w:r>
      <w:r>
        <w:rPr>
          <w:spacing w:val="-64"/>
        </w:rPr>
        <w:t> </w:t>
      </w:r>
      <w:r>
        <w:rPr>
          <w:spacing w:val="-64"/>
        </w:rPr>
      </w:r>
      <w:r>
        <w:rPr/>
        <w:t>成本能够可靠地计量时，确认其他业务收入的实现。</w:t>
      </w:r>
    </w:p>
    <w:p>
      <w:pPr>
        <w:spacing w:line="240" w:lineRule="auto" w:before="12"/>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）确认提供劳务收入的依据</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0"/>
        <w:jc w:val="left"/>
      </w:pPr>
      <w:r>
        <w:rPr/>
        <w:t>（</w:t>
      </w:r>
      <w:r>
        <w:rPr>
          <w:rFonts w:ascii="Times New Roman" w:hAnsi="Times New Roman" w:cs="Times New Roman" w:eastAsia="Times New Roman" w:hint="default"/>
        </w:rPr>
        <w:t>2</w:t>
      </w:r>
      <w:r>
        <w:rPr/>
        <w:t>）提供劳务收入 </w:t>
      </w:r>
      <w:r>
        <w:rPr>
          <w:spacing w:val="-2"/>
        </w:rPr>
        <w:t>在提供劳务交易的结果能够可靠估计的情况下，于资产负债表日按照完工百分比法确认提供的劳务收入。劳务交易的完工进</w:t>
      </w:r>
    </w:p>
    <w:p>
      <w:pPr>
        <w:spacing w:after="0" w:line="300" w:lineRule="auto"/>
        <w:jc w:val="left"/>
        <w:sectPr>
          <w:footerReference w:type="default" r:id="rId51"/>
          <w:pgSz w:w="11910" w:h="16840"/>
          <w:pgMar w:footer="1250" w:header="877" w:top="1060" w:bottom="1440" w:left="980" w:right="0"/>
          <w:pgNumType w:start="70"/>
        </w:sectPr>
      </w:pPr>
    </w:p>
    <w:p>
      <w:pPr>
        <w:spacing w:line="240" w:lineRule="auto" w:before="9"/>
        <w:rPr>
          <w:rFonts w:ascii="宋体" w:hAnsi="宋体" w:cs="宋体" w:eastAsia="宋体" w:hint="default"/>
          <w:sz w:val="25"/>
          <w:szCs w:val="25"/>
        </w:rPr>
      </w:pPr>
    </w:p>
    <w:p>
      <w:pPr>
        <w:pStyle w:val="BodyText"/>
        <w:spacing w:line="316" w:lineRule="auto" w:before="44"/>
        <w:ind w:right="1034"/>
        <w:jc w:val="left"/>
      </w:pPr>
      <w:r>
        <w:rPr/>
        <w:t>度按已经提供的劳务占应提供劳务总量的比例确定。 </w:t>
      </w:r>
      <w:r>
        <w:rPr>
          <w:spacing w:val="-2"/>
        </w:rPr>
        <w:t>提供劳务交易的结果能够可靠估计是指同时满足：①收入的金额能够可靠地计量；②相关的经济利益很可能流入企业；③交</w:t>
      </w:r>
      <w:r>
        <w:rPr>
          <w:spacing w:val="-63"/>
        </w:rPr>
        <w:t> </w:t>
      </w:r>
      <w:r>
        <w:rPr>
          <w:spacing w:val="-63"/>
        </w:rPr>
      </w:r>
      <w:r>
        <w:rPr/>
        <w:t>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如果提供劳务交易的结果不能够可靠估计，则按已经发生并预计能够得到补偿的劳务成本金额确认提供的劳务收入，并将已</w:t>
      </w:r>
      <w:r>
        <w:rPr>
          <w:spacing w:val="-64"/>
        </w:rPr>
        <w:t> </w:t>
      </w:r>
      <w:r>
        <w:rPr>
          <w:spacing w:val="-64"/>
        </w:rPr>
      </w:r>
      <w:r>
        <w:rPr/>
        <w:t>发生的劳务成本作为当期费用。已经发生的劳务成本如预计不能得到补偿的，则不确认收入。 本公司与其他企业签订的合同或协议包括销售商品和提供劳务时，如销售商品部分和提供劳务部分能够区分并单独计量的， 将销售商品部分和提供劳务部分分别处理；如销售商品部分和提供劳务部分不能够区分，或虽能区分但不能够单独计量的，</w:t>
      </w:r>
      <w:r>
        <w:rPr/>
        <w:t> 将该合同全部作为销售商品处理。</w:t>
      </w:r>
    </w:p>
    <w:p>
      <w:pPr>
        <w:pStyle w:val="BodyText"/>
        <w:spacing w:line="300" w:lineRule="auto" w:before="19"/>
        <w:ind w:right="6974"/>
        <w:jc w:val="left"/>
      </w:pPr>
      <w:r>
        <w:rPr/>
        <w:t>（</w:t>
      </w:r>
      <w:r>
        <w:rPr>
          <w:rFonts w:ascii="Times New Roman" w:hAnsi="Times New Roman" w:cs="Times New Roman" w:eastAsia="Times New Roman" w:hint="default"/>
        </w:rPr>
        <w:t>3</w:t>
      </w:r>
      <w:r>
        <w:rPr/>
        <w:t>）使用费收入 根据有关合同或协议，按权责发生制确认收入。</w:t>
      </w:r>
    </w:p>
    <w:p>
      <w:pPr>
        <w:pStyle w:val="BodyText"/>
        <w:spacing w:line="300" w:lineRule="auto" w:before="31"/>
        <w:ind w:right="6254"/>
        <w:jc w:val="left"/>
      </w:pPr>
      <w:r>
        <w:rPr/>
        <w:t>（</w:t>
      </w:r>
      <w:r>
        <w:rPr>
          <w:rFonts w:ascii="Times New Roman" w:hAnsi="Times New Roman" w:cs="Times New Roman" w:eastAsia="Times New Roman" w:hint="default"/>
        </w:rPr>
        <w:t>4</w:t>
      </w:r>
      <w:r>
        <w:rPr/>
        <w:t>）利息收入 按照他人使用本公司货币资金的时间和实际利率计算确定</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16</w:t>
      </w:r>
      <w:r>
        <w:rPr/>
        <w:t>、政府补助</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）类型</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2" w:lineRule="auto"/>
        <w:ind w:right="1034"/>
        <w:jc w:val="left"/>
      </w:pPr>
      <w:r>
        <w:rPr>
          <w:spacing w:val="-2"/>
        </w:rPr>
        <w:t>政府补助是指本公司从政府无偿取得货币性资产和非货币性资产，不包括政府作为所有者投入的资本。政府补助分为与资产</w:t>
      </w:r>
      <w:r>
        <w:rPr>
          <w:spacing w:val="-64"/>
        </w:rPr>
        <w:t> </w:t>
      </w:r>
      <w:r>
        <w:rPr>
          <w:spacing w:val="-64"/>
        </w:rPr>
      </w:r>
      <w:r>
        <w:rPr>
          <w:spacing w:val="-2"/>
        </w:rPr>
        <w:t>相关的政府补助和与收益相关的政府补助。本公司将所取得的用于购建或以其他方式形成长期资产的政府补助界定为与资产</w:t>
      </w:r>
      <w:r>
        <w:rPr>
          <w:spacing w:val="-64"/>
        </w:rPr>
        <w:t> </w:t>
      </w:r>
      <w:r>
        <w:rPr>
          <w:spacing w:val="-64"/>
        </w:rPr>
      </w:r>
      <w:r>
        <w:rPr>
          <w:spacing w:val="-2"/>
        </w:rPr>
        <w:t>相关的政府补助；其余政府补助界定为与收益相关的政府补助。若政府文件未明确规定补助对象，则采用以下方式将补助款</w:t>
      </w:r>
      <w:r>
        <w:rPr>
          <w:spacing w:val="-62"/>
        </w:rPr>
        <w:t> </w:t>
      </w:r>
      <w:r>
        <w:rPr>
          <w:spacing w:val="-62"/>
        </w:rPr>
      </w:r>
      <w:r>
        <w:rPr>
          <w:spacing w:val="-4"/>
        </w:rPr>
        <w:t>划分为与收益相关的政府补助和与资产相关的政府补助：（</w:t>
      </w:r>
      <w:r>
        <w:rPr>
          <w:rFonts w:ascii="Times New Roman" w:hAnsi="Times New Roman" w:cs="Times New Roman" w:eastAsia="Times New Roman" w:hint="default"/>
          <w:spacing w:val="-4"/>
        </w:rPr>
        <w:t>1</w:t>
      </w:r>
      <w:r>
        <w:rPr>
          <w:spacing w:val="-4"/>
        </w:rPr>
        <w:t>）政府文件明确了补助所针对的特定项目的，根据该特定项目的</w:t>
      </w:r>
      <w:r>
        <w:rPr>
          <w:spacing w:val="-41"/>
        </w:rPr>
        <w:t> </w:t>
      </w:r>
      <w:r>
        <w:rPr>
          <w:spacing w:val="-41"/>
        </w:rPr>
      </w:r>
      <w:r>
        <w:rPr/>
        <w:t>预算中将形成资产的支出金额和计入费用的支出金额的相对比例进行划分，对该划分比例需在每个资产负债表日进行复核， </w:t>
      </w:r>
      <w:r>
        <w:rPr>
          <w:spacing w:val="-4"/>
        </w:rPr>
        <w:t>必要时进行变更；（</w:t>
      </w:r>
      <w:r>
        <w:rPr>
          <w:rFonts w:ascii="Times New Roman" w:hAnsi="Times New Roman" w:cs="Times New Roman" w:eastAsia="Times New Roman" w:hint="default"/>
          <w:spacing w:val="-4"/>
        </w:rPr>
        <w:t>2</w:t>
      </w:r>
      <w:r>
        <w:rPr>
          <w:spacing w:val="-4"/>
        </w:rPr>
        <w:t>）政府文件中对用途仅作一般性表述，没有指明特定项目的，作为与收益相关的政府补助。政府补助为</w:t>
      </w:r>
      <w:r>
        <w:rPr>
          <w:spacing w:val="-45"/>
        </w:rPr>
        <w:t> </w:t>
      </w:r>
      <w:r>
        <w:rPr>
          <w:spacing w:val="-45"/>
        </w:rPr>
      </w:r>
      <w:r>
        <w:rPr>
          <w:spacing w:val="-4"/>
        </w:rPr>
        <w:t>货币性资产的，按照收到或应收的金额计量。政府补助为非货币性资产的，按照公允价值计量；公允价值不能够可靠取得的，</w:t>
      </w:r>
      <w:r>
        <w:rPr>
          <w:spacing w:val="-46"/>
        </w:rPr>
        <w:t> </w:t>
      </w:r>
      <w:r>
        <w:rPr>
          <w:spacing w:val="-46"/>
        </w:rPr>
      </w:r>
      <w:r>
        <w:rPr>
          <w:spacing w:val="-2"/>
        </w:rPr>
        <w:t>按照名义金额计量。按照名义金额计量的政府补助，直接计入当期损益。本公司对于政府补助通常在实际收到时，按照实收</w:t>
      </w:r>
      <w:r>
        <w:rPr>
          <w:spacing w:val="-65"/>
        </w:rPr>
        <w:t> </w:t>
      </w:r>
      <w:r>
        <w:rPr>
          <w:spacing w:val="-65"/>
        </w:rPr>
      </w:r>
      <w:r>
        <w:rPr>
          <w:spacing w:val="-2"/>
        </w:rPr>
        <w:t>金额予以确认和计量。但对于期末有确凿证据表明能够符合财政扶持政策规定的相关条件预计能够收到财政扶持资金，按照</w:t>
      </w:r>
      <w:r>
        <w:rPr>
          <w:spacing w:val="-64"/>
        </w:rPr>
        <w:t> </w:t>
      </w:r>
      <w:r>
        <w:rPr>
          <w:spacing w:val="-64"/>
        </w:rPr>
      </w:r>
      <w:r>
        <w:rPr>
          <w:spacing w:val="-5"/>
        </w:rPr>
        <w:t>应收的金额计量。按照应收金额计量的政府补助应同时符合以下条件：（</w:t>
      </w:r>
      <w:r>
        <w:rPr>
          <w:rFonts w:ascii="Times New Roman" w:hAnsi="Times New Roman" w:cs="Times New Roman" w:eastAsia="Times New Roman" w:hint="default"/>
          <w:spacing w:val="-5"/>
        </w:rPr>
        <w:t>1</w:t>
      </w:r>
      <w:r>
        <w:rPr>
          <w:spacing w:val="-5"/>
        </w:rPr>
        <w:t>）应收补助款的金额已经过有权政府部门发文确认，</w:t>
      </w:r>
      <w:r>
        <w:rPr>
          <w:spacing w:val="-73"/>
        </w:rPr>
        <w:t> </w:t>
      </w:r>
      <w:r>
        <w:rPr>
          <w:spacing w:val="-73"/>
        </w:rPr>
      </w:r>
      <w:r>
        <w:rPr>
          <w:spacing w:val="-4"/>
        </w:rPr>
        <w:t>或者可根据正式发布的财政资金管理办法的有关规定自行合理测算，且预计其金额不存在重大不确定性；（</w:t>
      </w:r>
      <w:r>
        <w:rPr>
          <w:rFonts w:ascii="Times New Roman" w:hAnsi="Times New Roman" w:cs="Times New Roman" w:eastAsia="Times New Roman" w:hint="default"/>
          <w:spacing w:val="-4"/>
        </w:rPr>
        <w:t>2</w:t>
      </w:r>
      <w:r>
        <w:rPr>
          <w:spacing w:val="-4"/>
        </w:rPr>
        <w:t>）所依据的是当</w:t>
      </w:r>
      <w:r>
        <w:rPr>
          <w:spacing w:val="-42"/>
        </w:rPr>
        <w:t> </w:t>
      </w:r>
      <w:r>
        <w:rPr>
          <w:spacing w:val="-42"/>
        </w:rPr>
      </w:r>
      <w:r>
        <w:rPr>
          <w:spacing w:val="-2"/>
        </w:rPr>
        <w:t>地财政部门正式发布并按照《政府信息公开条例》的规定予以主动公开的财政扶持项目及其财政资金管理办法，且该管理办</w:t>
      </w:r>
      <w:r>
        <w:rPr>
          <w:spacing w:val="-62"/>
        </w:rPr>
        <w:t> </w:t>
      </w:r>
      <w:r>
        <w:rPr>
          <w:spacing w:val="-62"/>
        </w:rPr>
      </w:r>
      <w:r>
        <w:rPr>
          <w:spacing w:val="-4"/>
        </w:rPr>
        <w:t>法应当是普惠性的（任何符合规定条件的企业均可申请），而不是专门针对特定企业制定的；（</w:t>
      </w:r>
      <w:r>
        <w:rPr>
          <w:rFonts w:ascii="Times New Roman" w:hAnsi="Times New Roman" w:cs="Times New Roman" w:eastAsia="Times New Roman" w:hint="default"/>
          <w:spacing w:val="-4"/>
        </w:rPr>
        <w:t>3</w:t>
      </w:r>
      <w:r>
        <w:rPr>
          <w:spacing w:val="-4"/>
        </w:rPr>
        <w:t>）相关的补助款批文中已明</w:t>
      </w:r>
      <w:r>
        <w:rPr>
          <w:spacing w:val="-47"/>
        </w:rPr>
        <w:t> </w:t>
      </w:r>
      <w:r>
        <w:rPr>
          <w:spacing w:val="-4"/>
        </w:rPr>
        <w:t>确承诺了拨付期限，且该款项的拨付是有相应财政预算作为保障的，因而可以合理保证其可在规定期限内收到；（</w:t>
      </w:r>
      <w:r>
        <w:rPr>
          <w:rFonts w:ascii="Times New Roman" w:hAnsi="Times New Roman" w:cs="Times New Roman" w:eastAsia="Times New Roman" w:hint="default"/>
          <w:spacing w:val="-4"/>
        </w:rPr>
        <w:t>4</w:t>
      </w:r>
      <w:r>
        <w:rPr>
          <w:spacing w:val="-4"/>
        </w:rPr>
        <w:t>）根据本</w:t>
      </w:r>
      <w:r>
        <w:rPr>
          <w:spacing w:val="-40"/>
        </w:rPr>
        <w:t> </w:t>
      </w:r>
      <w:r>
        <w:rPr>
          <w:spacing w:val="-40"/>
        </w:rPr>
      </w:r>
      <w:r>
        <w:rPr>
          <w:spacing w:val="-2"/>
        </w:rPr>
        <w:t>公司和该补助事项的具体情况，应满足的其他相关条件（如有）。与资产相关的政府补助，确认为递延收益，并在相关资产</w:t>
      </w:r>
      <w:r>
        <w:rPr>
          <w:spacing w:val="-72"/>
        </w:rPr>
        <w:t> </w:t>
      </w:r>
      <w:r>
        <w:rPr>
          <w:spacing w:val="-72"/>
        </w:rPr>
      </w:r>
      <w:r>
        <w:rPr/>
        <w:t>的使用寿命内平均分配计入当期损益。与收益相关的政府补助，用于补偿以后期间的相关费用和损失的，确认为递延收益， </w:t>
      </w:r>
      <w:r>
        <w:rPr>
          <w:spacing w:val="-2"/>
        </w:rPr>
        <w:t>并在确认相关费用的期间计入当期损益；用于补偿已经发生的相关费用和损失的，直接计入当期损益。已确认的政府补助需</w:t>
      </w:r>
      <w:r>
        <w:rPr>
          <w:spacing w:val="-62"/>
        </w:rPr>
        <w:t> </w:t>
      </w:r>
      <w:r>
        <w:rPr>
          <w:spacing w:val="-62"/>
        </w:rPr>
      </w:r>
      <w:r>
        <w:rPr>
          <w:spacing w:val="-2"/>
        </w:rPr>
        <w:t>要返还时，存在相关递延收益余额的，冲减相关递延收益账面余额，超出部分计入当期损益；不存在相关递延收益的，直接</w:t>
      </w:r>
      <w:r>
        <w:rPr>
          <w:spacing w:val="-67"/>
        </w:rPr>
        <w:t> </w:t>
      </w:r>
      <w:r>
        <w:rPr>
          <w:spacing w:val="-67"/>
        </w:rPr>
      </w:r>
      <w:r>
        <w:rPr/>
        <w:t>计入当期损益。</w:t>
      </w:r>
    </w:p>
    <w:p>
      <w:pPr>
        <w:spacing w:line="240" w:lineRule="auto" w:before="1"/>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17</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w:t>
      </w:r>
      <w:r>
        <w:rPr>
          <w:rFonts w:ascii="Times New Roman" w:hAnsi="Times New Roman" w:cs="Times New Roman" w:eastAsia="Times New Roman" w:hint="default"/>
          <w:spacing w:val="1"/>
        </w:rPr>
        <w:t>1</w:t>
      </w:r>
      <w:r>
        <w:rPr>
          <w:spacing w:val="-22"/>
        </w:rPr>
        <w:t>）</w:t>
      </w:r>
      <w:r>
        <w:rPr/>
        <w:t>当期所得税资产负债表日</w:t>
      </w:r>
      <w:r>
        <w:rPr>
          <w:spacing w:val="-22"/>
        </w:rPr>
        <w:t>，</w:t>
      </w:r>
      <w:r>
        <w:rPr/>
        <w:t>对于当期和以前期间形成</w:t>
      </w:r>
      <w:r>
        <w:rPr>
          <w:spacing w:val="2"/>
        </w:rPr>
        <w:t>的</w:t>
      </w:r>
      <w:r>
        <w:rPr/>
        <w:t>当期所得税负</w:t>
      </w:r>
      <w:r>
        <w:rPr>
          <w:spacing w:val="-22"/>
        </w:rPr>
        <w:t>债</w:t>
      </w:r>
      <w:r>
        <w:rPr/>
        <w:t>（或资产</w:t>
      </w:r>
      <w:r>
        <w:rPr>
          <w:spacing w:val="-92"/>
        </w:rPr>
        <w:t>）</w:t>
      </w:r>
      <w:r>
        <w:rPr>
          <w:spacing w:val="-22"/>
        </w:rPr>
        <w:t>，</w:t>
      </w:r>
      <w:r>
        <w:rPr>
          <w:spacing w:val="2"/>
        </w:rPr>
        <w:t>以</w:t>
      </w:r>
      <w:r>
        <w:rPr/>
        <w:t>按照税法规定计算的预期应交纳</w:t>
      </w:r>
    </w:p>
    <w:p>
      <w:pPr>
        <w:pStyle w:val="BodyText"/>
        <w:spacing w:line="312" w:lineRule="exact" w:before="23"/>
        <w:ind w:right="1130"/>
        <w:jc w:val="both"/>
      </w:pPr>
      <w:r>
        <w:rPr>
          <w:spacing w:val="-2"/>
        </w:rPr>
        <w:t>（或返还）的所得税金额计量。计算当期所得税费用所依据的应纳税所得额系根据有关税法规定对本年度税前会计利润作相</w:t>
      </w:r>
      <w:r>
        <w:rPr>
          <w:spacing w:val="-64"/>
        </w:rPr>
        <w:t> </w:t>
      </w:r>
      <w:r>
        <w:rPr>
          <w:spacing w:val="-64"/>
        </w:rPr>
      </w:r>
      <w:r>
        <w:rPr>
          <w:spacing w:val="-4"/>
        </w:rPr>
        <w:t>应调整后计算得出。（</w:t>
      </w:r>
      <w:r>
        <w:rPr>
          <w:rFonts w:ascii="Times New Roman" w:hAnsi="Times New Roman" w:cs="Times New Roman" w:eastAsia="Times New Roman" w:hint="default"/>
          <w:spacing w:val="-4"/>
        </w:rPr>
        <w:t>2</w:t>
      </w:r>
      <w:r>
        <w:rPr>
          <w:spacing w:val="-4"/>
        </w:rPr>
        <w:t>）递延所得税资产及递延所得税负债某些资产、负债项目的账面价值与其计税基础之间的差额，以及</w:t>
      </w:r>
      <w:r>
        <w:rPr>
          <w:spacing w:val="-42"/>
        </w:rPr>
        <w:t> </w:t>
      </w:r>
      <w:r>
        <w:rPr>
          <w:spacing w:val="-42"/>
        </w:rPr>
      </w:r>
      <w:r>
        <w:rPr>
          <w:spacing w:val="-2"/>
        </w:rPr>
        <w:t>未作为资产和负债确认但按照税法规定可以确定其计税基础的项目的账面价值与计税基础之间的差额产生的暂时性差异，采</w:t>
      </w:r>
    </w:p>
    <w:p>
      <w:pPr>
        <w:spacing w:after="0" w:line="312" w:lineRule="exact"/>
        <w:jc w:val="both"/>
        <w:sectPr>
          <w:footerReference w:type="default" r:id="rId52"/>
          <w:pgSz w:w="11910" w:h="16840"/>
          <w:pgMar w:footer="1272" w:header="877" w:top="1060" w:bottom="1460" w:left="980" w:right="0"/>
          <w:pgNumType w:start="71"/>
        </w:sectPr>
      </w:pPr>
    </w:p>
    <w:p>
      <w:pPr>
        <w:spacing w:line="240" w:lineRule="auto" w:before="9"/>
        <w:rPr>
          <w:rFonts w:ascii="宋体" w:hAnsi="宋体" w:cs="宋体" w:eastAsia="宋体" w:hint="default"/>
          <w:sz w:val="25"/>
          <w:szCs w:val="25"/>
        </w:rPr>
      </w:pPr>
    </w:p>
    <w:p>
      <w:pPr>
        <w:pStyle w:val="BodyText"/>
        <w:spacing w:line="316" w:lineRule="auto" w:before="44"/>
        <w:ind w:right="1034"/>
        <w:jc w:val="left"/>
      </w:pPr>
      <w:r>
        <w:rPr>
          <w:spacing w:val="-2"/>
        </w:rPr>
        <w:t>用资产负债表债务法确认递延所得税资产及递延所得税负债。与商誉的初始确认有关，以及与既不是企业合并、发生时也不</w:t>
      </w:r>
      <w:r>
        <w:rPr>
          <w:spacing w:val="-66"/>
        </w:rPr>
        <w:t> </w:t>
      </w:r>
      <w:r>
        <w:rPr>
          <w:spacing w:val="-66"/>
        </w:rPr>
      </w:r>
      <w:r>
        <w:rPr>
          <w:spacing w:val="-2"/>
        </w:rPr>
        <w:t>影响会计利润和应纳税所得额（或可抵扣亏损）的交易中产生的资产或负债的初始确认有关的应纳税暂时性差异，不予确认</w:t>
      </w:r>
      <w:r>
        <w:rPr>
          <w:spacing w:val="-66"/>
        </w:rPr>
        <w:t> </w:t>
      </w:r>
      <w:r>
        <w:rPr>
          <w:spacing w:val="-66"/>
        </w:rPr>
      </w:r>
      <w:r>
        <w:rPr>
          <w:spacing w:val="-2"/>
        </w:rPr>
        <w:t>有关的递延所得税负债。此外，对与子公司、联营企业及合营企业投资相关的应纳税暂时性差异，如果本公司能够控制暂时</w:t>
      </w:r>
      <w:r>
        <w:rPr>
          <w:spacing w:val="-64"/>
        </w:rPr>
        <w:t> </w:t>
      </w:r>
      <w:r>
        <w:rPr>
          <w:spacing w:val="-64"/>
        </w:rPr>
      </w:r>
      <w:r>
        <w:rPr>
          <w:spacing w:val="-2"/>
        </w:rPr>
        <w:t>性差异转回的时间，而且该暂时性差异在可预见的未来很可能不会转回，也不予确认有关的递延所得税负债。除上述例外情</w:t>
      </w:r>
      <w:r>
        <w:rPr>
          <w:spacing w:val="-63"/>
        </w:rPr>
        <w:t> </w:t>
      </w:r>
      <w:r>
        <w:rPr>
          <w:spacing w:val="-63"/>
        </w:rPr>
      </w:r>
      <w:r>
        <w:rPr>
          <w:spacing w:val="-2"/>
        </w:rPr>
        <w:t>况，本公司确认其他所有应纳税暂时性差异产生的递延所得税负债。与既不是企业合并、发生时也不影响会计利润和应纳税</w:t>
      </w:r>
      <w:r>
        <w:rPr>
          <w:spacing w:val="-65"/>
        </w:rPr>
        <w:t> </w:t>
      </w:r>
      <w:r>
        <w:rPr>
          <w:spacing w:val="-65"/>
        </w:rPr>
      </w:r>
      <w:r>
        <w:rPr>
          <w:spacing w:val="-4"/>
        </w:rPr>
        <w:t>所得额（或可抵扣亏损）的交易中产生的资产或负债的初始确认有关的可抵扣暂时性差异，不予确认有关的递延所得税资产。</w:t>
      </w:r>
      <w:r>
        <w:rPr>
          <w:spacing w:val="-44"/>
        </w:rPr>
        <w:t> </w:t>
      </w:r>
      <w:r>
        <w:rPr>
          <w:spacing w:val="-44"/>
        </w:rPr>
      </w:r>
      <w:r>
        <w:rPr/>
        <w:t>此外，对与子公司、联营企业及合营企业投资相关的可抵扣暂时性差异，如果暂时性差异在可预见的未来不是很可能转回， 或者未来不是很可能获得用来抵扣可抵扣暂时性差异的应纳税所得额，不予确认有关的递延所得税资产。除上述例外情况，</w:t>
      </w:r>
      <w:r>
        <w:rPr/>
        <w:t> 本公司以很可能取得用来抵扣可抵扣暂时性差异的应纳税所得额为限，确认其他可抵扣暂时性差异产生的递延所得税资产。 对于能够结转以后年度的可抵扣亏损和税款抵减，以很可能获得用来抵扣可抵扣亏损和税款抵减的未来应纳税所得额为限， </w:t>
      </w:r>
      <w:r>
        <w:rPr>
          <w:spacing w:val="-2"/>
        </w:rPr>
        <w:t>确认相应的递延所得税资产。资产负债表日，对于递延所得税资产和递延所得税负债，根据税法规定，按照预期收回相关资</w:t>
      </w:r>
      <w:r>
        <w:rPr>
          <w:spacing w:val="-65"/>
        </w:rPr>
        <w:t> </w:t>
      </w:r>
      <w:r>
        <w:rPr>
          <w:spacing w:val="-65"/>
        </w:rPr>
      </w:r>
      <w:r>
        <w:rPr>
          <w:spacing w:val="-2"/>
        </w:rPr>
        <w:t>产或清偿相关负债期间的适用税率计量。于资产负债表日，对递延所得税资产的账面价值进行复核，如果未来很可能无法获</w:t>
      </w:r>
      <w:r>
        <w:rPr>
          <w:spacing w:val="-65"/>
        </w:rPr>
        <w:t> </w:t>
      </w:r>
      <w:r>
        <w:rPr>
          <w:spacing w:val="-65"/>
        </w:rPr>
      </w:r>
      <w:r>
        <w:rPr>
          <w:spacing w:val="-2"/>
        </w:rPr>
        <w:t>得足够的应纳税所得额用以抵扣递延所得税资产的利益，则减记递延所得税资产的账面价值。在很可能获得足够的应纳税所</w:t>
      </w:r>
      <w:r>
        <w:rPr>
          <w:spacing w:val="-63"/>
        </w:rPr>
        <w:t> </w:t>
      </w:r>
      <w:r>
        <w:rPr>
          <w:spacing w:val="-63"/>
        </w:rPr>
      </w:r>
      <w:r>
        <w:rPr>
          <w:spacing w:val="-4"/>
        </w:rPr>
        <w:t>得额时，减记的金额予以转回。（</w:t>
      </w:r>
      <w:r>
        <w:rPr>
          <w:rFonts w:ascii="Times New Roman" w:hAnsi="Times New Roman" w:cs="Times New Roman" w:eastAsia="Times New Roman" w:hint="default"/>
          <w:spacing w:val="-4"/>
        </w:rPr>
        <w:t>3</w:t>
      </w:r>
      <w:r>
        <w:rPr>
          <w:spacing w:val="-4"/>
        </w:rPr>
        <w:t>）所得税费用所得税费用包括当期所得税和递延所得税。除确认为其他综合收益或直接计</w:t>
      </w:r>
      <w:r>
        <w:rPr>
          <w:spacing w:val="-44"/>
        </w:rPr>
        <w:t> </w:t>
      </w:r>
      <w:r>
        <w:rPr>
          <w:spacing w:val="-44"/>
        </w:rPr>
      </w:r>
      <w:r>
        <w:rPr>
          <w:spacing w:val="-2"/>
        </w:rPr>
        <w:t>入股东权益的交易和事项相关的当期所得税和递延所得税计入其他综合收益或股东权益，以及企业合并产生的递延所得税调</w:t>
      </w:r>
      <w:r>
        <w:rPr>
          <w:spacing w:val="-64"/>
        </w:rPr>
        <w:t> </w:t>
      </w:r>
      <w:r>
        <w:rPr>
          <w:spacing w:val="-64"/>
        </w:rPr>
      </w:r>
      <w:r>
        <w:rPr>
          <w:spacing w:val="-4"/>
        </w:rPr>
        <w:t>整商誉的账面价值外，其余当期所得税和递延所得税费用或收益计入当期损益。（</w:t>
      </w:r>
      <w:r>
        <w:rPr>
          <w:rFonts w:ascii="Times New Roman" w:hAnsi="Times New Roman" w:cs="Times New Roman" w:eastAsia="Times New Roman" w:hint="default"/>
          <w:spacing w:val="-4"/>
        </w:rPr>
        <w:t>4</w:t>
      </w:r>
      <w:r>
        <w:rPr>
          <w:spacing w:val="-4"/>
        </w:rPr>
        <w:t>）所得税的抵销当拥有以净额结算的法定</w:t>
      </w:r>
      <w:r>
        <w:rPr>
          <w:spacing w:val="-43"/>
        </w:rPr>
        <w:t> </w:t>
      </w:r>
      <w:r>
        <w:rPr>
          <w:spacing w:val="-43"/>
        </w:rPr>
      </w:r>
      <w:r>
        <w:rPr>
          <w:spacing w:val="-4"/>
        </w:rPr>
        <w:t>权利，且意图以净额结算或取得资产、清偿负债同时进行时，本公司当期所得税资产及当期所得税负债以抵销后的净额列报。</w:t>
      </w:r>
      <w:r>
        <w:rPr>
          <w:spacing w:val="-44"/>
        </w:rPr>
        <w:t> </w:t>
      </w:r>
      <w:r>
        <w:rPr>
          <w:spacing w:val="-44"/>
        </w:rPr>
      </w: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的期间内，涉及的纳税主体意图以净额结算当期所得税资产和负债或是同时取得资产、清偿负债时，本公司递延所得税资产</w:t>
      </w:r>
      <w:r>
        <w:rPr>
          <w:spacing w:val="-63"/>
        </w:rPr>
        <w:t> </w:t>
      </w:r>
      <w:r>
        <w:rPr>
          <w:spacing w:val="-63"/>
        </w:rPr>
      </w:r>
      <w:r>
        <w:rPr/>
        <w:t>及递延所得税负债以抵销后的净额列报。</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18</w:t>
      </w:r>
      <w:r>
        <w:rPr/>
        <w:t>、主要会计政策、会计估计的变更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本报告期主要会计政策、会计估计是否变更</w:t>
      </w:r>
    </w:p>
    <w:p>
      <w:pPr>
        <w:pStyle w:val="BodyText"/>
        <w:spacing w:line="360" w:lineRule="auto" w:before="115"/>
        <w:ind w:right="8054"/>
        <w:jc w:val="left"/>
      </w:pPr>
      <w:r>
        <w:rPr/>
        <w:t>□ 是 √</w:t>
      </w:r>
      <w:r>
        <w:rPr>
          <w:spacing w:val="3"/>
        </w:rPr>
        <w:t> </w:t>
      </w:r>
      <w:r>
        <w:rPr/>
        <w:t>否</w:t>
      </w:r>
      <w:r>
        <w:rPr/>
        <w:t> 本公司本年度未发生会计政策变更</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本报告期主要会计政策是否变更</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本报告期主要会计估计是否变更</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19</w:t>
      </w:r>
      <w:r>
        <w:rPr/>
        <w:t>、前期会计差错更正</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本报告期是否发现前期会计差错</w:t>
      </w:r>
    </w:p>
    <w:p>
      <w:pPr>
        <w:pStyle w:val="BodyText"/>
        <w:spacing w:line="340" w:lineRule="auto" w:before="115"/>
        <w:ind w:right="80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本公司本年度未发生会计估计变更</w:t>
      </w:r>
    </w:p>
    <w:p>
      <w:pPr>
        <w:spacing w:after="0" w:line="340" w:lineRule="auto"/>
        <w:jc w:val="left"/>
        <w:sectPr>
          <w:pgSz w:w="11910" w:h="16840"/>
          <w:pgMar w:header="877" w:footer="1272" w:top="1060" w:bottom="14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本报告期是否发现采用追溯重述法的前期会计差错</w:t>
      </w:r>
    </w:p>
    <w:p>
      <w:pPr>
        <w:pStyle w:val="BodyText"/>
        <w:spacing w:line="240" w:lineRule="auto" w:before="115"/>
        <w:ind w:right="0"/>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本报告期是否发现采用未来适用法的前期会计差错</w:t>
      </w:r>
    </w:p>
    <w:p>
      <w:pPr>
        <w:pStyle w:val="BodyText"/>
        <w:spacing w:line="240" w:lineRule="auto" w:before="115"/>
        <w:ind w:right="0"/>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20</w:t>
      </w:r>
      <w:r>
        <w:rPr/>
        <w:t>、其他主要会计政策、会计估计和财务报表编制方法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jc w:val="left"/>
      </w:pPr>
      <w:r>
        <w:rPr/>
        <w:t>重大会计判断和估计 </w:t>
      </w:r>
      <w:r>
        <w:rPr>
          <w:spacing w:val="-4"/>
        </w:rPr>
        <w:t>本公司在运用会计政策过程中，由于经营活动内在的不确定性，本公司需要对无法准确计量的报表项目的账面价值进行判断、</w:t>
      </w:r>
      <w:r>
        <w:rPr>
          <w:spacing w:val="-43"/>
        </w:rPr>
        <w:t> </w:t>
      </w:r>
      <w:r>
        <w:rPr>
          <w:spacing w:val="-43"/>
        </w:rPr>
      </w:r>
      <w:r>
        <w:rPr>
          <w:spacing w:val="-2"/>
        </w:rPr>
        <w:t>估计和假设。这些判断、估计和假设是基于本公司管理层过去的历史经验，并在考虑其他相关因素的基础上做出的。这些判</w:t>
      </w:r>
      <w:r>
        <w:rPr>
          <w:spacing w:val="-64"/>
        </w:rPr>
        <w:t> </w:t>
      </w:r>
      <w:r>
        <w:rPr>
          <w:spacing w:val="-64"/>
        </w:rPr>
      </w:r>
      <w:r>
        <w:rPr>
          <w:spacing w:val="-2"/>
        </w:rPr>
        <w:t>断、估计和假设会影响收入、费用、资产和负债的报告金额以及资产负债表日或有负债的披露。然而，这些估计的不确定性</w:t>
      </w:r>
      <w:r>
        <w:rPr>
          <w:spacing w:val="-67"/>
        </w:rPr>
        <w:t> </w:t>
      </w:r>
      <w:r>
        <w:rPr>
          <w:spacing w:val="-67"/>
        </w:rPr>
      </w:r>
      <w:r>
        <w:rPr/>
        <w:t>所导致的结果可能造成对未来受影响的资产或负债的账面金额进行重大调整。 </w:t>
      </w:r>
      <w:r>
        <w:rPr>
          <w:spacing w:val="-2"/>
        </w:rPr>
        <w:t>本公司对前述判断、估计和假设在持续经营的基础上进行定期复核，会计估计的变更仅影响变更当期的，其影响数在变更当</w:t>
      </w:r>
      <w:r>
        <w:rPr>
          <w:spacing w:val="-63"/>
        </w:rPr>
        <w:t> </w:t>
      </w:r>
      <w:r>
        <w:rPr>
          <w:spacing w:val="-63"/>
        </w:rPr>
      </w:r>
      <w:r>
        <w:rPr/>
        <w:t>期予以确认；既影响变更当期又影响未来期间的，其影响数在变更当期和未来期间予以确认。 于资产负债表日，本公司需对财务报表项目金额进行判断、估计和假设的重要领域如下：</w:t>
      </w:r>
    </w:p>
    <w:p>
      <w:pPr>
        <w:pStyle w:val="BodyText"/>
        <w:spacing w:line="312" w:lineRule="auto" w:before="19"/>
        <w:ind w:right="0"/>
        <w:jc w:val="left"/>
      </w:pPr>
      <w:r>
        <w:rPr/>
        <w:t>（</w:t>
      </w:r>
      <w:r>
        <w:rPr>
          <w:rFonts w:ascii="Times New Roman" w:hAnsi="Times New Roman" w:cs="Times New Roman" w:eastAsia="Times New Roman" w:hint="default"/>
        </w:rPr>
        <w:t>1</w:t>
      </w:r>
      <w:r>
        <w:rPr/>
        <w:t>）坏账准备计提 </w:t>
      </w:r>
      <w:r>
        <w:rPr>
          <w:spacing w:val="-2"/>
        </w:rPr>
        <w:t>本公司根据应收款项的会计政策，采用备抵法核算坏账损失。应收账款减值是基于评估应收账款的可收回性。鉴定应收账款</w:t>
      </w:r>
      <w:r>
        <w:rPr>
          <w:spacing w:val="-63"/>
        </w:rPr>
        <w:t> </w:t>
      </w:r>
      <w:r>
        <w:rPr>
          <w:spacing w:val="-63"/>
        </w:rPr>
      </w:r>
      <w:r>
        <w:rPr>
          <w:spacing w:val="-2"/>
        </w:rPr>
        <w:t>减值要求管理层的判断和估计。实际的结果与原先估计的差异将在估计被改变的期间影响应收账款的账面价值及应收账款坏</w:t>
      </w:r>
      <w:r>
        <w:rPr>
          <w:spacing w:val="-64"/>
        </w:rPr>
        <w:t> </w:t>
      </w:r>
      <w:r>
        <w:rPr>
          <w:spacing w:val="-64"/>
        </w:rPr>
      </w:r>
      <w:r>
        <w:rPr/>
        <w:t>账准备的计提或转回。</w:t>
      </w:r>
    </w:p>
    <w:p>
      <w:pPr>
        <w:pStyle w:val="BodyText"/>
        <w:spacing w:line="314" w:lineRule="auto" w:before="23"/>
        <w:ind w:right="0"/>
        <w:jc w:val="left"/>
      </w:pPr>
      <w:r>
        <w:rPr/>
        <w:t>（</w:t>
      </w:r>
      <w:r>
        <w:rPr>
          <w:rFonts w:ascii="Times New Roman" w:hAnsi="Times New Roman" w:cs="Times New Roman" w:eastAsia="Times New Roman" w:hint="default"/>
        </w:rPr>
        <w:t>2</w:t>
      </w:r>
      <w:r>
        <w:rPr/>
        <w:t>）存货跌价准备 </w:t>
      </w:r>
      <w:r>
        <w:rPr>
          <w:spacing w:val="-2"/>
        </w:rPr>
        <w:t>本公司根据存货会计政策，按照成本与可变现净值孰低计量，对成本高于可变现净值及陈旧和滞销的存货，计提存货跌价准</w:t>
      </w:r>
      <w:r>
        <w:rPr>
          <w:spacing w:val="-63"/>
        </w:rPr>
        <w:t> </w:t>
      </w:r>
      <w:r>
        <w:rPr>
          <w:spacing w:val="-63"/>
        </w:rPr>
      </w:r>
      <w:r>
        <w:rPr>
          <w:spacing w:val="-2"/>
        </w:rPr>
        <w:t>备。存货减值至可变现净值是基于评估存货的可售性及其可变现净值。鉴定存货减值要求管理层在取得确凿证据，并且考虑</w:t>
      </w:r>
      <w:r>
        <w:rPr>
          <w:spacing w:val="-62"/>
        </w:rPr>
        <w:t> </w:t>
      </w:r>
      <w:r>
        <w:rPr>
          <w:spacing w:val="-62"/>
        </w:rPr>
      </w:r>
      <w:r>
        <w:rPr>
          <w:spacing w:val="-2"/>
        </w:rPr>
        <w:t>持有存货的目的、资产负债表日后事项的影响等因素的基础上作出判断和估计。实际的结果与原先估计的差异将在估计被改</w:t>
      </w:r>
      <w:r>
        <w:rPr>
          <w:spacing w:val="-64"/>
        </w:rPr>
        <w:t> </w:t>
      </w:r>
      <w:r>
        <w:rPr>
          <w:spacing w:val="-64"/>
        </w:rPr>
      </w:r>
      <w:r>
        <w:rPr/>
        <w:t>变的期间影响存货的账面价值及存货跌价准备的计提或转回。</w:t>
      </w:r>
    </w:p>
    <w:p>
      <w:pPr>
        <w:pStyle w:val="BodyText"/>
        <w:spacing w:line="314" w:lineRule="auto" w:before="20"/>
        <w:ind w:right="1119"/>
        <w:jc w:val="left"/>
      </w:pPr>
      <w:r>
        <w:rPr/>
        <w:t>（</w:t>
      </w:r>
      <w:r>
        <w:rPr>
          <w:rFonts w:ascii="Times New Roman" w:hAnsi="Times New Roman" w:cs="Times New Roman" w:eastAsia="Times New Roman" w:hint="default"/>
        </w:rPr>
        <w:t>3</w:t>
      </w:r>
      <w:r>
        <w:rPr/>
        <w:t>）在建开发成本预估 在工程项目合同结果可以可靠估计时，本公司采用完工百分比法在资产负债表日确认已发生未结算开发成本。 </w:t>
      </w:r>
      <w:r>
        <w:rPr>
          <w:spacing w:val="-2"/>
        </w:rPr>
        <w:t>在确定完工百分比、已发生的合同成本、预计合同总成本时，需要作出重大判断。项目管理层主要依靠过去的经验和工作作</w:t>
      </w:r>
      <w:r>
        <w:rPr>
          <w:spacing w:val="-64"/>
        </w:rPr>
        <w:t> </w:t>
      </w:r>
      <w:r>
        <w:rPr>
          <w:spacing w:val="-64"/>
        </w:rPr>
      </w:r>
      <w:r>
        <w:rPr>
          <w:spacing w:val="-2"/>
        </w:rPr>
        <w:t>出判断。预计合同总成本，以及合同执行结果的估计变更都可能对变更当期或以后期间的存货、营业成本，以及期间损益产</w:t>
      </w:r>
      <w:r>
        <w:rPr>
          <w:spacing w:val="-65"/>
        </w:rPr>
        <w:t> </w:t>
      </w:r>
      <w:r>
        <w:rPr>
          <w:spacing w:val="-65"/>
        </w:rPr>
      </w:r>
      <w:r>
        <w:rPr/>
        <w:t>生影响，且可能构成重大影响。</w:t>
      </w:r>
    </w:p>
    <w:p>
      <w:pPr>
        <w:pStyle w:val="BodyText"/>
        <w:spacing w:line="316" w:lineRule="auto" w:before="20"/>
        <w:ind w:right="1034"/>
        <w:jc w:val="left"/>
      </w:pPr>
      <w:r>
        <w:rPr/>
        <w:t>（</w:t>
      </w:r>
      <w:r>
        <w:rPr>
          <w:rFonts w:ascii="Times New Roman" w:hAnsi="Times New Roman" w:cs="Times New Roman" w:eastAsia="Times New Roman" w:hint="default"/>
        </w:rPr>
        <w:t>4</w:t>
      </w:r>
      <w:r>
        <w:rPr/>
        <w:t>）非金融非流动资产减值准备 本公司于资产负债表日对除金融资产之外的非流动资产判断是否存在可能发生减值的迹象。对使用寿命不确定的无形资产， </w:t>
      </w:r>
      <w:r>
        <w:rPr>
          <w:spacing w:val="-2"/>
        </w:rPr>
        <w:t>除每年进行的减值测试外，当其存在减值迹象时，也进行减值测试。其他除金融资产之外的非流动资产，当存在迹象表明其</w:t>
      </w:r>
      <w:r>
        <w:rPr>
          <w:spacing w:val="-65"/>
        </w:rPr>
        <w:t> </w:t>
      </w:r>
      <w:r>
        <w:rPr>
          <w:spacing w:val="-65"/>
        </w:rPr>
      </w:r>
      <w:r>
        <w:rPr/>
        <w:t>账面金额不可收回时，进行减值测试。 </w:t>
      </w:r>
      <w:r>
        <w:rPr>
          <w:spacing w:val="-2"/>
        </w:rPr>
        <w:t>当资产或资产组的账面价值高于可收回金额，即公允价值减去处置费用后的净额和预计未来现金流量的现值中的较高者，表</w:t>
      </w:r>
      <w:r>
        <w:rPr>
          <w:spacing w:val="-64"/>
        </w:rPr>
        <w:t> </w:t>
      </w:r>
      <w:r>
        <w:rPr>
          <w:spacing w:val="-64"/>
        </w:rPr>
      </w:r>
      <w:r>
        <w:rPr/>
        <w:t>明发生了减值。 </w:t>
      </w:r>
      <w:r>
        <w:rPr>
          <w:spacing w:val="-2"/>
        </w:rPr>
        <w:t>公允价值减去处置费用后的净额，参考公平交易中类似资产的销售协议价格或可观察到的市场价格，减去可直接归属于该资</w:t>
      </w:r>
      <w:r>
        <w:rPr>
          <w:spacing w:val="-64"/>
        </w:rPr>
        <w:t> </w:t>
      </w:r>
      <w:r>
        <w:rPr>
          <w:spacing w:val="-64"/>
        </w:rPr>
      </w:r>
      <w:r>
        <w:rPr/>
        <w:t>产处置的增量成本确定。 </w:t>
      </w:r>
      <w:r>
        <w:rPr>
          <w:spacing w:val="-2"/>
        </w:rPr>
        <w:t>在预计未来现金流量现值时，需要对该资产（或资产组）的产量、售价、相关经营成本以及计算现值时使用的折现率等作出</w:t>
      </w:r>
      <w:r>
        <w:rPr>
          <w:spacing w:val="-67"/>
        </w:rPr>
        <w:t> </w:t>
      </w:r>
      <w:r>
        <w:rPr>
          <w:spacing w:val="-67"/>
        </w:rPr>
      </w:r>
      <w:r>
        <w:rPr>
          <w:spacing w:val="-2"/>
        </w:rPr>
        <w:t>重大判断。本公司在估计可收回金额时会采用所有能够获得的相关资料，包括根据合理和可支持的假设所作出有关产量、售</w:t>
      </w:r>
    </w:p>
    <w:p>
      <w:pPr>
        <w:spacing w:after="0" w:line="316" w:lineRule="auto"/>
        <w:jc w:val="left"/>
        <w:sectPr>
          <w:pgSz w:w="11910" w:h="16840"/>
          <w:pgMar w:header="877" w:footer="1272" w:top="1060" w:bottom="14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t>价和相关经营成本的预测。 </w:t>
      </w:r>
      <w:r>
        <w:rPr>
          <w:spacing w:val="-2"/>
        </w:rPr>
        <w:t>本公司至少每年测试商誉是否发生减值。这要求对分配了商誉的资产组或者资产组组合的未来现金流量的现值进行预计。对</w:t>
      </w:r>
      <w:r>
        <w:rPr>
          <w:spacing w:val="-64"/>
        </w:rPr>
        <w:t> </w:t>
      </w:r>
      <w:r>
        <w:rPr>
          <w:spacing w:val="-64"/>
        </w:rPr>
      </w:r>
      <w:r>
        <w:rPr>
          <w:spacing w:val="-2"/>
        </w:rPr>
        <w:t>未来现金流量的现值进行预计时，本公司需要预计未来资产组或者资产组组合产生的现金流量，同时选择恰当的折现率确定</w:t>
      </w:r>
      <w:r>
        <w:rPr>
          <w:spacing w:val="-63"/>
        </w:rPr>
        <w:t> </w:t>
      </w:r>
      <w:r>
        <w:rPr>
          <w:spacing w:val="-63"/>
        </w:rPr>
      </w:r>
      <w:r>
        <w:rPr/>
        <w:t>未来现金流量的现值。</w:t>
      </w:r>
    </w:p>
    <w:p>
      <w:pPr>
        <w:pStyle w:val="BodyText"/>
        <w:spacing w:line="312" w:lineRule="auto" w:before="17"/>
        <w:ind w:right="0"/>
        <w:jc w:val="left"/>
      </w:pPr>
      <w:r>
        <w:rPr/>
        <w:t>（</w:t>
      </w:r>
      <w:r>
        <w:rPr>
          <w:rFonts w:ascii="Times New Roman" w:hAnsi="Times New Roman" w:cs="Times New Roman" w:eastAsia="Times New Roman" w:hint="default"/>
        </w:rPr>
        <w:t>5</w:t>
      </w:r>
      <w:r>
        <w:rPr/>
        <w:t>）折旧和摊销 </w:t>
      </w:r>
      <w:r>
        <w:rPr>
          <w:spacing w:val="-2"/>
        </w:rPr>
        <w:t>本公司对投资性房地产、固定资产和无形资产在考虑其残值后，在使用寿命内按直线法计提折旧和摊销。本公司定期复核使</w:t>
      </w:r>
      <w:r>
        <w:rPr>
          <w:spacing w:val="-63"/>
        </w:rPr>
        <w:t> </w:t>
      </w:r>
      <w:r>
        <w:rPr>
          <w:spacing w:val="-63"/>
        </w:rPr>
      </w:r>
      <w:r>
        <w:rPr>
          <w:spacing w:val="-2"/>
        </w:rPr>
        <w:t>用寿命，以决定将计入每个报告期的折旧和摊销费用数额。使用寿命是本公司根据对同类资产的以往经验并结合预期的技术</w:t>
      </w:r>
      <w:r>
        <w:rPr>
          <w:spacing w:val="-64"/>
        </w:rPr>
        <w:t> </w:t>
      </w:r>
      <w:r>
        <w:rPr>
          <w:spacing w:val="-64"/>
        </w:rPr>
      </w:r>
      <w:r>
        <w:rPr/>
        <w:t>更新而确定的。如果以前的估计发生重大变化，则会在未来期间对折旧和摊销费用进行调整。</w:t>
      </w:r>
    </w:p>
    <w:p>
      <w:pPr>
        <w:pStyle w:val="BodyText"/>
        <w:spacing w:line="312" w:lineRule="auto" w:before="22"/>
        <w:ind w:right="1119"/>
        <w:jc w:val="left"/>
      </w:pPr>
      <w:r>
        <w:rPr/>
        <w:t>（</w:t>
      </w:r>
      <w:r>
        <w:rPr>
          <w:rFonts w:ascii="Times New Roman" w:hAnsi="Times New Roman" w:cs="Times New Roman" w:eastAsia="Times New Roman" w:hint="default"/>
        </w:rPr>
        <w:t>6</w:t>
      </w:r>
      <w:r>
        <w:rPr/>
        <w:t>）递延所得税资产 </w:t>
      </w:r>
      <w:r>
        <w:rPr>
          <w:spacing w:val="-2"/>
        </w:rPr>
        <w:t>在很有可能有足够的应纳税利润来抵扣亏损的限度内，本公司就所有未利用的税务亏损确认递延所得税资产。这需要本公司</w:t>
      </w:r>
      <w:r>
        <w:rPr>
          <w:spacing w:val="-62"/>
        </w:rPr>
        <w:t> </w:t>
      </w:r>
      <w:r>
        <w:rPr>
          <w:spacing w:val="-62"/>
        </w:rPr>
      </w:r>
      <w:r>
        <w:rPr>
          <w:spacing w:val="-2"/>
        </w:rPr>
        <w:t>管理层运用大量的判断来估计未来应纳税利润发生的时间和金额，结合纳税筹划策略，以决定应确认的递延所得税资产的金</w:t>
      </w:r>
      <w:r>
        <w:rPr>
          <w:spacing w:val="-64"/>
        </w:rPr>
        <w:t> </w:t>
      </w:r>
      <w:r>
        <w:rPr>
          <w:spacing w:val="-64"/>
        </w:rPr>
      </w:r>
      <w:r>
        <w:rPr/>
        <w:t>额。</w:t>
      </w:r>
    </w:p>
    <w:p>
      <w:pPr>
        <w:pStyle w:val="BodyText"/>
        <w:spacing w:line="312" w:lineRule="auto" w:before="23"/>
        <w:ind w:right="1119"/>
        <w:jc w:val="left"/>
      </w:pPr>
      <w:r>
        <w:rPr/>
        <w:t>（</w:t>
      </w:r>
      <w:r>
        <w:rPr>
          <w:rFonts w:ascii="Times New Roman" w:hAnsi="Times New Roman" w:cs="Times New Roman" w:eastAsia="Times New Roman" w:hint="default"/>
        </w:rPr>
        <w:t>7</w:t>
      </w:r>
      <w:r>
        <w:rPr/>
        <w:t>）所得税 </w:t>
      </w:r>
      <w:r>
        <w:rPr>
          <w:spacing w:val="-2"/>
        </w:rPr>
        <w:t>本公司在正常的经营活动中，有部分交易其最终的税务处理和计算存在一定的不确定性。部分项目是否能够在税前列支需要</w:t>
      </w:r>
      <w:r>
        <w:rPr>
          <w:spacing w:val="-64"/>
        </w:rPr>
        <w:t> </w:t>
      </w:r>
      <w:r>
        <w:rPr>
          <w:spacing w:val="-64"/>
        </w:rPr>
      </w:r>
      <w:r>
        <w:rPr>
          <w:spacing w:val="-2"/>
        </w:rPr>
        <w:t>税收主管机关的审批。如果这些税务事项的最终认定结果同最初估计的金额存在差异，则该差异将对其最终认定期间的当期</w:t>
      </w:r>
      <w:r>
        <w:rPr>
          <w:spacing w:val="-64"/>
        </w:rPr>
        <w:t> </w:t>
      </w:r>
      <w:r>
        <w:rPr>
          <w:spacing w:val="-64"/>
        </w:rPr>
      </w:r>
      <w:r>
        <w:rPr/>
        <w:t>所得税和递延所得税产生影响。</w:t>
      </w:r>
    </w:p>
    <w:p>
      <w:pPr>
        <w:pStyle w:val="BodyText"/>
        <w:spacing w:line="314" w:lineRule="auto" w:before="22"/>
        <w:ind w:right="1119"/>
        <w:jc w:val="left"/>
      </w:pPr>
      <w:r>
        <w:rPr/>
        <w:t>（</w:t>
      </w:r>
      <w:r>
        <w:rPr>
          <w:rFonts w:ascii="Times New Roman" w:hAnsi="Times New Roman" w:cs="Times New Roman" w:eastAsia="Times New Roman" w:hint="default"/>
        </w:rPr>
        <w:t>8</w:t>
      </w:r>
      <w:r>
        <w:rPr/>
        <w:t>）预计负债 </w:t>
      </w:r>
      <w:r>
        <w:rPr>
          <w:spacing w:val="-2"/>
        </w:rPr>
        <w:t>本公司根据合约条款、现有知识及历史经验，对产品质量保证、预计合同亏损、延迟交货违约金等估计并计提相应准备。在</w:t>
      </w:r>
      <w:r>
        <w:rPr>
          <w:spacing w:val="-67"/>
        </w:rPr>
        <w:t> </w:t>
      </w:r>
      <w:r>
        <w:rPr>
          <w:spacing w:val="-67"/>
        </w:rPr>
      </w:r>
      <w:r>
        <w:rPr>
          <w:spacing w:val="-2"/>
        </w:rPr>
        <w:t>该等或有事项已经形成一项现时义务，且履行该等现时义务很可能导致经济利益流出本公司的情况下，本公司对或有事项按</w:t>
      </w:r>
      <w:r>
        <w:rPr>
          <w:spacing w:val="-64"/>
        </w:rPr>
        <w:t> </w:t>
      </w:r>
      <w:r>
        <w:rPr>
          <w:spacing w:val="-64"/>
        </w:rPr>
      </w:r>
      <w:r>
        <w:rPr>
          <w:spacing w:val="-2"/>
        </w:rPr>
        <w:t>履行相关现时义务所需支出的最佳估计数确认为预计负债。预计负债的确认和计量在很大程度上依赖于管理层的判断。在进</w:t>
      </w:r>
      <w:r>
        <w:rPr>
          <w:spacing w:val="-64"/>
        </w:rPr>
        <w:t> </w:t>
      </w:r>
      <w:r>
        <w:rPr>
          <w:spacing w:val="-64"/>
        </w:rPr>
      </w:r>
      <w:r>
        <w:rPr/>
        <w:t>行判断过程中本公司需评估该等或有事项相关的风险、不确定性及货币时间价值等因素。</w:t>
      </w:r>
    </w:p>
    <w:p>
      <w:pPr>
        <w:spacing w:line="240" w:lineRule="auto" w:before="13"/>
        <w:rPr>
          <w:rFonts w:ascii="宋体" w:hAnsi="宋体" w:cs="宋体" w:eastAsia="宋体" w:hint="default"/>
          <w:sz w:val="20"/>
          <w:szCs w:val="20"/>
        </w:rPr>
      </w:pPr>
    </w:p>
    <w:p>
      <w:pPr>
        <w:pStyle w:val="Heading2"/>
        <w:spacing w:line="240" w:lineRule="auto"/>
        <w:ind w:right="0"/>
        <w:jc w:val="left"/>
        <w:rPr>
          <w:b w:val="0"/>
          <w:bCs w:val="0"/>
        </w:rPr>
      </w:pPr>
      <w:r>
        <w:rPr/>
        <w:t>五、税项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493"/>
        <w:gridCol w:w="3036"/>
        <w:gridCol w:w="3027"/>
      </w:tblGrid>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商品、产品销售收入以及进出口货物</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17%</w:t>
            </w: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提供劳务、销售不动产、租赁不动产</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应交增值税、营业税等流转税</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房地产销售收入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2%~3.5%</w:t>
            </w:r>
            <w:r>
              <w:rPr>
                <w:rFonts w:ascii="宋体" w:hAnsi="宋体" w:cs="宋体" w:eastAsia="宋体" w:hint="default"/>
                <w:sz w:val="18"/>
                <w:szCs w:val="18"/>
              </w:rPr>
              <w:t>预缴</w:t>
            </w:r>
          </w:p>
        </w:tc>
      </w:tr>
    </w:tbl>
    <w:p>
      <w:pPr>
        <w:pStyle w:val="BodyText"/>
        <w:spacing w:line="240" w:lineRule="auto" w:before="49"/>
        <w:ind w:right="0"/>
        <w:jc w:val="left"/>
      </w:pPr>
      <w:r>
        <w:rPr/>
        <w:t>各分公司、分厂执行的所得税税率</w:t>
      </w:r>
    </w:p>
    <w:p>
      <w:pPr>
        <w:pStyle w:val="BodyText"/>
        <w:spacing w:line="304" w:lineRule="auto" w:before="118"/>
        <w:ind w:right="1128"/>
        <w:jc w:val="both"/>
      </w:pPr>
      <w:r>
        <w:rPr/>
        <w:t>（</w:t>
      </w:r>
      <w:r>
        <w:rPr>
          <w:rFonts w:ascii="Times New Roman" w:hAnsi="Times New Roman" w:cs="Times New Roman" w:eastAsia="Times New Roman" w:hint="default"/>
        </w:rPr>
        <w:t>1</w:t>
      </w:r>
      <w:r>
        <w:rPr/>
        <w:t>）根据《国家税务总局关于加强土地增值税征管工作的通知》（国税发〔</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53</w:t>
      </w:r>
      <w:r>
        <w:rPr/>
        <w:t>号）的规定，对房地产开发项目土地 </w:t>
      </w:r>
      <w:r>
        <w:rPr>
          <w:spacing w:val="-2"/>
        </w:rPr>
        <w:t>增值税预征率调整，其中对开发建设并销售经济适用住房、廉租住房等保障性住房，仍不预征土地增值税；对开发建设并销</w:t>
      </w:r>
      <w:r>
        <w:rPr>
          <w:spacing w:val="-65"/>
        </w:rPr>
        <w:t> </w:t>
      </w:r>
      <w:r>
        <w:rPr>
          <w:spacing w:val="-65"/>
        </w:rPr>
      </w:r>
      <w:r>
        <w:rPr>
          <w:spacing w:val="-2"/>
        </w:rPr>
        <w:t>售政府限价商品住房，土地增值税预征率为</w:t>
      </w:r>
      <w:r>
        <w:rPr>
          <w:rFonts w:ascii="Times New Roman" w:hAnsi="Times New Roman" w:cs="Times New Roman" w:eastAsia="Times New Roman" w:hint="default"/>
          <w:spacing w:val="-2"/>
        </w:rPr>
        <w:t>1%</w:t>
      </w:r>
      <w:r>
        <w:rPr>
          <w:spacing w:val="-2"/>
        </w:rPr>
        <w:t>；对开发建设并销售普通住房，土地增值税预征率由现行的</w:t>
      </w:r>
      <w:r>
        <w:rPr>
          <w:rFonts w:ascii="Times New Roman" w:hAnsi="Times New Roman" w:cs="Times New Roman" w:eastAsia="Times New Roman" w:hint="default"/>
          <w:spacing w:val="-2"/>
        </w:rPr>
        <w:t>1%</w:t>
      </w:r>
      <w:r>
        <w:rPr>
          <w:spacing w:val="-2"/>
        </w:rPr>
        <w:t>调至</w:t>
      </w:r>
      <w:r>
        <w:rPr>
          <w:rFonts w:ascii="Times New Roman" w:hAnsi="Times New Roman" w:cs="Times New Roman" w:eastAsia="Times New Roman" w:hint="default"/>
          <w:spacing w:val="-2"/>
        </w:rPr>
        <w:t>2%</w:t>
      </w:r>
      <w:r>
        <w:rPr>
          <w:spacing w:val="-2"/>
        </w:rPr>
        <w:t>；对开</w:t>
      </w:r>
      <w:r>
        <w:rPr>
          <w:spacing w:val="-61"/>
        </w:rPr>
        <w:t> </w:t>
      </w:r>
      <w:r>
        <w:rPr>
          <w:spacing w:val="-61"/>
        </w:rPr>
      </w:r>
      <w:r>
        <w:rPr>
          <w:spacing w:val="-1"/>
        </w:rPr>
        <w:t>发建设并销售非普通住房（含别墅）和非住房（包括商业用房、写字楼等），土地增值税预征率由现行的</w:t>
      </w:r>
      <w:r>
        <w:rPr>
          <w:rFonts w:ascii="Times New Roman" w:hAnsi="Times New Roman" w:cs="Times New Roman" w:eastAsia="Times New Roman" w:hint="default"/>
          <w:spacing w:val="-1"/>
        </w:rPr>
        <w:t>2%</w:t>
      </w:r>
      <w:r>
        <w:rPr>
          <w:spacing w:val="-1"/>
        </w:rPr>
        <w:t>调至</w:t>
      </w:r>
      <w:r>
        <w:rPr>
          <w:rFonts w:ascii="Times New Roman" w:hAnsi="Times New Roman" w:cs="Times New Roman" w:eastAsia="Times New Roman" w:hint="default"/>
          <w:spacing w:val="-1"/>
        </w:rPr>
        <w:t>3%</w:t>
      </w:r>
      <w:r>
        <w:rPr>
          <w:spacing w:val="-1"/>
        </w:rPr>
        <w:t>，该税</w:t>
      </w:r>
      <w:r>
        <w:rPr>
          <w:spacing w:val="-63"/>
        </w:rPr>
        <w:t> </w:t>
      </w:r>
      <w:r>
        <w:rPr>
          <w:spacing w:val="-63"/>
        </w:rPr>
      </w:r>
      <w:r>
        <w:rPr/>
        <w:t>率从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日起施行。</w:t>
      </w:r>
    </w:p>
    <w:p>
      <w:pPr>
        <w:pStyle w:val="BodyText"/>
        <w:spacing w:line="300" w:lineRule="auto" w:before="9"/>
        <w:ind w:right="1029"/>
        <w:jc w:val="left"/>
      </w:pPr>
      <w:r>
        <w:rPr/>
        <w:t>子公司青岛广顺房地产有限公司石雀滩</w:t>
      </w:r>
      <w:r>
        <w:rPr>
          <w:rFonts w:ascii="Times New Roman" w:hAnsi="Times New Roman" w:cs="Times New Roman" w:eastAsia="Times New Roman" w:hint="default"/>
        </w:rPr>
        <w:t>A1</w:t>
      </w:r>
      <w:r>
        <w:rPr/>
        <w:t>、</w:t>
      </w:r>
      <w:r>
        <w:rPr>
          <w:rFonts w:ascii="Times New Roman" w:hAnsi="Times New Roman" w:cs="Times New Roman" w:eastAsia="Times New Roman" w:hint="default"/>
        </w:rPr>
        <w:t>A2</w:t>
      </w:r>
      <w:r>
        <w:rPr/>
        <w:t>地块属非普通住房，按</w:t>
      </w:r>
      <w:r>
        <w:rPr>
          <w:rFonts w:ascii="Times New Roman" w:hAnsi="Times New Roman" w:cs="Times New Roman" w:eastAsia="Times New Roman" w:hint="default"/>
        </w:rPr>
        <w:t>3%</w:t>
      </w:r>
      <w:r>
        <w:rPr/>
        <w:t>预征率预缴。 根据济宁市地方税务局</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日公告（</w:t>
      </w:r>
      <w:r>
        <w:rPr>
          <w:rFonts w:ascii="Times New Roman" w:hAnsi="Times New Roman" w:cs="Times New Roman" w:eastAsia="Times New Roman" w:hint="default"/>
        </w:rPr>
        <w:t>2010</w:t>
      </w:r>
      <w:r>
        <w:rPr/>
        <w:t>年第</w:t>
      </w:r>
      <w:r>
        <w:rPr>
          <w:rFonts w:ascii="Times New Roman" w:hAnsi="Times New Roman" w:cs="Times New Roman" w:eastAsia="Times New Roman" w:hint="default"/>
        </w:rPr>
        <w:t>1</w:t>
      </w:r>
      <w:r>
        <w:rPr/>
        <w:t>号）《济宁市地方税务局关于调整土地增值税预征率核定征收率的 </w:t>
      </w:r>
      <w:r>
        <w:rPr>
          <w:spacing w:val="-1"/>
        </w:rPr>
        <w:t>公告》，济宁市城区及兖州市、曲阜市、邹城市销售住宅预征率为</w:t>
      </w:r>
      <w:r>
        <w:rPr>
          <w:rFonts w:ascii="Times New Roman" w:hAnsi="Times New Roman" w:cs="Times New Roman" w:eastAsia="Times New Roman" w:hint="default"/>
          <w:spacing w:val="-1"/>
        </w:rPr>
        <w:t>3%</w:t>
      </w:r>
      <w:r>
        <w:rPr>
          <w:spacing w:val="-1"/>
        </w:rPr>
        <w:t>；济宁城区销售其他类型房地产（包括写字楼、公寓、</w:t>
      </w:r>
      <w:r>
        <w:rPr/>
        <w:t> 别墅、商业营业用房、土地等，下同）预征率为</w:t>
      </w:r>
      <w:r>
        <w:rPr>
          <w:rFonts w:ascii="Times New Roman" w:hAnsi="Times New Roman" w:cs="Times New Roman" w:eastAsia="Times New Roman" w:hint="default"/>
        </w:rPr>
        <w:t>4%</w:t>
      </w:r>
      <w:r>
        <w:rPr/>
        <w:t>，兖州市、曲阜市、邹城市销售其他类型房地产预征率为</w:t>
      </w:r>
      <w:r>
        <w:rPr>
          <w:rFonts w:ascii="Times New Roman" w:hAnsi="Times New Roman" w:cs="Times New Roman" w:eastAsia="Times New Roman" w:hint="default"/>
        </w:rPr>
        <w:t>3.5%</w:t>
      </w:r>
      <w:r>
        <w:rPr/>
        <w:t>。除济宁</w:t>
      </w:r>
    </w:p>
    <w:p>
      <w:pPr>
        <w:spacing w:after="0" w:line="300" w:lineRule="auto"/>
        <w:jc w:val="left"/>
        <w:sectPr>
          <w:pgSz w:w="11910" w:h="16840"/>
          <w:pgMar w:header="877" w:footer="1272" w:top="1060" w:bottom="1460" w:left="980" w:right="0"/>
        </w:sectPr>
      </w:pPr>
    </w:p>
    <w:p>
      <w:pPr>
        <w:spacing w:line="240" w:lineRule="auto" w:before="9"/>
        <w:rPr>
          <w:rFonts w:ascii="宋体" w:hAnsi="宋体" w:cs="宋体" w:eastAsia="宋体" w:hint="default"/>
          <w:sz w:val="25"/>
          <w:szCs w:val="25"/>
        </w:rPr>
      </w:pPr>
      <w:r>
        <w:rPr/>
        <w:pict>
          <v:group style="position:absolute;margin-left:460.320007pt;margin-top:764.919983pt;width:135pt;height:77pt;mso-position-horizontal-relative:page;mso-position-vertical-relative:page;z-index:-629560"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75</w:t>
                    </w:r>
                  </w:p>
                </w:txbxContent>
              </v:textbox>
              <w10:wrap type="none"/>
            </v:shape>
            <w10:wrap type="none"/>
          </v:group>
        </w:pict>
      </w:r>
    </w:p>
    <w:p>
      <w:pPr>
        <w:pStyle w:val="BodyText"/>
        <w:spacing w:line="300" w:lineRule="auto" w:before="44"/>
        <w:ind w:right="3074"/>
        <w:jc w:val="left"/>
      </w:pPr>
      <w:r>
        <w:rPr/>
        <w:t>市城区和三市以外的各县销售住宅预征率为</w:t>
      </w:r>
      <w:r>
        <w:rPr>
          <w:rFonts w:ascii="Times New Roman" w:hAnsi="Times New Roman" w:cs="Times New Roman" w:eastAsia="Times New Roman" w:hint="default"/>
        </w:rPr>
        <w:t>2%</w:t>
      </w:r>
      <w:r>
        <w:rPr/>
        <w:t>；销售其他类型房地产预征率为</w:t>
      </w:r>
      <w:r>
        <w:rPr>
          <w:rFonts w:ascii="Times New Roman" w:hAnsi="Times New Roman" w:cs="Times New Roman" w:eastAsia="Times New Roman" w:hint="default"/>
        </w:rPr>
        <w:t>3%</w:t>
      </w:r>
      <w:r>
        <w:rPr/>
        <w:t>。 子公司济宁海情置业有限公司销售住宅按</w:t>
      </w:r>
      <w:r>
        <w:rPr>
          <w:rFonts w:ascii="Times New Roman" w:hAnsi="Times New Roman" w:cs="Times New Roman" w:eastAsia="Times New Roman" w:hint="default"/>
        </w:rPr>
        <w:t>3%</w:t>
      </w:r>
      <w:r>
        <w:rPr/>
        <w:t>预征率预缴，销售商业用房按</w:t>
      </w:r>
      <w:r>
        <w:rPr>
          <w:rFonts w:ascii="Times New Roman" w:hAnsi="Times New Roman" w:cs="Times New Roman" w:eastAsia="Times New Roman" w:hint="default"/>
        </w:rPr>
        <w:t>3.5%</w:t>
      </w:r>
      <w:r>
        <w:rPr/>
        <w:t>预征率预缴。 子公司泗水海情置业有限公司销售住宅按</w:t>
      </w:r>
      <w:r>
        <w:rPr>
          <w:rFonts w:ascii="Times New Roman" w:hAnsi="Times New Roman" w:cs="Times New Roman" w:eastAsia="Times New Roman" w:hint="default"/>
        </w:rPr>
        <w:t>2%</w:t>
      </w:r>
      <w:r>
        <w:rPr/>
        <w:t>预征率预缴，销售别墅、商业用房按</w:t>
      </w:r>
      <w:r>
        <w:rPr>
          <w:rFonts w:ascii="Times New Roman" w:hAnsi="Times New Roman" w:cs="Times New Roman" w:eastAsia="Times New Roman" w:hint="default"/>
        </w:rPr>
        <w:t>3%</w:t>
      </w:r>
      <w:r>
        <w:rPr/>
        <w:t>预征率预缴。</w:t>
      </w:r>
    </w:p>
    <w:p>
      <w:pPr>
        <w:pStyle w:val="BodyText"/>
        <w:spacing w:line="300" w:lineRule="auto" w:before="13"/>
        <w:ind w:right="1124"/>
        <w:jc w:val="left"/>
      </w:pPr>
      <w:r>
        <w:rPr/>
        <w:t>（</w:t>
      </w:r>
      <w:r>
        <w:rPr>
          <w:rFonts w:ascii="Times New Roman" w:hAnsi="Times New Roman" w:cs="Times New Roman" w:eastAsia="Times New Roman" w:hint="default"/>
        </w:rPr>
        <w:t>2</w:t>
      </w:r>
      <w:r>
        <w:rPr/>
        <w:t>）根据《中华人民共和国营业税暂行条例实施细则》纳税人转让土地使用权或者销售不动产，采取预收款方式的，其纳 税义务发生时间为收到预收款的当天。本公司房地产业务在收取房款时，计提应交税金。</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r>
        <w:rPr/>
        <w:t>六、企业合并及合并财务报表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）通过设立或投资等方式取得的子公司</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5708"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2"/>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410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济宁海 情贸易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314"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济宁市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一般项 目经 营：金 属材 料、建 筑装饰 材料</w:t>
            </w:r>
          </w:p>
          <w:p>
            <w:pPr>
              <w:pStyle w:val="TableParagraph"/>
              <w:spacing w:line="316" w:lineRule="auto" w:before="17"/>
              <w:ind w:left="23" w:right="19"/>
              <w:jc w:val="left"/>
              <w:rPr>
                <w:rFonts w:ascii="宋体" w:hAnsi="宋体" w:cs="宋体" w:eastAsia="宋体" w:hint="default"/>
                <w:sz w:val="18"/>
                <w:szCs w:val="18"/>
              </w:rPr>
            </w:pPr>
            <w:r>
              <w:rPr>
                <w:rFonts w:ascii="宋体" w:hAnsi="宋体" w:cs="宋体" w:eastAsia="宋体" w:hint="default"/>
                <w:sz w:val="18"/>
                <w:szCs w:val="18"/>
              </w:rPr>
              <w:t>（不含 危化 </w:t>
            </w:r>
            <w:r>
              <w:rPr>
                <w:rFonts w:ascii="宋体" w:hAnsi="宋体" w:cs="宋体" w:eastAsia="宋体" w:hint="default"/>
                <w:spacing w:val="-24"/>
                <w:sz w:val="18"/>
                <w:szCs w:val="18"/>
              </w:rPr>
              <w:t>品）、电</w:t>
            </w:r>
            <w:r>
              <w:rPr>
                <w:rFonts w:ascii="宋体" w:hAnsi="宋体" w:cs="宋体" w:eastAsia="宋体" w:hint="default"/>
                <w:sz w:val="18"/>
                <w:szCs w:val="18"/>
              </w:rPr>
              <w:t> 气机 械、汽 车（不</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2"/>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53"/>
          <w:footerReference w:type="default" r:id="rId54"/>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2368"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76</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315" w:hRule="exact"/>
        </w:trPr>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含九座</w:t>
            </w: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以下乘</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用车</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摩托车</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及配</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件、百</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货、五</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金交</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电、办</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公自动</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化设</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备、建</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筑材料</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（不含</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木材</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装潢材</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料（不</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含危险</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品）销</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售；房</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屋建筑</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安装施</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工；水</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电工程</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施工；</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门锁安</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装、景</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观、园</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林绿化</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工程施</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工；土</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石方施</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工；室</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内外装</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饰、装</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修工程</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施工</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（以上</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凭资质</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证书经</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园</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林设计</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咨询；</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9" w:hRule="exact"/>
        </w:trPr>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工程信</w:t>
            </w: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r>
    </w:tbl>
    <w:p>
      <w:pPr>
        <w:spacing w:after="0"/>
        <w:sectPr>
          <w:headerReference w:type="default" r:id="rId55"/>
          <w:footerReference w:type="default" r:id="rId56"/>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1611"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息咨询 服务； 工程机 械租 赁。</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潍坊亚 通置业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潍坊市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06"/>
              <w:jc w:val="left"/>
              <w:rPr>
                <w:rFonts w:ascii="宋体" w:hAnsi="宋体" w:cs="宋体" w:eastAsia="宋体" w:hint="default"/>
                <w:sz w:val="18"/>
                <w:szCs w:val="18"/>
              </w:rPr>
            </w:pPr>
            <w:r>
              <w:rPr>
                <w:rFonts w:ascii="宋体" w:hAnsi="宋体" w:cs="宋体" w:eastAsia="宋体" w:hint="default"/>
                <w:sz w:val="18"/>
                <w:szCs w:val="18"/>
              </w:rPr>
              <w:t>房地产 开发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房地产 开发经 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泗水海 情置业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6" w:right="105"/>
              <w:jc w:val="both"/>
              <w:rPr>
                <w:rFonts w:ascii="宋体" w:hAnsi="宋体" w:cs="宋体" w:eastAsia="宋体" w:hint="default"/>
                <w:sz w:val="18"/>
                <w:szCs w:val="18"/>
              </w:rPr>
            </w:pPr>
            <w:r>
              <w:rPr>
                <w:rFonts w:ascii="宋体" w:hAnsi="宋体" w:cs="宋体" w:eastAsia="宋体" w:hint="default"/>
                <w:sz w:val="18"/>
                <w:szCs w:val="18"/>
              </w:rPr>
              <w:t>济宁海 情置业 有限公 司之全 资子公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泗水县</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06"/>
              <w:jc w:val="left"/>
              <w:rPr>
                <w:rFonts w:ascii="宋体" w:hAnsi="宋体" w:cs="宋体" w:eastAsia="宋体" w:hint="default"/>
                <w:sz w:val="18"/>
                <w:szCs w:val="18"/>
              </w:rPr>
            </w:pPr>
            <w:r>
              <w:rPr>
                <w:rFonts w:ascii="宋体" w:hAnsi="宋体" w:cs="宋体" w:eastAsia="宋体" w:hint="default"/>
                <w:sz w:val="18"/>
                <w:szCs w:val="18"/>
              </w:rPr>
              <w:t>房地产 开发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房地产 开发、 经营； 销售： 建筑材 料、装 饰装潢 材料</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4"/>
              <w:jc w:val="right"/>
              <w:rPr>
                <w:rFonts w:ascii="Times New Roman" w:hAnsi="Times New Roman" w:cs="Times New Roman" w:eastAsia="Times New Roman" w:hint="default"/>
                <w:sz w:val="18"/>
                <w:szCs w:val="18"/>
              </w:rPr>
            </w:pPr>
            <w:r>
              <w:rPr>
                <w:rFonts w:ascii="Times New Roman"/>
                <w:sz w:val="18"/>
              </w:rPr>
              <w:t>90%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7"/>
              <w:jc w:val="right"/>
              <w:rPr>
                <w:rFonts w:ascii="Times New Roman" w:hAnsi="Times New Roman" w:cs="Times New Roman" w:eastAsia="Times New Roman" w:hint="default"/>
                <w:sz w:val="18"/>
                <w:szCs w:val="18"/>
              </w:rPr>
            </w:pPr>
            <w:r>
              <w:rPr>
                <w:rFonts w:ascii="Times New Roman"/>
                <w:sz w:val="18"/>
              </w:rPr>
              <w:t>90%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508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青岛大 通地产 顾问有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6" w:right="105"/>
              <w:jc w:val="both"/>
              <w:rPr>
                <w:rFonts w:ascii="宋体" w:hAnsi="宋体" w:cs="宋体" w:eastAsia="宋体" w:hint="default"/>
                <w:sz w:val="18"/>
                <w:szCs w:val="18"/>
              </w:rPr>
            </w:pPr>
            <w:r>
              <w:rPr>
                <w:rFonts w:ascii="宋体" w:hAnsi="宋体" w:cs="宋体" w:eastAsia="宋体" w:hint="default"/>
                <w:sz w:val="18"/>
                <w:szCs w:val="18"/>
              </w:rPr>
              <w:t>济宁海 情贸易 有限公 司之全 资子公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房产中 介</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 </w:t>
            </w:r>
            <w:r>
              <w:rPr>
                <w:rFonts w:ascii="宋体" w:hAnsi="宋体" w:cs="宋体" w:eastAsia="宋体" w:hint="default"/>
                <w:sz w:val="18"/>
                <w:szCs w:val="18"/>
              </w:rPr>
              <w:t>万</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房产中 介、受 托代理 房地产 销售； 设计、 制作、 发布、 代理国 内广告 业务； 婚庆礼 仪服 务、房 产营销 策划。</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通过设立或投资等方式取得的子公司的其他说明</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460.320007pt;margin-top:100.011719pt;width:135pt;height:77pt;mso-position-horizontal-relative:page;mso-position-vertical-relative:paragraph;z-index:-629464" coordorigin="9206,2000" coordsize="2700,1540">
            <v:shape style="position:absolute;left:9206;top:2000;width:2700;height:1540" type="#_x0000_t75" stroked="false">
              <v:imagedata r:id="rId14" o:title=""/>
            </v:shape>
            <v:shape style="position:absolute;left:10593;top:2361;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77</w:t>
                    </w:r>
                  </w:p>
                </w:txbxContent>
              </v:textbox>
              <w10:wrap type="none"/>
            </v:shape>
            <w10:wrap type="none"/>
          </v:group>
        </w:pict>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1610"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both"/>
              <w:rPr>
                <w:rFonts w:ascii="宋体" w:hAnsi="宋体" w:cs="宋体" w:eastAsia="宋体" w:hint="default"/>
                <w:sz w:val="18"/>
                <w:szCs w:val="18"/>
              </w:rPr>
            </w:pPr>
            <w:r>
              <w:rPr>
                <w:rFonts w:ascii="宋体" w:hAnsi="宋体" w:cs="宋体" w:eastAsia="宋体" w:hint="default"/>
                <w:sz w:val="18"/>
                <w:szCs w:val="18"/>
              </w:rPr>
              <w:t>实质上 构成对 子公司 净投资 的其他</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w:t>
            </w:r>
          </w:p>
        </w:tc>
      </w:tr>
    </w:tbl>
    <w:p>
      <w:pPr>
        <w:spacing w:after="0" w:line="316" w:lineRule="auto"/>
        <w:jc w:val="both"/>
        <w:rPr>
          <w:rFonts w:ascii="宋体" w:hAnsi="宋体" w:cs="宋体" w:eastAsia="宋体" w:hint="default"/>
          <w:sz w:val="18"/>
          <w:szCs w:val="18"/>
        </w:rPr>
        <w:sectPr>
          <w:headerReference w:type="default" r:id="rId57"/>
          <w:footerReference w:type="default" r:id="rId58"/>
          <w:pgSz w:w="11910" w:h="16840"/>
          <w:pgMar w:header="877" w:footer="0" w:top="1060" w:bottom="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2464"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78</w:t>
                    </w:r>
                  </w:p>
                </w:txbxContent>
              </v:textbox>
              <w10:wrap type="none"/>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4107"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47" w:right="65" w:hanging="180"/>
              <w:jc w:val="left"/>
              <w:rPr>
                <w:rFonts w:ascii="宋体" w:hAnsi="宋体" w:cs="宋体" w:eastAsia="宋体" w:hint="default"/>
                <w:sz w:val="18"/>
                <w:szCs w:val="18"/>
              </w:rPr>
            </w:pPr>
            <w:r>
              <w:rPr>
                <w:rFonts w:ascii="宋体" w:hAnsi="宋体" w:cs="宋体" w:eastAsia="宋体" w:hint="default"/>
                <w:sz w:val="18"/>
                <w:szCs w:val="18"/>
              </w:rPr>
              <w:t>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55" w:right="62" w:hanging="89"/>
              <w:jc w:val="left"/>
              <w:rPr>
                <w:rFonts w:ascii="宋体" w:hAnsi="宋体" w:cs="宋体" w:eastAsia="宋体" w:hint="default"/>
                <w:sz w:val="18"/>
                <w:szCs w:val="18"/>
              </w:rPr>
            </w:pPr>
            <w:r>
              <w:rPr>
                <w:rFonts w:ascii="宋体" w:hAnsi="宋体" w:cs="宋体" w:eastAsia="宋体" w:hint="default"/>
                <w:sz w:val="18"/>
                <w:szCs w:val="18"/>
              </w:rPr>
              <w:t>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9" w:right="53"/>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 有者权 益中所 享有份 额后的 余额</w:t>
            </w:r>
          </w:p>
        </w:tc>
      </w:tr>
      <w:tr>
        <w:trPr>
          <w:trHeight w:val="2585"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绵阳亿 嘉合投 资有限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06"/>
              <w:jc w:val="both"/>
              <w:rPr>
                <w:rFonts w:ascii="宋体" w:hAnsi="宋体" w:cs="宋体" w:eastAsia="宋体" w:hint="default"/>
                <w:sz w:val="18"/>
                <w:szCs w:val="18"/>
              </w:rPr>
            </w:pPr>
            <w:r>
              <w:rPr>
                <w:rFonts w:ascii="宋体" w:hAnsi="宋体" w:cs="宋体" w:eastAsia="宋体" w:hint="default"/>
                <w:sz w:val="18"/>
                <w:szCs w:val="18"/>
              </w:rPr>
              <w:t>投资、 房地产 开发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实业投 资、高 科技产 业投 资、房 地产开 发、经 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5,753,0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51%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3,034,6</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通过同一控制下企业合并取得的子公司的其他说明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354"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319"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319"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319"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319"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319"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319"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40"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319"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319"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319"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w:t>
            </w:r>
          </w:p>
        </w:tc>
      </w:tr>
    </w:tbl>
    <w:p>
      <w:pPr>
        <w:spacing w:after="0" w:line="316" w:lineRule="auto"/>
        <w:jc w:val="both"/>
        <w:rPr>
          <w:rFonts w:ascii="宋体" w:hAnsi="宋体" w:cs="宋体" w:eastAsia="宋体" w:hint="default"/>
          <w:sz w:val="18"/>
          <w:szCs w:val="18"/>
        </w:rPr>
        <w:sectPr>
          <w:headerReference w:type="default" r:id="rId59"/>
          <w:footerReference w:type="default" r:id="rId60"/>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363"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58" w:right="0"/>
              <w:jc w:val="left"/>
              <w:rPr>
                <w:rFonts w:ascii="宋体" w:hAnsi="宋体" w:cs="宋体" w:eastAsia="宋体" w:hint="default"/>
                <w:sz w:val="18"/>
                <w:szCs w:val="18"/>
              </w:rPr>
            </w:pPr>
            <w:r>
              <w:rPr>
                <w:rFonts w:ascii="宋体" w:hAnsi="宋体" w:cs="宋体" w:eastAsia="宋体" w:hint="default"/>
                <w:sz w:val="18"/>
                <w:szCs w:val="18"/>
              </w:rPr>
              <w:t>余额</w:t>
            </w:r>
          </w:p>
        </w:tc>
      </w:tr>
      <w:tr>
        <w:trPr>
          <w:trHeight w:val="258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青岛广 顺房地 产有限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06"/>
              <w:jc w:val="both"/>
              <w:rPr>
                <w:rFonts w:ascii="宋体" w:hAnsi="宋体" w:cs="宋体" w:eastAsia="宋体" w:hint="default"/>
                <w:sz w:val="18"/>
                <w:szCs w:val="18"/>
              </w:rPr>
            </w:pPr>
            <w:r>
              <w:rPr>
                <w:rFonts w:ascii="宋体" w:hAnsi="宋体" w:cs="宋体" w:eastAsia="宋体" w:hint="default"/>
                <w:sz w:val="18"/>
                <w:szCs w:val="18"/>
              </w:rPr>
              <w:t>房地产 开发、 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房地产 开发、 经营； 销售： 建筑材 料、装 饰装潢 材料</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46,384,</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700.00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83%</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27,501,</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500.00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济宁海 情置业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兖州市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06"/>
              <w:jc w:val="both"/>
              <w:rPr>
                <w:rFonts w:ascii="宋体" w:hAnsi="宋体" w:cs="宋体" w:eastAsia="宋体" w:hint="default"/>
                <w:sz w:val="18"/>
                <w:szCs w:val="18"/>
              </w:rPr>
            </w:pPr>
            <w:r>
              <w:rPr>
                <w:rFonts w:ascii="宋体" w:hAnsi="宋体" w:cs="宋体" w:eastAsia="宋体" w:hint="default"/>
                <w:sz w:val="18"/>
                <w:szCs w:val="18"/>
              </w:rPr>
              <w:t>房地产 开发、 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6"/>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房地产 开发及 商品房 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18,917,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750.00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10,519,</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700.00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通过非同一控制下企业合并取得的子公司的其他说明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、合并范围发生变更的说明</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2684"/>
        <w:jc w:val="left"/>
      </w:pPr>
      <w:r>
        <w:rPr/>
        <w:t>合并报表范围发生变更说明 本公司本年度完成对绵阳亿嘉合投资有限公司的收购，持有该公司</w:t>
      </w:r>
      <w:r>
        <w:rPr>
          <w:rFonts w:ascii="Times New Roman" w:hAnsi="Times New Roman" w:cs="Times New Roman" w:eastAsia="Times New Roman" w:hint="default"/>
        </w:rPr>
        <w:t>51%</w:t>
      </w:r>
      <w:r>
        <w:rPr/>
        <w:t>股权，将该公司纳入合并范围。</w:t>
      </w:r>
    </w:p>
    <w:p>
      <w:pPr>
        <w:pStyle w:val="BodyText"/>
        <w:spacing w:line="357" w:lineRule="auto" w:before="4"/>
        <w:ind w:right="6792"/>
        <w:jc w:val="left"/>
      </w:pPr>
      <w:r>
        <w:rPr/>
        <w:t>√ 适用 □</w:t>
      </w:r>
      <w:r>
        <w:rPr>
          <w:spacing w:val="3"/>
        </w:rPr>
        <w:t> </w:t>
      </w:r>
      <w:r>
        <w:rPr/>
        <w:t>不适用</w:t>
      </w:r>
      <w:r>
        <w:rPr/>
        <w:t> 与上年相比本年（期）新增合并单位</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家，原因为</w:t>
      </w:r>
    </w:p>
    <w:p>
      <w:pPr>
        <w:pStyle w:val="BodyText"/>
        <w:spacing w:line="300" w:lineRule="auto" w:before="6"/>
        <w:ind w:right="1289"/>
        <w:jc w:val="left"/>
      </w:pPr>
      <w:r>
        <w:rPr/>
        <w:t>绵阳亿嘉合投资有限公司的股东青岛亚星实业有限公司将其持有的</w:t>
      </w:r>
      <w:r>
        <w:rPr>
          <w:rFonts w:ascii="Times New Roman" w:hAnsi="Times New Roman" w:cs="Times New Roman" w:eastAsia="Times New Roman" w:hint="default"/>
        </w:rPr>
        <w:t>51%</w:t>
      </w:r>
      <w:r>
        <w:rPr/>
        <w:t>的股权作价</w:t>
      </w:r>
      <w:r>
        <w:rPr>
          <w:rFonts w:ascii="Times New Roman" w:hAnsi="Times New Roman" w:cs="Times New Roman" w:eastAsia="Times New Roman" w:hint="default"/>
        </w:rPr>
        <w:t>575.33</w:t>
      </w:r>
      <w:r>
        <w:rPr/>
        <w:t>万元转让给深圳大通实业股份有 限公司，工商变更登记已于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日完成，股权转让款已于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日支付完毕。</w:t>
      </w:r>
    </w:p>
    <w:p>
      <w:pPr>
        <w:spacing w:line="240" w:lineRule="auto" w:before="0"/>
        <w:rPr>
          <w:rFonts w:ascii="宋体" w:hAnsi="宋体" w:cs="宋体" w:eastAsia="宋体" w:hint="default"/>
          <w:sz w:val="18"/>
          <w:szCs w:val="18"/>
        </w:rPr>
      </w:pPr>
    </w:p>
    <w:p>
      <w:pPr>
        <w:pStyle w:val="BodyText"/>
        <w:spacing w:line="240" w:lineRule="auto" w:before="130"/>
        <w:ind w:right="0"/>
        <w:jc w:val="left"/>
      </w:pPr>
      <w:r>
        <w:rPr/>
        <w:t>与上年相比本年（期）减少合并单位家，原因为</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、报告期内发生的同一控制下企业合并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96"/>
        <w:gridCol w:w="1553"/>
        <w:gridCol w:w="1555"/>
        <w:gridCol w:w="1556"/>
        <w:gridCol w:w="1556"/>
        <w:gridCol w:w="1555"/>
      </w:tblGrid>
      <w:tr>
        <w:trPr>
          <w:trHeight w:val="713" w:hRule="exact"/>
        </w:trPr>
        <w:tc>
          <w:tcPr>
            <w:tcW w:w="1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3"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5" w:right="48"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4" w:right="51" w:hanging="272"/>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r>
        <w:trPr>
          <w:trHeight w:val="1652"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 w:right="141"/>
              <w:jc w:val="left"/>
              <w:rPr>
                <w:rFonts w:ascii="宋体" w:hAnsi="宋体" w:cs="宋体" w:eastAsia="宋体" w:hint="default"/>
                <w:sz w:val="18"/>
                <w:szCs w:val="18"/>
              </w:rPr>
            </w:pPr>
            <w:r>
              <w:rPr>
                <w:rFonts w:ascii="宋体" w:hAnsi="宋体" w:cs="宋体" w:eastAsia="宋体" w:hint="default"/>
                <w:sz w:val="18"/>
                <w:szCs w:val="18"/>
              </w:rPr>
              <w:t>绵阳亿嘉合投资有限 公司</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7"/>
              <w:jc w:val="both"/>
              <w:rPr>
                <w:rFonts w:ascii="宋体" w:hAnsi="宋体" w:cs="宋体" w:eastAsia="宋体" w:hint="default"/>
                <w:sz w:val="18"/>
                <w:szCs w:val="18"/>
              </w:rPr>
            </w:pPr>
            <w:r>
              <w:rPr>
                <w:rFonts w:ascii="宋体" w:hAnsi="宋体" w:cs="宋体" w:eastAsia="宋体" w:hint="default"/>
                <w:sz w:val="18"/>
                <w:szCs w:val="18"/>
              </w:rPr>
              <w:t>该公司和本公司在 合并前后均受青岛 亚星实业有限公司 最终控制且该控制 并非暂时性的。</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6" w:right="77"/>
              <w:jc w:val="left"/>
              <w:rPr>
                <w:rFonts w:ascii="宋体" w:hAnsi="宋体" w:cs="宋体" w:eastAsia="宋体" w:hint="default"/>
                <w:sz w:val="18"/>
                <w:szCs w:val="18"/>
              </w:rPr>
            </w:pPr>
            <w:r>
              <w:rPr>
                <w:rFonts w:ascii="宋体" w:hAnsi="宋体" w:cs="宋体" w:eastAsia="宋体" w:hint="default"/>
                <w:sz w:val="18"/>
                <w:szCs w:val="18"/>
              </w:rPr>
              <w:t>青岛亚星实业有限 公司</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3" w:right="0"/>
              <w:jc w:val="left"/>
              <w:rPr>
                <w:rFonts w:ascii="Times New Roman" w:hAnsi="Times New Roman" w:cs="Times New Roman" w:eastAsia="Times New Roman" w:hint="default"/>
                <w:sz w:val="18"/>
                <w:szCs w:val="18"/>
              </w:rPr>
            </w:pPr>
            <w:r>
              <w:rPr>
                <w:rFonts w:ascii="Times New Roman"/>
                <w:sz w:val="18"/>
              </w:rPr>
              <w:t>-20,960.25</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0"/>
        <w:jc w:val="left"/>
      </w:pPr>
      <w:r>
        <w:rPr/>
        <w:t>同一控制下企业合并的其他说明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、本报告期发生的吸收合并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460.320007pt;margin-top:36.531719pt;width:135pt;height:77pt;mso-position-horizontal-relative:page;mso-position-vertical-relative:paragraph;z-index:-629368" coordorigin="9206,731" coordsize="2700,1540">
            <v:shape style="position:absolute;left:9206;top:731;width:2700;height:1540" type="#_x0000_t75" stroked="false">
              <v:imagedata r:id="rId14" o:title=""/>
            </v:shape>
            <v:shape style="position:absolute;left:10593;top:1091;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79</w:t>
                    </w:r>
                  </w:p>
                </w:txbxContent>
              </v:textbox>
              <w10:wrap type="none"/>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41"/>
        <w:gridCol w:w="2964"/>
        <w:gridCol w:w="2953"/>
      </w:tblGrid>
      <w:tr>
        <w:trPr>
          <w:trHeight w:val="401"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4" w:right="0"/>
              <w:jc w:val="left"/>
              <w:rPr>
                <w:rFonts w:ascii="宋体" w:hAnsi="宋体" w:cs="宋体" w:eastAsia="宋体" w:hint="default"/>
                <w:sz w:val="18"/>
                <w:szCs w:val="18"/>
              </w:rPr>
            </w:pPr>
            <w:r>
              <w:rPr>
                <w:rFonts w:ascii="宋体" w:hAnsi="宋体" w:cs="宋体" w:eastAsia="宋体" w:hint="default"/>
                <w:sz w:val="18"/>
                <w:szCs w:val="18"/>
              </w:rPr>
              <w:t>吸收合并的类型</w:t>
            </w:r>
          </w:p>
        </w:tc>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bl>
    <w:p>
      <w:pPr>
        <w:spacing w:after="0" w:line="240" w:lineRule="auto"/>
        <w:jc w:val="left"/>
        <w:rPr>
          <w:rFonts w:ascii="宋体" w:hAnsi="宋体" w:cs="宋体" w:eastAsia="宋体" w:hint="default"/>
          <w:sz w:val="18"/>
          <w:szCs w:val="18"/>
        </w:rPr>
        <w:sectPr>
          <w:headerReference w:type="default" r:id="rId61"/>
          <w:footerReference w:type="default" r:id="rId62"/>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642"/>
        <w:gridCol w:w="1481"/>
        <w:gridCol w:w="1484"/>
        <w:gridCol w:w="1481"/>
        <w:gridCol w:w="1483"/>
      </w:tblGrid>
      <w:tr>
        <w:trPr>
          <w:trHeight w:val="401" w:hRule="exact"/>
        </w:trPr>
        <w:tc>
          <w:tcPr>
            <w:tcW w:w="3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6" w:right="0"/>
              <w:jc w:val="left"/>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54"/>
              <w:jc w:val="right"/>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715" w:hRule="exact"/>
        </w:trPr>
        <w:tc>
          <w:tcPr>
            <w:tcW w:w="3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绵阳亿嘉合投资有限公司</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2"/>
                <w:sz w:val="18"/>
                <w:szCs w:val="18"/>
              </w:rPr>
              <w:t>存货（土地出让金</w:t>
            </w:r>
            <w:r>
              <w:rPr>
                <w:rFonts w:ascii="宋体" w:hAnsi="宋体" w:cs="宋体" w:eastAsia="宋体" w:hint="default"/>
                <w:sz w:val="18"/>
                <w:szCs w:val="18"/>
              </w:rPr>
              <w:t> 及前期费用）</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28,597,257.49</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45"/>
              <w:jc w:val="right"/>
              <w:rPr>
                <w:rFonts w:ascii="宋体" w:hAnsi="宋体" w:cs="宋体" w:eastAsia="宋体" w:hint="default"/>
                <w:sz w:val="18"/>
                <w:szCs w:val="18"/>
              </w:rPr>
            </w:pPr>
            <w:r>
              <w:rPr>
                <w:rFonts w:ascii="宋体" w:hAnsi="宋体" w:cs="宋体" w:eastAsia="宋体" w:hint="default"/>
                <w:sz w:val="18"/>
                <w:szCs w:val="18"/>
              </w:rPr>
              <w:t>其他应付款</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22,438,554.02</w:t>
            </w:r>
          </w:p>
        </w:tc>
      </w:tr>
      <w:tr>
        <w:trPr>
          <w:trHeight w:val="402" w:hRule="exact"/>
        </w:trPr>
        <w:tc>
          <w:tcPr>
            <w:tcW w:w="3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7" w:right="0"/>
              <w:jc w:val="left"/>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54"/>
              <w:jc w:val="right"/>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0"/>
        <w:ind w:right="0"/>
        <w:jc w:val="left"/>
      </w:pPr>
      <w:r>
        <w:rPr/>
        <w:t>吸收合并的其他说明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七、合并财务报表主要项目注释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8"/>
        <w:gridCol w:w="1328"/>
        <w:gridCol w:w="918"/>
        <w:gridCol w:w="1485"/>
        <w:gridCol w:w="1318"/>
        <w:gridCol w:w="917"/>
        <w:gridCol w:w="1606"/>
      </w:tblGrid>
      <w:tr>
        <w:trPr>
          <w:trHeight w:val="207"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9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31" w:type="dxa"/>
            <w:gridSpan w:val="3"/>
            <w:vMerge/>
            <w:tcBorders>
              <w:left w:val="single" w:sz="4" w:space="0" w:color="000000"/>
              <w:bottom w:val="single" w:sz="4" w:space="0" w:color="000000"/>
              <w:right w:val="single" w:sz="4" w:space="0" w:color="000000"/>
            </w:tcBorders>
            <w:shd w:val="clear" w:color="auto" w:fill="D2D2D2"/>
          </w:tcPr>
          <w:p>
            <w:pPr/>
          </w:p>
        </w:tc>
        <w:tc>
          <w:tcPr>
            <w:tcW w:w="3841"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88"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485"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341,122.25</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40,136.92</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341,122.25</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40,136.92</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18,741,828.67</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16,385,179.06</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18,741,828.67</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16,385,179.06</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2,023,425.60</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2,023,425.60</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19,082,950.92</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18,448,741.58</w:t>
            </w:r>
          </w:p>
        </w:tc>
      </w:tr>
    </w:tbl>
    <w:p>
      <w:pPr>
        <w:pStyle w:val="BodyText"/>
        <w:spacing w:line="240" w:lineRule="auto" w:before="49"/>
        <w:ind w:right="0"/>
        <w:jc w:val="left"/>
      </w:pPr>
      <w:r>
        <w:rPr/>
        <w:t>如有因抵押、质押或冻结等对使用有限制、存放在境外、有潜在回收风险的款项应单独说明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、应收账款</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3"/>
        <w:gridCol w:w="941"/>
        <w:gridCol w:w="925"/>
        <w:gridCol w:w="929"/>
        <w:gridCol w:w="924"/>
        <w:gridCol w:w="802"/>
        <w:gridCol w:w="929"/>
        <w:gridCol w:w="1064"/>
        <w:gridCol w:w="1054"/>
      </w:tblGrid>
      <w:tr>
        <w:trPr>
          <w:trHeight w:val="403"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19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种类</w:t>
            </w:r>
          </w:p>
        </w:tc>
        <w:tc>
          <w:tcPr>
            <w:tcW w:w="18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8"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71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59"/>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9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1,160,000.0</w:t>
            </w:r>
          </w:p>
          <w:p>
            <w:pPr>
              <w:pStyle w:val="TableParagraph"/>
              <w:spacing w:line="240" w:lineRule="auto" w:before="102"/>
              <w:ind w:right="27"/>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3" w:right="0"/>
              <w:jc w:val="left"/>
              <w:rPr>
                <w:rFonts w:ascii="Times New Roman" w:hAnsi="Times New Roman" w:cs="Times New Roman" w:eastAsia="Times New Roman" w:hint="default"/>
                <w:sz w:val="18"/>
                <w:szCs w:val="18"/>
              </w:rPr>
            </w:pPr>
            <w:r>
              <w:rPr>
                <w:rFonts w:ascii="Times New Roman"/>
                <w:sz w:val="18"/>
              </w:rPr>
              <w:t>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954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16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941" w:type="dxa"/>
            <w:vMerge w:val="restart"/>
            <w:tcBorders>
              <w:top w:val="single" w:sz="4" w:space="0" w:color="000000"/>
              <w:left w:val="single" w:sz="10" w:space="0" w:color="D2D2D2"/>
              <w:right w:val="single" w:sz="10" w:space="0" w:color="D2D2D2"/>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1,160,000.0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929" w:type="dxa"/>
            <w:vMerge w:val="restart"/>
            <w:tcBorders>
              <w:top w:val="single" w:sz="4" w:space="0" w:color="000000"/>
              <w:left w:val="single" w:sz="10" w:space="0" w:color="D2D2D2"/>
              <w:right w:val="single" w:sz="10" w:space="0" w:color="D2D2D2"/>
            </w:tcBorders>
          </w:tcPr>
          <w:p>
            <w:pPr/>
          </w:p>
        </w:tc>
        <w:tc>
          <w:tcPr>
            <w:tcW w:w="9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02" w:type="dxa"/>
            <w:vMerge w:val="restart"/>
            <w:tcBorders>
              <w:top w:val="single" w:sz="4" w:space="0" w:color="000000"/>
              <w:left w:val="single" w:sz="10" w:space="0" w:color="D2D2D2"/>
              <w:right w:val="single" w:sz="9" w:space="0" w:color="D2D2D2"/>
            </w:tcBorders>
          </w:tcPr>
          <w:p>
            <w:pPr/>
          </w:p>
        </w:tc>
        <w:tc>
          <w:tcPr>
            <w:tcW w:w="9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10" w:space="0" w:color="D2D2D2"/>
              <w:right w:val="single" w:sz="9" w:space="0" w:color="D2D2D2"/>
            </w:tcBorders>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41" w:type="dxa"/>
            <w:vMerge/>
            <w:tcBorders>
              <w:left w:val="single" w:sz="10" w:space="0" w:color="D2D2D2"/>
              <w:right w:val="single" w:sz="10" w:space="0" w:color="D2D2D2"/>
            </w:tcBorders>
          </w:tcPr>
          <w:p>
            <w:pPr/>
          </w:p>
        </w:tc>
        <w:tc>
          <w:tcPr>
            <w:tcW w:w="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29" w:type="dxa"/>
            <w:vMerge/>
            <w:tcBorders>
              <w:left w:val="single" w:sz="10" w:space="0" w:color="D2D2D2"/>
              <w:right w:val="single" w:sz="10" w:space="0" w:color="D2D2D2"/>
            </w:tcBorders>
          </w:tcPr>
          <w:p>
            <w:pPr/>
          </w:p>
        </w:tc>
        <w:tc>
          <w:tcPr>
            <w:tcW w:w="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802" w:type="dxa"/>
            <w:vMerge/>
            <w:tcBorders>
              <w:left w:val="single" w:sz="10" w:space="0" w:color="D2D2D2"/>
              <w:right w:val="single" w:sz="9" w:space="0" w:color="D2D2D2"/>
            </w:tcBorders>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vMerge/>
            <w:tcBorders>
              <w:left w:val="single" w:sz="10" w:space="0" w:color="D2D2D2"/>
              <w:right w:val="single" w:sz="9" w:space="0" w:color="D2D2D2"/>
            </w:tcBorders>
          </w:tcPr>
          <w:p>
            <w:pPr/>
          </w:p>
        </w:tc>
        <w:tc>
          <w:tcPr>
            <w:tcW w:w="1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941" w:type="dxa"/>
            <w:vMerge/>
            <w:tcBorders>
              <w:left w:val="single" w:sz="10" w:space="0" w:color="D2D2D2"/>
              <w:bottom w:val="single" w:sz="4" w:space="0" w:color="000000"/>
              <w:right w:val="single" w:sz="10" w:space="0" w:color="D2D2D2"/>
            </w:tcBorders>
          </w:tcPr>
          <w:p>
            <w:pPr/>
          </w:p>
        </w:tc>
        <w:tc>
          <w:tcPr>
            <w:tcW w:w="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929" w:type="dxa"/>
            <w:vMerge/>
            <w:tcBorders>
              <w:left w:val="single" w:sz="10" w:space="0" w:color="D2D2D2"/>
              <w:bottom w:val="single" w:sz="4" w:space="0" w:color="000000"/>
              <w:right w:val="single" w:sz="10" w:space="0" w:color="D2D2D2"/>
            </w:tcBorders>
          </w:tcPr>
          <w:p>
            <w:pPr/>
          </w:p>
        </w:tc>
        <w:tc>
          <w:tcPr>
            <w:tcW w:w="9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02" w:type="dxa"/>
            <w:vMerge/>
            <w:tcBorders>
              <w:left w:val="single" w:sz="10" w:space="0" w:color="D2D2D2"/>
              <w:bottom w:val="single" w:sz="4" w:space="0" w:color="000000"/>
              <w:right w:val="single" w:sz="9" w:space="0" w:color="D2D2D2"/>
            </w:tcBorders>
          </w:tcPr>
          <w:p>
            <w:pPr/>
          </w:p>
        </w:tc>
        <w:tc>
          <w:tcPr>
            <w:tcW w:w="9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10" w:space="0" w:color="D2D2D2"/>
              <w:bottom w:val="single" w:sz="4" w:space="0" w:color="000000"/>
              <w:right w:val="single" w:sz="9" w:space="0" w:color="D2D2D2"/>
            </w:tcBorders>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r>
    </w:tbl>
    <w:p>
      <w:pPr>
        <w:pStyle w:val="BodyText"/>
        <w:spacing w:line="360" w:lineRule="auto" w:before="49"/>
        <w:ind w:right="6794"/>
        <w:jc w:val="left"/>
      </w:pPr>
      <w:r>
        <w:rPr/>
        <w:t>应收账款种类的说明 期末单项金额重大并单项计提坏账准备的应收账款</w:t>
      </w:r>
    </w:p>
    <w:p>
      <w:pPr>
        <w:pStyle w:val="BodyText"/>
        <w:spacing w:line="240" w:lineRule="auto" w:before="24"/>
        <w:ind w:right="0"/>
        <w:jc w:val="left"/>
      </w:pPr>
      <w:r>
        <w:rPr/>
        <w:pict>
          <v:group style="position:absolute;margin-left:460.320007pt;margin-top:23.295719pt;width:135pt;height:77pt;mso-position-horizontal-relative:page;mso-position-vertical-relative:paragraph;z-index:2560" coordorigin="9206,466" coordsize="2700,1540">
            <v:shape style="position:absolute;left:9206;top:466;width:2700;height:1540" type="#_x0000_t75" stroked="false">
              <v:imagedata r:id="rId14" o:title=""/>
            </v:shape>
            <v:shape style="position:absolute;left:10593;top:826;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80</w:t>
                    </w:r>
                  </w:p>
                </w:txbxContent>
              </v:textbox>
              <w10:wrap type="none"/>
            </v:shape>
            <w10:wrap type="none"/>
          </v:group>
        </w:pict>
      </w:r>
      <w:r>
        <w:rPr/>
        <w:t>□ 适用 √</w:t>
      </w:r>
      <w:r>
        <w:rPr>
          <w:spacing w:val="3"/>
        </w:rPr>
        <w:t> </w:t>
      </w:r>
      <w:r>
        <w:rPr/>
        <w:t>不适用</w:t>
      </w:r>
    </w:p>
    <w:p>
      <w:pPr>
        <w:spacing w:after="0" w:line="240" w:lineRule="auto"/>
        <w:jc w:val="left"/>
        <w:sectPr>
          <w:headerReference w:type="default" r:id="rId63"/>
          <w:footerReference w:type="default" r:id="rId64"/>
          <w:pgSz w:w="11910" w:h="16840"/>
          <w:pgMar w:header="877" w:footer="0" w:top="1060" w:bottom="0" w:left="98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65"/>
          <w:footerReference w:type="default" r:id="rId66"/>
          <w:pgSz w:w="11910" w:h="16840"/>
          <w:pgMar w:header="877" w:footer="0" w:top="1060" w:bottom="0" w:left="980" w:right="0"/>
        </w:sectPr>
      </w:pPr>
    </w:p>
    <w:p>
      <w:pPr>
        <w:pStyle w:val="BodyText"/>
        <w:spacing w:line="240" w:lineRule="auto" w:before="44"/>
        <w:ind w:right="-20"/>
        <w:jc w:val="left"/>
      </w:pPr>
      <w:r>
        <w:rPr/>
        <w:t>组合中，按账龄分析法计提坏账准备的应收账款</w:t>
      </w:r>
    </w:p>
    <w:p>
      <w:pPr>
        <w:pStyle w:val="BodyText"/>
        <w:spacing w:line="240" w:lineRule="auto" w:before="117"/>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62"/>
        <w:gridCol w:w="1600"/>
        <w:gridCol w:w="929"/>
        <w:gridCol w:w="1728"/>
        <w:gridCol w:w="1460"/>
        <w:gridCol w:w="931"/>
        <w:gridCol w:w="1459"/>
      </w:tblGrid>
      <w:tr>
        <w:trPr>
          <w:trHeight w:val="402" w:hRule="exact"/>
        </w:trPr>
        <w:tc>
          <w:tcPr>
            <w:tcW w:w="146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5" w:hRule="exact"/>
        </w:trPr>
        <w:tc>
          <w:tcPr>
            <w:tcW w:w="14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5"/>
              <w:ind w:left="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5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462" w:type="dxa"/>
            <w:vMerge/>
            <w:tcBorders>
              <w:left w:val="single" w:sz="4" w:space="0" w:color="000000"/>
              <w:bottom w:val="nil" w:sz="6" w:space="0" w:color="auto"/>
              <w:right w:val="single" w:sz="4" w:space="0" w:color="000000"/>
            </w:tcBorders>
            <w:shd w:val="clear" w:color="auto" w:fill="D2D2D2"/>
          </w:tcPr>
          <w:p>
            <w:pPr/>
          </w:p>
        </w:tc>
        <w:tc>
          <w:tcPr>
            <w:tcW w:w="2528" w:type="dxa"/>
            <w:gridSpan w:val="2"/>
            <w:vMerge/>
            <w:tcBorders>
              <w:left w:val="single" w:sz="4" w:space="0" w:color="000000"/>
              <w:bottom w:val="single" w:sz="4" w:space="0" w:color="000000"/>
              <w:right w:val="single" w:sz="4" w:space="0" w:color="000000"/>
            </w:tcBorders>
            <w:shd w:val="clear" w:color="auto" w:fill="D2D2D2"/>
          </w:tcPr>
          <w:p>
            <w:pPr/>
          </w:p>
        </w:tc>
        <w:tc>
          <w:tcPr>
            <w:tcW w:w="17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gridSpan w:val="2"/>
            <w:vMerge/>
            <w:tcBorders>
              <w:left w:val="single" w:sz="4" w:space="0" w:color="000000"/>
              <w:bottom w:val="single" w:sz="4" w:space="0" w:color="000000"/>
              <w:right w:val="single" w:sz="4" w:space="0" w:color="000000"/>
            </w:tcBorders>
            <w:shd w:val="clear" w:color="auto" w:fill="D2D2D2"/>
          </w:tcPr>
          <w:p>
            <w:pPr/>
          </w:p>
        </w:tc>
        <w:tc>
          <w:tcPr>
            <w:tcW w:w="14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7" w:hRule="exact"/>
        </w:trPr>
        <w:tc>
          <w:tcPr>
            <w:tcW w:w="1462" w:type="dxa"/>
            <w:vMerge w:val="restart"/>
            <w:tcBorders>
              <w:top w:val="nil" w:sz="6" w:space="0" w:color="auto"/>
              <w:left w:val="single" w:sz="4" w:space="0" w:color="000000"/>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8" w:type="dxa"/>
            <w:vMerge/>
            <w:tcBorders>
              <w:left w:val="single" w:sz="4" w:space="0" w:color="000000"/>
              <w:bottom w:val="nil" w:sz="6" w:space="0" w:color="auto"/>
              <w:right w:val="single" w:sz="4" w:space="0" w:color="000000"/>
            </w:tcBorders>
            <w:shd w:val="clear" w:color="auto" w:fill="D2D2D2"/>
          </w:tcPr>
          <w:p>
            <w:pPr/>
          </w:p>
        </w:tc>
        <w:tc>
          <w:tcPr>
            <w:tcW w:w="1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9"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462"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0"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00" w:right="0"/>
              <w:jc w:val="left"/>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02" w:right="0"/>
              <w:jc w:val="left"/>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1,160,000.00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7" w:right="0"/>
              <w:jc w:val="left"/>
              <w:rPr>
                <w:rFonts w:ascii="Times New Roman" w:hAnsi="Times New Roman" w:cs="Times New Roman" w:eastAsia="Times New Roman" w:hint="default"/>
                <w:sz w:val="18"/>
                <w:szCs w:val="18"/>
              </w:rPr>
            </w:pPr>
            <w:r>
              <w:rPr>
                <w:rFonts w:ascii="Times New Roman"/>
                <w:sz w:val="18"/>
              </w:rPr>
              <w:t>100%</w:t>
            </w:r>
          </w:p>
        </w:tc>
        <w:tc>
          <w:tcPr>
            <w:tcW w:w="1728"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0"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1,160,000.00</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9" w:space="0" w:color="D2D2D2"/>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14" w:space="0" w:color="D2D2D2"/>
            </w:tcBorders>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2" w:right="0"/>
              <w:jc w:val="left"/>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
        </w:tc>
      </w:tr>
    </w:tbl>
    <w:p>
      <w:pPr>
        <w:pStyle w:val="BodyText"/>
        <w:spacing w:line="240" w:lineRule="auto" w:before="49"/>
        <w:ind w:right="0"/>
        <w:jc w:val="left"/>
      </w:pPr>
      <w:r>
        <w:rPr/>
        <w:t>组合中，采用余额百分比法计提坏账准备的应收账款</w:t>
      </w:r>
    </w:p>
    <w:p>
      <w:pPr>
        <w:pStyle w:val="BodyText"/>
        <w:spacing w:line="360" w:lineRule="auto" w:before="115"/>
        <w:ind w:right="6974"/>
        <w:jc w:val="left"/>
      </w:pPr>
      <w:r>
        <w:rPr/>
        <w:t>□ 适用 √</w:t>
      </w:r>
      <w:r>
        <w:rPr>
          <w:spacing w:val="3"/>
        </w:rPr>
        <w:t> </w:t>
      </w:r>
      <w:r>
        <w:rPr/>
        <w:t>不适用</w:t>
      </w:r>
      <w:r>
        <w:rPr/>
        <w:t> 组合中，采用其他方法计提坏账准备的应收账款</w:t>
      </w:r>
    </w:p>
    <w:p>
      <w:pPr>
        <w:pStyle w:val="BodyText"/>
        <w:spacing w:line="360" w:lineRule="auto" w:before="25"/>
        <w:ind w:right="6434"/>
        <w:jc w:val="left"/>
      </w:pPr>
      <w:r>
        <w:rPr/>
        <w:t>□ 适用 √</w:t>
      </w:r>
      <w:r>
        <w:rPr>
          <w:spacing w:val="3"/>
        </w:rPr>
        <w:t> </w:t>
      </w:r>
      <w:r>
        <w:rPr/>
        <w:t>不适用</w:t>
      </w:r>
      <w:r>
        <w:rPr/>
        <w:t> 期末单项金额虽不重大但单项计提坏账准备的应收账款</w:t>
      </w:r>
    </w:p>
    <w:p>
      <w:pPr>
        <w:pStyle w:val="BodyText"/>
        <w:spacing w:line="240" w:lineRule="auto" w:before="27"/>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057"/>
        <w:gridCol w:w="792"/>
        <w:gridCol w:w="1058"/>
        <w:gridCol w:w="795"/>
        <w:gridCol w:w="1058"/>
        <w:gridCol w:w="926"/>
        <w:gridCol w:w="1191"/>
        <w:gridCol w:w="790"/>
      </w:tblGrid>
      <w:tr>
        <w:trPr>
          <w:trHeight w:val="403"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sz w:val="18"/>
                <w:szCs w:val="18"/>
              </w:rPr>
              <w:t>种类</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1026"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7"/>
              <w:jc w:val="both"/>
              <w:rPr>
                <w:rFonts w:ascii="宋体" w:hAnsi="宋体" w:cs="宋体" w:eastAsia="宋体" w:hint="default"/>
                <w:sz w:val="18"/>
                <w:szCs w:val="18"/>
              </w:rPr>
            </w:pPr>
            <w:r>
              <w:rPr>
                <w:rFonts w:ascii="宋体" w:hAnsi="宋体" w:cs="宋体" w:eastAsia="宋体" w:hint="default"/>
                <w:sz w:val="18"/>
                <w:szCs w:val="18"/>
              </w:rPr>
              <w:t>单项金额重大并单项计 提坏账准备的其他应收 款</w:t>
            </w:r>
          </w:p>
        </w:tc>
        <w:tc>
          <w:tcPr>
            <w:tcW w:w="1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9,531,747.48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73.04%</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3,588,971.05</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37.65%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6,783,727.25</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71.03%</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1,925,193.31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28.38%</w:t>
            </w:r>
          </w:p>
        </w:tc>
      </w:tr>
      <w:tr>
        <w:trPr>
          <w:trHeight w:val="402" w:hRule="exact"/>
        </w:trPr>
        <w:tc>
          <w:tcPr>
            <w:tcW w:w="955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1" w:hRule="exact"/>
        </w:trPr>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3,517,646.27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26.96%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1,376,034.38</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2,736,340.49</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28.97%</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957,195.43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34.77%</w:t>
            </w:r>
          </w:p>
        </w:tc>
      </w:tr>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2" w:right="0"/>
              <w:jc w:val="center"/>
              <w:rPr>
                <w:rFonts w:ascii="Times New Roman" w:hAnsi="Times New Roman" w:cs="Times New Roman" w:eastAsia="Times New Roman" w:hint="default"/>
                <w:sz w:val="18"/>
                <w:szCs w:val="18"/>
              </w:rPr>
            </w:pPr>
            <w:r>
              <w:rPr>
                <w:rFonts w:ascii="Times New Roman"/>
                <w:sz w:val="18"/>
              </w:rPr>
              <w:t>3,517,646.27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26.96%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0" w:right="0"/>
              <w:jc w:val="center"/>
              <w:rPr>
                <w:rFonts w:ascii="Times New Roman" w:hAnsi="Times New Roman" w:cs="Times New Roman" w:eastAsia="Times New Roman" w:hint="default"/>
                <w:sz w:val="18"/>
                <w:szCs w:val="18"/>
              </w:rPr>
            </w:pPr>
            <w:r>
              <w:rPr>
                <w:rFonts w:ascii="Times New Roman"/>
                <w:sz w:val="18"/>
              </w:rPr>
              <w:t>1,376,034.38</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39.12%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0" w:right="0"/>
              <w:jc w:val="center"/>
              <w:rPr>
                <w:rFonts w:ascii="Times New Roman" w:hAnsi="Times New Roman" w:cs="Times New Roman" w:eastAsia="Times New Roman" w:hint="default"/>
                <w:sz w:val="18"/>
                <w:szCs w:val="18"/>
              </w:rPr>
            </w:pPr>
            <w:r>
              <w:rPr>
                <w:rFonts w:ascii="Times New Roman"/>
                <w:sz w:val="18"/>
              </w:rPr>
              <w:t>2,736,340.49</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28.97%</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957,195.43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34.77%</w:t>
            </w:r>
          </w:p>
        </w:tc>
      </w:tr>
      <w:tr>
        <w:trPr>
          <w:trHeight w:val="715"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13,049,393.7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4,965,005.43</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9,520,067.74</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2,882,388.74</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540" w:left="980" w:right="0"/>
        </w:sectPr>
      </w:pPr>
    </w:p>
    <w:p>
      <w:pPr>
        <w:pStyle w:val="BodyText"/>
        <w:spacing w:line="357" w:lineRule="auto" w:before="49"/>
        <w:ind w:right="-20"/>
        <w:jc w:val="left"/>
      </w:pPr>
      <w:r>
        <w:rPr/>
        <w:t>其他应收款种类的说明 期末单项金额重大并单项计提坏账准备的其他应收款</w:t>
      </w:r>
    </w:p>
    <w:p>
      <w:pPr>
        <w:pStyle w:val="BodyText"/>
        <w:spacing w:line="240" w:lineRule="auto" w:before="29"/>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pict>
          <v:group style="position:absolute;margin-left:460.320007pt;margin-top:44.011719pt;width:135pt;height:77pt;mso-position-horizontal-relative:page;mso-position-vertical-relative:paragraph;z-index:-629272" coordorigin="9206,880" coordsize="2700,1540">
            <v:shape style="position:absolute;left:9206;top:880;width:2700;height:1540" type="#_x0000_t75" stroked="false">
              <v:imagedata r:id="rId14" o:title=""/>
            </v:shape>
            <v:shape style="position:absolute;left:10593;top:1241;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81</w:t>
                    </w:r>
                  </w:p>
                </w:txbxContent>
              </v:textbox>
              <w10:wrap type="none"/>
            </v:shape>
            <w10:wrap type="none"/>
          </v:group>
        </w:pict>
      </w:r>
      <w:r>
        <w:rPr/>
        <w:t>单位：</w:t>
      </w:r>
      <w:r>
        <w:rPr>
          <w:spacing w:val="1"/>
        </w:rPr>
        <w:t> </w:t>
      </w:r>
      <w:r>
        <w:rPr/>
        <w:t>元</w:t>
      </w:r>
    </w:p>
    <w:p>
      <w:pPr>
        <w:spacing w:after="0" w:line="240" w:lineRule="auto"/>
        <w:jc w:val="left"/>
        <w:sectPr>
          <w:type w:val="continuous"/>
          <w:pgSz w:w="11910" w:h="16840"/>
          <w:pgMar w:top="1060" w:bottom="154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after="0" w:line="240" w:lineRule="auto"/>
        <w:jc w:val="center"/>
        <w:rPr>
          <w:rFonts w:ascii="宋体" w:hAnsi="宋体" w:cs="宋体" w:eastAsia="宋体"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9,531,747.48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3,588,971.05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9,531,747.48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3,588,971.05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67"/>
          <w:pgSz w:w="11910" w:h="16840"/>
          <w:pgMar w:footer="1267" w:header="877" w:top="1060" w:bottom="1460" w:left="980" w:right="0"/>
          <w:pgNumType w:start="82"/>
        </w:sectPr>
      </w:pPr>
    </w:p>
    <w:p>
      <w:pPr>
        <w:pStyle w:val="BodyText"/>
        <w:spacing w:line="240" w:lineRule="auto" w:before="49"/>
        <w:ind w:right="-20"/>
        <w:jc w:val="left"/>
      </w:pPr>
      <w:r>
        <w:rPr/>
        <w:t>组合中，采用账龄分析法计提坏账准备的其他应收款</w:t>
      </w:r>
    </w:p>
    <w:p>
      <w:pPr>
        <w:pStyle w:val="BodyText"/>
        <w:spacing w:line="240" w:lineRule="auto" w:before="115"/>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30"/>
        <w:gridCol w:w="1853"/>
        <w:gridCol w:w="646"/>
        <w:gridCol w:w="1459"/>
        <w:gridCol w:w="1450"/>
        <w:gridCol w:w="646"/>
        <w:gridCol w:w="1674"/>
      </w:tblGrid>
      <w:tr>
        <w:trPr>
          <w:trHeight w:val="401" w:hRule="exact"/>
        </w:trPr>
        <w:tc>
          <w:tcPr>
            <w:tcW w:w="1830" w:type="dxa"/>
            <w:vMerge w:val="restart"/>
            <w:tcBorders>
              <w:top w:val="single" w:sz="4" w:space="0" w:color="000000"/>
              <w:left w:val="single" w:sz="4" w:space="0" w:color="000000"/>
              <w:right w:val="single" w:sz="4" w:space="0" w:color="000000"/>
            </w:tcBorders>
            <w:shd w:val="clear" w:color="auto" w:fill="D2D2D2"/>
          </w:tcPr>
          <w:p>
            <w:pPr/>
          </w:p>
        </w:tc>
        <w:tc>
          <w:tcPr>
            <w:tcW w:w="39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830" w:type="dxa"/>
            <w:vMerge/>
            <w:tcBorders>
              <w:left w:val="single" w:sz="4" w:space="0" w:color="000000"/>
              <w:bottom w:val="nil" w:sz="6" w:space="0" w:color="auto"/>
              <w:right w:val="single" w:sz="4" w:space="0" w:color="000000"/>
            </w:tcBorders>
            <w:shd w:val="clear" w:color="auto" w:fill="D2D2D2"/>
          </w:tcPr>
          <w:p>
            <w:pPr/>
          </w:p>
        </w:tc>
        <w:tc>
          <w:tcPr>
            <w:tcW w:w="25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
        </w:tc>
        <w:tc>
          <w:tcPr>
            <w:tcW w:w="20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74"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8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2500" w:type="dxa"/>
            <w:gridSpan w:val="2"/>
            <w:vMerge/>
            <w:tcBorders>
              <w:left w:val="single" w:sz="4" w:space="0" w:color="000000"/>
              <w:bottom w:val="single" w:sz="4" w:space="0" w:color="000000"/>
              <w:right w:val="single" w:sz="4" w:space="0" w:color="000000"/>
            </w:tcBorders>
            <w:shd w:val="clear" w:color="auto" w:fill="D2D2D2"/>
          </w:tcPr>
          <w:p>
            <w:pPr/>
          </w:p>
        </w:tc>
        <w:tc>
          <w:tcPr>
            <w:tcW w:w="1459" w:type="dxa"/>
            <w:vMerge/>
            <w:tcBorders>
              <w:left w:val="single" w:sz="4" w:space="0" w:color="000000"/>
              <w:bottom w:val="nil" w:sz="6" w:space="0" w:color="auto"/>
              <w:right w:val="single" w:sz="4" w:space="0" w:color="000000"/>
            </w:tcBorders>
            <w:shd w:val="clear" w:color="auto" w:fill="D2D2D2"/>
          </w:tcPr>
          <w:p>
            <w:pPr/>
          </w:p>
        </w:tc>
        <w:tc>
          <w:tcPr>
            <w:tcW w:w="2096" w:type="dxa"/>
            <w:gridSpan w:val="2"/>
            <w:vMerge/>
            <w:tcBorders>
              <w:left w:val="single" w:sz="4" w:space="0" w:color="000000"/>
              <w:bottom w:val="single" w:sz="4" w:space="0" w:color="000000"/>
              <w:right w:val="single" w:sz="4" w:space="0" w:color="000000"/>
            </w:tcBorders>
            <w:shd w:val="clear" w:color="auto" w:fill="D2D2D2"/>
          </w:tcPr>
          <w:p>
            <w:pPr/>
          </w:p>
        </w:tc>
        <w:tc>
          <w:tcPr>
            <w:tcW w:w="1674"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830" w:type="dxa"/>
            <w:vMerge/>
            <w:tcBorders>
              <w:left w:val="single" w:sz="4" w:space="0" w:color="000000"/>
              <w:bottom w:val="single" w:sz="4" w:space="0" w:color="FFFFFF"/>
              <w:right w:val="single" w:sz="4" w:space="0" w:color="000000"/>
            </w:tcBorders>
            <w:shd w:val="clear" w:color="auto" w:fill="D2D2D2"/>
          </w:tcPr>
          <w:p>
            <w:pPr/>
          </w:p>
        </w:tc>
        <w:tc>
          <w:tcPr>
            <w:tcW w:w="185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3" w:right="0"/>
              <w:jc w:val="left"/>
              <w:rPr>
                <w:rFonts w:ascii="Times New Roman" w:hAnsi="Times New Roman" w:cs="Times New Roman" w:eastAsia="Times New Roman" w:hint="default"/>
                <w:sz w:val="18"/>
                <w:szCs w:val="18"/>
              </w:rPr>
            </w:pPr>
            <w:r>
              <w:rPr>
                <w:rFonts w:ascii="Times New Roman"/>
                <w:sz w:val="18"/>
              </w:rPr>
              <w:t>(%)</w:t>
            </w:r>
          </w:p>
        </w:tc>
        <w:tc>
          <w:tcPr>
            <w:tcW w:w="14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3" w:right="0"/>
              <w:jc w:val="left"/>
              <w:rPr>
                <w:rFonts w:ascii="Times New Roman" w:hAnsi="Times New Roman" w:cs="Times New Roman" w:eastAsia="Times New Roman" w:hint="default"/>
                <w:sz w:val="18"/>
                <w:szCs w:val="18"/>
              </w:rPr>
            </w:pPr>
            <w:r>
              <w:rPr>
                <w:rFonts w:ascii="Times New Roman"/>
                <w:sz w:val="18"/>
              </w:rPr>
              <w:t>(%)</w:t>
            </w:r>
          </w:p>
        </w:tc>
        <w:tc>
          <w:tcPr>
            <w:tcW w:w="16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7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830" w:type="dxa"/>
            <w:vMerge w:val="restart"/>
            <w:tcBorders>
              <w:top w:val="single" w:sz="4" w:space="0" w:color="FFFFFF"/>
              <w:left w:val="single" w:sz="4" w:space="0" w:color="000000"/>
              <w:right w:val="single" w:sz="4" w:space="0" w:color="000000"/>
            </w:tcBorders>
            <w:shd w:val="clear" w:color="auto" w:fill="D2D2D2"/>
          </w:tcPr>
          <w:p>
            <w:pPr/>
          </w:p>
        </w:tc>
        <w:tc>
          <w:tcPr>
            <w:tcW w:w="185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vMerge/>
            <w:tcBorders>
              <w:left w:val="single" w:sz="4" w:space="0" w:color="000000"/>
              <w:right w:val="single" w:sz="4" w:space="0" w:color="000000"/>
            </w:tcBorders>
            <w:shd w:val="clear" w:color="auto" w:fill="D2D2D2"/>
          </w:tcPr>
          <w:p>
            <w:pPr/>
          </w:p>
        </w:tc>
        <w:tc>
          <w:tcPr>
            <w:tcW w:w="1459" w:type="dxa"/>
            <w:vMerge/>
            <w:tcBorders>
              <w:left w:val="single" w:sz="4" w:space="0" w:color="000000"/>
              <w:bottom w:val="nil" w:sz="6" w:space="0" w:color="auto"/>
              <w:right w:val="single" w:sz="4" w:space="0" w:color="000000"/>
            </w:tcBorders>
            <w:shd w:val="clear" w:color="auto" w:fill="D2D2D2"/>
          </w:tcPr>
          <w:p>
            <w:pPr/>
          </w:p>
        </w:tc>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vMerge/>
            <w:tcBorders>
              <w:left w:val="single" w:sz="4" w:space="0" w:color="000000"/>
              <w:right w:val="single" w:sz="4" w:space="0" w:color="000000"/>
            </w:tcBorders>
            <w:shd w:val="clear" w:color="auto" w:fill="D2D2D2"/>
          </w:tcPr>
          <w:p>
            <w:pPr/>
          </w:p>
        </w:tc>
        <w:tc>
          <w:tcPr>
            <w:tcW w:w="1674"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830" w:type="dxa"/>
            <w:vMerge/>
            <w:tcBorders>
              <w:left w:val="single" w:sz="4" w:space="0" w:color="000000"/>
              <w:right w:val="single" w:sz="4" w:space="0" w:color="000000"/>
            </w:tcBorders>
            <w:shd w:val="clear" w:color="auto" w:fill="D2D2D2"/>
          </w:tcPr>
          <w:p>
            <w:pPr/>
          </w:p>
        </w:tc>
        <w:tc>
          <w:tcPr>
            <w:tcW w:w="1853" w:type="dxa"/>
            <w:vMerge/>
            <w:tcBorders>
              <w:left w:val="single" w:sz="4" w:space="0" w:color="000000"/>
              <w:bottom w:val="nil" w:sz="6" w:space="0" w:color="auto"/>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c>
          <w:tcPr>
            <w:tcW w:w="1459" w:type="dxa"/>
            <w:vMerge w:val="restart"/>
            <w:tcBorders>
              <w:top w:val="nil" w:sz="6" w:space="0" w:color="auto"/>
              <w:left w:val="single" w:sz="4" w:space="0" w:color="000000"/>
              <w:right w:val="single" w:sz="4" w:space="0" w:color="000000"/>
            </w:tcBorders>
            <w:shd w:val="clear" w:color="auto" w:fill="D2D2D2"/>
          </w:tcPr>
          <w:p>
            <w:pPr/>
          </w:p>
        </w:tc>
        <w:tc>
          <w:tcPr>
            <w:tcW w:w="1450" w:type="dxa"/>
            <w:vMerge/>
            <w:tcBorders>
              <w:left w:val="single" w:sz="4" w:space="0" w:color="000000"/>
              <w:bottom w:val="nil" w:sz="6" w:space="0" w:color="auto"/>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c>
          <w:tcPr>
            <w:tcW w:w="1674"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830" w:type="dxa"/>
            <w:vMerge/>
            <w:tcBorders>
              <w:left w:val="single" w:sz="4" w:space="0" w:color="000000"/>
              <w:bottom w:val="single" w:sz="4" w:space="0" w:color="000000"/>
              <w:right w:val="single" w:sz="4" w:space="0" w:color="000000"/>
            </w:tcBorders>
            <w:shd w:val="clear" w:color="auto" w:fill="D2D2D2"/>
          </w:tcPr>
          <w:p>
            <w:pPr/>
          </w:p>
        </w:tc>
        <w:tc>
          <w:tcPr>
            <w:tcW w:w="1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c>
          <w:tcPr>
            <w:tcW w:w="1459"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c>
          <w:tcPr>
            <w:tcW w:w="1674" w:type="dxa"/>
            <w:vMerge/>
            <w:tcBorders>
              <w:left w:val="single" w:sz="4" w:space="0" w:color="000000"/>
              <w:bottom w:val="single" w:sz="4" w:space="0" w:color="000000"/>
              <w:right w:val="single" w:sz="4" w:space="0" w:color="000000"/>
            </w:tcBorders>
            <w:shd w:val="clear" w:color="auto" w:fill="D2D2D2"/>
          </w:tcPr>
          <w:p>
            <w:pPr/>
          </w:p>
        </w:tc>
      </w:tr>
      <w:tr>
        <w:trPr>
          <w:trHeight w:val="394"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7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4,101,789.83</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31.43%</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2,714,606.48</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28.42%</w:t>
            </w:r>
          </w:p>
        </w:tc>
        <w:tc>
          <w:tcPr>
            <w:tcW w:w="16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2,071,882.54</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15.88%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147,530.89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3,421,471.14</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35.82%</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26,507.36</w:t>
            </w:r>
          </w:p>
        </w:tc>
      </w:tr>
      <w:tr>
        <w:trPr>
          <w:trHeight w:val="403"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4,648,525.68</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35.62%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193,570.64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2,423,979.23</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25.38%</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314,683.19</w:t>
            </w:r>
          </w:p>
        </w:tc>
      </w:tr>
      <w:tr>
        <w:trPr>
          <w:trHeight w:val="401"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2,227,195.70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17.07%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1,034,932.85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991,104.89</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10.38%</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621,004.89</w:t>
            </w:r>
          </w:p>
        </w:tc>
      </w:tr>
      <w:tr>
        <w:trPr>
          <w:trHeight w:val="403"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13,049,393.75</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1,376,034.38</w:t>
            </w:r>
          </w:p>
        </w:tc>
        <w:tc>
          <w:tcPr>
            <w:tcW w:w="145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9,551,161.74</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962,195.44</w:t>
            </w:r>
          </w:p>
        </w:tc>
      </w:tr>
    </w:tbl>
    <w:p>
      <w:pPr>
        <w:pStyle w:val="BodyText"/>
        <w:spacing w:line="240" w:lineRule="auto" w:before="49"/>
        <w:ind w:right="0"/>
        <w:jc w:val="left"/>
      </w:pPr>
      <w:r>
        <w:rPr/>
        <w:t>组合中，采用余额百分比法计提坏账准备的其他应收款</w:t>
      </w:r>
    </w:p>
    <w:p>
      <w:pPr>
        <w:pStyle w:val="BodyText"/>
        <w:spacing w:line="360" w:lineRule="auto" w:before="115"/>
        <w:ind w:right="6794"/>
        <w:jc w:val="left"/>
      </w:pPr>
      <w:r>
        <w:rPr/>
        <w:t>□ 适用 √</w:t>
      </w:r>
      <w:r>
        <w:rPr>
          <w:spacing w:val="3"/>
        </w:rPr>
        <w:t> </w:t>
      </w:r>
      <w:r>
        <w:rPr/>
        <w:t>不适用</w:t>
      </w:r>
      <w:r>
        <w:rPr/>
        <w:t> 组合中，采用其他方法计提坏账准备的其他应收款</w:t>
      </w:r>
    </w:p>
    <w:p>
      <w:pPr>
        <w:pStyle w:val="BodyText"/>
        <w:spacing w:line="357" w:lineRule="auto" w:before="27"/>
        <w:ind w:right="6254"/>
        <w:jc w:val="left"/>
      </w:pPr>
      <w:r>
        <w:rPr/>
        <w:t>□ 适用 √</w:t>
      </w:r>
      <w:r>
        <w:rPr>
          <w:spacing w:val="3"/>
        </w:rPr>
        <w:t> </w:t>
      </w:r>
      <w:r>
        <w:rPr/>
        <w:t>不适用</w:t>
      </w:r>
      <w:r>
        <w:rPr/>
        <w:t> 期末单项金额虽不重大但单项计提坏账准备的其他应收款</w:t>
      </w:r>
    </w:p>
    <w:p>
      <w:pPr>
        <w:pStyle w:val="BodyText"/>
        <w:spacing w:line="240" w:lineRule="auto" w:before="29"/>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0"/>
        <w:gridCol w:w="3199"/>
        <w:gridCol w:w="1064"/>
        <w:gridCol w:w="3053"/>
        <w:gridCol w:w="1063"/>
      </w:tblGrid>
      <w:tr>
        <w:trPr>
          <w:trHeight w:val="206" w:hRule="exact"/>
        </w:trPr>
        <w:tc>
          <w:tcPr>
            <w:tcW w:w="1180"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4" w:hRule="exact"/>
        </w:trPr>
        <w:tc>
          <w:tcPr>
            <w:tcW w:w="11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62"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180" w:type="dxa"/>
            <w:vMerge/>
            <w:tcBorders>
              <w:left w:val="single" w:sz="4" w:space="0" w:color="000000"/>
              <w:bottom w:val="nil" w:sz="6" w:space="0" w:color="auto"/>
              <w:right w:val="single" w:sz="4" w:space="0" w:color="000000"/>
            </w:tcBorders>
            <w:shd w:val="clear" w:color="auto" w:fill="D2D2D2"/>
          </w:tcPr>
          <w:p>
            <w:pPr/>
          </w:p>
        </w:tc>
        <w:tc>
          <w:tcPr>
            <w:tcW w:w="31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7" w:hRule="exact"/>
        </w:trPr>
        <w:tc>
          <w:tcPr>
            <w:tcW w:w="118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9"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5,044,718.66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99.54%</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13,361,094.06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21,915.00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0.43%</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34,541,435.26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71.87%</w:t>
            </w: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1,203.50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96,167.60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0.2%</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9"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0.12%</w:t>
            </w: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5,067,837.16</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48,057,996.92</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预付款项账龄的说明</w:t>
      </w:r>
    </w:p>
    <w:p>
      <w:pPr>
        <w:spacing w:after="0" w:line="240" w:lineRule="auto"/>
        <w:jc w:val="left"/>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兖州市美星园林建设工 程有限公司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无关联施工单位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4,606,800.00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发票未到</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上海三菱电梯有限公司 山东分公司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无关联施工单位</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370,500.00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发票未到</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4,977,300.00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预付款项主要单位的说明</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5</w:t>
      </w:r>
      <w:r>
        <w:rPr/>
        <w:t>、存货</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462"/>
        <w:gridCol w:w="1193"/>
        <w:gridCol w:w="1330"/>
        <w:gridCol w:w="1327"/>
        <w:gridCol w:w="1330"/>
        <w:gridCol w:w="1327"/>
      </w:tblGrid>
      <w:tr>
        <w:trPr>
          <w:trHeight w:val="401"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在建开发产品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233,320,778.09</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233,320,778.09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249,141,497.33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249,141,497.33</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拟开发产品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158,590,882.65</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158,590,882.65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125,368,244.03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125,368,244.03</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已开发产品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223,976,650.75</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312,617.88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223,664,032.87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139,464,882.55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2,054,256.65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137,410,625.90</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9" w:right="0"/>
              <w:jc w:val="left"/>
              <w:rPr>
                <w:rFonts w:ascii="Times New Roman" w:hAnsi="Times New Roman" w:cs="Times New Roman" w:eastAsia="Times New Roman" w:hint="default"/>
                <w:sz w:val="18"/>
                <w:szCs w:val="18"/>
              </w:rPr>
            </w:pPr>
            <w:r>
              <w:rPr>
                <w:rFonts w:ascii="Times New Roman"/>
                <w:sz w:val="18"/>
              </w:rPr>
              <w:t>615,888,311.49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312,617.88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615,575,693.61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513,974,623.91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2,054,256.65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511,920,367.26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38"/>
        <w:gridCol w:w="1616"/>
        <w:gridCol w:w="1615"/>
        <w:gridCol w:w="1414"/>
        <w:gridCol w:w="1431"/>
        <w:gridCol w:w="1757"/>
      </w:tblGrid>
      <w:tr>
        <w:trPr>
          <w:trHeight w:val="403" w:hRule="exact"/>
        </w:trPr>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1738" w:type="dxa"/>
            <w:vMerge/>
            <w:tcBorders>
              <w:left w:val="single" w:sz="4" w:space="0" w:color="000000"/>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c>
          <w:tcPr>
            <w:tcW w:w="1615" w:type="dxa"/>
            <w:vMerge/>
            <w:tcBorders>
              <w:left w:val="single" w:sz="4" w:space="0" w:color="000000"/>
              <w:bottom w:val="single" w:sz="4" w:space="0" w:color="000000"/>
              <w:right w:val="single" w:sz="4" w:space="0" w:color="000000"/>
            </w:tcBorders>
            <w:shd w:val="clear" w:color="auto" w:fill="D2D2D2"/>
          </w:tcPr>
          <w:p>
            <w:pP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已开发产品</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2,054,256.65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312,617.88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2,054,256.65</w:t>
            </w: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312,617.88</w:t>
            </w:r>
          </w:p>
        </w:tc>
      </w:tr>
      <w:tr>
        <w:trPr>
          <w:trHeight w:val="401"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2,054,256.65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312,617.88</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2,054,256.65</w:t>
            </w: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312,617.88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96" w:right="99"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已开发产品</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账面成本高于可变现净值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z w:val="18"/>
              </w:rPr>
              <w:t>0.92%</w:t>
            </w:r>
          </w:p>
        </w:tc>
      </w:tr>
    </w:tbl>
    <w:p>
      <w:pPr>
        <w:pStyle w:val="BodyText"/>
        <w:spacing w:line="240" w:lineRule="auto" w:before="49"/>
        <w:ind w:right="0"/>
        <w:jc w:val="left"/>
      </w:pPr>
      <w:r>
        <w:rPr/>
        <w:t>存货的说明</w:t>
      </w:r>
    </w:p>
    <w:p>
      <w:pPr>
        <w:spacing w:after="0" w:line="240" w:lineRule="auto"/>
        <w:jc w:val="left"/>
        <w:sectPr>
          <w:pgSz w:w="11910" w:h="16840"/>
          <w:pgMar w:header="877" w:footer="1267"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7"/>
        <w:gridCol w:w="2924"/>
        <w:gridCol w:w="3190"/>
      </w:tblGrid>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预提税金</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25,779,956.88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21,200,004.60</w:t>
            </w: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25,779,956.88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21,200,004.60</w:t>
            </w:r>
          </w:p>
        </w:tc>
      </w:tr>
    </w:tbl>
    <w:p>
      <w:pPr>
        <w:pStyle w:val="BodyText"/>
        <w:spacing w:line="240" w:lineRule="auto" w:before="49"/>
        <w:ind w:right="0"/>
        <w:jc w:val="left"/>
      </w:pPr>
      <w:r>
        <w:rPr/>
        <w:t>其他流动资产说明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w:t>
      </w:r>
      <w:r>
        <w:rPr/>
        <w:t>、固定资产</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9"/>
        <w:gridCol w:w="1462"/>
        <w:gridCol w:w="1327"/>
        <w:gridCol w:w="1594"/>
        <w:gridCol w:w="1597"/>
        <w:gridCol w:w="1459"/>
      </w:tblGrid>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545,316.00</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64,639.00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609,955.00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176,931.00</w:t>
            </w:r>
          </w:p>
        </w:tc>
        <w:tc>
          <w:tcPr>
            <w:tcW w:w="2921" w:type="dxa"/>
            <w:gridSpan w:val="2"/>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176,931.00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368,385.00</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64,639.00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433,024.00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394,297.94</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89,782.06</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484,080.00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168,084.59</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168,084.59</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226,213.35</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89,782.06</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315,995.41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151,018.06</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125,875.00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w w:val="95"/>
                <w:sz w:val="18"/>
              </w:rPr>
              <w:t>8,846.41</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8,846.41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142,171.65</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117,028.59</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62" w:type="dxa"/>
            <w:tcBorders>
              <w:top w:val="single" w:sz="4" w:space="0" w:color="000000"/>
              <w:left w:val="single" w:sz="4" w:space="0" w:color="000000"/>
              <w:bottom w:val="single" w:sz="4" w:space="0" w:color="000000"/>
              <w:right w:val="single" w:sz="13" w:space="0" w:color="D2D2D2"/>
            </w:tcBorders>
          </w:tcPr>
          <w:p>
            <w:pP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151,018.06</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125,875.00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w w:val="95"/>
                <w:sz w:val="18"/>
              </w:rPr>
              <w:t>8,846.41</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8,846.41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142,171.65</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117,028.59</w:t>
            </w:r>
          </w:p>
        </w:tc>
      </w:tr>
    </w:tbl>
    <w:p>
      <w:pPr>
        <w:pStyle w:val="BodyText"/>
        <w:spacing w:line="240" w:lineRule="auto" w:before="49"/>
        <w:ind w:right="0"/>
        <w:jc w:val="left"/>
      </w:pPr>
      <w:r>
        <w:rPr/>
        <w:t>本期折旧额</w:t>
      </w:r>
      <w:r>
        <w:rPr>
          <w:spacing w:val="-46"/>
        </w:rPr>
        <w:t> </w:t>
      </w:r>
      <w:r>
        <w:rPr>
          <w:rFonts w:ascii="Times New Roman" w:hAnsi="Times New Roman" w:cs="Times New Roman" w:eastAsia="Times New Roman" w:hint="default"/>
        </w:rPr>
        <w:t>0.00 </w:t>
      </w:r>
      <w:r>
        <w:rPr/>
        <w:t>元；本期由在建工程转入固定资产原价为</w:t>
      </w:r>
      <w:r>
        <w:rPr>
          <w:spacing w:val="-46"/>
        </w:rPr>
        <w:t> </w:t>
      </w:r>
      <w:r>
        <w:rPr>
          <w:rFonts w:ascii="Times New Roman" w:hAnsi="Times New Roman" w:cs="Times New Roman" w:eastAsia="Times New Roman" w:hint="default"/>
        </w:rPr>
        <w:t>0.00 </w:t>
      </w:r>
      <w:r>
        <w:rPr/>
        <w:t>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8</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已确认的递延所得税资产和递延所得税负债</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2924"/>
        <w:gridCol w:w="2910"/>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1267"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23"/>
        <w:gridCol w:w="2924"/>
        <w:gridCol w:w="2921"/>
      </w:tblGrid>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1,143,151.35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626,051.88</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1,691,026.06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78,154.47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513,564.15</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预售房款</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2,626,803.23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2,101,079.72</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499,761.25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499,761.25</w:t>
            </w:r>
          </w:p>
        </w:tc>
      </w:tr>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6,038,896.36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3,740,457.00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pStyle w:val="BodyText"/>
        <w:spacing w:line="240" w:lineRule="auto" w:before="49"/>
        <w:ind w:right="0"/>
        <w:jc w:val="left"/>
      </w:pPr>
      <w:r>
        <w:rPr/>
        <w:t>未确认递延所得税资产明细</w:t>
      </w:r>
    </w:p>
    <w:p>
      <w:pPr>
        <w:pStyle w:val="BodyText"/>
        <w:spacing w:line="240" w:lineRule="auto" w:before="115"/>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1"/>
        <w:gridCol w:w="2934"/>
        <w:gridCol w:w="2921"/>
      </w:tblGrid>
      <w:tr>
        <w:trPr>
          <w:trHeight w:val="403"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392,252.62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383,181.24</w:t>
            </w:r>
          </w:p>
        </w:tc>
      </w:tr>
      <w:tr>
        <w:trPr>
          <w:trHeight w:val="403"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6,661,308.01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6,661,308.01</w:t>
            </w:r>
          </w:p>
        </w:tc>
      </w:tr>
      <w:tr>
        <w:trPr>
          <w:trHeight w:val="401"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7,053,560.63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7,044,489.25</w:t>
            </w:r>
          </w:p>
        </w:tc>
      </w:tr>
    </w:tbl>
    <w:p>
      <w:pPr>
        <w:pStyle w:val="BodyText"/>
        <w:spacing w:line="240" w:lineRule="auto" w:before="49"/>
        <w:ind w:right="0"/>
        <w:jc w:val="left"/>
      </w:pPr>
      <w:r>
        <w:rPr/>
        <w:t>未确认递延所得税资产的可抵扣亏损将于以下年度到期</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2259"/>
        <w:gridCol w:w="1995"/>
        <w:gridCol w:w="3309"/>
      </w:tblGrid>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9"/>
        <w:ind w:right="0"/>
        <w:jc w:val="left"/>
      </w:pPr>
      <w:r>
        <w:rPr/>
        <w:t>应纳税差异和可抵扣差异项目明细</w:t>
      </w:r>
    </w:p>
    <w:p>
      <w:pPr>
        <w:pStyle w:val="BodyText"/>
        <w:spacing w:line="240" w:lineRule="auto" w:before="115"/>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926"/>
        <w:gridCol w:w="2787"/>
      </w:tblGrid>
      <w:tr>
        <w:trPr>
          <w:trHeight w:val="402" w:hRule="exact"/>
        </w:trPr>
        <w:tc>
          <w:tcPr>
            <w:tcW w:w="38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4"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互抵后的递延所得税资产及负债的组成项目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62"/>
        <w:gridCol w:w="1615"/>
        <w:gridCol w:w="1628"/>
        <w:gridCol w:w="1628"/>
        <w:gridCol w:w="1616"/>
      </w:tblGrid>
      <w:tr>
        <w:trPr>
          <w:trHeight w:val="317" w:hRule="exact"/>
        </w:trPr>
        <w:tc>
          <w:tcPr>
            <w:tcW w:w="3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78" w:right="85"/>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87" w:right="77"/>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4" w:hRule="exact"/>
        </w:trPr>
        <w:tc>
          <w:tcPr>
            <w:tcW w:w="3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615"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16" w:type="dxa"/>
            <w:vMerge/>
            <w:tcBorders>
              <w:left w:val="single" w:sz="4" w:space="0" w:color="000000"/>
              <w:right w:val="single" w:sz="4" w:space="0" w:color="000000"/>
            </w:tcBorders>
            <w:shd w:val="clear" w:color="auto" w:fill="D2D2D2"/>
          </w:tcPr>
          <w:p>
            <w:pPr/>
          </w:p>
        </w:tc>
      </w:tr>
      <w:tr>
        <w:trPr>
          <w:trHeight w:val="317" w:hRule="exact"/>
        </w:trPr>
        <w:tc>
          <w:tcPr>
            <w:tcW w:w="3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32" w:right="0"/>
              <w:jc w:val="left"/>
              <w:rPr>
                <w:rFonts w:ascii="Times New Roman" w:hAnsi="Times New Roman" w:cs="Times New Roman" w:eastAsia="Times New Roman" w:hint="default"/>
                <w:sz w:val="18"/>
                <w:szCs w:val="18"/>
              </w:rPr>
            </w:pPr>
            <w:r>
              <w:rPr>
                <w:rFonts w:ascii="Times New Roman"/>
                <w:sz w:val="18"/>
              </w:rPr>
              <w:t>6,038,896.36</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9" w:right="0"/>
              <w:jc w:val="left"/>
              <w:rPr>
                <w:rFonts w:ascii="Times New Roman" w:hAnsi="Times New Roman" w:cs="Times New Roman" w:eastAsia="Times New Roman" w:hint="default"/>
                <w:sz w:val="18"/>
                <w:szCs w:val="18"/>
              </w:rPr>
            </w:pPr>
            <w:r>
              <w:rPr>
                <w:rFonts w:ascii="Times New Roman"/>
                <w:sz w:val="18"/>
              </w:rPr>
              <w:t>3,740,457.00</w:t>
            </w:r>
          </w:p>
        </w:tc>
        <w:tc>
          <w:tcPr>
            <w:tcW w:w="16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递延所得税资产和递延所得税负债互抵明细</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5713"/>
      </w:tblGrid>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本期互抵金额</w:t>
            </w:r>
          </w:p>
        </w:tc>
      </w:tr>
    </w:tbl>
    <w:p>
      <w:pPr>
        <w:pStyle w:val="BodyText"/>
        <w:spacing w:line="240" w:lineRule="auto" w:before="49"/>
        <w:ind w:right="0"/>
        <w:jc w:val="left"/>
      </w:pPr>
      <w:r>
        <w:rPr/>
        <w:t>递延所得税资产和递延所得税负债的说明</w:t>
      </w:r>
    </w:p>
    <w:p>
      <w:pPr>
        <w:spacing w:after="0" w:line="240" w:lineRule="auto"/>
        <w:jc w:val="left"/>
        <w:sectPr>
          <w:pgSz w:w="11910" w:h="16840"/>
          <w:pgMar w:header="877" w:footer="1267"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9</w:t>
      </w:r>
      <w:r>
        <w:rPr/>
        <w:t>、资产减值准备明细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527"/>
        <w:gridCol w:w="1529"/>
        <w:gridCol w:w="1399"/>
        <w:gridCol w:w="1397"/>
        <w:gridCol w:w="1452"/>
      </w:tblGrid>
      <w:tr>
        <w:trPr>
          <w:trHeight w:val="206" w:hRule="exact"/>
        </w:trPr>
        <w:tc>
          <w:tcPr>
            <w:tcW w:w="22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9" w:hRule="exact"/>
        </w:trPr>
        <w:tc>
          <w:tcPr>
            <w:tcW w:w="2266" w:type="dxa"/>
            <w:vMerge/>
            <w:tcBorders>
              <w:left w:val="single" w:sz="4" w:space="0" w:color="000000"/>
              <w:bottom w:val="nil" w:sz="6" w:space="0" w:color="auto"/>
              <w:right w:val="single" w:sz="4" w:space="0" w:color="000000"/>
            </w:tcBorders>
            <w:shd w:val="clear" w:color="auto" w:fill="D2D2D2"/>
          </w:tcPr>
          <w:p>
            <w:pPr/>
          </w:p>
        </w:tc>
        <w:tc>
          <w:tcPr>
            <w:tcW w:w="1527"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2,882,388.74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2,082,616.69</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4,965,005.43</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2,054,256.65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312,617.88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2,054,256.65</w:t>
            </w: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312,617.88</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4,936,645.39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2,395,234.57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2,054,256.65</w:t>
            </w: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5,277,623.31</w:t>
            </w:r>
          </w:p>
        </w:tc>
      </w:tr>
    </w:tbl>
    <w:p>
      <w:pPr>
        <w:pStyle w:val="BodyText"/>
        <w:spacing w:line="240" w:lineRule="auto" w:before="49"/>
        <w:ind w:right="0"/>
        <w:jc w:val="left"/>
      </w:pPr>
      <w:r>
        <w:rPr/>
        <w:t>资产减值明细情况的说明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10</w:t>
      </w:r>
      <w:r>
        <w:rPr/>
        <w:t>、应付账款</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182,317,293.36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149,751,609.25</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182,317,293.36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149,751,609.25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）账龄超过一年的大额应付账款情况的说明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本公司账龄超过一年应付账款主要是应付未付的工程款，未支付原因系资金优先用于在建项目开发。</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11</w:t>
      </w:r>
      <w:r>
        <w:rPr/>
        <w:t>、预收账款</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预售房款</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196,825,827.48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128,615,207.40</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196,825,827.48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128,615,207.40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）账龄超过一年的大额预收账款情况的说明</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24"/>
        <w:jc w:val="left"/>
      </w:pPr>
      <w:r>
        <w:rPr/>
        <w:t>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日，账龄超过一年的预收款项为</w:t>
      </w:r>
      <w:r>
        <w:rPr>
          <w:rFonts w:ascii="Times New Roman" w:hAnsi="Times New Roman" w:cs="Times New Roman" w:eastAsia="Times New Roman" w:hint="default"/>
        </w:rPr>
        <w:t>66,890,779.50</w:t>
      </w:r>
      <w:r>
        <w:rPr/>
        <w:t>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14,749,624.90</w:t>
      </w:r>
      <w:r>
        <w:rPr/>
        <w:t>元），主要为预收房款， 因尚未办理交房手续，该款项尚未结转收入。</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12</w:t>
      </w:r>
      <w:r>
        <w:rPr/>
        <w:t>、应付职工薪酬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877" w:footer="1267"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574"/>
        <w:gridCol w:w="1874"/>
        <w:gridCol w:w="1992"/>
        <w:gridCol w:w="2259"/>
        <w:gridCol w:w="1860"/>
      </w:tblGrid>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5"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66,033.51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4,518,295.43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4,517,255.53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67,073.41</w:t>
            </w: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74"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32,431.20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32,431.20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74"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907,250.46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907,250.46</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74"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5,024.32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5,024.32</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66,033.51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5,463,001.41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5,461,961.51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67,073.41</w:t>
            </w:r>
          </w:p>
        </w:tc>
      </w:tr>
    </w:tbl>
    <w:p>
      <w:pPr>
        <w:pStyle w:val="BodyText"/>
        <w:spacing w:line="348" w:lineRule="auto" w:before="49"/>
        <w:ind w:right="3914"/>
        <w:jc w:val="left"/>
      </w:pPr>
      <w:r>
        <w:rPr/>
        <w:t>应付职工薪酬中属于拖欠性质的金额</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工会经费和职工教育经费金额元，非货币性福利金额元，因解除劳动关系给予补偿元。 应付职工薪酬预计发放时间、金额等安排</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13</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-6,573.00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7,873,543.45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4,841,973.22</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19,621,196.74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11,066,364.94</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54,305.43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53,546.18</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251,006.04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16,256.72</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7,697,878.63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7,623,990.80</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102,899.76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9,695.82</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67,833.65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2,927.19</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346,980.78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388,008.52</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16,078.65</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36,025,150.13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24,002,763.39</w:t>
            </w:r>
          </w:p>
        </w:tc>
      </w:tr>
    </w:tbl>
    <w:p>
      <w:pPr>
        <w:pStyle w:val="BodyText"/>
        <w:spacing w:line="240" w:lineRule="auto" w:before="49"/>
        <w:ind w:right="0"/>
        <w:jc w:val="left"/>
      </w:pPr>
      <w:r>
        <w:rPr/>
        <w:t>应交税费说明，所在地税务机关同意各分公司、分厂之间应纳税所得额相互调剂的，应说明税款计算过程</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14</w:t>
      </w:r>
      <w:r>
        <w:rPr/>
        <w:t>、应付股利</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2"/>
        <w:gridCol w:w="1994"/>
        <w:gridCol w:w="2127"/>
        <w:gridCol w:w="2657"/>
      </w:tblGrid>
      <w:tr>
        <w:trPr>
          <w:trHeight w:val="402"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3" w:right="0"/>
              <w:jc w:val="left"/>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广东华侨信托投资公司</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176,157.08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176,157.08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历史遗留</w:t>
            </w: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深圳新通阳电子元件工业有限公司</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14,545.20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14,545.20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历史遗留</w:t>
            </w:r>
          </w:p>
        </w:tc>
      </w:tr>
      <w:tr>
        <w:trPr>
          <w:trHeight w:val="40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公众股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15,326.74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15,326.74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历史遗留</w:t>
            </w:r>
          </w:p>
        </w:tc>
      </w:tr>
      <w:tr>
        <w:trPr>
          <w:trHeight w:val="403" w:hRule="exact"/>
        </w:trPr>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206,029.02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206,029.02</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应付股利的说明</w:t>
      </w:r>
    </w:p>
    <w:p>
      <w:pPr>
        <w:spacing w:after="0" w:line="240" w:lineRule="auto"/>
        <w:jc w:val="left"/>
        <w:sectPr>
          <w:pgSz w:w="11910" w:h="16840"/>
          <w:pgMar w:header="877" w:footer="1267"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15</w:t>
      </w:r>
      <w:r>
        <w:rPr/>
        <w:t>、其他应付款</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）其他应付款情况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23,087,696.46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24,332,609.80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青岛嘉合福远置业有限公司</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2,058,143.81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3,444,809.81</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青岛亚星置业有限公司</w:t>
            </w:r>
          </w:p>
        </w:tc>
        <w:tc>
          <w:tcPr>
            <w:tcW w:w="3058"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39,425.00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青岛美丰置业有限公司</w:t>
            </w:r>
          </w:p>
        </w:tc>
        <w:tc>
          <w:tcPr>
            <w:tcW w:w="3058"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49,800.00</w:t>
            </w:r>
          </w:p>
        </w:tc>
      </w:tr>
      <w:tr>
        <w:trPr>
          <w:trHeight w:val="40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青岛天和智远</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18,856.50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其他单位往来款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27,413,329.43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27,352,230.83</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认购金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4,088,658.65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8,662,195.46</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2,046,600.00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2,962,138.09</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代收代付款项</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2,742,960.42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2,888,464.94</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273,195.61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24,311.69</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61,729,440.88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69,755,985.62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16</w:t>
      </w:r>
      <w:r>
        <w:rPr/>
        <w:t>、预计负债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3"/>
        <w:gridCol w:w="1873"/>
        <w:gridCol w:w="1860"/>
        <w:gridCol w:w="1860"/>
        <w:gridCol w:w="1995"/>
      </w:tblGrid>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1,999,045.00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1,999,045.00</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1,999,045.00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1,999,045.00</w:t>
            </w:r>
          </w:p>
        </w:tc>
      </w:tr>
    </w:tbl>
    <w:p>
      <w:pPr>
        <w:pStyle w:val="BodyText"/>
        <w:spacing w:line="240" w:lineRule="auto" w:before="49"/>
        <w:ind w:right="0"/>
        <w:jc w:val="left"/>
      </w:pPr>
      <w:r>
        <w:rPr/>
        <w:t>预计负债说明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17</w:t>
      </w:r>
      <w:r>
        <w:rPr/>
        <w:t>、一年内到期的非流动负债</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）一年内到期的非流动负债情况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800"/>
        <w:gridCol w:w="3190"/>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年内到期的长期借款</w:t>
            </w:r>
          </w:p>
        </w:tc>
        <w:tc>
          <w:tcPr>
            <w:tcW w:w="2800" w:type="dxa"/>
            <w:tcBorders>
              <w:top w:val="single" w:sz="4" w:space="0" w:color="000000"/>
              <w:left w:val="single" w:sz="9"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42,150,000.00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9"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42,150,000.00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一年内到期的长期借款</w:t>
      </w:r>
    </w:p>
    <w:p>
      <w:pPr>
        <w:pStyle w:val="BodyText"/>
        <w:spacing w:line="240" w:lineRule="auto" w:before="117"/>
        <w:ind w:left="0" w:right="1131"/>
        <w:jc w:val="right"/>
      </w:pPr>
      <w:r>
        <w:rPr/>
        <w:t>单位：</w:t>
      </w:r>
      <w:r>
        <w:rPr>
          <w:spacing w:val="1"/>
        </w:rPr>
        <w:t> </w:t>
      </w:r>
      <w:r>
        <w:rPr/>
        <w:t>元</w:t>
      </w:r>
    </w:p>
    <w:p>
      <w:pPr>
        <w:spacing w:after="0" w:line="240" w:lineRule="auto"/>
        <w:jc w:val="right"/>
        <w:sectPr>
          <w:pgSz w:w="11910" w:h="16840"/>
          <w:pgMar w:header="877" w:footer="1267" w:top="1060" w:bottom="152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569"/>
        <w:gridCol w:w="2800"/>
        <w:gridCol w:w="3190"/>
      </w:tblGrid>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800" w:type="dxa"/>
            <w:tcBorders>
              <w:top w:val="single" w:sz="4" w:space="0" w:color="000000"/>
              <w:left w:val="single" w:sz="9"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42,150,000.00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9"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42,150,000.00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67" w:top="1060" w:bottom="1520" w:left="980" w:right="0"/>
        </w:sectPr>
      </w:pPr>
    </w:p>
    <w:p>
      <w:pPr>
        <w:pStyle w:val="BodyText"/>
        <w:spacing w:line="357" w:lineRule="auto" w:before="49"/>
        <w:ind w:right="-20"/>
        <w:jc w:val="left"/>
      </w:pPr>
      <w:r>
        <w:rPr/>
        <w:t>一年内到期的长期借款中属于逾期借款获得展期的金额元。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833" w:space="399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1"/>
        <w:gridCol w:w="1063"/>
        <w:gridCol w:w="1063"/>
        <w:gridCol w:w="1066"/>
        <w:gridCol w:w="1061"/>
      </w:tblGrid>
      <w:tr>
        <w:trPr>
          <w:trHeight w:val="403"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pStyle w:val="BodyText"/>
        <w:spacing w:line="240" w:lineRule="auto" w:before="49"/>
        <w:ind w:right="0"/>
        <w:jc w:val="left"/>
      </w:pPr>
      <w:r>
        <w:rPr/>
        <w:t>一年内到期的长期借款中的逾期借款</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8"/>
        <w:gridCol w:w="1366"/>
        <w:gridCol w:w="1369"/>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0"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pStyle w:val="BodyText"/>
        <w:spacing w:line="357" w:lineRule="auto" w:before="49"/>
        <w:ind w:right="8054"/>
        <w:jc w:val="left"/>
      </w:pPr>
      <w:r>
        <w:rPr/>
        <w:t>资产负债表日后已偿还的金额元。 一年内到期的长期借款说明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18</w:t>
      </w:r>
      <w:r>
        <w:rPr/>
        <w:t>、长期借款</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7"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96,227,998.00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96,227,998.00</w:t>
            </w:r>
          </w:p>
        </w:tc>
      </w:tr>
    </w:tbl>
    <w:p>
      <w:pPr>
        <w:pStyle w:val="BodyText"/>
        <w:spacing w:line="240" w:lineRule="auto" w:before="49"/>
        <w:ind w:right="0"/>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4"/>
        </w:rPr>
        <w:t> </w:t>
      </w:r>
      <w:r>
        <w:rPr>
          <w:rFonts w:ascii="Times New Roman" w:hAnsi="Times New Roman" w:cs="Times New Roman" w:eastAsia="Times New Roman" w:hint="default"/>
        </w:rPr>
        <w:t>3</w:t>
      </w:r>
    </w:p>
    <w:p>
      <w:pPr>
        <w:pStyle w:val="BodyText"/>
        <w:spacing w:line="240" w:lineRule="auto" w:before="63"/>
        <w:ind w:right="0"/>
        <w:jc w:val="left"/>
      </w:pPr>
      <w:r>
        <w:rPr/>
        <w:t>年的股份有限公司，设立前的年份只需说明净资产情况；有限责任公司整体变更为股份公司应说明公司设立时的验资情况</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20</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21,760,565.81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584,458.83</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22,345,024.64</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21,760,565.81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584,458.83</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22,345,024.64</w:t>
            </w:r>
          </w:p>
        </w:tc>
      </w:tr>
    </w:tbl>
    <w:p>
      <w:pPr>
        <w:pStyle w:val="BodyText"/>
        <w:spacing w:line="240" w:lineRule="auto" w:before="49"/>
        <w:ind w:right="0"/>
        <w:jc w:val="left"/>
      </w:pPr>
      <w:r>
        <w:rPr/>
        <w:t>资本公积说明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21</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83" w:right="0"/>
              <w:jc w:val="left"/>
              <w:rPr>
                <w:rFonts w:ascii="Times New Roman" w:hAnsi="Times New Roman" w:cs="Times New Roman" w:eastAsia="Times New Roman" w:hint="default"/>
                <w:sz w:val="18"/>
                <w:szCs w:val="18"/>
              </w:rPr>
            </w:pPr>
            <w:r>
              <w:rPr>
                <w:rFonts w:ascii="Times New Roman"/>
                <w:sz w:val="18"/>
              </w:rPr>
              <w:t>5,887,067.95</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5,887,067.95</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4"/>
        <w:gridCol w:w="1861"/>
        <w:gridCol w:w="1992"/>
        <w:gridCol w:w="1729"/>
        <w:gridCol w:w="1594"/>
      </w:tblGrid>
      <w:tr>
        <w:trPr>
          <w:trHeight w:val="404"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3" w:right="0"/>
              <w:jc w:val="left"/>
              <w:rPr>
                <w:rFonts w:ascii="Times New Roman" w:hAnsi="Times New Roman" w:cs="Times New Roman" w:eastAsia="Times New Roman" w:hint="default"/>
                <w:sz w:val="18"/>
                <w:szCs w:val="18"/>
              </w:rPr>
            </w:pPr>
            <w:r>
              <w:rPr>
                <w:rFonts w:ascii="Times New Roman"/>
                <w:sz w:val="18"/>
              </w:rPr>
              <w:t>5,887,067.95</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5,887,067.95</w:t>
            </w:r>
          </w:p>
        </w:tc>
      </w:tr>
    </w:tbl>
    <w:p>
      <w:pPr>
        <w:pStyle w:val="BodyText"/>
        <w:spacing w:line="240" w:lineRule="auto" w:before="49"/>
        <w:ind w:right="0"/>
        <w:jc w:val="left"/>
      </w:pPr>
      <w:r>
        <w:rPr/>
        <w:t>盈余公积说明，用盈余公积转增股本、弥补亏损、分派股利的，应说明有关决议</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22</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53"/>
        <w:gridCol w:w="2098"/>
      </w:tblGrid>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32,714,793.89</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1,989,975.92</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34,704,769.81</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调整年初未分配利润明细：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、由于《企业会计准则》及其相关新规定进行追溯调整，影响年初未分配利润元。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、由于会计政策变更，影响年初未分配利润元。</w:t>
      </w:r>
    </w:p>
    <w:p>
      <w:pPr>
        <w:pStyle w:val="BodyText"/>
        <w:spacing w:line="240" w:lineRule="auto" w:before="101"/>
        <w:ind w:right="0"/>
        <w:jc w:val="left"/>
      </w:pPr>
      <w:r>
        <w:rPr>
          <w:rFonts w:ascii="Times New Roman" w:hAnsi="Times New Roman" w:cs="Times New Roman" w:eastAsia="Times New Roman" w:hint="default"/>
        </w:rPr>
        <w:t>3)</w:t>
      </w:r>
      <w:r>
        <w:rPr/>
        <w:t>、由于重大会计差错更正，影响年初未分配利润元。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、由于同一控制导致的合并范围变更，影响年初未分配利润元。</w:t>
      </w:r>
    </w:p>
    <w:p>
      <w:pPr>
        <w:pStyle w:val="BodyText"/>
        <w:spacing w:line="324" w:lineRule="auto" w:before="103"/>
        <w:ind w:right="0"/>
        <w:jc w:val="left"/>
      </w:pPr>
      <w:r>
        <w:rPr>
          <w:rFonts w:ascii="Times New Roman" w:hAnsi="Times New Roman" w:cs="Times New Roman" w:eastAsia="Times New Roman" w:hint="default"/>
        </w:rPr>
        <w:t>5)</w:t>
      </w:r>
      <w:r>
        <w:rPr/>
        <w:t>、其他调整合计影响年初未分配利润元。</w:t>
      </w:r>
      <w:r>
        <w:rPr>
          <w:w w:val="99"/>
        </w:rPr>
        <w:t> </w:t>
      </w:r>
      <w:r>
        <w:rPr>
          <w:spacing w:val="-2"/>
        </w:rPr>
        <w:t>未分配利润说明，对于首次公开发行证券的公司，如果发行前的滚存利润经股东大会决议由新老股东共同享有，应明确予以</w:t>
      </w:r>
      <w:r>
        <w:rPr>
          <w:spacing w:val="-64"/>
        </w:rPr>
        <w:t> </w:t>
      </w:r>
      <w:r>
        <w:rPr>
          <w:spacing w:val="-64"/>
        </w:rPr>
      </w:r>
      <w:r>
        <w:rPr>
          <w:spacing w:val="-2"/>
        </w:rPr>
        <w:t>说明；如果发行前的滚存利润经股东大会决议在发行前进行分配并由老股东享有，公司应明确披露应付股利中老股东享有的</w:t>
      </w:r>
      <w:r>
        <w:rPr>
          <w:spacing w:val="-65"/>
        </w:rPr>
        <w:t> </w:t>
      </w:r>
      <w:r>
        <w:rPr>
          <w:spacing w:val="-65"/>
        </w:rPr>
      </w:r>
      <w:r>
        <w:rPr/>
        <w:t>经审计的利润数</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23</w:t>
      </w:r>
      <w:r>
        <w:rPr/>
        <w:t>、营业收入、营业成本</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168,435,591.26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206,236,809.33</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122,992,243.06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159,055,100.49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168,435,591.26</w:t>
            </w:r>
          </w:p>
        </w:tc>
        <w:tc>
          <w:tcPr>
            <w:tcW w:w="186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156,743,290.85</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726"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49,493,518.48</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168,435,591.26</w:t>
            </w:r>
          </w:p>
        </w:tc>
        <w:tc>
          <w:tcPr>
            <w:tcW w:w="186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206,236,809.33</w:t>
            </w:r>
          </w:p>
        </w:tc>
        <w:tc>
          <w:tcPr>
            <w:tcW w:w="17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67" w:top="1060" w:bottom="152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168,435,591.26</w:t>
            </w:r>
          </w:p>
        </w:tc>
        <w:tc>
          <w:tcPr>
            <w:tcW w:w="186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156,743,290.85</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钢材贸易等</w:t>
            </w:r>
          </w:p>
        </w:tc>
        <w:tc>
          <w:tcPr>
            <w:tcW w:w="1726"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49,493,518.48</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168,435,591.26</w:t>
            </w:r>
          </w:p>
        </w:tc>
        <w:tc>
          <w:tcPr>
            <w:tcW w:w="186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206,236,809.33</w:t>
            </w:r>
          </w:p>
        </w:tc>
        <w:tc>
          <w:tcPr>
            <w:tcW w:w="17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168,435,591.26</w:t>
            </w:r>
          </w:p>
        </w:tc>
        <w:tc>
          <w:tcPr>
            <w:tcW w:w="186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206,236,809.33</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168,435,591.26</w:t>
            </w:r>
          </w:p>
        </w:tc>
        <w:tc>
          <w:tcPr>
            <w:tcW w:w="1863"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206,236,809.33</w:t>
            </w:r>
          </w:p>
        </w:tc>
        <w:tc>
          <w:tcPr>
            <w:tcW w:w="17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）公司来自前五名客户的营业收入情况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95"/>
        <w:gridCol w:w="2850"/>
        <w:gridCol w:w="4126"/>
      </w:tblGrid>
      <w:tr>
        <w:trPr>
          <w:trHeight w:val="402"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6,961,959.00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2,108,805.00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1.25%</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1,850,005.92</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1.1%</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1,632,195.00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0.97%</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14,552,964.92</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8.64%</w:t>
            </w:r>
          </w:p>
        </w:tc>
      </w:tr>
    </w:tbl>
    <w:p>
      <w:pPr>
        <w:pStyle w:val="BodyText"/>
        <w:spacing w:line="240" w:lineRule="auto" w:before="49"/>
        <w:ind w:right="0"/>
        <w:jc w:val="left"/>
      </w:pPr>
      <w:r>
        <w:rPr/>
        <w:t>营业收入的说明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24</w:t>
      </w:r>
      <w:r>
        <w:rPr/>
        <w:t>、营业税金及附加</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2"/>
        <w:gridCol w:w="2003"/>
        <w:gridCol w:w="1863"/>
        <w:gridCol w:w="2921"/>
      </w:tblGrid>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8,500,548.79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7,836,414.51</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558,801.72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535,306.37</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255,016.46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237,172.00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7,595,567.13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4,688,894.16</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67" w:top="1060" w:bottom="152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795"/>
        <w:gridCol w:w="1992"/>
        <w:gridCol w:w="1863"/>
        <w:gridCol w:w="2921"/>
      </w:tblGrid>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170,010.98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158,114.46</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35,939.39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79,057.34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17,115,884.47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13,534,958.84</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营业税金及附加的说明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25</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代理费及佣金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732,632.34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1,172,889.10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477,402.00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698,063.00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策划与咨询费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372,870.75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宣传物料及礼品费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42,143.30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50,944.90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877,245.67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736,307.05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42,616.13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预订开盘活动费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8,130.00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2,137,553.31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3,086,760.93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26</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1,262,786.03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1,477,327.63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57,452.20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36,753.26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179,829.36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93,526.16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101,729.30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8,594.00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139,047.51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224,515.93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证券公司顾问费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2,510,271.50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1,704,141.21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1,820,205.92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1,134,727.84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866,819.20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530,395.00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521,000.00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376,945.19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25,359.23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321,562.70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313,287.51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305,855.62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118,580.22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220,562.60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289,946.40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67" w:top="1060" w:bottom="152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152,462.08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304,893.20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143,690.18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178,750.30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维修及装修费用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102,256.10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9,444.00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572,544.70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823,930.64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10,155,987.62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9,873,205.10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27</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1,856,031.01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4,696,663.14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-183,722.95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-45,069.94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77,049.96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83,067.19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1,749,358.02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4,734,660.39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28</w:t>
      </w:r>
      <w:r>
        <w:rPr/>
        <w:t>、资产减值损失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2,077,616.69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2,454,273.86</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312,617.88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2,054,256.65</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2,390,234.57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4,508,530.51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29</w:t>
      </w:r>
      <w:r>
        <w:rPr/>
        <w:t>、营业外收入</w:t>
      </w:r>
      <w:r>
        <w:rPr>
          <w:b w:val="0"/>
          <w:bCs w:val="0"/>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）营业外收入情况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4"/>
        <w:gridCol w:w="1956"/>
        <w:gridCol w:w="2160"/>
        <w:gridCol w:w="2161"/>
      </w:tblGrid>
      <w:tr>
        <w:trPr>
          <w:trHeight w:val="71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404"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1956"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8,587.98</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手续费返还</w:t>
            </w:r>
          </w:p>
        </w:tc>
        <w:tc>
          <w:tcPr>
            <w:tcW w:w="1956"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1,844.00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18,250.00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1,877.01</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18,250.00</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18,250.00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12,308.99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18,250.00</w:t>
            </w:r>
          </w:p>
        </w:tc>
      </w:tr>
    </w:tbl>
    <w:p>
      <w:pPr>
        <w:pStyle w:val="BodyText"/>
        <w:spacing w:line="240" w:lineRule="auto" w:before="49"/>
        <w:ind w:right="0"/>
        <w:jc w:val="left"/>
      </w:pPr>
      <w:r>
        <w:rPr/>
        <w:t>营业外收入说明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）计入当期损益的政府补助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1267" w:top="1060" w:bottom="14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是否属于非经常性损益</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30</w:t>
      </w:r>
      <w:r>
        <w:rPr/>
        <w:t>、营业外支出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161"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2"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1" w:hRule="exact"/>
        </w:trPr>
        <w:tc>
          <w:tcPr>
            <w:tcW w:w="3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127,058.06</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9" w:space="0" w:color="D2D2D2"/>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111,729.72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281,138.92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111,729.72</w:t>
            </w:r>
          </w:p>
        </w:tc>
      </w:tr>
      <w:tr>
        <w:trPr>
          <w:trHeight w:val="404"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111,729.72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526,196.98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111,729.72</w:t>
            </w:r>
          </w:p>
        </w:tc>
      </w:tr>
    </w:tbl>
    <w:p>
      <w:pPr>
        <w:pStyle w:val="BodyText"/>
        <w:spacing w:line="240" w:lineRule="auto" w:before="49"/>
        <w:ind w:right="0"/>
        <w:jc w:val="left"/>
      </w:pPr>
      <w:r>
        <w:rPr/>
        <w:t>营业外支出说明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31</w:t>
      </w:r>
      <w:r>
        <w:rPr/>
        <w:t>、所得税费用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11,191,924.33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9,949,370.26</w:t>
            </w:r>
          </w:p>
        </w:tc>
      </w:tr>
      <w:tr>
        <w:trPr>
          <w:trHeight w:val="402"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-2,298,439.36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-1,807,646.36</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8,893,484.97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8,141,723.90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67" w:top="1060" w:bottom="14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32</w:t>
      </w:r>
      <w:r>
        <w:rPr/>
        <w:t>、基本每股收益和稀释每股收益的计算过程</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spacing w:line="8160" w:lineRule="exact"/>
        <w:ind w:left="153" w:right="0" w:firstLine="0"/>
        <w:rPr>
          <w:rFonts w:ascii="宋体" w:hAnsi="宋体" w:cs="宋体" w:eastAsia="宋体" w:hint="default"/>
          <w:sz w:val="20"/>
          <w:szCs w:val="20"/>
        </w:rPr>
      </w:pPr>
      <w:r>
        <w:rPr>
          <w:rFonts w:ascii="宋体" w:hAnsi="宋体" w:cs="宋体" w:eastAsia="宋体" w:hint="default"/>
          <w:position w:val="-162"/>
          <w:sz w:val="20"/>
          <w:szCs w:val="20"/>
        </w:rPr>
        <w:drawing>
          <wp:inline distT="0" distB="0" distL="0" distR="0">
            <wp:extent cx="6763385" cy="5181600"/>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68" cstate="print"/>
                    <a:stretch>
                      <a:fillRect/>
                    </a:stretch>
                  </pic:blipFill>
                  <pic:spPr>
                    <a:xfrm>
                      <a:off x="0" y="0"/>
                      <a:ext cx="6763385" cy="5181600"/>
                    </a:xfrm>
                    <a:prstGeom prst="rect">
                      <a:avLst/>
                    </a:prstGeom>
                  </pic:spPr>
                </pic:pic>
              </a:graphicData>
            </a:graphic>
          </wp:inline>
        </w:drawing>
      </w:r>
      <w:r>
        <w:rPr>
          <w:rFonts w:ascii="宋体" w:hAnsi="宋体" w:cs="宋体" w:eastAsia="宋体" w:hint="default"/>
          <w:position w:val="-162"/>
          <w:sz w:val="20"/>
          <w:szCs w:val="20"/>
        </w:rPr>
      </w:r>
    </w:p>
    <w:p>
      <w:pPr>
        <w:spacing w:line="240" w:lineRule="auto" w:before="6"/>
        <w:rPr>
          <w:rFonts w:ascii="宋体" w:hAnsi="宋体" w:cs="宋体" w:eastAsia="宋体" w:hint="default"/>
          <w:b/>
          <w:bCs/>
          <w:sz w:val="29"/>
          <w:szCs w:val="2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、现金流量表附注</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4"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183,722.95</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183,722.95</w:t>
            </w:r>
          </w:p>
        </w:tc>
      </w:tr>
    </w:tbl>
    <w:p>
      <w:pPr>
        <w:pStyle w:val="BodyText"/>
        <w:spacing w:line="240" w:lineRule="auto" w:before="49"/>
        <w:ind w:right="0"/>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1267" w:top="1060" w:bottom="14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1,861,305.91</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4,212,629.75</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付现手续费、营业外收支净额</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122,059.84</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支付项目资本金、冻结资金</w:t>
            </w:r>
          </w:p>
        </w:tc>
        <w:tc>
          <w:tcPr>
            <w:tcW w:w="39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支付往来款项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16,808,980.54</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23,004,976.04</w:t>
            </w:r>
          </w:p>
        </w:tc>
      </w:tr>
    </w:tbl>
    <w:p>
      <w:pPr>
        <w:pStyle w:val="BodyText"/>
        <w:spacing w:line="240" w:lineRule="auto" w:before="49"/>
        <w:ind w:right="0"/>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34</w:t>
      </w:r>
      <w:r>
        <w:rPr/>
        <w:t>、现金流量表补充资料</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2,907,365.52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2,787,981.18</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2,390,234.57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4,508,530.51</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57,030.34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94,011.56</w:t>
            </w:r>
          </w:p>
        </w:tc>
      </w:tr>
      <w:tr>
        <w:trPr>
          <w:trHeight w:val="71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以“－”号填列）</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127,058.06</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1,206,632.31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4,696,663.14</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-2,298,439.36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-1,807,646.36</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-69,331,991.17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46,539,780.14</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38,300,833.75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3,963,438.97</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71,722,602.47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-7,955,912.74</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44,954,268.43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52,953,904.46</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19,082,950.92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16,095,315.98</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16,095,315.98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9,079,054.48</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2,987,634.94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7,016,261.50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460.320007pt;margin-top:38.451717pt;width:135pt;height:77pt;mso-position-horizontal-relative:page;mso-position-vertical-relative:paragraph;z-index:-629224" coordorigin="9206,769" coordsize="2700,1540">
            <v:shape style="position:absolute;left:9206;top:769;width:2700;height:1540" type="#_x0000_t75" stroked="false">
              <v:imagedata r:id="rId14" o:title=""/>
            </v:shape>
            <v:shape style="position:absolute;left:10593;top:112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96</w:t>
                    </w:r>
                  </w:p>
                </w:txbxContent>
              </v:textbox>
              <w10:wrap type="none"/>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89"/>
        <w:gridCol w:w="2523"/>
        <w:gridCol w:w="2645"/>
      </w:tblGrid>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headerReference w:type="default" r:id="rId69"/>
          <w:footerReference w:type="default" r:id="rId70"/>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5,753,300.00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取得子公司及其他营业单</w:t>
            </w:r>
            <w:r>
              <w:rPr>
                <w:rFonts w:ascii="宋体" w:hAnsi="宋体" w:cs="宋体" w:eastAsia="宋体" w:hint="default"/>
                <w:spacing w:val="-3"/>
                <w:sz w:val="18"/>
                <w:szCs w:val="18"/>
              </w:rPr>
              <w:t>位</w:t>
            </w:r>
            <w:r>
              <w:rPr>
                <w:rFonts w:ascii="宋体" w:hAnsi="宋体" w:cs="宋体" w:eastAsia="宋体" w:hint="default"/>
                <w:sz w:val="18"/>
                <w:szCs w:val="18"/>
              </w:rPr>
              <w:t>支付的现金和现金等价物</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5,753,300.00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16,821.29</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5,736,480.03</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6,193,155.30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28,630,953.98</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717.18</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22,438,515.86</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62"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19,082,950.92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16,095,315.98</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341,122.25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40,136.92</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18,741,828.67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16,055,179.06</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19,082,950.92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16,095,315.98</w:t>
            </w:r>
          </w:p>
        </w:tc>
      </w:tr>
    </w:tbl>
    <w:p>
      <w:pPr>
        <w:pStyle w:val="BodyText"/>
        <w:spacing w:line="240" w:lineRule="auto" w:before="49"/>
        <w:ind w:right="0"/>
        <w:jc w:val="left"/>
      </w:pPr>
      <w:r>
        <w:rPr/>
        <w:t>现金流量表补充资料的说明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八、关联方及关联交易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74"/>
        <w:gridCol w:w="869"/>
        <w:gridCol w:w="871"/>
        <w:gridCol w:w="869"/>
        <w:gridCol w:w="871"/>
        <w:gridCol w:w="869"/>
        <w:gridCol w:w="871"/>
        <w:gridCol w:w="869"/>
        <w:gridCol w:w="872"/>
        <w:gridCol w:w="869"/>
        <w:gridCol w:w="862"/>
      </w:tblGrid>
      <w:tr>
        <w:trPr>
          <w:trHeight w:val="1337"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41" w:right="70"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69"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持股比例 </w:t>
            </w:r>
            <w:r>
              <w:rPr>
                <w:rFonts w:ascii="Times New Roman" w:hAnsi="Times New Roman" w:cs="Times New Roman" w:eastAsia="Times New Roman"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1028"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青岛亚星 实业有限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姜剑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批发零售</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34"/>
              <w:jc w:val="center"/>
              <w:rPr>
                <w:rFonts w:ascii="宋体" w:hAnsi="宋体" w:cs="宋体" w:eastAsia="宋体" w:hint="default"/>
                <w:sz w:val="18"/>
                <w:szCs w:val="18"/>
              </w:rPr>
            </w:pPr>
            <w:r>
              <w:rPr>
                <w:rFonts w:ascii="Times New Roman" w:hAnsi="Times New Roman" w:cs="Times New Roman" w:eastAsia="Times New Roman" w:hint="default"/>
                <w:sz w:val="18"/>
                <w:szCs w:val="18"/>
              </w:rPr>
              <w:t>16000 </w:t>
            </w:r>
            <w:r>
              <w:rPr>
                <w:rFonts w:ascii="宋体" w:hAnsi="宋体" w:cs="宋体" w:eastAsia="宋体" w:hint="default"/>
                <w:sz w:val="18"/>
                <w:szCs w:val="18"/>
              </w:rPr>
              <w:t>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44.79%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44.79%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姜剑</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26459132-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6</w:t>
            </w:r>
          </w:p>
        </w:tc>
      </w:tr>
    </w:tbl>
    <w:p>
      <w:pPr>
        <w:pStyle w:val="BodyText"/>
        <w:spacing w:line="240" w:lineRule="auto" w:before="49"/>
        <w:ind w:right="0"/>
        <w:jc w:val="left"/>
      </w:pPr>
      <w:r>
        <w:rPr/>
        <w:t>本企业的母公司情况的说明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pict>
          <v:group style="position:absolute;margin-left:460.320007pt;margin-top:72.823677pt;width:135pt;height:77pt;mso-position-horizontal-relative:page;mso-position-vertical-relative:paragraph;z-index:-629176" coordorigin="9206,1456" coordsize="2700,1540">
            <v:shape style="position:absolute;left:9206;top:1456;width:2700;height:1540" type="#_x0000_t75" stroked="false">
              <v:imagedata r:id="rId14" o:title=""/>
            </v:shape>
            <v:shape style="position:absolute;left:10593;top:1817;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97</w:t>
                    </w:r>
                  </w:p>
                </w:txbxContent>
              </v:textbox>
              <w10:wrap type="none"/>
            </v:shape>
            <w10:wrap type="none"/>
          </v:group>
        </w:pict>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60"/>
        <w:gridCol w:w="958"/>
        <w:gridCol w:w="956"/>
        <w:gridCol w:w="958"/>
        <w:gridCol w:w="955"/>
        <w:gridCol w:w="958"/>
        <w:gridCol w:w="958"/>
      </w:tblGrid>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bl>
    <w:p>
      <w:pPr>
        <w:spacing w:after="0" w:line="316" w:lineRule="auto"/>
        <w:jc w:val="left"/>
        <w:rPr>
          <w:rFonts w:ascii="宋体" w:hAnsi="宋体" w:cs="宋体" w:eastAsia="宋体" w:hint="default"/>
          <w:sz w:val="18"/>
          <w:szCs w:val="18"/>
        </w:rPr>
        <w:sectPr>
          <w:headerReference w:type="default" r:id="rId71"/>
          <w:footerReference w:type="default" r:id="rId72"/>
          <w:pgSz w:w="11910" w:h="16840"/>
          <w:pgMar w:header="877" w:footer="0" w:top="1060" w:bottom="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青岛广顺房 地产有限公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朱兰英</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72559132-x</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济宁海情置 业有限公司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兖州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韩乾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74656243-x</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济宁海情贸 易有限公司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济宁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孙洪祥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57777237-1</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潍坊亚通置 业有限公司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潍坊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许亚楠</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58042757-9</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泗水海情置 业有限公司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泗水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韩乾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69967797-0</w:t>
            </w:r>
          </w:p>
        </w:tc>
      </w:tr>
      <w:tr>
        <w:trPr>
          <w:trHeight w:val="10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22"/>
              <w:jc w:val="both"/>
              <w:rPr>
                <w:rFonts w:ascii="宋体" w:hAnsi="宋体" w:cs="宋体" w:eastAsia="宋体" w:hint="default"/>
                <w:sz w:val="18"/>
                <w:szCs w:val="18"/>
              </w:rPr>
            </w:pPr>
            <w:r>
              <w:rPr>
                <w:rFonts w:ascii="宋体" w:hAnsi="宋体" w:cs="宋体" w:eastAsia="宋体" w:hint="default"/>
                <w:sz w:val="18"/>
                <w:szCs w:val="18"/>
              </w:rPr>
              <w:t>青岛大通地 产顾问有限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赵垲</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1"/>
              <w:jc w:val="both"/>
              <w:rPr>
                <w:rFonts w:ascii="宋体" w:hAnsi="宋体" w:cs="宋体" w:eastAsia="宋体" w:hint="default"/>
                <w:sz w:val="18"/>
                <w:szCs w:val="18"/>
              </w:rPr>
            </w:pPr>
            <w:r>
              <w:rPr>
                <w:rFonts w:ascii="宋体" w:hAnsi="宋体" w:cs="宋体" w:eastAsia="宋体" w:hint="default"/>
                <w:sz w:val="18"/>
                <w:szCs w:val="18"/>
              </w:rPr>
              <w:t>房屋中介， 受托代理房 地产销售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58367591-4</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绵阳亿嘉合 投资有限公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韩乾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投资、房地 产开发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68612416-2</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、本企业的其他关联方情况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青岛亚星置业有限公司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受同一控股股东控制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71807662-9</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青岛天和智远商贸有限公司（原青岛亚 星投资有限公司）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受同一控股股东控制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74036022-0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青岛美丰置业有限公司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受同一控股股东控制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79080041-5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北京信泽至恒投资有限公司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控股股东之母公司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66248142-1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青岛嘉合福远置业有限公司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受同一控股股东控制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68675275-9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青岛亿合福远置业有限公司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受同一控股股东控制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68675272-4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北京天和智远投资有限公司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控股股东之母公司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66314249-9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泌阳县亿嘉合矿业有限公司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受实际控制人控制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58439445-2</w:t>
            </w:r>
          </w:p>
        </w:tc>
      </w:tr>
    </w:tbl>
    <w:p>
      <w:pPr>
        <w:pStyle w:val="BodyText"/>
        <w:spacing w:line="240" w:lineRule="auto" w:before="49"/>
        <w:ind w:right="0"/>
        <w:jc w:val="left"/>
      </w:pPr>
      <w:r>
        <w:rPr/>
        <w:t>本企业的其他关联方情况的说明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、关联方交易</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）采购商品、接受劳务情况表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729"/>
        <w:gridCol w:w="1462"/>
        <w:gridCol w:w="1594"/>
        <w:gridCol w:w="797"/>
        <w:gridCol w:w="1594"/>
        <w:gridCol w:w="797"/>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3" w:right="0"/>
              <w:jc w:val="left"/>
              <w:rPr>
                <w:rFonts w:ascii="宋体" w:hAnsi="宋体" w:cs="宋体" w:eastAsia="宋体" w:hint="default"/>
                <w:sz w:val="18"/>
                <w:szCs w:val="18"/>
              </w:rPr>
            </w:pPr>
            <w:r>
              <w:rPr>
                <w:rFonts w:ascii="宋体" w:hAnsi="宋体" w:cs="宋体" w:eastAsia="宋体" w:hint="default"/>
                <w:sz w:val="18"/>
                <w:szCs w:val="18"/>
              </w:rPr>
              <w:t>占同类交</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3" w:right="0"/>
              <w:jc w:val="left"/>
              <w:rPr>
                <w:rFonts w:ascii="宋体" w:hAnsi="宋体" w:cs="宋体" w:eastAsia="宋体" w:hint="default"/>
                <w:sz w:val="18"/>
                <w:szCs w:val="18"/>
              </w:rPr>
            </w:pPr>
            <w:r>
              <w:rPr>
                <w:rFonts w:ascii="宋体" w:hAnsi="宋体" w:cs="宋体" w:eastAsia="宋体" w:hint="default"/>
                <w:sz w:val="18"/>
                <w:szCs w:val="18"/>
              </w:rPr>
              <w:t>占同类交</w:t>
            </w:r>
          </w:p>
        </w:tc>
      </w:tr>
    </w:tbl>
    <w:p>
      <w:pPr>
        <w:spacing w:after="0" w:line="240" w:lineRule="auto"/>
        <w:jc w:val="left"/>
        <w:rPr>
          <w:rFonts w:ascii="宋体" w:hAnsi="宋体" w:cs="宋体" w:eastAsia="宋体" w:hint="default"/>
          <w:sz w:val="18"/>
          <w:szCs w:val="18"/>
        </w:rPr>
        <w:sectPr>
          <w:footerReference w:type="default" r:id="rId73"/>
          <w:pgSz w:w="11910" w:h="16840"/>
          <w:pgMar w:footer="1340" w:header="877" w:top="1060" w:bottom="1540" w:left="980" w:right="0"/>
          <w:pgNumType w:start="98"/>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240" w:lineRule="auto"/>
        <w:ind w:left="0" w:right="1140"/>
        <w:jc w:val="right"/>
      </w:pPr>
      <w:r>
        <w:rPr/>
        <w:pict>
          <v:shape style="position:absolute;margin-left:409.630005pt;margin-top:-16.032257pt;width:85.5pt;height:33.3pt;mso-position-horizontal-relative:page;mso-position-vertical-relative:paragraph;z-index:-629152" type="#_x0000_t202" filled="false" stroked="false">
            <v:textbox inset="0,0,0,0">
              <w:txbxContent>
                <w:p>
                  <w:pPr>
                    <w:spacing w:line="240" w:lineRule="auto" w:before="7"/>
                    <w:rPr>
                      <w:rFonts w:ascii="宋体" w:hAnsi="宋体" w:cs="宋体" w:eastAsia="宋体" w:hint="default"/>
                      <w:sz w:val="24"/>
                      <w:szCs w:val="24"/>
                    </w:rPr>
                  </w:pPr>
                </w:p>
                <w:p>
                  <w:pPr>
                    <w:pStyle w:val="BodyText"/>
                    <w:spacing w:line="240" w:lineRule="auto"/>
                    <w:ind w:left="0" w:right="0"/>
                    <w:jc w:val="left"/>
                  </w:pPr>
                  <w:r>
                    <w:rPr/>
                    <w:t>）</w:t>
                  </w:r>
                </w:p>
              </w:txbxContent>
            </v:textbox>
            <w10:wrap type="none"/>
          </v:shape>
        </w:pict>
      </w:r>
      <w:r>
        <w:rPr/>
        <w:pict>
          <v:shape style="position:absolute;margin-left:56.400002pt;margin-top:-16.508257pt;width:479.15pt;height:69.9pt;mso-position-horizontal-relative:page;mso-position-vertical-relative:paragraph;z-index:27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729"/>
                    <w:gridCol w:w="1462"/>
                    <w:gridCol w:w="1594"/>
                    <w:gridCol w:w="797"/>
                    <w:gridCol w:w="1594"/>
                    <w:gridCol w:w="797"/>
                  </w:tblGrid>
                  <w:tr>
                    <w:trPr>
                      <w:trHeight w:val="67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3" w:right="31" w:firstLine="9"/>
                          <w:jc w:val="left"/>
                          <w:rPr>
                            <w:rFonts w:ascii="Times New Roman" w:hAnsi="Times New Roman" w:cs="Times New Roman" w:eastAsia="Times New Roman" w:hint="default"/>
                            <w:sz w:val="18"/>
                            <w:szCs w:val="18"/>
                          </w:rPr>
                        </w:pPr>
                        <w:r>
                          <w:rPr>
                            <w:rFonts w:ascii="宋体" w:hAnsi="宋体" w:cs="宋体" w:eastAsia="宋体" w:hint="default"/>
                            <w:sz w:val="18"/>
                            <w:szCs w:val="18"/>
                          </w:rPr>
                          <w:t>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3" w:right="31" w:firstLine="9"/>
                          <w:jc w:val="left"/>
                          <w:rPr>
                            <w:rFonts w:ascii="Times New Roman" w:hAnsi="Times New Roman" w:cs="Times New Roman" w:eastAsia="Times New Roman" w:hint="default"/>
                            <w:sz w:val="18"/>
                            <w:szCs w:val="18"/>
                          </w:rPr>
                        </w:pPr>
                        <w:r>
                          <w:rPr>
                            <w:rFonts w:ascii="宋体" w:hAnsi="宋体" w:cs="宋体" w:eastAsia="宋体" w:hint="default"/>
                            <w:sz w:val="18"/>
                            <w:szCs w:val="18"/>
                          </w:rPr>
                          <w:t>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青岛通亚建筑安装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协议作价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747,300.00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right="0"/>
        <w:jc w:val="left"/>
      </w:pPr>
      <w:r>
        <w:rPr/>
        <w:t>出售商品、提供劳务情况表</w:t>
      </w:r>
    </w:p>
    <w:p>
      <w:pPr>
        <w:pStyle w:val="BodyText"/>
        <w:spacing w:line="240" w:lineRule="auto" w:before="117"/>
        <w:ind w:left="0" w:right="113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140"/>
        <w:jc w:val="right"/>
      </w:pPr>
      <w:r>
        <w:rPr/>
        <w:pict>
          <v:shape style="position:absolute;margin-left:409.630005pt;margin-top:3.711716pt;width:85.5pt;height:15.6pt;mso-position-horizontal-relative:page;mso-position-vertical-relative:paragraph;z-index:-629128" type="#_x0000_t202" filled="false" stroked="false">
            <v:textbox inset="0,0,0,0">
              <w:txbxContent>
                <w:p>
                  <w:pPr>
                    <w:pStyle w:val="BodyText"/>
                    <w:spacing w:line="205" w:lineRule="exact"/>
                    <w:ind w:left="0" w:right="0"/>
                    <w:jc w:val="left"/>
                  </w:pPr>
                  <w:r>
                    <w:rPr/>
                    <w:t>）</w:t>
                  </w:r>
                </w:p>
              </w:txbxContent>
            </v:textbox>
            <w10:wrap type="none"/>
          </v:shape>
        </w:pict>
      </w:r>
      <w:r>
        <w:rPr/>
        <w:pict>
          <v:shape style="position:absolute;margin-left:56.400002pt;margin-top:-52.028282pt;width:479.15pt;height:203.65pt;mso-position-horizontal-relative:page;mso-position-vertical-relative:paragraph;z-index:2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729"/>
                    <w:gridCol w:w="1462"/>
                    <w:gridCol w:w="1594"/>
                    <w:gridCol w:w="797"/>
                    <w:gridCol w:w="340"/>
                    <w:gridCol w:w="1254"/>
                    <w:gridCol w:w="797"/>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青岛天和智远商贸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协议作价</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30,993,915.51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62.62%</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青岛通亚建筑安装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协议作价</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2,027,534.06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孙登义</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协议作价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999,238.00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0.59%</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许展</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协议作价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728,881.00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0.43%</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易平良</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协议作价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750,511.20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0.45%</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0" w:right="0"/>
              <w:jc w:val="left"/>
              <w:rPr>
                <w:rFonts w:ascii="Times New Roman" w:hAnsi="Times New Roman" w:cs="Times New Roman" w:eastAsia="Times New Roman" w:hint="default"/>
                <w:sz w:val="18"/>
                <w:szCs w:val="18"/>
              </w:rPr>
            </w:pPr>
            <w:r>
              <w:rPr>
                <w:rFonts w:ascii="Times New Roman"/>
                <w:sz w:val="18"/>
              </w:rPr>
              <w:t>67,510,000.00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短期拆借</w:t>
            </w:r>
          </w:p>
        </w:tc>
      </w:tr>
      <w:tr>
        <w:trPr>
          <w:trHeight w:val="402"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上市公司应收关联方款项</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60"/>
        <w:gridCol w:w="1666"/>
        <w:gridCol w:w="1462"/>
        <w:gridCol w:w="1462"/>
        <w:gridCol w:w="1460"/>
        <w:gridCol w:w="1459"/>
      </w:tblGrid>
      <w:tr>
        <w:trPr>
          <w:trHeight w:val="403" w:hRule="exact"/>
        </w:trPr>
        <w:tc>
          <w:tcPr>
            <w:tcW w:w="2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2060" w:type="dxa"/>
            <w:vMerge/>
            <w:tcBorders>
              <w:left w:val="single" w:sz="4" w:space="0" w:color="000000"/>
              <w:bottom w:val="single" w:sz="4" w:space="0" w:color="000000"/>
              <w:right w:val="single" w:sz="4" w:space="0" w:color="000000"/>
            </w:tcBorders>
            <w:shd w:val="clear" w:color="auto" w:fill="D2D2D2"/>
          </w:tcPr>
          <w:p>
            <w:pPr/>
          </w:p>
        </w:tc>
        <w:tc>
          <w:tcPr>
            <w:tcW w:w="1666"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青岛天和智远商贸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459,458.80</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青岛亿合福远置业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23,823.00</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483,281.80</w:t>
            </w:r>
          </w:p>
        </w:tc>
        <w:tc>
          <w:tcPr>
            <w:tcW w:w="145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上市公司应付关联方款项</w:t>
      </w:r>
    </w:p>
    <w:p>
      <w:pPr>
        <w:spacing w:after="0" w:line="24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5"/>
        <w:gridCol w:w="2258"/>
        <w:gridCol w:w="2259"/>
        <w:gridCol w:w="2259"/>
      </w:tblGrid>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孙登义</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999,238.00</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许展</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728,881.00</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易平良</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2,028,119.00</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23,087,696.46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46,583,514.71</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青岛嘉合福远置业有限公司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2,058,143.81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3,444,809.81</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青岛天和智远商贸有限公司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18,856.50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青岛美丰置业有限公司</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49,800.00</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青岛亚星置业有限公司</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39,425.00</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25,164,696.77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50,539,671.52</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九、或有事项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、未决诉讼或仲裁形成的或有负债及其财务影响</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、未决诉讼仲裁形成的或有负债及其财务影响</w:t>
      </w:r>
    </w:p>
    <w:p>
      <w:pPr>
        <w:pStyle w:val="BodyText"/>
        <w:spacing w:line="302" w:lineRule="auto" w:before="63"/>
        <w:ind w:right="0"/>
        <w:jc w:val="left"/>
      </w:pPr>
      <w:r>
        <w:rPr/>
        <w:t>（</w:t>
      </w:r>
      <w:r>
        <w:rPr>
          <w:rFonts w:ascii="Times New Roman" w:hAnsi="Times New Roman" w:cs="Times New Roman" w:eastAsia="Times New Roman" w:hint="default"/>
        </w:rPr>
        <w:t>1</w:t>
      </w:r>
      <w:r>
        <w:rPr/>
        <w:t>）山东港基建设集团有限公司诉泗水海情置业有限公司、济宁海情置业有限公司建设工程施工合同纠纷案 </w:t>
      </w:r>
      <w:r>
        <w:rPr>
          <w:spacing w:val="-1"/>
        </w:rPr>
        <w:t>泗水海情置业有限公司（以下简称</w:t>
      </w:r>
      <w:r>
        <w:rPr>
          <w:rFonts w:ascii="Times New Roman" w:hAnsi="Times New Roman" w:cs="Times New Roman" w:eastAsia="Times New Roman" w:hint="default"/>
          <w:spacing w:val="-1"/>
        </w:rPr>
        <w:t>“</w:t>
      </w:r>
      <w:r>
        <w:rPr>
          <w:spacing w:val="-1"/>
        </w:rPr>
        <w:t>泗水海情</w:t>
      </w:r>
      <w:r>
        <w:rPr>
          <w:rFonts w:ascii="Times New Roman" w:hAnsi="Times New Roman" w:cs="Times New Roman" w:eastAsia="Times New Roman" w:hint="default"/>
          <w:spacing w:val="-1"/>
        </w:rPr>
        <w:t>”</w:t>
      </w:r>
      <w:r>
        <w:rPr>
          <w:spacing w:val="-1"/>
        </w:rPr>
        <w:t>）开发的</w:t>
      </w:r>
      <w:r>
        <w:rPr>
          <w:rFonts w:ascii="Times New Roman" w:hAnsi="Times New Roman" w:cs="Times New Roman" w:eastAsia="Times New Roman" w:hint="default"/>
          <w:spacing w:val="-1"/>
        </w:rPr>
        <w:t>“</w:t>
      </w:r>
      <w:r>
        <w:rPr>
          <w:spacing w:val="-1"/>
        </w:rPr>
        <w:t>海情圣地</w:t>
      </w:r>
      <w:r>
        <w:rPr>
          <w:rFonts w:ascii="Times New Roman" w:hAnsi="Times New Roman" w:cs="Times New Roman" w:eastAsia="Times New Roman" w:hint="default"/>
          <w:spacing w:val="-1"/>
        </w:rPr>
        <w:t>“</w:t>
      </w:r>
      <w:r>
        <w:rPr>
          <w:spacing w:val="-1"/>
        </w:rPr>
        <w:t>项目一、三标段由山东港基建设集团有限公司（以下简称</w:t>
      </w:r>
      <w:r>
        <w:rPr>
          <w:spacing w:val="-76"/>
        </w:rPr>
        <w:t> </w:t>
      </w:r>
      <w:r>
        <w:rPr>
          <w:spacing w:val="-76"/>
        </w:rPr>
      </w:r>
      <w:r>
        <w:rPr>
          <w:rFonts w:ascii="Times New Roman" w:hAnsi="Times New Roman" w:cs="Times New Roman" w:eastAsia="Times New Roman" w:hint="default"/>
        </w:rPr>
        <w:t>“</w:t>
      </w:r>
      <w:r>
        <w:rPr/>
        <w:t>山东港基</w:t>
      </w:r>
      <w:r>
        <w:rPr>
          <w:rFonts w:ascii="Times New Roman" w:hAnsi="Times New Roman" w:cs="Times New Roman" w:eastAsia="Times New Roman" w:hint="default"/>
        </w:rPr>
        <w:t>”</w:t>
      </w:r>
      <w:r>
        <w:rPr/>
        <w:t>）承包施工，该项目已竣工交付使用。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月，山东港基以建设工程合同纠纷为由，将泗水海情及其母公司 </w:t>
      </w:r>
      <w:r>
        <w:rPr>
          <w:spacing w:val="-2"/>
        </w:rPr>
        <w:t>济宁海情置业有限公司（以下简称</w:t>
      </w:r>
      <w:r>
        <w:rPr>
          <w:rFonts w:ascii="Times New Roman" w:hAnsi="Times New Roman" w:cs="Times New Roman" w:eastAsia="Times New Roman" w:hint="default"/>
          <w:spacing w:val="-2"/>
        </w:rPr>
        <w:t>“</w:t>
      </w:r>
      <w:r>
        <w:rPr>
          <w:spacing w:val="-2"/>
        </w:rPr>
        <w:t>济宁海情</w:t>
      </w:r>
      <w:r>
        <w:rPr>
          <w:rFonts w:ascii="Times New Roman" w:hAnsi="Times New Roman" w:cs="Times New Roman" w:eastAsia="Times New Roman" w:hint="default"/>
          <w:spacing w:val="-2"/>
        </w:rPr>
        <w:t>”</w:t>
      </w:r>
      <w:r>
        <w:rPr>
          <w:spacing w:val="-2"/>
        </w:rPr>
        <w:t>）诉至济宁市中级人民法院，案号：（</w:t>
      </w:r>
      <w:r>
        <w:rPr>
          <w:rFonts w:ascii="Times New Roman" w:hAnsi="Times New Roman" w:cs="Times New Roman" w:eastAsia="Times New Roman" w:hint="default"/>
          <w:spacing w:val="-2"/>
        </w:rPr>
        <w:t>2012</w:t>
      </w:r>
      <w:r>
        <w:rPr>
          <w:spacing w:val="-2"/>
        </w:rPr>
        <w:t>）济民初字第</w:t>
      </w:r>
      <w:r>
        <w:rPr>
          <w:rFonts w:ascii="Times New Roman" w:hAnsi="Times New Roman" w:cs="Times New Roman" w:eastAsia="Times New Roman" w:hint="default"/>
          <w:spacing w:val="-2"/>
        </w:rPr>
        <w:t>48</w:t>
      </w:r>
      <w:r>
        <w:rPr>
          <w:spacing w:val="-2"/>
        </w:rPr>
        <w:t>号，要求泗水海情</w:t>
      </w:r>
      <w:r>
        <w:rPr>
          <w:spacing w:val="-41"/>
        </w:rPr>
        <w:t> </w:t>
      </w:r>
      <w:r>
        <w:rPr>
          <w:spacing w:val="-41"/>
        </w:rPr>
      </w:r>
      <w:r>
        <w:rPr/>
        <w:t>支付拖欠工程款</w:t>
      </w:r>
      <w:r>
        <w:rPr>
          <w:rFonts w:ascii="Times New Roman" w:hAnsi="Times New Roman" w:cs="Times New Roman" w:eastAsia="Times New Roman" w:hint="default"/>
        </w:rPr>
        <w:t>3,000</w:t>
      </w:r>
      <w:r>
        <w:rPr/>
        <w:t>万元（数额最终以审计结果为准）及违约金，对施工工程享有优先受偿权，并要求济宁海情对泗水海 </w:t>
      </w:r>
      <w:r>
        <w:rPr>
          <w:spacing w:val="-2"/>
        </w:rPr>
        <w:t>情拖欠工程款及违约金承担连带责任，诉讼等费用由泗水海情承担。泗水海情接到法院送达的诉讼文书后积极应诉，并依法</w:t>
      </w:r>
      <w:r>
        <w:rPr>
          <w:spacing w:val="-63"/>
        </w:rPr>
        <w:t> </w:t>
      </w:r>
      <w:r>
        <w:rPr>
          <w:spacing w:val="-63"/>
        </w:rPr>
      </w:r>
      <w:r>
        <w:rPr/>
        <w:t>提出了反诉，要求山东港基承担逾期违约金、一次性验收不合格违约金、违法分包违约金、质量问题维修费用等约计</w:t>
      </w:r>
      <w:r>
        <w:rPr>
          <w:rFonts w:ascii="Times New Roman" w:hAnsi="Times New Roman" w:cs="Times New Roman" w:eastAsia="Times New Roman" w:hint="default"/>
        </w:rPr>
        <w:t>1,068 </w:t>
      </w:r>
      <w:r>
        <w:rPr/>
        <w:t>万元，并由山东港基承担全部反诉费用。</w:t>
      </w:r>
    </w:p>
    <w:p>
      <w:pPr>
        <w:pStyle w:val="BodyText"/>
        <w:spacing w:line="300" w:lineRule="auto" w:before="29"/>
        <w:ind w:right="1119"/>
        <w:jc w:val="left"/>
      </w:pPr>
      <w:r>
        <w:rPr/>
        <w:t>该案分别于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日进行了三次开庭。 </w:t>
      </w:r>
      <w:r>
        <w:rPr>
          <w:spacing w:val="-1"/>
        </w:rPr>
        <w:t>山东港基于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28</w:t>
      </w:r>
      <w:r>
        <w:rPr>
          <w:spacing w:val="-1"/>
        </w:rPr>
        <w:t>日向山东省济宁市中级人民法院提出财产保全申请，要求冻结泗水海情名下的</w:t>
      </w:r>
      <w:r>
        <w:rPr>
          <w:rFonts w:ascii="Times New Roman" w:hAnsi="Times New Roman" w:cs="Times New Roman" w:eastAsia="Times New Roman" w:hint="default"/>
          <w:spacing w:val="-1"/>
        </w:rPr>
        <w:t>3,000</w:t>
      </w:r>
      <w:r>
        <w:rPr>
          <w:spacing w:val="-1"/>
        </w:rPr>
        <w:t>万银行存款及不</w:t>
      </w:r>
      <w:r>
        <w:rPr>
          <w:spacing w:val="-69"/>
        </w:rPr>
        <w:t> </w:t>
      </w:r>
      <w:r>
        <w:rPr>
          <w:spacing w:val="-69"/>
        </w:rPr>
      </w:r>
      <w:r>
        <w:rPr/>
        <w:t>动产。截至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日泗水海情因此案被查封海情圣地一期项目在售房屋</w:t>
      </w:r>
      <w:r>
        <w:rPr>
          <w:rFonts w:ascii="Times New Roman" w:hAnsi="Times New Roman" w:cs="Times New Roman" w:eastAsia="Times New Roman" w:hint="default"/>
        </w:rPr>
        <w:t>31</w:t>
      </w:r>
      <w:r>
        <w:rPr/>
        <w:t>套。 本公司对该项目计提了</w:t>
      </w:r>
      <w:r>
        <w:rPr>
          <w:rFonts w:ascii="Times New Roman" w:hAnsi="Times New Roman" w:cs="Times New Roman" w:eastAsia="Times New Roman" w:hint="default"/>
        </w:rPr>
        <w:t>1,999,045.00</w:t>
      </w:r>
      <w:r>
        <w:rPr/>
        <w:t>元的预计负债。</w:t>
      </w:r>
    </w:p>
    <w:p>
      <w:pPr>
        <w:pStyle w:val="BodyText"/>
        <w:spacing w:line="300" w:lineRule="auto" w:before="13"/>
        <w:ind w:right="1031"/>
        <w:jc w:val="left"/>
      </w:pPr>
      <w:r>
        <w:rPr/>
        <w:t>（</w:t>
      </w:r>
      <w:r>
        <w:rPr>
          <w:rFonts w:ascii="Times New Roman" w:hAnsi="Times New Roman" w:cs="Times New Roman" w:eastAsia="Times New Roman" w:hint="default"/>
        </w:rPr>
        <w:t>2</w:t>
      </w:r>
      <w:r>
        <w:rPr/>
        <w:t>）济宁海情置业有限公司起诉天元建设集团有限公司建设工程合同纠纷案 </w:t>
      </w:r>
      <w:r>
        <w:rPr>
          <w:spacing w:val="-2"/>
        </w:rPr>
        <w:t>济宁海情置业有限公司（以下简称</w:t>
      </w:r>
      <w:r>
        <w:rPr>
          <w:rFonts w:ascii="Times New Roman" w:hAnsi="Times New Roman" w:cs="Times New Roman" w:eastAsia="Times New Roman" w:hint="default"/>
          <w:spacing w:val="-2"/>
        </w:rPr>
        <w:t>“</w:t>
      </w:r>
      <w:r>
        <w:rPr>
          <w:spacing w:val="-2"/>
        </w:rPr>
        <w:t>济宁海情</w:t>
      </w:r>
      <w:r>
        <w:rPr>
          <w:rFonts w:ascii="Times New Roman" w:hAnsi="Times New Roman" w:cs="Times New Roman" w:eastAsia="Times New Roman" w:hint="default"/>
          <w:spacing w:val="-2"/>
        </w:rPr>
        <w:t>”</w:t>
      </w:r>
      <w:r>
        <w:rPr>
          <w:spacing w:val="-2"/>
        </w:rPr>
        <w:t>）开发的兖州</w:t>
      </w:r>
      <w:r>
        <w:rPr>
          <w:rFonts w:ascii="Times New Roman" w:hAnsi="Times New Roman" w:cs="Times New Roman" w:eastAsia="Times New Roman" w:hint="default"/>
          <w:spacing w:val="-2"/>
        </w:rPr>
        <w:t>“</w:t>
      </w:r>
      <w:r>
        <w:rPr>
          <w:spacing w:val="-2"/>
        </w:rPr>
        <w:t>海情康城</w:t>
      </w:r>
      <w:r>
        <w:rPr>
          <w:rFonts w:ascii="Times New Roman" w:hAnsi="Times New Roman" w:cs="Times New Roman" w:eastAsia="Times New Roman" w:hint="default"/>
          <w:spacing w:val="-2"/>
        </w:rPr>
        <w:t>”</w:t>
      </w:r>
      <w:r>
        <w:rPr>
          <w:spacing w:val="-2"/>
        </w:rPr>
        <w:t>项目由天元建设集团有限公司（以下简称</w:t>
      </w:r>
      <w:r>
        <w:rPr>
          <w:rFonts w:ascii="Times New Roman" w:hAnsi="Times New Roman" w:cs="Times New Roman" w:eastAsia="Times New Roman" w:hint="default"/>
          <w:spacing w:val="-2"/>
        </w:rPr>
        <w:t>“</w:t>
      </w:r>
      <w:r>
        <w:rPr>
          <w:spacing w:val="-2"/>
        </w:rPr>
        <w:t>天元集团</w:t>
      </w:r>
      <w:r>
        <w:rPr>
          <w:rFonts w:ascii="Times New Roman" w:hAnsi="Times New Roman" w:cs="Times New Roman" w:eastAsia="Times New Roman" w:hint="default"/>
          <w:spacing w:val="-2"/>
        </w:rPr>
        <w:t>”</w:t>
      </w:r>
      <w:r>
        <w:rPr>
          <w:spacing w:val="-2"/>
        </w:rPr>
        <w:t>）</w:t>
      </w:r>
      <w:r>
        <w:rPr>
          <w:spacing w:val="-87"/>
        </w:rPr>
        <w:t> </w:t>
      </w:r>
      <w:r>
        <w:rPr>
          <w:spacing w:val="-2"/>
        </w:rPr>
        <w:t>承包施工。因天元集团自</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月起擅自停工，济宁海情为推进项目进度和维护自身权益，于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25</w:t>
      </w:r>
      <w:r>
        <w:rPr>
          <w:spacing w:val="-2"/>
        </w:rPr>
        <w:t>日向济宁市中级</w:t>
      </w:r>
      <w:r>
        <w:rPr>
          <w:spacing w:val="-57"/>
        </w:rPr>
        <w:t> </w:t>
      </w:r>
      <w:r>
        <w:rPr>
          <w:spacing w:val="-57"/>
        </w:rPr>
      </w:r>
      <w:r>
        <w:rPr>
          <w:spacing w:val="-2"/>
        </w:rPr>
        <w:t>人民法院提交起诉状，案号：山东省济宁市中级人民法院（</w:t>
      </w:r>
      <w:r>
        <w:rPr>
          <w:rFonts w:ascii="Times New Roman" w:hAnsi="Times New Roman" w:cs="Times New Roman" w:eastAsia="Times New Roman" w:hint="default"/>
          <w:spacing w:val="-2"/>
        </w:rPr>
        <w:t>2012</w:t>
      </w:r>
      <w:r>
        <w:rPr>
          <w:spacing w:val="-2"/>
        </w:rPr>
        <w:t>）济民初字</w:t>
      </w:r>
      <w:r>
        <w:rPr>
          <w:rFonts w:ascii="Times New Roman" w:hAnsi="Times New Roman" w:cs="Times New Roman" w:eastAsia="Times New Roman" w:hint="default"/>
          <w:spacing w:val="-2"/>
        </w:rPr>
        <w:t>83</w:t>
      </w:r>
      <w:r>
        <w:rPr>
          <w:spacing w:val="-2"/>
        </w:rPr>
        <w:t>号，要求判令天元集团支付因其擅自停工导致</w:t>
      </w:r>
      <w:r>
        <w:rPr>
          <w:spacing w:val="-61"/>
        </w:rPr>
        <w:t> </w:t>
      </w:r>
      <w:r>
        <w:rPr>
          <w:spacing w:val="-61"/>
        </w:rPr>
      </w:r>
      <w:r>
        <w:rPr>
          <w:spacing w:val="-3"/>
        </w:rPr>
        <w:t>合同解除的违约金</w:t>
      </w:r>
      <w:r>
        <w:rPr>
          <w:rFonts w:ascii="Times New Roman" w:hAnsi="Times New Roman" w:cs="Times New Roman" w:eastAsia="Times New Roman" w:hint="default"/>
          <w:spacing w:val="-3"/>
        </w:rPr>
        <w:t>15,056,000</w:t>
      </w:r>
      <w:r>
        <w:rPr>
          <w:spacing w:val="-3"/>
        </w:rPr>
        <w:t>元，恢复施工的费用损失</w:t>
      </w:r>
      <w:r>
        <w:rPr>
          <w:rFonts w:ascii="Times New Roman" w:hAnsi="Times New Roman" w:cs="Times New Roman" w:eastAsia="Times New Roman" w:hint="default"/>
          <w:spacing w:val="-3"/>
        </w:rPr>
        <w:t>110</w:t>
      </w:r>
      <w:r>
        <w:rPr>
          <w:spacing w:val="-3"/>
        </w:rPr>
        <w:t>万元，因其违约导致增加的工程造价</w:t>
      </w:r>
      <w:r>
        <w:rPr>
          <w:rFonts w:ascii="Times New Roman" w:hAnsi="Times New Roman" w:cs="Times New Roman" w:eastAsia="Times New Roman" w:hint="default"/>
          <w:spacing w:val="-3"/>
        </w:rPr>
        <w:t>2000</w:t>
      </w:r>
      <w:r>
        <w:rPr>
          <w:spacing w:val="-3"/>
        </w:rPr>
        <w:t>万元等，并承担诉讼费用。</w:t>
      </w:r>
      <w:r>
        <w:rPr>
          <w:spacing w:val="-76"/>
        </w:rPr>
        <w:t> </w:t>
      </w:r>
      <w:r>
        <w:rPr>
          <w:spacing w:val="-76"/>
        </w:rPr>
      </w:r>
      <w:r>
        <w:rPr/>
        <w:t>天元集团接到济宁海情的起诉材料后，提出了索要工程款的反诉请求。</w:t>
      </w:r>
    </w:p>
    <w:p>
      <w:pPr>
        <w:pStyle w:val="BodyText"/>
        <w:spacing w:line="300" w:lineRule="auto" w:before="31"/>
        <w:ind w:right="1124"/>
        <w:jc w:val="left"/>
      </w:pPr>
      <w:r>
        <w:rPr/>
        <w:t>（</w:t>
      </w:r>
      <w:r>
        <w:rPr>
          <w:rFonts w:ascii="Times New Roman" w:hAnsi="Times New Roman" w:cs="Times New Roman" w:eastAsia="Times New Roman" w:hint="default"/>
        </w:rPr>
        <w:t>3</w:t>
      </w:r>
      <w:r>
        <w:rPr/>
        <w:t>）邹学林诉山东港基建设集团有限公司及泗水海情置业有限公司案 </w:t>
      </w:r>
      <w:r>
        <w:rPr>
          <w:rFonts w:ascii="Times New Roman" w:hAnsi="Times New Roman" w:cs="Times New Roman" w:eastAsia="Times New Roman" w:hint="default"/>
          <w:spacing w:val="-2"/>
        </w:rPr>
        <w:t>2010</w:t>
      </w:r>
      <w:r>
        <w:rPr>
          <w:spacing w:val="-2"/>
        </w:rPr>
        <w:t>年，邹学林与山东港基建设集团有限公司（以下简称</w:t>
      </w:r>
      <w:r>
        <w:rPr>
          <w:rFonts w:ascii="Times New Roman" w:hAnsi="Times New Roman" w:cs="Times New Roman" w:eastAsia="Times New Roman" w:hint="default"/>
          <w:spacing w:val="-2"/>
        </w:rPr>
        <w:t>“</w:t>
      </w:r>
      <w:r>
        <w:rPr>
          <w:spacing w:val="-2"/>
        </w:rPr>
        <w:t>山东港基</w:t>
      </w:r>
      <w:r>
        <w:rPr>
          <w:rFonts w:ascii="Times New Roman" w:hAnsi="Times New Roman" w:cs="Times New Roman" w:eastAsia="Times New Roman" w:hint="default"/>
          <w:spacing w:val="-2"/>
        </w:rPr>
        <w:t>”</w:t>
      </w:r>
      <w:r>
        <w:rPr>
          <w:spacing w:val="-2"/>
        </w:rPr>
        <w:t>）签订《劳务分包协议》，由邹学林为泗水海情置业有</w:t>
      </w:r>
      <w:r>
        <w:rPr>
          <w:spacing w:val="-43"/>
        </w:rPr>
        <w:t> </w:t>
      </w:r>
      <w:r>
        <w:rPr>
          <w:spacing w:val="-43"/>
        </w:rPr>
      </w:r>
      <w:r>
        <w:rPr>
          <w:spacing w:val="-1"/>
        </w:rPr>
        <w:t>限公司（以下简称</w:t>
      </w:r>
      <w:r>
        <w:rPr>
          <w:rFonts w:ascii="Times New Roman" w:hAnsi="Times New Roman" w:cs="Times New Roman" w:eastAsia="Times New Roman" w:hint="default"/>
          <w:spacing w:val="-1"/>
        </w:rPr>
        <w:t>“</w:t>
      </w:r>
      <w:r>
        <w:rPr>
          <w:spacing w:val="-1"/>
        </w:rPr>
        <w:t>泗水海情</w:t>
      </w:r>
      <w:r>
        <w:rPr>
          <w:rFonts w:ascii="Times New Roman" w:hAnsi="Times New Roman" w:cs="Times New Roman" w:eastAsia="Times New Roman" w:hint="default"/>
          <w:spacing w:val="-1"/>
        </w:rPr>
        <w:t>”</w:t>
      </w:r>
      <w:r>
        <w:rPr>
          <w:spacing w:val="-1"/>
        </w:rPr>
        <w:t>）开发的</w:t>
      </w:r>
      <w:r>
        <w:rPr>
          <w:rFonts w:ascii="Times New Roman" w:hAnsi="Times New Roman" w:cs="Times New Roman" w:eastAsia="Times New Roman" w:hint="default"/>
          <w:spacing w:val="-1"/>
        </w:rPr>
        <w:t>“</w:t>
      </w:r>
      <w:r>
        <w:rPr>
          <w:spacing w:val="-1"/>
        </w:rPr>
        <w:t>海情圣地</w:t>
      </w:r>
      <w:r>
        <w:rPr>
          <w:rFonts w:ascii="Times New Roman" w:hAnsi="Times New Roman" w:cs="Times New Roman" w:eastAsia="Times New Roman" w:hint="default"/>
          <w:spacing w:val="-1"/>
        </w:rPr>
        <w:t>“</w:t>
      </w:r>
      <w:r>
        <w:rPr>
          <w:spacing w:val="-1"/>
        </w:rPr>
        <w:t>项目一、三标段工程的主体钢筋进行包清工施工，但山东港基以该工程尚</w:t>
      </w:r>
      <w:r>
        <w:rPr>
          <w:spacing w:val="-78"/>
        </w:rPr>
        <w:t> </w:t>
      </w:r>
      <w:r>
        <w:rPr>
          <w:spacing w:val="-78"/>
        </w:rPr>
      </w:r>
      <w:r>
        <w:rPr/>
        <w:t>未与泗水海情结算且泗水海情尚欠山东港基大量工程款为由，拒绝支付邹学林工程款，</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日，邹学林向山东省济 </w:t>
      </w:r>
      <w:r>
        <w:rPr>
          <w:spacing w:val="-1"/>
        </w:rPr>
        <w:t>南市长清区人民法院递交起诉状，案号：</w:t>
      </w:r>
      <w:r>
        <w:rPr>
          <w:rFonts w:ascii="Times New Roman" w:hAnsi="Times New Roman" w:cs="Times New Roman" w:eastAsia="Times New Roman" w:hint="default"/>
          <w:spacing w:val="-1"/>
        </w:rPr>
        <w:t>2012</w:t>
      </w:r>
      <w:r>
        <w:rPr>
          <w:spacing w:val="-1"/>
        </w:rPr>
        <w:t>长民初字第</w:t>
      </w:r>
      <w:r>
        <w:rPr>
          <w:rFonts w:ascii="Times New Roman" w:hAnsi="Times New Roman" w:cs="Times New Roman" w:eastAsia="Times New Roman" w:hint="default"/>
          <w:spacing w:val="-1"/>
        </w:rPr>
        <w:t>872</w:t>
      </w:r>
      <w:r>
        <w:rPr>
          <w:spacing w:val="-1"/>
        </w:rPr>
        <w:t>号，要求判令山东港基支付邹学林工程人工费</w:t>
      </w:r>
      <w:r>
        <w:rPr>
          <w:rFonts w:ascii="Times New Roman" w:hAnsi="Times New Roman" w:cs="Times New Roman" w:eastAsia="Times New Roman" w:hint="default"/>
          <w:spacing w:val="-1"/>
        </w:rPr>
        <w:t>303,300</w:t>
      </w:r>
      <w:r>
        <w:rPr>
          <w:spacing w:val="-1"/>
        </w:rPr>
        <w:t>元及利息</w:t>
      </w:r>
    </w:p>
    <w:p>
      <w:pPr>
        <w:spacing w:after="0" w:line="300" w:lineRule="auto"/>
        <w:jc w:val="left"/>
        <w:sectPr>
          <w:footerReference w:type="default" r:id="rId74"/>
          <w:pgSz w:w="11910" w:h="16840"/>
          <w:pgMar w:footer="1340" w:header="877"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并承担诉讼费用，泗水海情在未支付工程款范围内承担连带付款责任。</w:t>
      </w:r>
    </w:p>
    <w:p>
      <w:pPr>
        <w:pStyle w:val="BodyText"/>
        <w:spacing w:line="240" w:lineRule="auto" w:before="77"/>
        <w:ind w:right="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日济南市长清区人民法院将泗水海情银行存款</w:t>
      </w:r>
      <w:r>
        <w:rPr>
          <w:rFonts w:ascii="Times New Roman" w:hAnsi="Times New Roman" w:cs="Times New Roman" w:eastAsia="Times New Roman" w:hint="default"/>
        </w:rPr>
        <w:t>349,399.73</w:t>
      </w:r>
      <w:r>
        <w:rPr/>
        <w:t>元扣划至该院。</w:t>
      </w:r>
    </w:p>
    <w:p>
      <w:pPr>
        <w:pStyle w:val="BodyText"/>
        <w:spacing w:line="300" w:lineRule="auto" w:before="63"/>
        <w:ind w:right="0"/>
        <w:jc w:val="left"/>
      </w:pPr>
      <w:r>
        <w:rPr>
          <w:rFonts w:ascii="Times New Roman" w:hAnsi="Times New Roman" w:cs="Times New Roman" w:eastAsia="Times New Roman" w:hint="default"/>
        </w:rPr>
        <w:t>2</w:t>
      </w:r>
      <w:r>
        <w:rPr/>
        <w:t>、银行按揭贷款担保 本公司下属地产子公司按房地产经营惯例为商品房承购人提供抵押贷款担保，截至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日累计担保余额为人民币</w:t>
      </w:r>
      <w:r>
        <w:rPr>
          <w:spacing w:val="-87"/>
        </w:rPr>
        <w:t> </w:t>
      </w:r>
      <w:r>
        <w:rPr>
          <w:rFonts w:ascii="Times New Roman" w:hAnsi="Times New Roman" w:cs="Times New Roman" w:eastAsia="Times New Roman" w:hint="default"/>
          <w:spacing w:val="-2"/>
        </w:rPr>
        <w:t>11,760.60</w:t>
      </w:r>
      <w:r>
        <w:rPr>
          <w:spacing w:val="-2"/>
        </w:rPr>
        <w:t>万元。担保类型为阶段性担保，担保期限为自保证合同生效之日起至商品房抵押登记办妥并交银行执管之日止。由</w:t>
      </w:r>
      <w:r>
        <w:rPr>
          <w:spacing w:val="-56"/>
        </w:rPr>
        <w:t> </w:t>
      </w:r>
      <w:r>
        <w:rPr>
          <w:spacing w:val="-56"/>
        </w:rPr>
      </w:r>
      <w:r>
        <w:rPr/>
        <w:t>于截至目前承购人未发生违约，公司认为与该等担保相关的风险较小。</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r>
        <w:rPr/>
        <w:t>十、承诺事项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详见 第五节 重要事情</w:t>
      </w:r>
      <w:r>
        <w:rPr>
          <w:spacing w:val="-55"/>
        </w:rPr>
        <w:t> </w:t>
      </w:r>
      <w:r>
        <w:rPr/>
        <w:t>七</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2</w:t>
      </w:r>
      <w:r>
        <w:rPr/>
        <w:t>、前期承诺履行情况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详见 第五节 重要事情</w:t>
      </w:r>
      <w:r>
        <w:rPr>
          <w:spacing w:val="-55"/>
        </w:rPr>
        <w:t> </w:t>
      </w:r>
      <w:r>
        <w:rPr/>
        <w:t>七</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十一、母公司财务报表主要项目注释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70"/>
        <w:gridCol w:w="1455"/>
        <w:gridCol w:w="528"/>
        <w:gridCol w:w="1320"/>
        <w:gridCol w:w="528"/>
        <w:gridCol w:w="1322"/>
        <w:gridCol w:w="529"/>
        <w:gridCol w:w="1190"/>
        <w:gridCol w:w="526"/>
      </w:tblGrid>
      <w:tr>
        <w:trPr>
          <w:trHeight w:val="402" w:hRule="exact"/>
        </w:trPr>
        <w:tc>
          <w:tcPr>
            <w:tcW w:w="21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70" w:type="dxa"/>
            <w:vMerge/>
            <w:tcBorders>
              <w:left w:val="single" w:sz="4" w:space="0" w:color="000000"/>
              <w:right w:val="single" w:sz="4" w:space="0" w:color="000000"/>
            </w:tcBorders>
            <w:shd w:val="clear" w:color="auto" w:fill="D2D2D2"/>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170" w:type="dxa"/>
            <w:vMerge/>
            <w:tcBorders>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3"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帐龄分析</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0" w:right="0"/>
              <w:jc w:val="left"/>
              <w:rPr>
                <w:rFonts w:ascii="Times New Roman" w:hAnsi="Times New Roman" w:cs="Times New Roman" w:eastAsia="Times New Roman" w:hint="default"/>
                <w:sz w:val="18"/>
                <w:szCs w:val="18"/>
              </w:rPr>
            </w:pPr>
            <w:r>
              <w:rPr>
                <w:rFonts w:ascii="Times New Roman"/>
                <w:sz w:val="18"/>
              </w:rPr>
              <w:t>430,831.24</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378,181.24</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87.78</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2,433,446.24</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378,181.24</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15.64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10" w:right="0"/>
              <w:jc w:val="left"/>
              <w:rPr>
                <w:rFonts w:ascii="Times New Roman" w:hAnsi="Times New Roman" w:cs="Times New Roman" w:eastAsia="Times New Roman" w:hint="default"/>
                <w:sz w:val="18"/>
                <w:szCs w:val="18"/>
              </w:rPr>
            </w:pPr>
            <w:r>
              <w:rPr>
                <w:rFonts w:ascii="Times New Roman"/>
                <w:sz w:val="18"/>
              </w:rPr>
              <w:t>430,831.24</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378,181.24</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87.78</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2,433,446.24</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378,181.24</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15.64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4"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0" w:right="0"/>
              <w:jc w:val="left"/>
              <w:rPr>
                <w:rFonts w:ascii="Times New Roman" w:hAnsi="Times New Roman" w:cs="Times New Roman" w:eastAsia="Times New Roman" w:hint="default"/>
                <w:sz w:val="18"/>
                <w:szCs w:val="18"/>
              </w:rPr>
            </w:pPr>
            <w:r>
              <w:rPr>
                <w:rFonts w:ascii="Times New Roman"/>
                <w:sz w:val="18"/>
              </w:rPr>
              <w:t>430,831.24</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378,181.24</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2,433,446.24</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378,181.24</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footerReference w:type="default" r:id="rId75"/>
          <w:pgSz w:w="11910" w:h="16840"/>
          <w:pgMar w:footer="1340" w:header="877" w:top="1060" w:bottom="1540" w:left="980" w:right="0"/>
          <w:pgNumType w:start="101"/>
        </w:sectPr>
      </w:pPr>
    </w:p>
    <w:p>
      <w:pPr>
        <w:pStyle w:val="BodyText"/>
        <w:spacing w:line="357" w:lineRule="auto" w:before="49"/>
        <w:ind w:right="-20"/>
        <w:jc w:val="left"/>
      </w:pPr>
      <w:r>
        <w:rPr/>
        <w:t>其他应收款种类的说明 期末单项金额重大并单项计提坏账准备的其他应收款</w:t>
      </w:r>
    </w:p>
    <w:p>
      <w:pPr>
        <w:pStyle w:val="BodyText"/>
        <w:spacing w:line="338" w:lineRule="auto" w:before="2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293" w:space="453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66"/>
        <w:gridCol w:w="4050"/>
        <w:gridCol w:w="4243"/>
      </w:tblGrid>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250"/>
        <w:gridCol w:w="1805"/>
        <w:gridCol w:w="657"/>
        <w:gridCol w:w="1595"/>
        <w:gridCol w:w="1867"/>
        <w:gridCol w:w="660"/>
        <w:gridCol w:w="1725"/>
      </w:tblGrid>
      <w:tr>
        <w:trPr>
          <w:trHeight w:val="386" w:hRule="exact"/>
        </w:trPr>
        <w:tc>
          <w:tcPr>
            <w:tcW w:w="1250" w:type="dxa"/>
            <w:vMerge w:val="restart"/>
            <w:tcBorders>
              <w:top w:val="single" w:sz="4" w:space="0" w:color="000000"/>
              <w:left w:val="single" w:sz="4" w:space="0" w:color="000000"/>
              <w:right w:val="single" w:sz="4" w:space="0" w:color="000000"/>
            </w:tcBorders>
            <w:shd w:val="clear" w:color="auto" w:fill="D2D2D2"/>
          </w:tcPr>
          <w:p>
            <w:pPr/>
          </w:p>
        </w:tc>
        <w:tc>
          <w:tcPr>
            <w:tcW w:w="246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250" w:type="dxa"/>
            <w:vMerge/>
            <w:tcBorders>
              <w:left w:val="single" w:sz="4" w:space="0" w:color="000000"/>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c>
          <w:tcPr>
            <w:tcW w:w="6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5" w:right="0"/>
              <w:jc w:val="left"/>
              <w:rPr>
                <w:rFonts w:ascii="Times New Roman" w:hAnsi="Times New Roman" w:cs="Times New Roman" w:eastAsia="Times New Roman" w:hint="default"/>
                <w:sz w:val="18"/>
                <w:szCs w:val="18"/>
              </w:rPr>
            </w:pPr>
            <w:r>
              <w:rPr>
                <w:rFonts w:ascii="Times New Roman"/>
                <w:sz w:val="18"/>
              </w:rPr>
              <w:t>(%)</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7"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8" w:right="0"/>
              <w:jc w:val="left"/>
              <w:rPr>
                <w:rFonts w:ascii="Times New Roman" w:hAnsi="Times New Roman" w:cs="Times New Roman" w:eastAsia="Times New Roman" w:hint="default"/>
                <w:sz w:val="18"/>
                <w:szCs w:val="18"/>
              </w:rPr>
            </w:pPr>
            <w:r>
              <w:rPr>
                <w:rFonts w:ascii="Times New Roman"/>
                <w:sz w:val="18"/>
              </w:rPr>
              <w:t>(%)</w:t>
            </w:r>
          </w:p>
        </w:tc>
        <w:tc>
          <w:tcPr>
            <w:tcW w:w="17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0" w:hRule="exact"/>
        </w:trPr>
        <w:tc>
          <w:tcPr>
            <w:tcW w:w="1250" w:type="dxa"/>
            <w:vMerge/>
            <w:tcBorders>
              <w:left w:val="single" w:sz="4" w:space="0" w:color="000000"/>
              <w:right w:val="single" w:sz="4" w:space="0" w:color="000000"/>
            </w:tcBorders>
            <w:shd w:val="clear" w:color="auto" w:fill="D2D2D2"/>
          </w:tcPr>
          <w:p>
            <w:pPr/>
          </w:p>
        </w:tc>
        <w:tc>
          <w:tcPr>
            <w:tcW w:w="18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7"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c>
          <w:tcPr>
            <w:tcW w:w="18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0" w:type="dxa"/>
            <w:vMerge/>
            <w:tcBorders>
              <w:left w:val="single" w:sz="4" w:space="0" w:color="000000"/>
              <w:right w:val="single" w:sz="4" w:space="0" w:color="000000"/>
            </w:tcBorders>
            <w:shd w:val="clear" w:color="auto" w:fill="D2D2D2"/>
          </w:tcPr>
          <w:p>
            <w:pPr/>
          </w:p>
        </w:tc>
        <w:tc>
          <w:tcPr>
            <w:tcW w:w="1725"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50" w:type="dxa"/>
            <w:vMerge/>
            <w:tcBorders>
              <w:left w:val="single" w:sz="4" w:space="0" w:color="000000"/>
              <w:right w:val="single" w:sz="4" w:space="0" w:color="000000"/>
            </w:tcBorders>
            <w:shd w:val="clear" w:color="auto" w:fill="D2D2D2"/>
          </w:tcPr>
          <w:p>
            <w:pPr/>
          </w:p>
        </w:tc>
        <w:tc>
          <w:tcPr>
            <w:tcW w:w="1805" w:type="dxa"/>
            <w:vMerge/>
            <w:tcBorders>
              <w:left w:val="single" w:sz="4" w:space="0" w:color="000000"/>
              <w:bottom w:val="nil" w:sz="6" w:space="0" w:color="auto"/>
              <w:right w:val="single" w:sz="4" w:space="0" w:color="000000"/>
            </w:tcBorders>
            <w:shd w:val="clear" w:color="auto" w:fill="D2D2D2"/>
          </w:tcPr>
          <w:p>
            <w:pPr/>
          </w:p>
        </w:tc>
        <w:tc>
          <w:tcPr>
            <w:tcW w:w="657" w:type="dxa"/>
            <w:vMerge/>
            <w:tcBorders>
              <w:left w:val="single" w:sz="4" w:space="0" w:color="000000"/>
              <w:right w:val="single" w:sz="4" w:space="0" w:color="000000"/>
            </w:tcBorders>
            <w:shd w:val="clear" w:color="auto" w:fill="D2D2D2"/>
          </w:tcPr>
          <w:p>
            <w:pPr/>
          </w:p>
        </w:tc>
        <w:tc>
          <w:tcPr>
            <w:tcW w:w="1595" w:type="dxa"/>
            <w:vMerge w:val="restart"/>
            <w:tcBorders>
              <w:top w:val="nil" w:sz="6" w:space="0" w:color="auto"/>
              <w:left w:val="single" w:sz="4" w:space="0" w:color="000000"/>
              <w:right w:val="single" w:sz="4" w:space="0" w:color="000000"/>
            </w:tcBorders>
            <w:shd w:val="clear" w:color="auto" w:fill="D2D2D2"/>
          </w:tcPr>
          <w:p>
            <w:pPr/>
          </w:p>
        </w:tc>
        <w:tc>
          <w:tcPr>
            <w:tcW w:w="1867"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c>
          <w:tcPr>
            <w:tcW w:w="1725"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250"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c>
          <w:tcPr>
            <w:tcW w:w="657"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867"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1725"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2"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9" w:right="0"/>
              <w:jc w:val="left"/>
              <w:rPr>
                <w:rFonts w:ascii="Times New Roman" w:hAnsi="Times New Roman" w:cs="Times New Roman" w:eastAsia="Times New Roman" w:hint="default"/>
                <w:sz w:val="18"/>
                <w:szCs w:val="18"/>
              </w:rPr>
            </w:pPr>
            <w:r>
              <w:rPr>
                <w:rFonts w:ascii="Times New Roman"/>
                <w:sz w:val="18"/>
              </w:rPr>
              <w:t>--</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5" w:right="0"/>
              <w:jc w:val="lef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w:t>
            </w:r>
          </w:p>
        </w:tc>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52,650.00</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12.22%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2,055,265.00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84.46%</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378,181.24</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left"/>
              <w:rPr>
                <w:rFonts w:ascii="Times New Roman" w:hAnsi="Times New Roman" w:cs="Times New Roman" w:eastAsia="Times New Roman" w:hint="default"/>
                <w:sz w:val="18"/>
                <w:szCs w:val="18"/>
              </w:rPr>
            </w:pPr>
            <w:r>
              <w:rPr>
                <w:rFonts w:ascii="Times New Roman"/>
                <w:sz w:val="18"/>
              </w:rPr>
              <w:t>87.78%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378,181.24</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378,181.24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3" w:right="0"/>
              <w:jc w:val="left"/>
              <w:rPr>
                <w:rFonts w:ascii="Times New Roman" w:hAnsi="Times New Roman" w:cs="Times New Roman" w:eastAsia="Times New Roman" w:hint="default"/>
                <w:sz w:val="18"/>
                <w:szCs w:val="18"/>
              </w:rPr>
            </w:pPr>
            <w:r>
              <w:rPr>
                <w:rFonts w:ascii="Times New Roman"/>
                <w:sz w:val="18"/>
              </w:rPr>
              <w:t>15.64%</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378,181.24</w:t>
            </w:r>
          </w:p>
        </w:tc>
      </w:tr>
      <w:tr>
        <w:trPr>
          <w:trHeight w:val="403"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430,831.24</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378,181.24</w:t>
            </w:r>
          </w:p>
        </w:tc>
        <w:tc>
          <w:tcPr>
            <w:tcW w:w="186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2,433,446.24</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7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378,181.24</w:t>
            </w:r>
          </w:p>
        </w:tc>
      </w:tr>
    </w:tbl>
    <w:p>
      <w:pPr>
        <w:pStyle w:val="BodyText"/>
        <w:spacing w:line="240" w:lineRule="auto" w:before="49"/>
        <w:ind w:right="0"/>
        <w:jc w:val="left"/>
      </w:pPr>
      <w:r>
        <w:rPr/>
        <w:t>组合中，采用余额百分比法计提坏账准备的其他应收款</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40" w:lineRule="auto" w:before="39"/>
        <w:ind w:right="6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61"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59"/>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青岛广顺 房地产有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46,384,74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46,384,74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0.35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46,384,74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0.35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83%</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济宁海情 置业有限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189,177,4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96.65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189,177,4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96.65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189,177,4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96.65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济宁海情 贸易有限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潍坊亚通 置业有限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绵阳亿嘉 合投资有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5,753,300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5,753,300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5,753,300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97"/>
        <w:gridCol w:w="797"/>
        <w:gridCol w:w="799"/>
        <w:gridCol w:w="797"/>
        <w:gridCol w:w="799"/>
        <w:gridCol w:w="798"/>
        <w:gridCol w:w="798"/>
        <w:gridCol w:w="797"/>
        <w:gridCol w:w="799"/>
        <w:gridCol w:w="797"/>
        <w:gridCol w:w="799"/>
        <w:gridCol w:w="797"/>
      </w:tblGrid>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271,315,5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37.00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265,562,2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37.00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5,753,300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271,315,5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37.00</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长期股权投资的说明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-4,066,554.04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-5,537,654.08</w:t>
            </w:r>
          </w:p>
        </w:tc>
      </w:tr>
      <w:tr>
        <w:trPr>
          <w:trHeight w:val="40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378,181.24</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2,896.64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16,289.05</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127,058.06</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764,052.99</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2,497,955.81</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-1,565,701.59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-4,252,072.74</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81,704.85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34,923.57</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34,923.57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48,135.57</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46,781.28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-13,212.00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十二、补充资料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832"/>
        <w:gridCol w:w="2232"/>
        <w:gridCol w:w="2506"/>
      </w:tblGrid>
      <w:tr>
        <w:trPr>
          <w:trHeight w:val="403" w:hRule="exact"/>
        </w:trPr>
        <w:tc>
          <w:tcPr>
            <w:tcW w:w="4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4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2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-93,479.72</w:t>
            </w:r>
          </w:p>
        </w:tc>
        <w:tc>
          <w:tcPr>
            <w:tcW w:w="250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32" w:type="dxa"/>
            <w:tcBorders>
              <w:top w:val="single" w:sz="4" w:space="0" w:color="000000"/>
              <w:left w:val="single" w:sz="4" w:space="0" w:color="000000"/>
              <w:bottom w:val="single" w:sz="4" w:space="0" w:color="000000"/>
              <w:right w:val="single" w:sz="4" w:space="0" w:color="000000"/>
            </w:tcBorders>
          </w:tcPr>
          <w:p>
            <w:pPr/>
          </w:p>
        </w:tc>
        <w:tc>
          <w:tcPr>
            <w:tcW w:w="25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-21,599.03</w:t>
            </w:r>
          </w:p>
        </w:tc>
        <w:tc>
          <w:tcPr>
            <w:tcW w:w="25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-7,491.65</w:t>
            </w:r>
          </w:p>
        </w:tc>
        <w:tc>
          <w:tcPr>
            <w:tcW w:w="25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-64,389.04</w:t>
            </w:r>
          </w:p>
        </w:tc>
        <w:tc>
          <w:tcPr>
            <w:tcW w:w="2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计入当期损益的政府补助为经常性损益项目，应说明逐项披露认定理由。</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12"/>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3529"/>
        <w:gridCol w:w="2177"/>
        <w:gridCol w:w="1915"/>
        <w:gridCol w:w="1937"/>
      </w:tblGrid>
      <w:tr>
        <w:trPr>
          <w:trHeight w:val="184" w:hRule="exact"/>
        </w:trPr>
        <w:tc>
          <w:tcPr>
            <w:tcW w:w="3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3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3529"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6"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22" w:space="0" w:color="D2D2D2"/>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z w:val="18"/>
              </w:rPr>
              <w:t>0.015</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8"/>
                <w:szCs w:val="18"/>
              </w:rPr>
            </w:pPr>
            <w:r>
              <w:rPr>
                <w:rFonts w:ascii="Times New Roman"/>
                <w:sz w:val="18"/>
              </w:rPr>
              <w:t>0.015</w:t>
            </w:r>
          </w:p>
        </w:tc>
      </w:tr>
      <w:tr>
        <w:trPr>
          <w:trHeight w:val="713"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0.016</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0.016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、公司主要会计报表项目的异常情况及原因的说明</w:t>
      </w:r>
      <w:r>
        <w:rPr>
          <w:b w:val="0"/>
          <w:bCs w:val="0"/>
        </w:rPr>
      </w:r>
    </w:p>
    <w:p>
      <w:pPr>
        <w:spacing w:line="240" w:lineRule="auto" w:before="10"/>
        <w:rPr>
          <w:rFonts w:ascii="宋体" w:hAnsi="宋体" w:cs="宋体" w:eastAsia="宋体" w:hint="default"/>
          <w:b/>
          <w:bCs/>
          <w:sz w:val="26"/>
          <w:szCs w:val="26"/>
        </w:rPr>
      </w:pPr>
    </w:p>
    <w:p>
      <w:pPr>
        <w:spacing w:line="7770" w:lineRule="exact"/>
        <w:ind w:left="153" w:right="0" w:firstLine="0"/>
        <w:rPr>
          <w:rFonts w:ascii="宋体" w:hAnsi="宋体" w:cs="宋体" w:eastAsia="宋体" w:hint="default"/>
          <w:sz w:val="20"/>
          <w:szCs w:val="20"/>
        </w:rPr>
      </w:pPr>
      <w:r>
        <w:rPr>
          <w:rFonts w:ascii="宋体" w:hAnsi="宋体" w:cs="宋体" w:eastAsia="宋体" w:hint="default"/>
          <w:position w:val="-154"/>
          <w:sz w:val="20"/>
          <w:szCs w:val="20"/>
        </w:rPr>
        <w:drawing>
          <wp:inline distT="0" distB="0" distL="0" distR="0">
            <wp:extent cx="6057120" cy="4933950"/>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76" cstate="print"/>
                    <a:stretch>
                      <a:fillRect/>
                    </a:stretch>
                  </pic:blipFill>
                  <pic:spPr>
                    <a:xfrm>
                      <a:off x="0" y="0"/>
                      <a:ext cx="6057120" cy="4933950"/>
                    </a:xfrm>
                    <a:prstGeom prst="rect">
                      <a:avLst/>
                    </a:prstGeom>
                  </pic:spPr>
                </pic:pic>
              </a:graphicData>
            </a:graphic>
          </wp:inline>
        </w:drawing>
      </w:r>
      <w:r>
        <w:rPr>
          <w:rFonts w:ascii="宋体" w:hAnsi="宋体" w:cs="宋体" w:eastAsia="宋体" w:hint="default"/>
          <w:position w:val="-154"/>
          <w:sz w:val="20"/>
          <w:szCs w:val="20"/>
        </w:rPr>
      </w:r>
    </w:p>
    <w:p>
      <w:pPr>
        <w:spacing w:after="0" w:line="7770" w:lineRule="exact"/>
        <w:rPr>
          <w:rFonts w:ascii="宋体" w:hAnsi="宋体" w:cs="宋体" w:eastAsia="宋体" w:hint="default"/>
          <w:sz w:val="20"/>
          <w:szCs w:val="20"/>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1"/>
          <w:szCs w:val="21"/>
        </w:rPr>
      </w:pPr>
    </w:p>
    <w:p>
      <w:pPr>
        <w:spacing w:line="3840" w:lineRule="exact"/>
        <w:ind w:left="15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6"/>
          <w:sz w:val="20"/>
          <w:szCs w:val="20"/>
        </w:rPr>
        <w:drawing>
          <wp:inline distT="0" distB="0" distL="0" distR="0">
            <wp:extent cx="6324600" cy="2438400"/>
            <wp:effectExtent l="0" t="0" r="0" b="0"/>
            <wp:docPr id="13" name="image8.png" descr=""/>
            <wp:cNvGraphicFramePr>
              <a:graphicFrameLocks noChangeAspect="1"/>
            </wp:cNvGraphicFramePr>
            <a:graphic>
              <a:graphicData uri="http://schemas.openxmlformats.org/drawingml/2006/picture">
                <pic:pic>
                  <pic:nvPicPr>
                    <pic:cNvPr id="14" name="image8.png"/>
                    <pic:cNvPicPr/>
                  </pic:nvPicPr>
                  <pic:blipFill>
                    <a:blip r:embed="rId77" cstate="print"/>
                    <a:stretch>
                      <a:fillRect/>
                    </a:stretch>
                  </pic:blipFill>
                  <pic:spPr>
                    <a:xfrm>
                      <a:off x="0" y="0"/>
                      <a:ext cx="6324600" cy="2438400"/>
                    </a:xfrm>
                    <a:prstGeom prst="rect">
                      <a:avLst/>
                    </a:prstGeom>
                  </pic:spPr>
                </pic:pic>
              </a:graphicData>
            </a:graphic>
          </wp:inline>
        </w:drawing>
      </w:r>
      <w:r>
        <w:rPr>
          <w:rFonts w:ascii="Times New Roman" w:hAnsi="Times New Roman" w:cs="Times New Roman" w:eastAsia="Times New Roman" w:hint="default"/>
          <w:position w:val="-76"/>
          <w:sz w:val="20"/>
          <w:szCs w:val="20"/>
        </w:rPr>
      </w:r>
    </w:p>
    <w:p>
      <w:pPr>
        <w:spacing w:after="0" w:line="3840" w:lineRule="exact"/>
        <w:rPr>
          <w:rFonts w:ascii="Times New Roman" w:hAnsi="Times New Roman" w:cs="Times New Roman" w:eastAsia="Times New Roman" w:hint="default"/>
          <w:sz w:val="20"/>
          <w:szCs w:val="20"/>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37"/>
        <w:ind w:left="3285" w:right="0" w:firstLine="0"/>
        <w:jc w:val="left"/>
        <w:rPr>
          <w:rFonts w:ascii="宋体" w:hAnsi="宋体" w:cs="宋体" w:eastAsia="宋体" w:hint="default"/>
          <w:sz w:val="32"/>
          <w:szCs w:val="32"/>
        </w:rPr>
      </w:pPr>
      <w:r>
        <w:rPr>
          <w:rFonts w:ascii="宋体" w:hAnsi="宋体" w:cs="宋体" w:eastAsia="宋体" w:hint="default"/>
          <w:b/>
          <w:bCs/>
          <w:sz w:val="32"/>
          <w:szCs w:val="32"/>
        </w:rPr>
        <w:t>第十一节</w:t>
      </w:r>
      <w:r>
        <w:rPr>
          <w:rFonts w:ascii="宋体" w:hAnsi="宋体" w:cs="宋体" w:eastAsia="宋体" w:hint="default"/>
          <w:b/>
          <w:bCs/>
          <w:spacing w:val="-6"/>
          <w:sz w:val="32"/>
          <w:szCs w:val="32"/>
        </w:rPr>
        <w:t> </w:t>
      </w:r>
      <w:r>
        <w:rPr>
          <w:rFonts w:ascii="宋体" w:hAnsi="宋体" w:cs="宋体" w:eastAsia="宋体" w:hint="default"/>
          <w:b/>
          <w:bCs/>
          <w:sz w:val="32"/>
          <w:szCs w:val="32"/>
        </w:rPr>
        <w:t>备查文件目录</w:t>
      </w:r>
      <w:r>
        <w:rPr>
          <w:rFonts w:ascii="宋体" w:hAnsi="宋体" w:cs="宋体" w:eastAsia="宋体" w:hint="default"/>
          <w:sz w:val="32"/>
          <w:szCs w:val="32"/>
        </w:rPr>
      </w:r>
    </w:p>
    <w:p>
      <w:pPr>
        <w:spacing w:line="240" w:lineRule="auto" w:before="6"/>
        <w:rPr>
          <w:rFonts w:ascii="宋体" w:hAnsi="宋体" w:cs="宋体" w:eastAsia="宋体" w:hint="default"/>
          <w:b/>
          <w:bCs/>
          <w:sz w:val="42"/>
          <w:szCs w:val="42"/>
        </w:rPr>
      </w:pPr>
    </w:p>
    <w:p>
      <w:pPr>
        <w:pStyle w:val="BodyText"/>
        <w:spacing w:line="316" w:lineRule="auto"/>
        <w:ind w:right="3734"/>
        <w:jc w:val="left"/>
      </w:pPr>
      <w:r>
        <w:rPr/>
        <w:t>一、载有法定代表人、主管会计工作负责人、会计机构负责人签名并盖章的会计报表； 二、载有会计师事务所盖章、注册会计师签名并盖章的审计报告原件； 三、报告期内在中国证监会指定报纸上公开披露过的所有公司文件的正本及公告的原稿。</w:t>
      </w:r>
    </w:p>
    <w:sectPr>
      <w:pgSz w:w="11910" w:h="16840"/>
      <w:pgMar w:header="877" w:footer="1340" w:top="1060" w:bottom="154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30832" type="#_x0000_t75" stroked="false">
          <v:imagedata r:id="rId1" o:title=""/>
        </v:shape>
      </w:pict>
    </w:r>
    <w:r>
      <w:rPr/>
      <w:pict>
        <v:shape style="position:absolute;margin-left:533.099976pt;margin-top:795.637939pt;width:6.5pt;height:11pt;mso-position-horizontal-relative:page;mso-position-vertical-relative:page;z-index:-6308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30352" type="#_x0000_t75" stroked="false">
          <v:imagedata r:id="rId1" o:title=""/>
        </v:shape>
      </w:pict>
    </w:r>
    <w:r>
      <w:rPr/>
      <w:pict>
        <v:shape style="position:absolute;margin-left:527.659973pt;margin-top:781.933899pt;width:13.15pt;height:11pt;mso-position-horizontal-relative:page;mso-position-vertical-relative:page;z-index:-6303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21</w:t>
                </w:r>
                <w:r>
                  <w:rPr/>
                  <w:fldChar w:fldCharType="end"/>
                </w:r>
                <w:r>
                  <w:rPr>
                    <w:rFonts w:ascii="Times New Roman"/>
                    <w:spacing w:val="1"/>
                  </w:rPr>
                </w:r>
                <w:r>
                  <w:rPr>
                    <w:rFonts w:ascii="Times New Roman"/>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30256" type="#_x0000_t75" stroked="false">
          <v:imagedata r:id="rId1" o:title=""/>
        </v:shape>
      </w:pict>
    </w:r>
    <w:r>
      <w:rPr/>
      <w:pict>
        <v:shape style="position:absolute;margin-left:527.659973pt;margin-top:781.933899pt;width:13.15pt;height:11pt;mso-position-horizontal-relative:page;mso-position-vertical-relative:page;z-index:-6302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32</w:t>
                </w:r>
                <w:r>
                  <w:rPr/>
                  <w:fldChar w:fldCharType="end"/>
                </w:r>
                <w:r>
                  <w:rPr>
                    <w:rFonts w:ascii="Times New Roman"/>
                    <w:spacing w:val="1"/>
                  </w:rPr>
                </w:r>
                <w:r>
                  <w:rPr>
                    <w:rFonts w:ascii="Times New Roman"/>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30160" type="#_x0000_t75" stroked="false">
          <v:imagedata r:id="rId1" o:title=""/>
        </v:shape>
      </w:pict>
    </w:r>
    <w:r>
      <w:rPr/>
      <w:pict>
        <v:shape style="position:absolute;margin-left:527.659973pt;margin-top:781.933899pt;width:13.15pt;height:11pt;mso-position-horizontal-relative:page;mso-position-vertical-relative:page;z-index:-6301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r>
                  <w:rPr>
                    <w:rFonts w:ascii="Times New Roman"/>
                    <w:spacing w:val="1"/>
                  </w:rPr>
                </w:r>
                <w:r>
                  <w:rPr>
                    <w:rFonts w:ascii="Times New Roman"/>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30064" type="#_x0000_t75" stroked="false">
          <v:imagedata r:id="rId1" o:title=""/>
        </v:shape>
      </w:pict>
    </w:r>
    <w:r>
      <w:rPr/>
      <w:pict>
        <v:shape style="position:absolute;margin-left:527.659973pt;margin-top:781.933899pt;width:13.15pt;height:11pt;mso-position-horizontal-relative:page;mso-position-vertical-relative:page;z-index:-6300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52</w:t>
                </w:r>
                <w:r>
                  <w:rPr/>
                  <w:fldChar w:fldCharType="end"/>
                </w:r>
                <w:r>
                  <w:rPr>
                    <w:rFonts w:ascii="Times New Roman"/>
                    <w:spacing w:val="1"/>
                  </w:rPr>
                </w:r>
                <w:r>
                  <w:rPr>
                    <w:rFonts w:ascii="Times New Roman"/>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30784" type="#_x0000_t75" stroked="false">
          <v:imagedata r:id="rId1" o:title=""/>
        </v:shape>
      </w:pict>
    </w:r>
    <w:r>
      <w:rPr/>
      <w:pict>
        <v:shape style="position:absolute;margin-left:532.099976pt;margin-top:781.933899pt;width:8.5pt;height:11pt;mso-position-horizontal-relative:page;mso-position-vertical-relative:page;z-index:-6307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29872" type="#_x0000_t75" stroked="false">
          <v:imagedata r:id="rId1" o:title=""/>
        </v:shape>
      </w:pict>
    </w:r>
    <w:r>
      <w:rPr/>
      <w:pict>
        <v:shape style="position:absolute;margin-left:527.659973pt;margin-top:781.933899pt;width:13.15pt;height:11pt;mso-position-horizontal-relative:page;mso-position-vertical-relative:page;z-index:-6298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65</w:t>
                </w:r>
                <w:r>
                  <w:rPr/>
                  <w:fldChar w:fldCharType="end"/>
                </w:r>
                <w:r>
                  <w:rPr>
                    <w:rFonts w:ascii="Times New Roman"/>
                    <w:spacing w:val="1"/>
                  </w:rPr>
                </w:r>
                <w:r>
                  <w:rPr>
                    <w:rFonts w:ascii="Times New Roman"/>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29824" type="#_x0000_t75" stroked="false">
          <v:imagedata r:id="rId1" o:title=""/>
        </v:shape>
      </w:pict>
    </w:r>
    <w:r>
      <w:rPr/>
      <w:pict>
        <v:shape style="position:absolute;margin-left:527.659973pt;margin-top:781.933899pt;width:13.15pt;height:11pt;mso-position-horizontal-relative:page;mso-position-vertical-relative:page;z-index:-6298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r>
                  <w:rPr>
                    <w:rFonts w:ascii="Times New Roman"/>
                    <w:spacing w:val="1"/>
                  </w:rPr>
                </w:r>
                <w:r>
                  <w:rPr>
                    <w:rFonts w:ascii="Times New Roman"/>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29776" type="#_x0000_t75" stroked="false">
          <v:imagedata r:id="rId1" o:title=""/>
        </v:shape>
      </w:pict>
    </w:r>
    <w:r>
      <w:rPr/>
      <w:pict>
        <v:shape style="position:absolute;margin-left:527.659973pt;margin-top:781.933899pt;width:13.15pt;height:11pt;mso-position-horizontal-relative:page;mso-position-vertical-relative:page;z-index:-6297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71</w:t>
                </w:r>
                <w:r>
                  <w:rPr/>
                  <w:fldChar w:fldCharType="end"/>
                </w:r>
                <w:r>
                  <w:rPr>
                    <w:rFonts w:ascii="Times New Roman"/>
                    <w:spacing w:val="1"/>
                  </w:rPr>
                </w:r>
                <w:r>
                  <w:rPr>
                    <w:rFonts w:ascii="Times New Roman"/>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29392" type="#_x0000_t75" stroked="false">
          <v:imagedata r:id="rId1" o:title=""/>
        </v:shape>
      </w:pict>
    </w:r>
    <w:r>
      <w:rPr/>
      <w:pict>
        <v:shape style="position:absolute;margin-left:527.659973pt;margin-top:781.933899pt;width:13.15pt;height:11pt;mso-position-horizontal-relative:page;mso-position-vertical-relative:page;z-index:-629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93</w:t>
                </w:r>
                <w:r>
                  <w:rPr/>
                  <w:fldChar w:fldCharType="end"/>
                </w:r>
                <w:r>
                  <w:rPr>
                    <w:rFonts w:ascii="Times New Roman"/>
                    <w:spacing w:val="1"/>
                  </w:rPr>
                </w:r>
                <w:r>
                  <w:rPr>
                    <w:rFonts w:ascii="Times New Roman"/>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29248" type="#_x0000_t75" stroked="false">
          <v:imagedata r:id="rId1" o:title=""/>
        </v:shape>
      </w:pict>
    </w:r>
    <w:r>
      <w:rPr/>
      <w:pict>
        <v:shape style="position:absolute;margin-left:527.659973pt;margin-top:781.933899pt;width:13.15pt;height:11pt;mso-position-horizontal-relative:page;mso-position-vertical-relative:page;z-index:-629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98</w:t>
                </w:r>
                <w:r>
                  <w:rPr/>
                  <w:fldChar w:fldCharType="end"/>
                </w:r>
                <w:r>
                  <w:rPr>
                    <w:rFonts w:ascii="Times New Roman"/>
                    <w:spacing w:val="1"/>
                  </w:rPr>
                </w:r>
                <w:r>
                  <w:rPr>
                    <w:rFonts w:ascii="Times New Roman"/>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29200" type="#_x0000_t75" stroked="false">
          <v:imagedata r:id="rId1" o:title=""/>
        </v:shape>
      </w:pict>
    </w:r>
    <w:r>
      <w:rPr/>
      <w:pict>
        <v:shape style="position:absolute;margin-left:524.099976pt;margin-top:781.933899pt;width:15.7pt;height:11pt;mso-position-horizontal-relative:page;mso-position-vertical-relative:page;z-index:-6291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29152" type="#_x0000_t75" stroked="false">
          <v:imagedata r:id="rId1" o:title=""/>
        </v:shape>
      </w:pict>
    </w:r>
    <w:r>
      <w:rPr/>
      <w:pict>
        <v:shape style="position:absolute;margin-left:523.099976pt;margin-top:781.933899pt;width:17.7pt;height:11pt;mso-position-horizontal-relative:page;mso-position-vertical-relative:page;z-index:-6291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30688" type="#_x0000_t75" stroked="false">
          <v:imagedata r:id="rId1" o:title=""/>
        </v:shape>
      </w:pict>
    </w:r>
    <w:r>
      <w:rPr/>
      <w:pict>
        <v:shape style="position:absolute;margin-left:527.659973pt;margin-top:781.933899pt;width:13.15pt;height:11pt;mso-position-horizontal-relative:page;mso-position-vertical-relative:page;z-index:-6306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630448" type="#_x0000_t75" stroked="false">
          <v:imagedata r:id="rId1" o:title=""/>
        </v:shape>
      </w:pict>
    </w:r>
    <w:r>
      <w:rPr/>
      <w:pict>
        <v:shape style="position:absolute;margin-left:527.659973pt;margin-top:781.933899pt;width:13.15pt;height:11pt;mso-position-horizontal-relative:page;mso-position-vertical-relative:page;z-index:-6304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070007pt;margin-top:36.265610pt;width:186.75pt;height:11.5pt;mso-position-horizontal-relative:page;mso-position-vertical-relative:page;z-index:-630856" type="#_x0000_t202" filled="false" stroked="false">
          <v:textbox inset="0,0,0,0">
            <w:txbxContent>
              <w:p>
                <w:pPr>
                  <w:pStyle w:val="BodyText"/>
                  <w:spacing w:line="214" w:lineRule="exact"/>
                  <w:ind w:left="20" w:right="0"/>
                  <w:jc w:val="left"/>
                </w:pPr>
                <w:r>
                  <w:rPr/>
                  <w:t>深圳大通实业股份有限公司</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3011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30088" type="#_x0000_t202" filled="false" stroked="false">
          <v:textbox inset="0,0,0,0">
            <w:txbxContent>
              <w:p>
                <w:pPr>
                  <w:pStyle w:val="BodyText"/>
                  <w:spacing w:line="214" w:lineRule="exact"/>
                  <w:ind w:left="20" w:right="0"/>
                  <w:jc w:val="left"/>
                </w:pPr>
                <w:r>
                  <w:rPr/>
                  <w:t>深圳大通实业股份有限公司</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3001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29992" type="#_x0000_t202" filled="false" stroked="false">
          <v:textbox inset="0,0,0,0">
            <w:txbxContent>
              <w:p>
                <w:pPr>
                  <w:pStyle w:val="BodyText"/>
                  <w:spacing w:line="214" w:lineRule="exact"/>
                  <w:ind w:left="20" w:right="0"/>
                  <w:jc w:val="left"/>
                </w:pPr>
                <w:r>
                  <w:rPr/>
                  <w:t>深圳大通实业股份有限公司</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2996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29944" type="#_x0000_t202" filled="false" stroked="false">
          <v:textbox inset="0,0,0,0">
            <w:txbxContent>
              <w:p>
                <w:pPr>
                  <w:pStyle w:val="BodyText"/>
                  <w:spacing w:line="214" w:lineRule="exact"/>
                  <w:ind w:left="20" w:right="0"/>
                  <w:jc w:val="left"/>
                </w:pPr>
                <w:r>
                  <w:rPr/>
                  <w:t>深圳大通实业股份有限公司</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2992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29896" type="#_x0000_t202" filled="false" stroked="false">
          <v:textbox inset="0,0,0,0">
            <w:txbxContent>
              <w:p>
                <w:pPr>
                  <w:pStyle w:val="BodyText"/>
                  <w:spacing w:line="214" w:lineRule="exact"/>
                  <w:ind w:left="20" w:right="0"/>
                  <w:jc w:val="left"/>
                </w:pPr>
                <w:r>
                  <w:rPr/>
                  <w:t>深圳大通实业股份有限公司</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2972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29704" type="#_x0000_t202" filled="false" stroked="false">
          <v:textbox inset="0,0,0,0">
            <w:txbxContent>
              <w:p>
                <w:pPr>
                  <w:pStyle w:val="BodyText"/>
                  <w:spacing w:line="214" w:lineRule="exact"/>
                  <w:ind w:left="20" w:right="0"/>
                  <w:jc w:val="left"/>
                </w:pPr>
                <w:r>
                  <w:rPr/>
                  <w:t>深圳大通实业股份有限公司</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2968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29656" type="#_x0000_t202" filled="false" stroked="false">
          <v:textbox inset="0,0,0,0">
            <w:txbxContent>
              <w:p>
                <w:pPr>
                  <w:pStyle w:val="BodyText"/>
                  <w:spacing w:line="214" w:lineRule="exact"/>
                  <w:ind w:left="20" w:right="0"/>
                  <w:jc w:val="left"/>
                </w:pPr>
                <w:r>
                  <w:rPr/>
                  <w:t>深圳大通实业股份有限公司</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2963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29608" type="#_x0000_t202" filled="false" stroked="false">
          <v:textbox inset="0,0,0,0">
            <w:txbxContent>
              <w:p>
                <w:pPr>
                  <w:pStyle w:val="BodyText"/>
                  <w:spacing w:line="214" w:lineRule="exact"/>
                  <w:ind w:left="20" w:right="0"/>
                  <w:jc w:val="left"/>
                </w:pPr>
                <w:r>
                  <w:rPr/>
                  <w:t>深圳大通实业股份有限公司</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2958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29560" type="#_x0000_t202" filled="false" stroked="false">
          <v:textbox inset="0,0,0,0">
            <w:txbxContent>
              <w:p>
                <w:pPr>
                  <w:pStyle w:val="BodyText"/>
                  <w:spacing w:line="214" w:lineRule="exact"/>
                  <w:ind w:left="20" w:right="0"/>
                  <w:jc w:val="left"/>
                </w:pPr>
                <w:r>
                  <w:rPr/>
                  <w:t>深圳大通实业股份有限公司</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2953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29512" type="#_x0000_t202" filled="false" stroked="false">
          <v:textbox inset="0,0,0,0">
            <w:txbxContent>
              <w:p>
                <w:pPr>
                  <w:pStyle w:val="BodyText"/>
                  <w:spacing w:line="214" w:lineRule="exact"/>
                  <w:ind w:left="20" w:right="0"/>
                  <w:jc w:val="left"/>
                </w:pPr>
                <w:r>
                  <w:rPr/>
                  <w:t>深圳大通实业股份有限公司</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年度报告全文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2948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29464" type="#_x0000_t202" filled="false" stroked="false">
          <v:textbox inset="0,0,0,0">
            <w:txbxContent>
              <w:p>
                <w:pPr>
                  <w:pStyle w:val="BodyText"/>
                  <w:spacing w:line="214" w:lineRule="exact"/>
                  <w:ind w:left="20" w:right="0"/>
                  <w:jc w:val="left"/>
                </w:pPr>
                <w:r>
                  <w:rPr/>
                  <w:t>深圳大通实业股份有限公司</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3073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30712" type="#_x0000_t202" filled="false" stroked="false">
          <v:textbox inset="0,0,0,0">
            <w:txbxContent>
              <w:p>
                <w:pPr>
                  <w:pStyle w:val="BodyText"/>
                  <w:spacing w:line="214" w:lineRule="exact"/>
                  <w:ind w:left="20" w:right="0"/>
                  <w:jc w:val="left"/>
                </w:pPr>
                <w:r>
                  <w:rPr/>
                  <w:t>深圳大通实业股份有限公司</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年度报告全文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2944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29416" type="#_x0000_t202" filled="false" stroked="false">
          <v:textbox inset="0,0,0,0">
            <w:txbxContent>
              <w:p>
                <w:pPr>
                  <w:pStyle w:val="BodyText"/>
                  <w:spacing w:line="214" w:lineRule="exact"/>
                  <w:ind w:left="20" w:right="0"/>
                  <w:jc w:val="left"/>
                </w:pPr>
                <w:r>
                  <w:rPr/>
                  <w:t>深圳大通实业股份有限公司</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年度报告全文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2934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29320" type="#_x0000_t202" filled="false" stroked="false">
          <v:textbox inset="0,0,0,0">
            <w:txbxContent>
              <w:p>
                <w:pPr>
                  <w:pStyle w:val="BodyText"/>
                  <w:spacing w:line="214" w:lineRule="exact"/>
                  <w:ind w:left="20" w:right="0"/>
                  <w:jc w:val="left"/>
                </w:pPr>
                <w:r>
                  <w:rPr/>
                  <w:t>深圳大通实业股份有限公司</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年度报告全文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2929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29272" type="#_x0000_t202" filled="false" stroked="false">
          <v:textbox inset="0,0,0,0">
            <w:txbxContent>
              <w:p>
                <w:pPr>
                  <w:pStyle w:val="BodyText"/>
                  <w:spacing w:line="214" w:lineRule="exact"/>
                  <w:ind w:left="20" w:right="0"/>
                  <w:jc w:val="left"/>
                </w:pPr>
                <w:r>
                  <w:rPr/>
                  <w:t>深圳大通实业股份有限公司</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3064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30616" type="#_x0000_t202" filled="false" stroked="false">
          <v:textbox inset="0,0,0,0">
            <w:txbxContent>
              <w:p>
                <w:pPr>
                  <w:pStyle w:val="BodyText"/>
                  <w:spacing w:line="214" w:lineRule="exact"/>
                  <w:ind w:left="20" w:right="0"/>
                  <w:jc w:val="left"/>
                </w:pPr>
                <w:r>
                  <w:rPr/>
                  <w:t>深圳大通实业股份有限公司</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3059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30568" type="#_x0000_t202" filled="false" stroked="false">
          <v:textbox inset="0,0,0,0">
            <w:txbxContent>
              <w:p>
                <w:pPr>
                  <w:pStyle w:val="BodyText"/>
                  <w:spacing w:line="214" w:lineRule="exact"/>
                  <w:ind w:left="20" w:right="0"/>
                  <w:jc w:val="left"/>
                </w:pPr>
                <w:r>
                  <w:rPr/>
                  <w:t>深圳大通实业股份有限公司</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3054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30520" type="#_x0000_t202" filled="false" stroked="false">
          <v:textbox inset="0,0,0,0">
            <w:txbxContent>
              <w:p>
                <w:pPr>
                  <w:pStyle w:val="BodyText"/>
                  <w:spacing w:line="214" w:lineRule="exact"/>
                  <w:ind w:left="20" w:right="0"/>
                  <w:jc w:val="left"/>
                </w:pPr>
                <w:r>
                  <w:rPr/>
                  <w:t>深圳大通实业股份有限公司</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3049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30472" type="#_x0000_t202" filled="false" stroked="false">
          <v:textbox inset="0,0,0,0">
            <w:txbxContent>
              <w:p>
                <w:pPr>
                  <w:pStyle w:val="BodyText"/>
                  <w:spacing w:line="214" w:lineRule="exact"/>
                  <w:ind w:left="20" w:right="0"/>
                  <w:jc w:val="left"/>
                </w:pPr>
                <w:r>
                  <w:rPr/>
                  <w:t>深圳大通实业股份有限公司</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3040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30376" type="#_x0000_t202" filled="false" stroked="false">
          <v:textbox inset="0,0,0,0">
            <w:txbxContent>
              <w:p>
                <w:pPr>
                  <w:pStyle w:val="BodyText"/>
                  <w:spacing w:line="214" w:lineRule="exact"/>
                  <w:ind w:left="20" w:right="0"/>
                  <w:jc w:val="left"/>
                </w:pPr>
                <w:r>
                  <w:rPr/>
                  <w:t>深圳大通实业股份有限公司</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3030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30280" type="#_x0000_t202" filled="false" stroked="false">
          <v:textbox inset="0,0,0,0">
            <w:txbxContent>
              <w:p>
                <w:pPr>
                  <w:pStyle w:val="BodyText"/>
                  <w:spacing w:line="214" w:lineRule="exact"/>
                  <w:ind w:left="20" w:right="0"/>
                  <w:jc w:val="left"/>
                </w:pPr>
                <w:r>
                  <w:rPr/>
                  <w:t>深圳大通实业股份有限公司</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63020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630184" type="#_x0000_t202" filled="false" stroked="false">
          <v:textbox inset="0,0,0,0">
            <w:txbxContent>
              <w:p>
                <w:pPr>
                  <w:pStyle w:val="BodyText"/>
                  <w:spacing w:line="214" w:lineRule="exact"/>
                  <w:ind w:left="20" w:right="0"/>
                  <w:jc w:val="left"/>
                </w:pPr>
                <w:r>
                  <w:rPr/>
                  <w:t>深圳大通实业股份有限公司</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784"/>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hinadatong.com/" TargetMode="External"/><Relationship Id="rId10" Type="http://schemas.openxmlformats.org/officeDocument/2006/relationships/hyperlink" Target="mailto:datongstock@163.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header" Target="header4.xml"/><Relationship Id="rId19" Type="http://schemas.openxmlformats.org/officeDocument/2006/relationships/footer" Target="footer6.xml"/><Relationship Id="rId20" Type="http://schemas.openxmlformats.org/officeDocument/2006/relationships/header" Target="header5.xml"/><Relationship Id="rId21" Type="http://schemas.openxmlformats.org/officeDocument/2006/relationships/footer" Target="footer7.xml"/><Relationship Id="rId22" Type="http://schemas.openxmlformats.org/officeDocument/2006/relationships/header" Target="header6.xm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header" Target="header7.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hyperlink" Target="http://www/" TargetMode="External"/><Relationship Id="rId29" Type="http://schemas.openxmlformats.org/officeDocument/2006/relationships/hyperlink" Target="http://ww/" TargetMode="External"/><Relationship Id="rId30" Type="http://schemas.openxmlformats.org/officeDocument/2006/relationships/hyperlink" Target="http://w/" TargetMode="External"/><Relationship Id="rId31" Type="http://schemas.openxmlformats.org/officeDocument/2006/relationships/header" Target="header8.xml"/><Relationship Id="rId32" Type="http://schemas.openxmlformats.org/officeDocument/2006/relationships/footer" Target="footer12.xml"/><Relationship Id="rId33" Type="http://schemas.openxmlformats.org/officeDocument/2006/relationships/footer" Target="footer13.xml"/><Relationship Id="rId34" Type="http://schemas.openxmlformats.org/officeDocument/2006/relationships/image" Target="media/image3.jpeg"/><Relationship Id="rId35" Type="http://schemas.openxmlformats.org/officeDocument/2006/relationships/image" Target="media/image4.png"/><Relationship Id="rId36" Type="http://schemas.openxmlformats.org/officeDocument/2006/relationships/image" Target="media/image5.png"/><Relationship Id="rId37" Type="http://schemas.openxmlformats.org/officeDocument/2006/relationships/header" Target="header9.xml"/><Relationship Id="rId38" Type="http://schemas.openxmlformats.org/officeDocument/2006/relationships/footer" Target="footer14.xml"/><Relationship Id="rId39" Type="http://schemas.openxmlformats.org/officeDocument/2006/relationships/hyperlink" Target="http://www.cninfo.co/" TargetMode="External"/><Relationship Id="rId40" Type="http://schemas.openxmlformats.org/officeDocument/2006/relationships/footer" Target="footer15.xml"/><Relationship Id="rId41" Type="http://schemas.openxmlformats.org/officeDocument/2006/relationships/header" Target="header10.xml"/><Relationship Id="rId42" Type="http://schemas.openxmlformats.org/officeDocument/2006/relationships/footer" Target="footer16.xml"/><Relationship Id="rId43" Type="http://schemas.openxmlformats.org/officeDocument/2006/relationships/footer" Target="footer17.xml"/><Relationship Id="rId44" Type="http://schemas.openxmlformats.org/officeDocument/2006/relationships/header" Target="header11.xml"/><Relationship Id="rId45" Type="http://schemas.openxmlformats.org/officeDocument/2006/relationships/footer" Target="footer18.xml"/><Relationship Id="rId46" Type="http://schemas.openxmlformats.org/officeDocument/2006/relationships/header" Target="header12.xml"/><Relationship Id="rId47" Type="http://schemas.openxmlformats.org/officeDocument/2006/relationships/footer" Target="footer19.xml"/><Relationship Id="rId48" Type="http://schemas.openxmlformats.org/officeDocument/2006/relationships/header" Target="header13.xml"/><Relationship Id="rId49" Type="http://schemas.openxmlformats.org/officeDocument/2006/relationships/footer" Target="footer20.xml"/><Relationship Id="rId50" Type="http://schemas.openxmlformats.org/officeDocument/2006/relationships/footer" Target="footer21.xml"/><Relationship Id="rId51" Type="http://schemas.openxmlformats.org/officeDocument/2006/relationships/footer" Target="footer22.xml"/><Relationship Id="rId52" Type="http://schemas.openxmlformats.org/officeDocument/2006/relationships/footer" Target="footer23.xml"/><Relationship Id="rId53" Type="http://schemas.openxmlformats.org/officeDocument/2006/relationships/header" Target="header14.xml"/><Relationship Id="rId54" Type="http://schemas.openxmlformats.org/officeDocument/2006/relationships/footer" Target="footer24.xml"/><Relationship Id="rId55" Type="http://schemas.openxmlformats.org/officeDocument/2006/relationships/header" Target="header15.xml"/><Relationship Id="rId56" Type="http://schemas.openxmlformats.org/officeDocument/2006/relationships/footer" Target="footer25.xml"/><Relationship Id="rId57" Type="http://schemas.openxmlformats.org/officeDocument/2006/relationships/header" Target="header16.xml"/><Relationship Id="rId58" Type="http://schemas.openxmlformats.org/officeDocument/2006/relationships/footer" Target="footer26.xml"/><Relationship Id="rId59" Type="http://schemas.openxmlformats.org/officeDocument/2006/relationships/header" Target="header17.xml"/><Relationship Id="rId60" Type="http://schemas.openxmlformats.org/officeDocument/2006/relationships/footer" Target="footer27.xml"/><Relationship Id="rId61" Type="http://schemas.openxmlformats.org/officeDocument/2006/relationships/header" Target="header18.xml"/><Relationship Id="rId62" Type="http://schemas.openxmlformats.org/officeDocument/2006/relationships/footer" Target="footer28.xml"/><Relationship Id="rId63" Type="http://schemas.openxmlformats.org/officeDocument/2006/relationships/header" Target="header19.xml"/><Relationship Id="rId64" Type="http://schemas.openxmlformats.org/officeDocument/2006/relationships/footer" Target="footer29.xml"/><Relationship Id="rId65" Type="http://schemas.openxmlformats.org/officeDocument/2006/relationships/header" Target="header20.xml"/><Relationship Id="rId66" Type="http://schemas.openxmlformats.org/officeDocument/2006/relationships/footer" Target="footer30.xml"/><Relationship Id="rId67" Type="http://schemas.openxmlformats.org/officeDocument/2006/relationships/footer" Target="footer31.xml"/><Relationship Id="rId68" Type="http://schemas.openxmlformats.org/officeDocument/2006/relationships/image" Target="media/image6.png"/><Relationship Id="rId69" Type="http://schemas.openxmlformats.org/officeDocument/2006/relationships/header" Target="header21.xml"/><Relationship Id="rId70" Type="http://schemas.openxmlformats.org/officeDocument/2006/relationships/footer" Target="footer32.xml"/><Relationship Id="rId71" Type="http://schemas.openxmlformats.org/officeDocument/2006/relationships/header" Target="header22.xml"/><Relationship Id="rId72" Type="http://schemas.openxmlformats.org/officeDocument/2006/relationships/footer" Target="footer33.xml"/><Relationship Id="rId73" Type="http://schemas.openxmlformats.org/officeDocument/2006/relationships/footer" Target="footer34.xml"/><Relationship Id="rId74" Type="http://schemas.openxmlformats.org/officeDocument/2006/relationships/footer" Target="footer35.xml"/><Relationship Id="rId75" Type="http://schemas.openxmlformats.org/officeDocument/2006/relationships/footer" Target="footer36.xml"/><Relationship Id="rId76" Type="http://schemas.openxmlformats.org/officeDocument/2006/relationships/image" Target="media/image7.png"/><Relationship Id="rId77"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31.xml.rels><?xml version="1.0" encoding="UTF-8" standalone="yes"?>
<Relationships xmlns="http://schemas.openxmlformats.org/package/2006/relationships"><Relationship Id="rId1" Type="http://schemas.openxmlformats.org/officeDocument/2006/relationships/image" Target="media/image1.png"/></Relationships>

</file>

<file path=word/_rels/footer34.xml.rels><?xml version="1.0" encoding="UTF-8" standalone="yes"?>
<Relationships xmlns="http://schemas.openxmlformats.org/package/2006/relationships"><Relationship Id="rId1" Type="http://schemas.openxmlformats.org/officeDocument/2006/relationships/image" Target="media/image1.png"/></Relationships>

</file>

<file path=word/_rels/footer35.xml.rels><?xml version="1.0" encoding="UTF-8" standalone="yes"?>
<Relationships xmlns="http://schemas.openxmlformats.org/package/2006/relationships"><Relationship Id="rId1" Type="http://schemas.openxmlformats.org/officeDocument/2006/relationships/image" Target="media/image1.png"/></Relationships>

</file>

<file path=word/_rels/footer36.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2020-05-05T09:16:59Z</dcterms:created>
  <dcterms:modified xsi:type="dcterms:W3CDTF">2020-05-05T09:16:59Z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2014-04-24T00:00:00Z</vt:filetime>
  </property>
  <property fmtid="{D5CDD505-2E9C-101B-9397-08002B2CF9AE}" pid="3" name="Creator">
    <vt:lpwstr>Microsoft® Office Word 2007</vt:lpwstr>
  </property>
  <property fmtid="{D5CDD505-2E9C-101B-9397-08002B2CF9AE}" pid="4" name="LastSaved">
    <vt:filetime>2020-05-05T00:00:00Z</vt:filetime>
  </property>
</Properties>
</file>