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2220"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09700" cy="14097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1409700"/>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134" w:right="1111" w:firstLine="0"/>
        <w:jc w:val="center"/>
        <w:rPr>
          <w:rFonts w:ascii="宋体" w:hAnsi="宋体" w:cs="宋体" w:eastAsia="宋体" w:hint="default"/>
          <w:sz w:val="36"/>
          <w:szCs w:val="36"/>
        </w:rPr>
      </w:pPr>
      <w:r>
        <w:rPr>
          <w:rFonts w:ascii="宋体" w:hAnsi="宋体" w:cs="宋体" w:eastAsia="宋体" w:hint="default"/>
          <w:b/>
          <w:bCs/>
          <w:sz w:val="36"/>
          <w:szCs w:val="36"/>
        </w:rPr>
        <w:t>深圳大通实业股份有限公司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34" w:right="111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134" w:right="1110" w:firstLine="0"/>
        <w:jc w:val="center"/>
        <w:rPr>
          <w:rFonts w:ascii="Times New Roman" w:hAnsi="Times New Roman" w:cs="Times New Roman" w:eastAsia="Times New Roman" w:hint="default"/>
          <w:sz w:val="22"/>
          <w:szCs w:val="22"/>
        </w:rPr>
      </w:pPr>
      <w:r>
        <w:rPr>
          <w:rFonts w:ascii="Times New Roman"/>
          <w:b/>
          <w:sz w:val="22"/>
        </w:rPr>
        <w:t>2018-035</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134" w:right="111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0"/>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0" w:firstLine="562"/>
        <w:jc w:val="left"/>
        <w:rPr>
          <w:rFonts w:ascii="宋体" w:hAnsi="宋体" w:cs="宋体" w:eastAsia="宋体" w:hint="default"/>
          <w:sz w:val="28"/>
          <w:szCs w:val="28"/>
        </w:rPr>
      </w:pPr>
      <w:r>
        <w:rPr>
          <w:rFonts w:ascii="宋体" w:hAnsi="宋体" w:cs="宋体" w:eastAsia="宋体" w:hint="default"/>
          <w:b/>
          <w:bCs/>
          <w:w w:val="95"/>
          <w:sz w:val="28"/>
          <w:szCs w:val="28"/>
        </w:rPr>
        <w:t>公司负责人郝亮、主管会计工作负责人李建立及会计机构负责人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郑正东声明：保证年度报告中财务报告的真实、准确、完整。</w:t>
      </w:r>
      <w:r>
        <w:rPr>
          <w:rFonts w:ascii="宋体" w:hAnsi="宋体" w:cs="宋体" w:eastAsia="宋体" w:hint="default"/>
          <w:sz w:val="28"/>
          <w:szCs w:val="28"/>
        </w:rPr>
      </w:r>
    </w:p>
    <w:p>
      <w:pPr>
        <w:spacing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08" w:lineRule="auto" w:before="0"/>
        <w:ind w:left="153" w:right="0" w:firstLine="562"/>
        <w:jc w:val="left"/>
        <w:rPr>
          <w:rFonts w:ascii="宋体" w:hAnsi="宋体" w:cs="宋体" w:eastAsia="宋体" w:hint="default"/>
          <w:sz w:val="28"/>
          <w:szCs w:val="28"/>
        </w:rPr>
      </w:pPr>
      <w:r>
        <w:rPr>
          <w:rFonts w:ascii="宋体" w:hAnsi="宋体" w:cs="宋体" w:eastAsia="宋体" w:hint="default"/>
          <w:b/>
          <w:bCs/>
          <w:spacing w:val="-14"/>
          <w:w w:val="99"/>
          <w:sz w:val="28"/>
          <w:szCs w:val="28"/>
        </w:rPr>
        <w:t>《中国证券报》、《证券时报》、《上海证券报》和巨潮资讯网为本公司选定</w:t>
      </w:r>
      <w:r>
        <w:rPr>
          <w:rFonts w:ascii="宋体" w:hAnsi="宋体" w:cs="宋体" w:eastAsia="宋体" w:hint="default"/>
          <w:b/>
          <w:bCs/>
          <w:w w:val="99"/>
          <w:sz w:val="28"/>
          <w:szCs w:val="28"/>
        </w:rPr>
        <w:t> </w:t>
      </w:r>
      <w:r>
        <w:rPr>
          <w:rFonts w:ascii="宋体" w:hAnsi="宋体" w:cs="宋体" w:eastAsia="宋体" w:hint="default"/>
          <w:b/>
          <w:bCs/>
          <w:spacing w:val="3"/>
          <w:sz w:val="28"/>
          <w:szCs w:val="28"/>
        </w:rPr>
        <w:t>的信息披露媒体，本公司所有信息均以在上述选定媒体刊登的信息为准。本报</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告内涉及的未来计划、发展战略等前瞻性陈述不构成公司对投资者的实质承诺，</w:t>
      </w:r>
      <w:r>
        <w:rPr>
          <w:rFonts w:ascii="宋体" w:hAnsi="宋体" w:cs="宋体" w:eastAsia="宋体" w:hint="default"/>
          <w:b/>
          <w:bCs/>
          <w:spacing w:val="64"/>
          <w:w w:val="95"/>
          <w:sz w:val="28"/>
          <w:szCs w:val="28"/>
        </w:rPr>
        <w:t> </w:t>
      </w:r>
      <w:r>
        <w:rPr>
          <w:rFonts w:ascii="宋体" w:hAnsi="宋体" w:cs="宋体" w:eastAsia="宋体" w:hint="default"/>
          <w:b/>
          <w:bCs/>
          <w:spacing w:val="64"/>
          <w:w w:val="95"/>
          <w:sz w:val="28"/>
          <w:szCs w:val="28"/>
        </w:rPr>
      </w:r>
      <w:r>
        <w:rPr>
          <w:rFonts w:ascii="宋体" w:hAnsi="宋体" w:cs="宋体" w:eastAsia="宋体" w:hint="default"/>
          <w:b/>
          <w:bCs/>
          <w:sz w:val="28"/>
          <w:szCs w:val="28"/>
        </w:rPr>
        <w:t>敬请投资者注意投资风险。</w:t>
      </w:r>
      <w:r>
        <w:rPr>
          <w:rFonts w:ascii="宋体" w:hAnsi="宋体" w:cs="宋体" w:eastAsia="宋体" w:hint="default"/>
          <w:sz w:val="28"/>
          <w:szCs w:val="28"/>
        </w:rPr>
      </w:r>
    </w:p>
    <w:p>
      <w:pPr>
        <w:spacing w:line="386" w:lineRule="auto" w:before="161"/>
        <w:ind w:left="153" w:right="0" w:firstLine="562"/>
        <w:jc w:val="left"/>
        <w:rPr>
          <w:rFonts w:ascii="宋体" w:hAnsi="宋体" w:cs="宋体" w:eastAsia="宋体" w:hint="default"/>
          <w:sz w:val="28"/>
          <w:szCs w:val="28"/>
        </w:rPr>
      </w:pPr>
      <w:r>
        <w:rPr>
          <w:rFonts w:ascii="宋体" w:hAnsi="宋体" w:cs="宋体" w:eastAsia="宋体" w:hint="default"/>
          <w:b/>
          <w:bCs/>
          <w:spacing w:val="3"/>
          <w:w w:val="95"/>
          <w:sz w:val="28"/>
          <w:szCs w:val="28"/>
        </w:rPr>
        <w:t>公司在本报告第四节</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经营情况讨论与分析</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中</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公司未来发展的展望</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部分，</w:t>
      </w:r>
      <w:r>
        <w:rPr>
          <w:rFonts w:ascii="宋体" w:hAnsi="宋体" w:cs="宋体" w:eastAsia="宋体" w:hint="default"/>
          <w:b/>
          <w:bCs/>
          <w:spacing w:val="3"/>
          <w:w w:val="99"/>
          <w:sz w:val="28"/>
          <w:szCs w:val="28"/>
        </w:rPr>
        <w:t> </w:t>
      </w:r>
      <w:r>
        <w:rPr>
          <w:rFonts w:ascii="宋体" w:hAnsi="宋体" w:cs="宋体" w:eastAsia="宋体" w:hint="default"/>
          <w:b/>
          <w:bCs/>
          <w:sz w:val="28"/>
          <w:szCs w:val="28"/>
        </w:rPr>
        <w:t>详细描述了公司经营中可能存在的风险及应对措施，敬请投资者关注相关内容。</w:t>
      </w:r>
      <w:r>
        <w:rPr>
          <w:rFonts w:ascii="宋体" w:hAnsi="宋体" w:cs="宋体" w:eastAsia="宋体" w:hint="default"/>
          <w:sz w:val="28"/>
          <w:szCs w:val="28"/>
        </w:rPr>
      </w:r>
    </w:p>
    <w:p>
      <w:pPr>
        <w:spacing w:before="185"/>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522,777,419</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86" w:lineRule="auto" w:before="236"/>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4.00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21"/>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34" w:right="111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第四节经营情况讨论与分析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第八节董事、监事、高级管理人员和员工情况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8">
            <w:r>
              <w:rPr/>
              <w:t>第九节公司治理</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第十节公司债券相关情况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第十一节财务报告</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11">
            <w:r>
              <w:rPr/>
              <w:t>第十二节备查文件目录</w:t>
            </w:r>
            <w:r>
              <w:rPr>
                <w:rFonts w:ascii="Times New Roman" w:hAnsi="Times New Roman" w:cs="Times New Roman" w:eastAsia="Times New Roman" w:hint="default"/>
              </w:rPr>
              <w:tab/>
              <w:t>158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134" w:right="111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6"/>
          <w:szCs w:val="16"/>
        </w:rPr>
      </w:pPr>
    </w:p>
    <w:p>
      <w:pPr>
        <w:pStyle w:val="BodyText"/>
        <w:spacing w:line="240" w:lineRule="auto"/>
        <w:ind w:left="0" w:right="1140"/>
        <w:jc w:val="right"/>
      </w:pPr>
      <w:r>
        <w:rPr/>
        <w:pict>
          <v:shape style="position:absolute;margin-left:56.459999pt;margin-top:-380.468262pt;width:479.25pt;height:592.1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深大通、上市公司、本公司、公司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视科传媒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浙江视科文化传播有限公司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冉十科技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冉十科技（北京）有限公司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视赚网络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杭州视赚网络技术有限公司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赛鸽天地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北京赛鸽天地广告有限公司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三吉嘉喜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北京三吉嘉喜传媒科技有限公司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《深圳证券交易所股票上市规则》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元人民币</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ICP</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互联网信息服务业务经营许可证</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DSP</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需求方平台</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O2O</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Online</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6"/>
                            <w:sz w:val="18"/>
                            <w:szCs w:val="18"/>
                          </w:rPr>
                          <w:t>To</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Offline</w:t>
                        </w:r>
                        <w:r>
                          <w:rPr>
                            <w:rFonts w:ascii="宋体" w:hAnsi="宋体" w:cs="宋体" w:eastAsia="宋体" w:hint="default"/>
                            <w:sz w:val="18"/>
                            <w:szCs w:val="18"/>
                          </w:rPr>
                          <w:t>（线上到线下）的缩写，是指将线上的商务机会与互</w:t>
                        </w:r>
                        <w:r>
                          <w:rPr>
                            <w:rFonts w:ascii="宋体" w:hAnsi="宋体" w:cs="宋体" w:eastAsia="宋体" w:hint="default"/>
                            <w:w w:val="99"/>
                            <w:sz w:val="18"/>
                            <w:szCs w:val="18"/>
                          </w:rPr>
                          <w:t> </w:t>
                        </w:r>
                        <w:r>
                          <w:rPr>
                            <w:rFonts w:ascii="宋体" w:hAnsi="宋体" w:cs="宋体" w:eastAsia="宋体" w:hint="default"/>
                            <w:sz w:val="18"/>
                            <w:szCs w:val="18"/>
                          </w:rPr>
                          <w:t>联网结合，让互联网成为线下交易的前台。</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显示屏</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113"/>
                          <w:jc w:val="left"/>
                          <w:rPr>
                            <w:rFonts w:ascii="宋体" w:hAnsi="宋体" w:cs="宋体" w:eastAsia="宋体" w:hint="default"/>
                            <w:sz w:val="18"/>
                            <w:szCs w:val="18"/>
                          </w:rPr>
                        </w:pPr>
                        <w:r>
                          <w:rPr>
                            <w:rFonts w:ascii="宋体" w:hAnsi="宋体" w:cs="宋体" w:eastAsia="宋体" w:hint="default"/>
                            <w:sz w:val="18"/>
                            <w:szCs w:val="18"/>
                          </w:rPr>
                          <w:t>一种通过控制</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的显示方式，用来显示文字、图形、图像、动画 视频、录像信号等各种信息的显示屏幕。</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LCD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数字屏</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Liquid Crystal</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Display</w:t>
                        </w:r>
                        <w:r>
                          <w:rPr>
                            <w:rFonts w:ascii="宋体" w:hAnsi="宋体" w:cs="宋体" w:eastAsia="宋体" w:hint="default"/>
                            <w:sz w:val="18"/>
                            <w:szCs w:val="18"/>
                          </w:rPr>
                          <w:t>，液晶显示器。</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裸眼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数字屏</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51"/>
                          <w:ind w:left="27" w:right="22"/>
                          <w:jc w:val="both"/>
                          <w:rPr>
                            <w:rFonts w:ascii="宋体" w:hAnsi="宋体" w:cs="宋体" w:eastAsia="宋体" w:hint="default"/>
                            <w:sz w:val="18"/>
                            <w:szCs w:val="18"/>
                          </w:rPr>
                        </w:pPr>
                        <w:r>
                          <w:rPr>
                            <w:rFonts w:ascii="宋体" w:hAnsi="宋体" w:cs="宋体" w:eastAsia="宋体" w:hint="default"/>
                            <w:sz w:val="18"/>
                            <w:szCs w:val="18"/>
                          </w:rPr>
                          <w:t>利用人两眼具有视差的特性，在不需要任何辅助设备（如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眼镜， </w:t>
                        </w:r>
                        <w:r>
                          <w:rPr>
                            <w:rFonts w:ascii="宋体" w:hAnsi="宋体" w:cs="宋体" w:eastAsia="宋体" w:hint="default"/>
                            <w:spacing w:val="-2"/>
                            <w:sz w:val="18"/>
                            <w:szCs w:val="18"/>
                          </w:rPr>
                          <w:t>头盔等）的情况下，即可获得具有空间、深度的逼真立体形象的显示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系统。</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8"/>
                            <w:sz w:val="18"/>
                          </w:rPr>
                          <w:t>WAP</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1"/>
                          <w:ind w:left="27"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Wireless Application Protocol</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的缩写，是指在移动电话等移动通信设 备与因特网或其他业务之间进行通信的无线应用协议。</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广告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是利用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Html5 </w:t>
                        </w:r>
                        <w:r>
                          <w:rPr>
                            <w:rFonts w:ascii="宋体" w:hAnsi="宋体" w:cs="宋体" w:eastAsia="宋体" w:hint="default"/>
                            <w:sz w:val="18"/>
                            <w:szCs w:val="18"/>
                          </w:rPr>
                          <w:t>的编码技术来实现的一种数字广告。</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三维码</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both"/>
                          <w:rPr>
                            <w:rFonts w:ascii="宋体" w:hAnsi="宋体" w:cs="宋体" w:eastAsia="宋体" w:hint="default"/>
                            <w:sz w:val="18"/>
                            <w:szCs w:val="18"/>
                          </w:rPr>
                        </w:pPr>
                        <w:r>
                          <w:rPr>
                            <w:rFonts w:ascii="宋体" w:hAnsi="宋体" w:cs="宋体" w:eastAsia="宋体" w:hint="default"/>
                            <w:spacing w:val="-2"/>
                            <w:sz w:val="18"/>
                            <w:szCs w:val="18"/>
                          </w:rPr>
                          <w:t>由深圳大学光电子学研究所开发，是一项具有完全自主知识产权的条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码技术。与传统二维条码相比，三维码具有更大的信息容量、相同的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识别便易性和较好的安全性。</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4"/>
                <w:sz w:val="18"/>
              </w:rPr>
              <w:t>RTB</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Real Time</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Bidding</w:t>
            </w:r>
            <w:r>
              <w:rPr>
                <w:rFonts w:ascii="宋体" w:hAnsi="宋体" w:cs="宋体" w:eastAsia="宋体" w:hint="default"/>
                <w:sz w:val="18"/>
                <w:szCs w:val="18"/>
              </w:rPr>
              <w:t>，实时竞价。是一种利用第三方技术在数以百万计 的网站上针对每一个用户展示行为进行评估以及出价的竞价技术。</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DMP</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Data-Management </w:t>
            </w:r>
            <w:r>
              <w:rPr>
                <w:rFonts w:ascii="Times New Roman" w:hAnsi="Times New Roman" w:cs="Times New Roman" w:eastAsia="Times New Roman" w:hint="default"/>
                <w:spacing w:val="-3"/>
                <w:sz w:val="18"/>
                <w:szCs w:val="18"/>
              </w:rPr>
              <w:t>Platform</w:t>
            </w:r>
            <w:r>
              <w:rPr>
                <w:rFonts w:ascii="宋体" w:hAnsi="宋体" w:cs="宋体" w:eastAsia="宋体" w:hint="default"/>
                <w:spacing w:val="-3"/>
                <w:sz w:val="18"/>
                <w:szCs w:val="18"/>
              </w:rPr>
              <w:t>，数据管理平台。是把分散的多方数据进行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整合纳入统一的技术平台，并对这些数据进行标准化和细分，让用户</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可以把这些细分结果推向现有的互动营销环境里。</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网络文化经营许可证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在中华人民共和国境内从事经营性互联网文化活动，应申请设立经营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性互联网文化单位，获得网络文化经营许可证。</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增值电信业务经营许可证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利用公共网络基础设施提供的电信与信息服务的业务的许可证。</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信息网络传播视听节目许可证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从事信息网络传播视听节目业务的企业应取得《信息网络传播视听节</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目许可证》。由广电总局按照信息网络传播视听节目的业务类别、接</w:t>
            </w:r>
            <w:r>
              <w:rPr>
                <w:rFonts w:ascii="宋体" w:hAnsi="宋体" w:cs="宋体" w:eastAsia="宋体" w:hint="default"/>
                <w:sz w:val="18"/>
                <w:szCs w:val="18"/>
              </w:rPr>
              <w:t> 收终端、传输网络等项目分类核发。</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广播电视节目经营制作许可证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设立广播电视节目制作经营机构或从事广播电视节目制作经营活动 </w:t>
            </w:r>
            <w:r>
              <w:rPr>
                <w:rFonts w:ascii="宋体" w:hAnsi="宋体" w:cs="宋体" w:eastAsia="宋体" w:hint="default"/>
                <w:spacing w:val="-5"/>
                <w:sz w:val="18"/>
                <w:szCs w:val="18"/>
              </w:rPr>
              <w:t>应当取得《广播电视节目制作经营许可证》。</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79968pt;width:361.5pt;height:19.6pt;mso-position-horizontal-relative:page;mso-position-vertical-relative:page;z-index:-860080"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724" w:right="0"/>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深大通</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000038</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深大通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Capstone Industrial</w:t>
            </w:r>
            <w:r>
              <w:rPr>
                <w:rFonts w:ascii="Times New Roman"/>
                <w:spacing w:val="-8"/>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CIC</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郝亮</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深圳市南山区沙河街道恩平街华侨城东部工业区东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深圳市南山区科苑中路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号科兴科学园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http://www.chinadatong.com/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datongstock@163.com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李雪燕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吴文涛</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深圳市南山区科苑中路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号科兴科学园</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1002</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深圳市南山区科苑中路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号科兴科学园</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1002</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0755-26926508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0755-26926508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0755-26910599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0755-26910599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datongstock@163.com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datongstock@163.com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《上海证券报》和巨潮资讯网</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91440300618850293F</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深圳市南山区海德三道海岸城西座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805</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王甫荣、章归鸿</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广州市天河区珠江西路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号广 州国际金融中心主塔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20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刘亚勇、石峰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1,510,366,505.51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1,029,196,295.74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305,430,853.91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b/>
                <w:spacing w:val="-1"/>
                <w:sz w:val="18"/>
              </w:rPr>
              <w:t>357,930,132.37</w:t>
            </w:r>
            <w:r>
              <w:rPr>
                <w:rFonts w:ascii="Times New Roman"/>
                <w:spacing w:val="-1"/>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233,254,396.14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b/>
                <w:sz w:val="18"/>
              </w:rPr>
              <w:t>53.45%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5,933,910.65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b/>
                <w:spacing w:val="-1"/>
                <w:sz w:val="18"/>
              </w:rPr>
              <w:t>303,057,655.64</w:t>
            </w:r>
            <w:r>
              <w:rPr>
                <w:rFonts w:ascii="Times New Roman"/>
                <w:spacing w:val="-1"/>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211,976,342.92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b/>
                <w:sz w:val="18"/>
              </w:rPr>
              <w:t>42.97%</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7,596,902.38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-73,913,262.35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355,917,762.95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-120.77%</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70,114,725.73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0.6847</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31.34%</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0.0114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b/>
                <w:sz w:val="18"/>
              </w:rPr>
              <w:t>0.6847</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b/>
                <w:sz w:val="18"/>
              </w:rPr>
              <w:t>31.34%</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0.0114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6.85%</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0.04%</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5,771,928,314.43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6,393,623,559.44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744,777,535.46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b/>
                <w:spacing w:val="-1"/>
                <w:sz w:val="18"/>
              </w:rPr>
              <w:t>5,391,845,918.01</w:t>
            </w:r>
            <w:r>
              <w:rPr>
                <w:rFonts w:ascii="Times New Roman"/>
                <w:spacing w:val="-1"/>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5,067,173,833.17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b/>
                <w:sz w:val="18"/>
              </w:rPr>
              <w:t>6.41%</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115,765,546.38</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455,207,305.65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396,231,861.98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217,482,040.30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441,445,297.58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94,181,083.52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89,705,183.42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82,590,133.52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91,453,731.91</w:t>
            </w:r>
            <w:r>
              <w:rPr>
                <w:rFonts w:ascii="Times New Roman"/>
                <w:spacing w:val="-1"/>
                <w:sz w:val="18"/>
              </w:rPr>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90,566,736.06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79,904,787.27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72,747,392.24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59,838,740.07</w:t>
            </w:r>
            <w:r>
              <w:rPr>
                <w:rFonts w:ascii="Times New Roman"/>
                <w:spacing w:val="-1"/>
                <w:sz w:val="18"/>
              </w:rPr>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-2,859,952.87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-38,536,603.43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107,793,328.45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-140,310,034.50</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24,579,759.85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-324,256.67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9" w:right="0"/>
              <w:jc w:val="left"/>
              <w:rPr>
                <w:rFonts w:ascii="Times New Roman" w:hAnsi="Times New Roman" w:cs="Times New Roman" w:eastAsia="Times New Roman" w:hint="default"/>
                <w:sz w:val="18"/>
                <w:szCs w:val="18"/>
              </w:rPr>
            </w:pPr>
            <w:r>
              <w:rPr>
                <w:rFonts w:ascii="Times New Roman"/>
                <w:sz w:val="18"/>
              </w:rPr>
              <w:t>25,512.60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股权转让收益</w:t>
            </w: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1,694,083.90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2,644,168.83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代扣代缴个税手续 费、财政扶持资金。</w:t>
            </w:r>
          </w:p>
        </w:tc>
      </w:tr>
      <w:tr>
        <w:trPr>
          <w:trHeight w:val="67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130,100.12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435,857.78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位可辨认净资产公允价值产生的收益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29,128,946.09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-14,937.36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33,149,975.15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4,425,585.44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-2,487,219.73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461,572.29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10,024,891.24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-615,426.78</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183,903.58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9,028,386.07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-183,288.62</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54,872,476.73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21,278,053.22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-1,662,991.73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27" w:right="0"/>
        <w:jc w:val="left"/>
        <w:rPr>
          <w:b w:val="0"/>
          <w:bCs w:val="0"/>
        </w:rPr>
      </w:pPr>
      <w:bookmarkStart w:name="第三节公司业务概要" w:id="16"/>
      <w:bookmarkEnd w:id="16"/>
      <w:r>
        <w:rPr>
          <w:b w:val="0"/>
          <w:bCs w:val="0"/>
        </w:rPr>
      </w:r>
      <w:bookmarkStart w:name="_bookmark2" w:id="17"/>
      <w:bookmarkEnd w:id="17"/>
      <w:r>
        <w:rPr>
          <w:b w:val="0"/>
          <w:bCs w:val="0"/>
        </w:rPr>
      </w:r>
      <w:r>
        <w:rPr/>
        <w:t>第三节公司业务概要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16" w:lineRule="auto" w:before="25"/>
        <w:ind w:left="514" w:right="0"/>
        <w:jc w:val="left"/>
      </w:pPr>
      <w:r>
        <w:rPr/>
        <w:t>（一）报告期内公司从事的主要业务 </w:t>
      </w:r>
      <w:r>
        <w:rPr>
          <w:spacing w:val="-2"/>
        </w:rPr>
        <w:t>报告期公司全面剥离了房地产业务，全力聚集移动数字整合营销服务与线上线下新媒体业务运营，同时开始布局供应链</w:t>
      </w:r>
    </w:p>
    <w:p>
      <w:pPr>
        <w:pStyle w:val="BodyText"/>
        <w:spacing w:line="240" w:lineRule="auto" w:before="19"/>
        <w:ind w:left="154" w:right="0"/>
        <w:jc w:val="left"/>
      </w:pPr>
      <w:r>
        <w:rPr/>
        <w:t>管理与服务领域。具体业务如下：</w:t>
      </w:r>
    </w:p>
    <w:p>
      <w:pPr>
        <w:pStyle w:val="BodyText"/>
        <w:spacing w:line="307" w:lineRule="auto" w:before="76"/>
        <w:ind w:right="0" w:firstLine="360"/>
        <w:jc w:val="left"/>
      </w:pPr>
      <w:r>
        <w:rPr/>
        <w:t>（</w:t>
      </w:r>
      <w:r>
        <w:rPr>
          <w:rFonts w:ascii="Times New Roman" w:hAnsi="Times New Roman" w:cs="Times New Roman" w:eastAsia="Times New Roman" w:hint="default"/>
        </w:rPr>
        <w:t>1</w:t>
      </w:r>
      <w:r>
        <w:rPr/>
        <w:t>）线上广告一体化整合营销服务。公司的全资子公司冉十科技是一家中国领先的移动广告整合营销公司，是国家高 </w:t>
      </w:r>
      <w:r>
        <w:rPr>
          <w:spacing w:val="-2"/>
        </w:rPr>
        <w:t>新技术企业。冉十科技依托雄厚的技术实力、持续不断的产品创新、与强势媒体建立深度合作等优势成为移动广告领域的领</w:t>
      </w:r>
      <w:r>
        <w:rPr>
          <w:spacing w:val="-66"/>
        </w:rPr>
        <w:t> </w:t>
      </w:r>
      <w:r>
        <w:rPr>
          <w:spacing w:val="-66"/>
        </w:rPr>
      </w:r>
      <w:r>
        <w:rPr>
          <w:spacing w:val="-2"/>
        </w:rPr>
        <w:t>先者。以资源整合、技术整合、策略整合以及服务整合为客户量身定制移动端品牌跨界营销。冉十科技与多家优质媒体单位</w:t>
      </w:r>
      <w:r>
        <w:rPr>
          <w:spacing w:val="-66"/>
        </w:rPr>
        <w:t> </w:t>
      </w:r>
      <w:r>
        <w:rPr>
          <w:spacing w:val="-66"/>
        </w:rPr>
      </w:r>
      <w:r>
        <w:rPr/>
        <w:t>强强联合，成为唯一一家拥有</w:t>
      </w:r>
      <w:r>
        <w:rPr>
          <w:rFonts w:ascii="Times New Roman" w:hAnsi="Times New Roman" w:cs="Times New Roman" w:eastAsia="Times New Roman" w:hint="default"/>
        </w:rPr>
        <w:t>5000+APP</w:t>
      </w:r>
      <w:r>
        <w:rPr/>
        <w:t>和</w:t>
      </w:r>
      <w:r>
        <w:rPr>
          <w:rFonts w:ascii="Times New Roman" w:hAnsi="Times New Roman" w:cs="Times New Roman" w:eastAsia="Times New Roman" w:hint="default"/>
        </w:rPr>
        <w:t>1000+WAP</w:t>
      </w:r>
      <w:r>
        <w:rPr/>
        <w:t>优质媒体独家合作公司。拥有手机移动终端四大门户媒体（新浪、搜 狐、凤凰、</w:t>
      </w:r>
      <w:r>
        <w:rPr>
          <w:rFonts w:ascii="Times New Roman" w:hAnsi="Times New Roman" w:cs="Times New Roman" w:eastAsia="Times New Roman" w:hint="default"/>
        </w:rPr>
        <w:t>3G</w:t>
      </w:r>
      <w:r>
        <w:rPr/>
        <w:t>）及多家优质媒体资源（赶集、</w:t>
      </w:r>
      <w:r>
        <w:rPr>
          <w:rFonts w:ascii="Times New Roman" w:hAnsi="Times New Roman" w:cs="Times New Roman" w:eastAsia="Times New Roman" w:hint="default"/>
        </w:rPr>
        <w:t>58</w:t>
      </w:r>
      <w:r>
        <w:rPr/>
        <w:t>、环球、网易等），同时拥有包括太平洋游戏网在内的</w:t>
      </w:r>
      <w:r>
        <w:rPr>
          <w:rFonts w:ascii="Times New Roman" w:hAnsi="Times New Roman" w:cs="Times New Roman" w:eastAsia="Times New Roman" w:hint="default"/>
        </w:rPr>
        <w:t>200</w:t>
      </w:r>
      <w:r>
        <w:rPr/>
        <w:t>多个手游资源。</w:t>
      </w:r>
      <w:r>
        <w:rPr>
          <w:spacing w:val="-42"/>
        </w:rPr>
        <w:t> </w:t>
      </w:r>
      <w:r>
        <w:rPr/>
        <w:t>目前主要服务于汽车行业、快消行业、金融行业、电子商务、医疗保健等多个领域的客户。冉十科技凭借自主开发的至美</w:t>
      </w:r>
      <w:r>
        <w:rPr/>
        <w:t> </w:t>
      </w:r>
      <w:r>
        <w:rPr>
          <w:rFonts w:ascii="Times New Roman" w:hAnsi="Times New Roman" w:cs="Times New Roman" w:eastAsia="Times New Roman" w:hint="default"/>
        </w:rPr>
        <w:t>DSP</w:t>
      </w:r>
      <w:r>
        <w:rPr/>
        <w:t>系统，致力于为客户提供专业的营销解决方案，凭借其在广告基础架构及机器学习算法上多年累积的丰富经验，在互联 网广告投放技术、</w:t>
      </w:r>
      <w:r>
        <w:rPr>
          <w:rFonts w:ascii="Times New Roman" w:hAnsi="Times New Roman" w:cs="Times New Roman" w:eastAsia="Times New Roman" w:hint="default"/>
        </w:rPr>
        <w:t>DSP</w:t>
      </w:r>
      <w:r>
        <w:rPr/>
        <w:t>广告投放效果优化、广告目标受众数据挖掘技术等方面的持续创新，实现了定向人群精准投放，极大 提升了互联网广告的覆盖面、覆盖深度及有效性。</w:t>
      </w:r>
    </w:p>
    <w:p>
      <w:pPr>
        <w:pStyle w:val="BodyText"/>
        <w:spacing w:line="307" w:lineRule="auto" w:before="26"/>
        <w:ind w:right="1033" w:firstLine="360"/>
        <w:jc w:val="left"/>
      </w:pPr>
      <w:r>
        <w:rPr/>
        <w:t>（</w:t>
      </w:r>
      <w:r>
        <w:rPr>
          <w:rFonts w:ascii="Times New Roman" w:hAnsi="Times New Roman" w:cs="Times New Roman" w:eastAsia="Times New Roman" w:hint="default"/>
        </w:rPr>
        <w:t>2</w:t>
      </w:r>
      <w:r>
        <w:rPr/>
        <w:t>）综合性户外媒体联网联播服务。公司的全资子公司视科传媒是一家集创意策划、内容提供、产品运营、营销服务 于一体的</w:t>
      </w:r>
      <w:r>
        <w:rPr>
          <w:rFonts w:ascii="Times New Roman" w:hAnsi="Times New Roman" w:cs="Times New Roman" w:eastAsia="Times New Roman" w:hint="default"/>
        </w:rPr>
        <w:t>O2O</w:t>
      </w:r>
      <w:r>
        <w:rPr/>
        <w:t>新媒体公司。视科传媒以新媒体</w:t>
      </w:r>
      <w:r>
        <w:rPr>
          <w:rFonts w:ascii="Times New Roman" w:hAnsi="Times New Roman" w:cs="Times New Roman" w:eastAsia="Times New Roman" w:hint="default"/>
        </w:rPr>
        <w:t>O2O</w:t>
      </w:r>
      <w:r>
        <w:rPr/>
        <w:t>为产业主线，致力于创意策划、品牌推广、精准营销、互动营销、媒体投 </w:t>
      </w:r>
      <w:r>
        <w:rPr>
          <w:spacing w:val="-2"/>
        </w:rPr>
        <w:t>放、媒介运营、移动电商、数据分析、效果评估等九大板块的深度运营。拥有亚洲最大的户外</w:t>
      </w:r>
      <w:r>
        <w:rPr>
          <w:rFonts w:ascii="Times New Roman" w:hAnsi="Times New Roman" w:cs="Times New Roman" w:eastAsia="Times New Roman" w:hint="default"/>
          <w:spacing w:val="-2"/>
        </w:rPr>
        <w:t>LED</w:t>
      </w:r>
      <w:r>
        <w:rPr>
          <w:spacing w:val="-2"/>
        </w:rPr>
        <w:t>屏、众多公共自行车车亭</w:t>
      </w:r>
      <w:r>
        <w:rPr>
          <w:spacing w:val="-58"/>
        </w:rPr>
        <w:t> </w:t>
      </w:r>
      <w:r>
        <w:rPr>
          <w:spacing w:val="-58"/>
        </w:rPr>
      </w:r>
      <w:r>
        <w:rPr/>
        <w:t>广告媒体资源，广泛覆盖户外受众。城市视窗</w:t>
      </w:r>
      <w:r>
        <w:rPr>
          <w:rFonts w:ascii="Times New Roman" w:hAnsi="Times New Roman" w:cs="Times New Roman" w:eastAsia="Times New Roman" w:hint="default"/>
        </w:rPr>
        <w:t>LCD</w:t>
      </w:r>
      <w:r>
        <w:rPr/>
        <w:t>屏、</w:t>
      </w:r>
      <w:r>
        <w:rPr>
          <w:rFonts w:ascii="Times New Roman" w:hAnsi="Times New Roman" w:cs="Times New Roman" w:eastAsia="Times New Roman" w:hint="default"/>
        </w:rPr>
        <w:t>LED</w:t>
      </w:r>
      <w:r>
        <w:rPr/>
        <w:t>屏、裸眼</w:t>
      </w:r>
      <w:r>
        <w:rPr>
          <w:rFonts w:ascii="Times New Roman" w:hAnsi="Times New Roman" w:cs="Times New Roman" w:eastAsia="Times New Roman" w:hint="default"/>
        </w:rPr>
        <w:t>3D</w:t>
      </w:r>
      <w:r>
        <w:rPr/>
        <w:t>屏、自动售货机是视科传媒全力推出的生活消费圈 </w:t>
      </w:r>
      <w:r>
        <w:rPr>
          <w:spacing w:val="-2"/>
        </w:rPr>
        <w:t>新媒体项目，是面向中高端受众最精准有效的媒体形式之一。目前视科传媒公司在杭州拥有最多的终端媒体资源，是杭州最</w:t>
      </w:r>
      <w:r>
        <w:rPr>
          <w:spacing w:val="-66"/>
        </w:rPr>
        <w:t> </w:t>
      </w:r>
      <w:r>
        <w:rPr>
          <w:spacing w:val="-66"/>
        </w:rPr>
      </w:r>
      <w:r>
        <w:rPr/>
        <w:t>大的户外媒体资源运营商之一。在此基础上，报告期内，公司还在全案策划、媒介代理、会务活动等多个板块有了新布局，</w:t>
      </w:r>
      <w:r>
        <w:rPr>
          <w:spacing w:val="-85"/>
        </w:rPr>
        <w:t> </w:t>
      </w:r>
      <w:r>
        <w:rPr>
          <w:spacing w:val="-85"/>
        </w:rPr>
      </w:r>
      <w:r>
        <w:rPr/>
        <w:t>在行业生态中形成了从全案策划、媒介购买到广告发布、落地执行的产业闭环，在全案代理领域迈出了坚实的一步。</w:t>
      </w:r>
    </w:p>
    <w:p>
      <w:pPr>
        <w:pStyle w:val="BodyText"/>
        <w:spacing w:line="304" w:lineRule="auto" w:before="26"/>
        <w:ind w:right="1116" w:firstLine="360"/>
        <w:jc w:val="left"/>
      </w:pPr>
      <w:r>
        <w:rPr/>
        <w:t>（</w:t>
      </w:r>
      <w:r>
        <w:rPr>
          <w:rFonts w:ascii="Times New Roman" w:hAnsi="Times New Roman" w:cs="Times New Roman" w:eastAsia="Times New Roman" w:hint="default"/>
        </w:rPr>
        <w:t>3</w:t>
      </w:r>
      <w:r>
        <w:rPr/>
        <w:t>）智慧媒体网络平台服务。公司的全资子公司视科传媒，于</w:t>
      </w:r>
      <w:r>
        <w:rPr>
          <w:rFonts w:ascii="Times New Roman" w:hAnsi="Times New Roman" w:cs="Times New Roman" w:eastAsia="Times New Roman" w:hint="default"/>
        </w:rPr>
        <w:t>2015</w:t>
      </w:r>
      <w:r>
        <w:rPr/>
        <w:t>年成立杭州视赚网络技术有限公司，宣告正式进军 </w:t>
      </w:r>
      <w:r>
        <w:rPr>
          <w:spacing w:val="-2"/>
        </w:rPr>
        <w:t>移动新媒体产业。视赚网络已取得国家高新技术企业认证和国家</w:t>
      </w:r>
      <w:r>
        <w:rPr>
          <w:rFonts w:ascii="Times New Roman" w:hAnsi="Times New Roman" w:cs="Times New Roman" w:eastAsia="Times New Roman" w:hint="default"/>
          <w:spacing w:val="-2"/>
        </w:rPr>
        <w:t>“</w:t>
      </w:r>
      <w:r>
        <w:rPr>
          <w:spacing w:val="-2"/>
        </w:rPr>
        <w:t>双软</w:t>
      </w:r>
      <w:r>
        <w:rPr>
          <w:rFonts w:ascii="Times New Roman" w:hAnsi="Times New Roman" w:cs="Times New Roman" w:eastAsia="Times New Roman" w:hint="default"/>
          <w:spacing w:val="-2"/>
        </w:rPr>
        <w:t>”</w:t>
      </w:r>
      <w:r>
        <w:rPr>
          <w:spacing w:val="-2"/>
        </w:rPr>
        <w:t>企业认证。视赚网络通过视科户外</w:t>
      </w:r>
      <w:r>
        <w:rPr>
          <w:rFonts w:ascii="Times New Roman" w:hAnsi="Times New Roman" w:cs="Times New Roman" w:eastAsia="Times New Roman" w:hint="default"/>
          <w:spacing w:val="-2"/>
        </w:rPr>
        <w:t>LED</w:t>
      </w:r>
      <w:r>
        <w:rPr>
          <w:spacing w:val="-2"/>
        </w:rPr>
        <w:t>屏</w:t>
      </w:r>
      <w:r>
        <w:rPr>
          <w:rFonts w:ascii="Times New Roman" w:hAnsi="Times New Roman" w:cs="Times New Roman" w:eastAsia="Times New Roman" w:hint="default"/>
          <w:spacing w:val="-2"/>
        </w:rPr>
        <w:t>WIFI</w:t>
      </w:r>
      <w:r>
        <w:rPr>
          <w:spacing w:val="-2"/>
        </w:rPr>
        <w:t>将线上</w:t>
      </w:r>
      <w:r>
        <w:rPr>
          <w:spacing w:val="-60"/>
        </w:rPr>
        <w:t> </w:t>
      </w:r>
      <w:r>
        <w:rPr>
          <w:spacing w:val="-5"/>
        </w:rPr>
        <w:t>移动商城与线下用户联结起来，让每一个经过、看过视科媒体的人群都可能成为商家的消费者，运用最专业的客流分析系统、</w:t>
      </w:r>
      <w:r>
        <w:rPr>
          <w:spacing w:val="-79"/>
        </w:rPr>
        <w:t> </w:t>
      </w:r>
      <w:r>
        <w:rPr>
          <w:spacing w:val="-79"/>
        </w:rPr>
      </w:r>
      <w:r>
        <w:rPr>
          <w:spacing w:val="-2"/>
        </w:rPr>
        <w:t>最贴近的顾客营销互动系统，依据真实可靠的大数据分析为用户提供服务。依托自身技术与信息网络传播视听节目许可证等</w:t>
      </w:r>
      <w:r>
        <w:rPr>
          <w:spacing w:val="-64"/>
        </w:rPr>
        <w:t> </w:t>
      </w:r>
      <w:r>
        <w:rPr>
          <w:spacing w:val="-64"/>
        </w:rPr>
      </w:r>
      <w:r>
        <w:rPr/>
        <w:t>资源优势打造了视赚</w:t>
      </w:r>
      <w:r>
        <w:rPr>
          <w:rFonts w:ascii="Times New Roman" w:hAnsi="Times New Roman" w:cs="Times New Roman" w:eastAsia="Times New Roman" w:hint="default"/>
        </w:rPr>
        <w:t>TV</w:t>
      </w:r>
      <w:r>
        <w:rPr/>
        <w:t>、视赚</w:t>
      </w:r>
      <w:r>
        <w:rPr>
          <w:rFonts w:ascii="Times New Roman" w:hAnsi="Times New Roman" w:cs="Times New Roman" w:eastAsia="Times New Roman" w:hint="default"/>
        </w:rPr>
        <w:t>APP</w:t>
      </w:r>
      <w:r>
        <w:rPr/>
        <w:t>等产品，依靠多维传播、精准投放，在互联网广告方面与多个知名品牌形成合作。报告 期内，主要业务围绕视赚</w:t>
      </w:r>
      <w:r>
        <w:rPr>
          <w:rFonts w:ascii="Times New Roman" w:hAnsi="Times New Roman" w:cs="Times New Roman" w:eastAsia="Times New Roman" w:hint="default"/>
        </w:rPr>
        <w:t>TV</w:t>
      </w:r>
      <w:r>
        <w:rPr/>
        <w:t>和视赚积分商城展开，主要产品包括视赚</w:t>
      </w:r>
      <w:r>
        <w:rPr>
          <w:rFonts w:ascii="Times New Roman" w:hAnsi="Times New Roman" w:cs="Times New Roman" w:eastAsia="Times New Roman" w:hint="default"/>
        </w:rPr>
        <w:t>TVAPP</w:t>
      </w:r>
      <w:r>
        <w:rPr>
          <w:rFonts w:ascii="Times New Roman" w:hAnsi="Times New Roman" w:cs="Times New Roman" w:eastAsia="Times New Roman" w:hint="default"/>
          <w:spacing w:val="-2"/>
        </w:rPr>
        <w:t> </w:t>
      </w:r>
      <w:r>
        <w:rPr>
          <w:spacing w:val="-3"/>
        </w:rPr>
        <w:t>和视赚</w:t>
      </w:r>
      <w:r>
        <w:rPr>
          <w:rFonts w:ascii="Times New Roman" w:hAnsi="Times New Roman" w:cs="Times New Roman" w:eastAsia="Times New Roman" w:hint="default"/>
          <w:spacing w:val="-3"/>
        </w:rPr>
        <w:t>APP</w:t>
      </w:r>
      <w:r>
        <w:rPr>
          <w:spacing w:val="-3"/>
        </w:rPr>
        <w:t>。视赚</w:t>
      </w:r>
      <w:r>
        <w:rPr>
          <w:rFonts w:ascii="Times New Roman" w:hAnsi="Times New Roman" w:cs="Times New Roman" w:eastAsia="Times New Roman" w:hint="default"/>
          <w:spacing w:val="-3"/>
        </w:rPr>
        <w:t>TV</w:t>
      </w:r>
      <w:r>
        <w:rPr>
          <w:spacing w:val="-3"/>
        </w:rPr>
        <w:t>目前已开通竞技、消防、</w:t>
      </w:r>
      <w:r>
        <w:rPr/>
        <w:t> </w:t>
      </w:r>
      <w:r>
        <w:rPr>
          <w:spacing w:val="-4"/>
        </w:rPr>
        <w:t>教育、运动、旅游、健康、影视和娱乐</w:t>
      </w:r>
      <w:r>
        <w:rPr>
          <w:rFonts w:ascii="Times New Roman" w:hAnsi="Times New Roman" w:cs="Times New Roman" w:eastAsia="Times New Roman" w:hint="default"/>
          <w:spacing w:val="-4"/>
        </w:rPr>
        <w:t>8</w:t>
      </w:r>
      <w:r>
        <w:rPr>
          <w:spacing w:val="-4"/>
        </w:rPr>
        <w:t>个频道，视赚</w:t>
      </w:r>
      <w:r>
        <w:rPr>
          <w:rFonts w:ascii="Times New Roman" w:hAnsi="Times New Roman" w:cs="Times New Roman" w:eastAsia="Times New Roman" w:hint="default"/>
          <w:spacing w:val="-4"/>
        </w:rPr>
        <w:t>APP</w:t>
      </w:r>
      <w:r>
        <w:rPr>
          <w:spacing w:val="-4"/>
        </w:rPr>
        <w:t>由原有</w:t>
      </w:r>
      <w:r>
        <w:rPr>
          <w:rFonts w:ascii="Times New Roman" w:hAnsi="Times New Roman" w:cs="Times New Roman" w:eastAsia="Times New Roman" w:hint="default"/>
          <w:spacing w:val="-4"/>
        </w:rPr>
        <w:t>H5</w:t>
      </w:r>
      <w:r>
        <w:rPr>
          <w:spacing w:val="-4"/>
        </w:rPr>
        <w:t>广告形式转变为短视频</w:t>
      </w:r>
      <w:r>
        <w:rPr>
          <w:rFonts w:ascii="Times New Roman" w:hAnsi="Times New Roman" w:cs="Times New Roman" w:eastAsia="Times New Roman" w:hint="default"/>
          <w:spacing w:val="-4"/>
        </w:rPr>
        <w:t>+</w:t>
      </w:r>
      <w:r>
        <w:rPr>
          <w:spacing w:val="-4"/>
        </w:rPr>
        <w:t>瀑布流广告</w:t>
      </w:r>
      <w:r>
        <w:rPr>
          <w:rFonts w:ascii="Times New Roman" w:hAnsi="Times New Roman" w:cs="Times New Roman" w:eastAsia="Times New Roman" w:hint="default"/>
          <w:spacing w:val="-4"/>
        </w:rPr>
        <w:t>+</w:t>
      </w:r>
      <w:r>
        <w:rPr>
          <w:spacing w:val="-4"/>
        </w:rPr>
        <w:t>积分兑换商城</w:t>
      </w:r>
      <w:r>
        <w:rPr>
          <w:rFonts w:ascii="Times New Roman" w:hAnsi="Times New Roman" w:cs="Times New Roman" w:eastAsia="Times New Roman" w:hint="default"/>
          <w:spacing w:val="-4"/>
        </w:rPr>
        <w:t>APP</w:t>
      </w:r>
      <w:r>
        <w:rPr>
          <w:spacing w:val="-4"/>
        </w:rPr>
        <w:t>。</w:t>
      </w:r>
      <w:r>
        <w:rPr>
          <w:spacing w:val="-38"/>
        </w:rPr>
        <w:t> </w:t>
      </w:r>
      <w:r>
        <w:rPr/>
        <w:t>目前，视赚</w:t>
      </w:r>
      <w:r>
        <w:rPr>
          <w:rFonts w:ascii="Times New Roman" w:hAnsi="Times New Roman" w:cs="Times New Roman" w:eastAsia="Times New Roman" w:hint="default"/>
        </w:rPr>
        <w:t>TV</w:t>
      </w:r>
      <w:r>
        <w:rPr/>
        <w:t>技术服务、内容输出、传播合作、品牌广告等几大板块已日渐成熟，在未来的发展中将成为公司新的业绩支 撑点。</w:t>
      </w:r>
    </w:p>
    <w:p>
      <w:pPr>
        <w:pStyle w:val="BodyText"/>
        <w:spacing w:line="312" w:lineRule="auto" w:before="28"/>
        <w:ind w:left="154" w:right="1132" w:firstLine="360"/>
        <w:jc w:val="both"/>
      </w:pPr>
      <w:r>
        <w:rPr>
          <w:spacing w:val="-2"/>
        </w:rPr>
        <w:t>（</w:t>
      </w:r>
      <w:r>
        <w:rPr>
          <w:rFonts w:ascii="Times New Roman" w:hAnsi="Times New Roman" w:cs="Times New Roman" w:eastAsia="Times New Roman" w:hint="default"/>
          <w:spacing w:val="-2"/>
        </w:rPr>
        <w:t>4</w:t>
      </w:r>
      <w:r>
        <w:rPr>
          <w:spacing w:val="-2"/>
        </w:rPr>
        <w:t>）供应链管理与服务。公司于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月设立全资子公司深圳大通致远供应链管理有限公司，开始布局供应链管理及</w:t>
      </w:r>
      <w:r>
        <w:rPr/>
        <w:t> </w:t>
      </w:r>
      <w:r>
        <w:rPr>
          <w:spacing w:val="-2"/>
        </w:rPr>
        <w:t>服务领域。业务模式是为区域内具有强信用的核心企业提供供应链管理及服务。经营模式主要是将供应链上的相关企业作为</w:t>
      </w:r>
      <w:r>
        <w:rPr>
          <w:spacing w:val="-64"/>
        </w:rPr>
        <w:t> </w:t>
      </w:r>
      <w:r>
        <w:rPr>
          <w:spacing w:val="-64"/>
        </w:rPr>
      </w:r>
      <w:r>
        <w:rPr>
          <w:spacing w:val="-5"/>
        </w:rPr>
        <w:t>一个整体，根据交易中构成的链条关系和行业特点设定交易方案，促进物流和资金流的加速流转，实现商流、物流、资金流、</w:t>
      </w:r>
      <w:r>
        <w:rPr>
          <w:spacing w:val="-79"/>
        </w:rPr>
        <w:t> </w:t>
      </w:r>
      <w:r>
        <w:rPr>
          <w:spacing w:val="-79"/>
        </w:rPr>
      </w:r>
      <w:r>
        <w:rPr/>
        <w:t>信息流四流合一，提高相关各方的经营效率，从而实现多方共赢。</w:t>
      </w:r>
    </w:p>
    <w:p>
      <w:pPr>
        <w:pStyle w:val="BodyText"/>
        <w:spacing w:line="240" w:lineRule="auto" w:before="22"/>
        <w:ind w:left="514" w:right="0"/>
        <w:jc w:val="left"/>
      </w:pPr>
      <w:r>
        <w:rPr/>
        <w:t>（二）行业发展及所处行业地位</w:t>
      </w:r>
    </w:p>
    <w:p>
      <w:pPr>
        <w:pStyle w:val="BodyText"/>
        <w:spacing w:line="300" w:lineRule="auto" w:before="76"/>
        <w:ind w:left="514" w:right="0"/>
        <w:jc w:val="left"/>
      </w:pPr>
      <w:r>
        <w:rPr>
          <w:rFonts w:ascii="Times New Roman" w:hAnsi="Times New Roman" w:cs="Times New Roman" w:eastAsia="Times New Roman" w:hint="default"/>
        </w:rPr>
        <w:t>1.</w:t>
      </w:r>
      <w:r>
        <w:rPr/>
        <w:t>行业发展态势 </w:t>
      </w:r>
      <w:r>
        <w:rPr>
          <w:spacing w:val="-2"/>
        </w:rPr>
        <w:t>近年来，随着国家宏观经济的稳定发展，以及移动通信、互联网、社交媒体等新兴媒介的飞速发展，广告业进入了蓬勃</w:t>
      </w:r>
    </w:p>
    <w:p>
      <w:pPr>
        <w:pStyle w:val="BodyText"/>
        <w:spacing w:line="240" w:lineRule="auto" w:before="31"/>
        <w:ind w:left="154" w:right="0"/>
        <w:jc w:val="left"/>
      </w:pPr>
      <w:r>
        <w:rPr/>
        <w:t>发展时期。中国广告市场媒体目前已形成电视媒体、互联网媒体、生活圈媒体三大阵营格局。以央视为代表的电视媒体具有</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0"/>
        <w:jc w:val="left"/>
      </w:pPr>
      <w:r>
        <w:rPr>
          <w:spacing w:val="-2"/>
        </w:rPr>
        <w:t>覆盖率广和公信力强等优势，以</w:t>
      </w:r>
      <w:r>
        <w:rPr>
          <w:rFonts w:ascii="Times New Roman" w:hAnsi="Times New Roman" w:cs="Times New Roman" w:eastAsia="Times New Roman" w:hint="default"/>
          <w:spacing w:val="-2"/>
        </w:rPr>
        <w:t>BAT</w:t>
      </w:r>
      <w:r>
        <w:rPr>
          <w:spacing w:val="-2"/>
        </w:rPr>
        <w:t>为代表的互联网媒体体现出了高连接性和强互动性等特点，而以分众传媒、巴士在线等</w:t>
      </w:r>
      <w:r>
        <w:rPr>
          <w:spacing w:val="-64"/>
        </w:rPr>
        <w:t> </w:t>
      </w:r>
      <w:r>
        <w:rPr>
          <w:spacing w:val="-64"/>
        </w:rPr>
      </w:r>
      <w:r>
        <w:rPr/>
        <w:t>为代表的生活圈媒体展示出城市生活空间媒体的高到达和高匹配的品质。具体来说，具有以下几个特点：</w:t>
      </w:r>
    </w:p>
    <w:p>
      <w:pPr>
        <w:pStyle w:val="BodyText"/>
        <w:spacing w:line="316" w:lineRule="auto" w:before="31"/>
        <w:ind w:right="1131" w:firstLine="360"/>
        <w:jc w:val="both"/>
      </w:pPr>
      <w:r>
        <w:rPr>
          <w:spacing w:val="-2"/>
        </w:rPr>
        <w:t>一是精准化。随着多种新兴媒体技术及电子信息技术的快速发展和不断完善，技术革新推动广告行业内容、传播方式和</w:t>
      </w:r>
      <w:r>
        <w:rPr/>
        <w:t> </w:t>
      </w:r>
      <w:r>
        <w:rPr>
          <w:spacing w:val="-2"/>
        </w:rPr>
        <w:t>商业模式等随之迅猛发展，广告正在朝着精准化方向发展。一方面，随着信息化、大数据和云计算等先进技术的应用，未来</w:t>
      </w:r>
      <w:r>
        <w:rPr>
          <w:spacing w:val="-66"/>
        </w:rPr>
        <w:t> </w:t>
      </w:r>
      <w:r>
        <w:rPr>
          <w:spacing w:val="-66"/>
        </w:rPr>
      </w:r>
      <w:r>
        <w:rPr>
          <w:spacing w:val="-5"/>
        </w:rPr>
        <w:t>的广告策划、投放、监测和效果评估等都将以大数据为基础，通过对广告受众人群进行细分，实施精准广告营销；另一方面，</w:t>
      </w:r>
      <w:r>
        <w:rPr>
          <w:spacing w:val="-79"/>
        </w:rPr>
        <w:t> </w:t>
      </w:r>
      <w:r>
        <w:rPr>
          <w:spacing w:val="-79"/>
        </w:rPr>
      </w:r>
      <w:r>
        <w:rPr>
          <w:spacing w:val="-2"/>
        </w:rPr>
        <w:t>随着优质广告资源价格的不断提升，广告主投资成本压力逐步加大，精准的品牌定位、优秀的广告创意内容、精良的广告片</w:t>
      </w:r>
      <w:r>
        <w:rPr>
          <w:spacing w:val="-66"/>
        </w:rPr>
        <w:t> </w:t>
      </w:r>
      <w:r>
        <w:rPr>
          <w:spacing w:val="-66"/>
        </w:rPr>
      </w:r>
      <w:r>
        <w:rPr>
          <w:spacing w:val="-2"/>
        </w:rPr>
        <w:t>制作、科学的媒介传播策略等都直接决定广告主的广告投入回报率，能够为客户提供精准化创意策划、媒介传播策略和制作</w:t>
      </w:r>
      <w:r>
        <w:rPr>
          <w:spacing w:val="-65"/>
        </w:rPr>
        <w:t> </w:t>
      </w:r>
      <w:r>
        <w:rPr>
          <w:spacing w:val="-65"/>
        </w:rPr>
      </w:r>
      <w:r>
        <w:rPr/>
        <w:t>内容将显得尤为重要。</w:t>
      </w:r>
    </w:p>
    <w:p>
      <w:pPr>
        <w:pStyle w:val="BodyText"/>
        <w:spacing w:line="316" w:lineRule="auto" w:before="19"/>
        <w:ind w:right="1131" w:firstLine="360"/>
        <w:jc w:val="both"/>
      </w:pPr>
      <w:r>
        <w:rPr>
          <w:spacing w:val="-2"/>
        </w:rPr>
        <w:t>二是规模化。我国广告产业经过三十多年的快速发展，国内的广告公司在经营业态上已经出现了比较明显的分化，广告</w:t>
      </w:r>
      <w:r>
        <w:rPr/>
        <w:t> </w:t>
      </w:r>
      <w:r>
        <w:rPr>
          <w:spacing w:val="-2"/>
        </w:rPr>
        <w:t>产业正在朝着专业化和规模化方面发展，产业集中度逐步提升。此外，随着广告产业的不断成熟和竞争日益激烈，广告行业</w:t>
      </w:r>
      <w:r>
        <w:rPr>
          <w:spacing w:val="-66"/>
        </w:rPr>
        <w:t> </w:t>
      </w:r>
      <w:r>
        <w:rPr>
          <w:spacing w:val="-66"/>
        </w:rPr>
      </w:r>
      <w:r>
        <w:rPr>
          <w:spacing w:val="-2"/>
        </w:rPr>
        <w:t>集中度正不断提高，一些拥有资本和规模优势的公司不断扩张，国内实力雄厚的广告公司整合其他广告公司，形成具有本土</w:t>
      </w:r>
      <w:r>
        <w:rPr>
          <w:spacing w:val="-66"/>
        </w:rPr>
        <w:t> </w:t>
      </w:r>
      <w:r>
        <w:rPr>
          <w:spacing w:val="-66"/>
        </w:rPr>
      </w:r>
      <w:r>
        <w:rPr/>
        <w:t>特色、经营规模化的广告集团。</w:t>
      </w:r>
    </w:p>
    <w:p>
      <w:pPr>
        <w:pStyle w:val="BodyText"/>
        <w:spacing w:line="312" w:lineRule="auto" w:before="19"/>
        <w:ind w:right="1131" w:firstLine="360"/>
        <w:jc w:val="both"/>
      </w:pPr>
      <w:r>
        <w:rPr>
          <w:spacing w:val="-2"/>
        </w:rPr>
        <w:t>三是集约化。近年来，随着计算机技术、网络技术和多媒体技术的深入应用，不断催生以互联网、移动互联网和户外电</w:t>
      </w:r>
      <w:r>
        <w:rPr/>
        <w:t> </w:t>
      </w:r>
      <w:r>
        <w:rPr>
          <w:spacing w:val="-2"/>
        </w:rPr>
        <w:t>子媒体为代表的新兴媒体形式，以互联网广告为代表的新媒体广告获得快速增长，市场地位日趋提高，成为拉动全行业增长</w:t>
      </w:r>
      <w:r>
        <w:rPr>
          <w:spacing w:val="-66"/>
        </w:rPr>
        <w:t> </w:t>
      </w:r>
      <w:r>
        <w:rPr>
          <w:spacing w:val="-66"/>
        </w:rPr>
      </w:r>
      <w:r>
        <w:rPr>
          <w:spacing w:val="-2"/>
        </w:rPr>
        <w:t>的主要力量。新技术将利用电视媒体、平面媒体和互联网媒体之间的融合实现</w:t>
      </w:r>
      <w:r>
        <w:rPr>
          <w:rFonts w:ascii="Times New Roman" w:hAnsi="Times New Roman" w:cs="Times New Roman" w:eastAsia="Times New Roman" w:hint="default"/>
          <w:spacing w:val="-2"/>
        </w:rPr>
        <w:t>“</w:t>
      </w:r>
      <w:r>
        <w:rPr>
          <w:spacing w:val="-2"/>
        </w:rPr>
        <w:t>跨屏联动</w:t>
      </w:r>
      <w:r>
        <w:rPr>
          <w:rFonts w:ascii="Times New Roman" w:hAnsi="Times New Roman" w:cs="Times New Roman" w:eastAsia="Times New Roman" w:hint="default"/>
          <w:spacing w:val="-2"/>
        </w:rPr>
        <w:t>”</w:t>
      </w:r>
      <w:r>
        <w:rPr>
          <w:spacing w:val="-2"/>
        </w:rPr>
        <w:t>，使广告产业更加集约化，多种广</w:t>
      </w:r>
      <w:r>
        <w:rPr>
          <w:spacing w:val="-44"/>
        </w:rPr>
        <w:t> </w:t>
      </w:r>
      <w:r>
        <w:rPr>
          <w:spacing w:val="-44"/>
        </w:rPr>
      </w:r>
      <w:r>
        <w:rPr/>
        <w:t>告表现形式间的全面融合成为趋势。</w:t>
      </w:r>
    </w:p>
    <w:p>
      <w:pPr>
        <w:pStyle w:val="BodyText"/>
        <w:spacing w:line="300" w:lineRule="auto" w:before="22"/>
        <w:ind w:left="513" w:right="0" w:firstLine="2"/>
        <w:jc w:val="left"/>
      </w:pPr>
      <w:r>
        <w:rPr>
          <w:rFonts w:ascii="Times New Roman" w:hAnsi="Times New Roman" w:cs="Times New Roman" w:eastAsia="Times New Roman" w:hint="default"/>
        </w:rPr>
        <w:t>2.</w:t>
      </w:r>
      <w:r>
        <w:rPr/>
        <w:t>行业地位分析 </w:t>
      </w:r>
      <w:r>
        <w:rPr>
          <w:spacing w:val="-2"/>
        </w:rPr>
        <w:t>近年来，公司密切关注行业发展特点，全力聚集广告主业，认真分析注意力经济特点，坚持内涵式发展与外延式并购齐</w:t>
      </w:r>
    </w:p>
    <w:p>
      <w:pPr>
        <w:pStyle w:val="BodyText"/>
        <w:spacing w:line="316" w:lineRule="auto" w:before="31"/>
        <w:ind w:right="1033"/>
        <w:jc w:val="left"/>
      </w:pPr>
      <w:r>
        <w:rPr>
          <w:spacing w:val="-2"/>
        </w:rPr>
        <w:t>抓，坚持线上与线下广告业务并重，更加注重全产业链条上多方共赢，为客户提供品效融合一体化整合营销服务，不仅满足</w:t>
      </w:r>
      <w:r>
        <w:rPr>
          <w:spacing w:val="-66"/>
        </w:rPr>
        <w:t> </w:t>
      </w:r>
      <w:r>
        <w:rPr>
          <w:spacing w:val="-66"/>
        </w:rPr>
      </w:r>
      <w:r>
        <w:rPr/>
        <w:t>客户需求，而且创造和引领客户需求。力争通过公司的发展，以及对广告行业的深入理解，提升并挖掘我们在文化、理念、</w:t>
      </w:r>
      <w:r>
        <w:rPr>
          <w:spacing w:val="-85"/>
        </w:rPr>
        <w:t> </w:t>
      </w:r>
      <w:r>
        <w:rPr>
          <w:spacing w:val="-85"/>
        </w:rPr>
      </w:r>
      <w:r>
        <w:rPr>
          <w:spacing w:val="-2"/>
        </w:rPr>
        <w:t>技术等领域的集合力，努力实现用广告来改变和引领社会规范的目标。公司的两个全资子公司冉十科技和视科传媒，既有不</w:t>
      </w:r>
      <w:r>
        <w:rPr>
          <w:spacing w:val="-66"/>
        </w:rPr>
        <w:t> </w:t>
      </w:r>
      <w:r>
        <w:rPr>
          <w:spacing w:val="-66"/>
        </w:rPr>
      </w:r>
      <w:r>
        <w:rPr>
          <w:spacing w:val="-2"/>
        </w:rPr>
        <w:t>同定位，又有融合发展，冉十科技专注于提供线上广告营销服务，视科传媒则专注于户外媒体广告营销服务，同时两家公司</w:t>
      </w:r>
      <w:r>
        <w:rPr>
          <w:spacing w:val="-66"/>
        </w:rPr>
        <w:t> </w:t>
      </w:r>
      <w:r>
        <w:rPr>
          <w:spacing w:val="-66"/>
        </w:rPr>
      </w:r>
      <w:r>
        <w:rPr>
          <w:spacing w:val="-2"/>
        </w:rPr>
        <w:t>在客户资源、媒体资源、技术方案、数据信息等方面又高度共享，协同发展效应突出。近年来，两家公司深耕主业，密切关</w:t>
      </w:r>
      <w:r>
        <w:rPr>
          <w:spacing w:val="-72"/>
        </w:rPr>
        <w:t> </w:t>
      </w:r>
      <w:r>
        <w:rPr>
          <w:spacing w:val="-72"/>
        </w:rPr>
      </w:r>
      <w:r>
        <w:rPr>
          <w:spacing w:val="-2"/>
        </w:rPr>
        <w:t>注行业发展动态，运用大数据和云计算等新兴技术，在广告的精准化靶向推送方面取得新发展，同时更加注重传统媒体和新</w:t>
      </w:r>
      <w:r>
        <w:rPr>
          <w:spacing w:val="-66"/>
        </w:rPr>
        <w:t> </w:t>
      </w:r>
      <w:r>
        <w:rPr>
          <w:spacing w:val="-66"/>
        </w:rPr>
      </w:r>
      <w:r>
        <w:rPr>
          <w:spacing w:val="-2"/>
        </w:rPr>
        <w:t>兴媒体、线上媒体和户外媒体的融合，在广告的联网联屏投放、解决媒体资源闲置等方面迈出了坚实的步伐。目前，公司紧</w:t>
      </w:r>
      <w:r>
        <w:rPr>
          <w:spacing w:val="-66"/>
        </w:rPr>
        <w:t> </w:t>
      </w:r>
      <w:r>
        <w:rPr>
          <w:spacing w:val="-66"/>
        </w:rPr>
      </w:r>
      <w:r>
        <w:rPr>
          <w:spacing w:val="-2"/>
        </w:rPr>
        <w:t>跟行业发展步伐，市场占有率和市场份额不断提升。同时，公司在注重内涵式发展、不断提升核心竞争力的同时，始终关注</w:t>
      </w:r>
      <w:r>
        <w:rPr>
          <w:spacing w:val="-66"/>
        </w:rPr>
        <w:t> </w:t>
      </w:r>
      <w:r>
        <w:rPr>
          <w:spacing w:val="-66"/>
        </w:rPr>
      </w:r>
      <w:r>
        <w:rPr/>
        <w:t>广告产业的专业化和规模化发展特点，定位于聚集主业、做大做强的目标，一直没有停止外延式并购的步伐。</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本报告期转让联营企业股权投资份额致使长期股权投资减少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23,614.40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本报告期剥离房地产子公司致使存货减少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59,588.54 </w:t>
            </w:r>
            <w:r>
              <w:rPr>
                <w:rFonts w:ascii="宋体" w:hAnsi="宋体" w:cs="宋体" w:eastAsia="宋体" w:hint="default"/>
                <w:sz w:val="18"/>
                <w:szCs w:val="18"/>
              </w:rPr>
              <w:t>万元。</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309" w:lineRule="auto" w:before="28"/>
        <w:ind w:right="1033" w:firstLine="362"/>
        <w:jc w:val="left"/>
      </w:pPr>
      <w:r>
        <w:rPr>
          <w:rFonts w:ascii="Times New Roman" w:hAnsi="Times New Roman" w:cs="Times New Roman" w:eastAsia="Times New Roman" w:hint="default"/>
          <w:spacing w:val="-4"/>
        </w:rPr>
        <w:t>1.</w:t>
      </w:r>
      <w:r>
        <w:rPr>
          <w:spacing w:val="-4"/>
        </w:rPr>
        <w:t>丰富的媒体和客户资源。冉十科技目前已聚合优质媒体和渠道</w:t>
      </w:r>
      <w:r>
        <w:rPr>
          <w:rFonts w:ascii="Times New Roman" w:hAnsi="Times New Roman" w:cs="Times New Roman" w:eastAsia="Times New Roman" w:hint="default"/>
          <w:spacing w:val="-4"/>
        </w:rPr>
        <w:t>2.3</w:t>
      </w:r>
      <w:r>
        <w:rPr>
          <w:spacing w:val="-4"/>
        </w:rPr>
        <w:t>万</w:t>
      </w:r>
      <w:r>
        <w:rPr>
          <w:rFonts w:ascii="Times New Roman" w:hAnsi="Times New Roman" w:cs="Times New Roman" w:eastAsia="Times New Roman" w:hint="default"/>
          <w:spacing w:val="-4"/>
        </w:rPr>
        <w:t>+</w:t>
      </w:r>
      <w:r>
        <w:rPr>
          <w:spacing w:val="-4"/>
        </w:rPr>
        <w:t>，拥有腾讯、小米、今日头条、滴滴、嘀嗒拼车、</w:t>
      </w:r>
      <w:r>
        <w:rPr/>
        <w:t> </w:t>
      </w:r>
      <w:r>
        <w:rPr>
          <w:spacing w:val="-3"/>
        </w:rPr>
        <w:t>墨迹天气、大众点评等顶级广告资源，日曝光</w:t>
      </w:r>
      <w:r>
        <w:rPr>
          <w:rFonts w:ascii="Times New Roman" w:hAnsi="Times New Roman" w:cs="Times New Roman" w:eastAsia="Times New Roman" w:hint="default"/>
          <w:spacing w:val="-3"/>
        </w:rPr>
        <w:t>10</w:t>
      </w:r>
      <w:r>
        <w:rPr>
          <w:spacing w:val="-3"/>
        </w:rPr>
        <w:t>亿</w:t>
      </w:r>
      <w:r>
        <w:rPr>
          <w:rFonts w:ascii="Times New Roman" w:hAnsi="Times New Roman" w:cs="Times New Roman" w:eastAsia="Times New Roman" w:hint="default"/>
          <w:spacing w:val="-3"/>
        </w:rPr>
        <w:t>+</w:t>
      </w:r>
      <w:r>
        <w:rPr>
          <w:spacing w:val="-3"/>
        </w:rPr>
        <w:t>，全面覆盖手机终端用户</w:t>
      </w:r>
      <w:r>
        <w:rPr>
          <w:rFonts w:ascii="Times New Roman" w:hAnsi="Times New Roman" w:cs="Times New Roman" w:eastAsia="Times New Roman" w:hint="default"/>
          <w:spacing w:val="-3"/>
        </w:rPr>
        <w:t>3.8</w:t>
      </w:r>
      <w:r>
        <w:rPr>
          <w:spacing w:val="-3"/>
        </w:rPr>
        <w:t>亿个，同时拥有包括太平洋游戏网在内的</w:t>
      </w:r>
      <w:r>
        <w:rPr>
          <w:rFonts w:ascii="Times New Roman" w:hAnsi="Times New Roman" w:cs="Times New Roman" w:eastAsia="Times New Roman" w:hint="default"/>
          <w:spacing w:val="-3"/>
        </w:rPr>
        <w:t>200</w:t>
      </w:r>
      <w:r>
        <w:rPr>
          <w:rFonts w:ascii="Times New Roman" w:hAnsi="Times New Roman" w:cs="Times New Roman" w:eastAsia="Times New Roman" w:hint="default"/>
          <w:spacing w:val="-8"/>
        </w:rPr>
        <w:t> </w:t>
      </w:r>
      <w:r>
        <w:rPr>
          <w:spacing w:val="-2"/>
        </w:rPr>
        <w:t>多个手游资源。公司通过缜密的品牌分析，结合广告创意、数据优化和人群定向技术，制定最优的品牌全案策略，目前已拥</w:t>
      </w:r>
      <w:r>
        <w:rPr>
          <w:spacing w:val="-66"/>
        </w:rPr>
        <w:t> </w:t>
      </w:r>
      <w:r>
        <w:rPr>
          <w:spacing w:val="-66"/>
        </w:rPr>
      </w:r>
      <w:r>
        <w:rPr/>
        <w:t>有</w:t>
      </w:r>
      <w:r>
        <w:rPr>
          <w:rFonts w:ascii="Times New Roman" w:hAnsi="Times New Roman" w:cs="Times New Roman" w:eastAsia="Times New Roman" w:hint="default"/>
        </w:rPr>
        <w:t>6000+</w:t>
      </w:r>
      <w:r>
        <w:rPr/>
        <w:t>品牌和互联网企业服务经验，包含全球</w:t>
      </w:r>
      <w:r>
        <w:rPr>
          <w:rFonts w:ascii="Times New Roman" w:hAnsi="Times New Roman" w:cs="Times New Roman" w:eastAsia="Times New Roman" w:hint="default"/>
        </w:rPr>
        <w:t>500</w:t>
      </w:r>
      <w:r>
        <w:rPr/>
        <w:t>强企业、跨境电商巨头、国际旅游品牌、明星手游、互联网新锐企业等 </w:t>
      </w:r>
      <w:r>
        <w:rPr>
          <w:spacing w:val="-2"/>
        </w:rPr>
        <w:t>领域客户，也与多家跨国公司、大型国有企业、相关中小企业及政府机关建立密切的合作关系。公司旗下的太平洋游戏网是</w:t>
      </w:r>
      <w:r>
        <w:rPr>
          <w:spacing w:val="-66"/>
        </w:rPr>
        <w:t> </w:t>
      </w:r>
      <w:r>
        <w:rPr>
          <w:spacing w:val="-66"/>
        </w:rPr>
      </w:r>
      <w:r>
        <w:rPr>
          <w:spacing w:val="-2"/>
        </w:rPr>
        <w:t>一个覆盖网游、页游、手游、单机等全类型游戏的服务性资讯网站。太平洋游戏网在竞技游戏专区建设、竞技赛事报道和组</w:t>
      </w:r>
      <w:r>
        <w:rPr>
          <w:spacing w:val="-66"/>
        </w:rPr>
        <w:t> </w:t>
      </w:r>
      <w:r>
        <w:rPr>
          <w:spacing w:val="-66"/>
        </w:rPr>
      </w:r>
      <w:r>
        <w:rPr>
          <w:spacing w:val="-2"/>
        </w:rPr>
        <w:t>织、竞技平台搭建等领域深耕多年，热门游戏专区为玩家提供方便直观的游戏攻略服务和玩家互动交流。视科传媒则拥有众</w:t>
      </w:r>
      <w:r>
        <w:rPr>
          <w:spacing w:val="-66"/>
        </w:rPr>
        <w:t> </w:t>
      </w:r>
      <w:r>
        <w:rPr>
          <w:spacing w:val="-66"/>
        </w:rPr>
      </w:r>
      <w:r>
        <w:rPr/>
        <w:t>多的优质户外媒体资源，目前拥有户外高清</w:t>
      </w:r>
      <w:r>
        <w:rPr>
          <w:rFonts w:ascii="Times New Roman" w:hAnsi="Times New Roman" w:cs="Times New Roman" w:eastAsia="Times New Roman" w:hint="default"/>
        </w:rPr>
        <w:t>LED</w:t>
      </w:r>
      <w:r>
        <w:rPr/>
        <w:t>屏</w:t>
      </w:r>
      <w:r>
        <w:rPr>
          <w:rFonts w:ascii="Times New Roman" w:hAnsi="Times New Roman" w:cs="Times New Roman" w:eastAsia="Times New Roman" w:hint="default"/>
        </w:rPr>
        <w:t>34</w:t>
      </w:r>
      <w:r>
        <w:rPr/>
        <w:t>块、</w:t>
      </w:r>
      <w:r>
        <w:rPr>
          <w:rFonts w:ascii="Times New Roman" w:hAnsi="Times New Roman" w:cs="Times New Roman" w:eastAsia="Times New Roman" w:hint="default"/>
        </w:rPr>
        <w:t>LCD</w:t>
      </w:r>
      <w:r>
        <w:rPr/>
        <w:t>屏（裸眼</w:t>
      </w:r>
      <w:r>
        <w:rPr>
          <w:rFonts w:ascii="Times New Roman" w:hAnsi="Times New Roman" w:cs="Times New Roman" w:eastAsia="Times New Roman" w:hint="default"/>
        </w:rPr>
        <w:t>3D</w:t>
      </w:r>
      <w:r>
        <w:rPr/>
        <w:t>）近</w:t>
      </w:r>
      <w:r>
        <w:rPr>
          <w:rFonts w:ascii="Times New Roman" w:hAnsi="Times New Roman" w:cs="Times New Roman" w:eastAsia="Times New Roman" w:hint="default"/>
        </w:rPr>
        <w:t>1000</w:t>
      </w:r>
      <w:r>
        <w:rPr/>
        <w:t>块、公共自行车亭点位近</w:t>
      </w:r>
      <w:r>
        <w:rPr>
          <w:rFonts w:ascii="Times New Roman" w:hAnsi="Times New Roman" w:cs="Times New Roman" w:eastAsia="Times New Roman" w:hint="default"/>
        </w:rPr>
        <w:t>3000</w:t>
      </w:r>
      <w:r>
        <w:rPr/>
        <w:t>处、公交 站厅点位近</w:t>
      </w:r>
      <w:r>
        <w:rPr>
          <w:rFonts w:ascii="Times New Roman" w:hAnsi="Times New Roman" w:cs="Times New Roman" w:eastAsia="Times New Roman" w:hint="default"/>
        </w:rPr>
        <w:t>700</w:t>
      </w:r>
      <w:r>
        <w:rPr/>
        <w:t>处，实现了全媒体覆盖。目前超大户外高清</w:t>
      </w:r>
      <w:r>
        <w:rPr>
          <w:rFonts w:ascii="Times New Roman" w:hAnsi="Times New Roman" w:cs="Times New Roman" w:eastAsia="Times New Roman" w:hint="default"/>
        </w:rPr>
        <w:t>LED</w:t>
      </w:r>
      <w:r>
        <w:rPr/>
        <w:t>巨屏</w:t>
      </w:r>
      <w:r>
        <w:rPr>
          <w:rFonts w:ascii="Times New Roman" w:hAnsi="Times New Roman" w:cs="Times New Roman" w:eastAsia="Times New Roman" w:hint="default"/>
        </w:rPr>
        <w:t>“</w:t>
      </w:r>
      <w:r>
        <w:rPr/>
        <w:t>西湖天幕</w:t>
      </w:r>
      <w:r>
        <w:rPr>
          <w:rFonts w:ascii="Times New Roman" w:hAnsi="Times New Roman" w:cs="Times New Roman" w:eastAsia="Times New Roman" w:hint="default"/>
        </w:rPr>
        <w:t>”</w:t>
      </w:r>
      <w:r>
        <w:rPr/>
        <w:t>正式商业化运营。目前视科传媒已成为杭州 最大的户外媒体资源运营商之一，在户外媒体领域包括媒体资源总量、营业收入、上下游产业配套等方面均处于浙江前列、</w:t>
      </w:r>
      <w:r>
        <w:rPr>
          <w:spacing w:val="-85"/>
        </w:rPr>
        <w:t> </w:t>
      </w:r>
      <w:r>
        <w:rPr>
          <w:spacing w:val="-85"/>
        </w:rPr>
      </w:r>
      <w:r>
        <w:rPr/>
        <w:t>全国领先的行业地位，与全国各大知名品牌均有长期合作。</w:t>
      </w:r>
    </w:p>
    <w:p>
      <w:pPr>
        <w:pStyle w:val="BodyText"/>
        <w:spacing w:line="300" w:lineRule="auto" w:before="24"/>
        <w:ind w:left="154" w:right="1117" w:firstLine="362"/>
        <w:jc w:val="left"/>
      </w:pPr>
      <w:r>
        <w:rPr>
          <w:rFonts w:ascii="Times New Roman" w:hAnsi="Times New Roman" w:cs="Times New Roman" w:eastAsia="Times New Roman" w:hint="default"/>
          <w:spacing w:val="-1"/>
        </w:rPr>
        <w:t>2.</w:t>
      </w:r>
      <w:r>
        <w:rPr>
          <w:spacing w:val="-1"/>
        </w:rPr>
        <w:t>出色的技术研发能力。冉十科技拥有成熟的技术服务团队，在移动广告策划、方案设计以及执行阶段，均可保证客户</w:t>
      </w:r>
      <w:r>
        <w:rPr/>
        <w:t> </w:t>
      </w:r>
      <w:r>
        <w:rPr>
          <w:spacing w:val="-1"/>
        </w:rPr>
        <w:t>投放效果的最优化。公司旗下的至美</w:t>
      </w:r>
      <w:r>
        <w:rPr>
          <w:rFonts w:ascii="Times New Roman" w:hAnsi="Times New Roman" w:cs="Times New Roman" w:eastAsia="Times New Roman" w:hint="default"/>
          <w:spacing w:val="-1"/>
        </w:rPr>
        <w:t>DSP</w:t>
      </w:r>
      <w:r>
        <w:rPr>
          <w:spacing w:val="-1"/>
        </w:rPr>
        <w:t>场景营销广告平台是行业领先的专业化程序化购买平台，致力于为客户提供专业的</w:t>
      </w:r>
      <w:r>
        <w:rPr/>
        <w:t> </w:t>
      </w:r>
      <w:r>
        <w:rPr>
          <w:spacing w:val="-2"/>
        </w:rPr>
        <w:t>营销解决方案。在互联网广告投放技术、</w:t>
      </w:r>
      <w:r>
        <w:rPr>
          <w:rFonts w:ascii="Times New Roman" w:hAnsi="Times New Roman" w:cs="Times New Roman" w:eastAsia="Times New Roman" w:hint="default"/>
          <w:spacing w:val="-2"/>
        </w:rPr>
        <w:t>DSP</w:t>
      </w:r>
      <w:r>
        <w:rPr>
          <w:spacing w:val="-2"/>
        </w:rPr>
        <w:t>广告投放效果优化、广告目标受众数据挖掘技术等方面均不断创新。视科传媒</w:t>
      </w:r>
      <w:r>
        <w:rPr>
          <w:spacing w:val="-38"/>
        </w:rPr>
        <w:t> </w:t>
      </w:r>
      <w:r>
        <w:rPr>
          <w:spacing w:val="-38"/>
        </w:rPr>
      </w:r>
      <w:r>
        <w:rPr/>
        <w:t>一直致力于行业技术研发，已引进了裸眼</w:t>
      </w:r>
      <w:r>
        <w:rPr>
          <w:rFonts w:ascii="Times New Roman" w:hAnsi="Times New Roman" w:cs="Times New Roman" w:eastAsia="Times New Roman" w:hint="default"/>
        </w:rPr>
        <w:t>3D</w:t>
      </w:r>
      <w:r>
        <w:rPr/>
        <w:t>、三维码、</w:t>
      </w:r>
      <w:r>
        <w:rPr>
          <w:rFonts w:ascii="Times New Roman" w:hAnsi="Times New Roman" w:cs="Times New Roman" w:eastAsia="Times New Roman" w:hint="default"/>
        </w:rPr>
        <w:t>RTB</w:t>
      </w:r>
      <w:r>
        <w:rPr/>
        <w:t>优化算法等一系列专利技术，在互联网广告板块，自主研发搭 </w:t>
      </w:r>
      <w:r>
        <w:rPr>
          <w:spacing w:val="-2"/>
        </w:rPr>
        <w:t>建</w:t>
      </w:r>
      <w:r>
        <w:rPr>
          <w:rFonts w:ascii="Times New Roman" w:hAnsi="Times New Roman" w:cs="Times New Roman" w:eastAsia="Times New Roman" w:hint="default"/>
          <w:spacing w:val="-2"/>
        </w:rPr>
        <w:t>DMP</w:t>
      </w:r>
      <w:r>
        <w:rPr>
          <w:spacing w:val="-2"/>
        </w:rPr>
        <w:t>大数据库，通过技术革新不断提升公司的行业竞争力。视赚网络还自主研发了视赚广告、视赚商城、视赚</w:t>
      </w:r>
      <w:r>
        <w:rPr>
          <w:rFonts w:ascii="Times New Roman" w:hAnsi="Times New Roman" w:cs="Times New Roman" w:eastAsia="Times New Roman" w:hint="default"/>
          <w:spacing w:val="-2"/>
        </w:rPr>
        <w:t>APP</w:t>
      </w:r>
      <w:r>
        <w:rPr>
          <w:spacing w:val="-2"/>
        </w:rPr>
        <w:t>、视赚</w:t>
      </w:r>
      <w:r>
        <w:rPr>
          <w:spacing w:val="-69"/>
        </w:rPr>
        <w:t> </w:t>
      </w:r>
      <w:r>
        <w:rPr>
          <w:spacing w:val="-69"/>
        </w:rPr>
      </w:r>
      <w:r>
        <w:rPr>
          <w:rFonts w:ascii="Times New Roman" w:hAnsi="Times New Roman" w:cs="Times New Roman" w:eastAsia="Times New Roman" w:hint="default"/>
        </w:rPr>
        <w:t>TV</w:t>
      </w:r>
      <w:r>
        <w:rPr/>
        <w:t>等一系列产品、应用，为提升客户体验奠定了坚实基础。</w:t>
      </w:r>
    </w:p>
    <w:p>
      <w:pPr>
        <w:pStyle w:val="BodyText"/>
        <w:spacing w:line="312" w:lineRule="auto" w:before="13"/>
        <w:ind w:right="1131" w:firstLine="362"/>
        <w:jc w:val="both"/>
      </w:pPr>
      <w:r>
        <w:rPr>
          <w:rFonts w:ascii="Times New Roman" w:hAnsi="Times New Roman" w:cs="Times New Roman" w:eastAsia="Times New Roman" w:hint="default"/>
          <w:spacing w:val="-1"/>
        </w:rPr>
        <w:t>3.</w:t>
      </w:r>
      <w:r>
        <w:rPr>
          <w:spacing w:val="-1"/>
        </w:rPr>
        <w:t>突出的资源整合能力。冉十科技凭借整案策划、媒介资源、技术制作与项目运营维护等自身综合优势，与中国农业银</w:t>
      </w:r>
      <w:r>
        <w:rPr/>
        <w:t> </w:t>
      </w:r>
      <w:r>
        <w:rPr>
          <w:spacing w:val="-2"/>
        </w:rPr>
        <w:t>行、中国民生银行等机构建立了良好合作关系，并利用既有平台资源和团队项目经验，为银行和广告主客户策划跨界营销合</w:t>
      </w:r>
      <w:r>
        <w:rPr>
          <w:spacing w:val="-66"/>
        </w:rPr>
        <w:t> </w:t>
      </w:r>
      <w:r>
        <w:rPr>
          <w:spacing w:val="-66"/>
        </w:rPr>
      </w:r>
      <w:r>
        <w:rPr>
          <w:spacing w:val="-2"/>
        </w:rPr>
        <w:t>作方案，发挥各自资源优势，提升双方客户体验和市场宣传效果，目前已成为中国农业银行指定的技术服务提供商。视科传</w:t>
      </w:r>
      <w:r>
        <w:rPr>
          <w:spacing w:val="-66"/>
        </w:rPr>
        <w:t> </w:t>
      </w:r>
      <w:r>
        <w:rPr>
          <w:spacing w:val="-66"/>
        </w:rPr>
      </w:r>
      <w:r>
        <w:rPr>
          <w:spacing w:val="-2"/>
        </w:rPr>
        <w:t>媒通过多年的媒体资源整合布局，打通了创意策划、品牌推广、精准营销、互动营销、媒体投放、媒介运营、移动电商、数</w:t>
      </w:r>
      <w:r>
        <w:rPr>
          <w:spacing w:val="-66"/>
        </w:rPr>
        <w:t> </w:t>
      </w:r>
      <w:r>
        <w:rPr>
          <w:spacing w:val="-66"/>
        </w:rPr>
      </w:r>
      <w:r>
        <w:rPr>
          <w:spacing w:val="-2"/>
        </w:rPr>
        <w:t>据分析、效果评估这一完整的产业生态链，有效发挥资源整合的优势，降低了运营成本，提高了利润率水平。视赚网络则通</w:t>
      </w:r>
      <w:r>
        <w:rPr>
          <w:spacing w:val="-66"/>
        </w:rPr>
        <w:t> </w:t>
      </w:r>
      <w:r>
        <w:rPr>
          <w:spacing w:val="-66"/>
        </w:rPr>
      </w:r>
      <w:r>
        <w:rPr>
          <w:spacing w:val="-2"/>
        </w:rPr>
        <w:t>过分享经济的运营模式，依托公司的资源优势和技术实力，整合全国传统媒体资源和新媒体资源以及具有媒体属性的智能终</w:t>
      </w:r>
      <w:r>
        <w:rPr>
          <w:spacing w:val="-64"/>
        </w:rPr>
        <w:t> </w:t>
      </w:r>
      <w:r>
        <w:rPr>
          <w:spacing w:val="-64"/>
        </w:rPr>
      </w:r>
      <w:r>
        <w:rPr>
          <w:spacing w:val="-2"/>
        </w:rPr>
        <w:t>端资源，努力打造媒体行业的</w:t>
      </w:r>
      <w:r>
        <w:rPr>
          <w:rFonts w:ascii="Times New Roman" w:hAnsi="Times New Roman" w:cs="Times New Roman" w:eastAsia="Times New Roman" w:hint="default"/>
          <w:spacing w:val="-2"/>
        </w:rPr>
        <w:t>“</w:t>
      </w:r>
      <w:r>
        <w:rPr>
          <w:spacing w:val="-2"/>
        </w:rPr>
        <w:t>滴滴</w:t>
      </w:r>
      <w:r>
        <w:rPr>
          <w:rFonts w:ascii="Times New Roman" w:hAnsi="Times New Roman" w:cs="Times New Roman" w:eastAsia="Times New Roman" w:hint="default"/>
          <w:spacing w:val="-2"/>
        </w:rPr>
        <w:t>”</w:t>
      </w:r>
      <w:r>
        <w:rPr>
          <w:spacing w:val="-2"/>
        </w:rPr>
        <w:t>，正逐步建设成为以大数据、云计算、人工智能为基础的集互动媒体、精准营销、视频</w:t>
      </w:r>
      <w:r>
        <w:rPr>
          <w:spacing w:val="-45"/>
        </w:rPr>
        <w:t> </w:t>
      </w:r>
      <w:r>
        <w:rPr>
          <w:spacing w:val="-45"/>
        </w:rPr>
      </w:r>
      <w:r>
        <w:rPr/>
        <w:t>内容、积分商城等于一体的智慧媒体生态，目前整合的媒体资源刊例价值约</w:t>
      </w:r>
      <w:r>
        <w:rPr>
          <w:rFonts w:ascii="Times New Roman" w:hAnsi="Times New Roman" w:cs="Times New Roman" w:eastAsia="Times New Roman" w:hint="default"/>
        </w:rPr>
        <w:t>70</w:t>
      </w:r>
      <w:r>
        <w:rPr/>
        <w:t>亿元，覆盖用户规模达到</w:t>
      </w:r>
      <w:r>
        <w:rPr>
          <w:rFonts w:ascii="Times New Roman" w:hAnsi="Times New Roman" w:cs="Times New Roman" w:eastAsia="Times New Roman" w:hint="default"/>
        </w:rPr>
        <w:t>4</w:t>
      </w:r>
      <w:r>
        <w:rPr/>
        <w:t>亿人。</w:t>
      </w:r>
    </w:p>
    <w:p>
      <w:pPr>
        <w:pStyle w:val="BodyText"/>
        <w:spacing w:line="304" w:lineRule="auto" w:before="3"/>
        <w:ind w:right="1113" w:firstLine="362"/>
        <w:jc w:val="left"/>
      </w:pPr>
      <w:r>
        <w:rPr>
          <w:rFonts w:ascii="Times New Roman" w:hAnsi="Times New Roman" w:cs="Times New Roman" w:eastAsia="Times New Roman" w:hint="default"/>
        </w:rPr>
        <w:t>4.</w:t>
      </w:r>
      <w:r>
        <w:rPr/>
        <w:t>丰富的品牌和资质优势。继</w:t>
      </w:r>
      <w:r>
        <w:rPr>
          <w:rFonts w:ascii="Times New Roman" w:hAnsi="Times New Roman" w:cs="Times New Roman" w:eastAsia="Times New Roman" w:hint="default"/>
        </w:rPr>
        <w:t>2016</w:t>
      </w:r>
      <w:r>
        <w:rPr/>
        <w:t>年视科传媒被</w:t>
      </w:r>
      <w:r>
        <w:rPr>
          <w:rFonts w:ascii="Times New Roman" w:hAnsi="Times New Roman" w:cs="Times New Roman" w:eastAsia="Times New Roman" w:hint="default"/>
        </w:rPr>
        <w:t>G20</w:t>
      </w:r>
      <w:r>
        <w:rPr/>
        <w:t>国际峰会杭州市筹备工作领导小组授予</w:t>
      </w:r>
      <w:r>
        <w:rPr>
          <w:rFonts w:ascii="Times New Roman" w:hAnsi="Times New Roman" w:cs="Times New Roman" w:eastAsia="Times New Roman" w:hint="default"/>
        </w:rPr>
        <w:t>“G20</w:t>
      </w:r>
      <w:r>
        <w:rPr/>
        <w:t>杭州峰会赞助商</w:t>
      </w:r>
      <w:r>
        <w:rPr>
          <w:rFonts w:ascii="Times New Roman" w:hAnsi="Times New Roman" w:cs="Times New Roman" w:eastAsia="Times New Roman" w:hint="default"/>
        </w:rPr>
        <w:t>”</w:t>
      </w:r>
      <w:r>
        <w:rPr/>
        <w:t>荣誉 名牌、</w:t>
      </w:r>
      <w:r>
        <w:rPr>
          <w:rFonts w:ascii="Times New Roman" w:hAnsi="Times New Roman" w:cs="Times New Roman" w:eastAsia="Times New Roman" w:hint="default"/>
        </w:rPr>
        <w:t>“G20</w:t>
      </w:r>
      <w:r>
        <w:rPr/>
        <w:t>杭州峰会选用产品</w:t>
      </w:r>
      <w:r>
        <w:rPr>
          <w:rFonts w:ascii="Times New Roman" w:hAnsi="Times New Roman" w:cs="Times New Roman" w:eastAsia="Times New Roman" w:hint="default"/>
        </w:rPr>
        <w:t>”</w:t>
      </w:r>
      <w:r>
        <w:rPr/>
        <w:t>证书后，在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月第</w:t>
      </w:r>
      <w:r>
        <w:rPr>
          <w:rFonts w:ascii="Times New Roman" w:hAnsi="Times New Roman" w:cs="Times New Roman" w:eastAsia="Times New Roman" w:hint="default"/>
        </w:rPr>
        <w:t>24</w:t>
      </w:r>
      <w:r>
        <w:rPr/>
        <w:t>届中国国际广告节</w:t>
      </w:r>
      <w:r>
        <w:rPr>
          <w:rFonts w:ascii="Times New Roman" w:hAnsi="Times New Roman" w:cs="Times New Roman" w:eastAsia="Times New Roman" w:hint="default"/>
        </w:rPr>
        <w:t>“</w:t>
      </w:r>
      <w:r>
        <w:rPr/>
        <w:t>中国广告长城奖</w:t>
      </w:r>
      <w:r>
        <w:rPr>
          <w:rFonts w:ascii="Times New Roman" w:hAnsi="Times New Roman" w:cs="Times New Roman" w:eastAsia="Times New Roman" w:hint="default"/>
        </w:rPr>
        <w:t>”</w:t>
      </w:r>
      <w:r>
        <w:rPr/>
        <w:t>评选中，视科传媒再次荣获 </w:t>
      </w:r>
      <w:r>
        <w:rPr>
          <w:rFonts w:ascii="Times New Roman" w:hAnsi="Times New Roman" w:cs="Times New Roman" w:eastAsia="Times New Roman" w:hint="default"/>
          <w:spacing w:val="-1"/>
        </w:rPr>
        <w:t>“2017</w:t>
      </w:r>
      <w:r>
        <w:rPr>
          <w:spacing w:val="-1"/>
        </w:rPr>
        <w:t>创新营销金奖</w:t>
      </w:r>
      <w:r>
        <w:rPr>
          <w:rFonts w:ascii="Times New Roman" w:hAnsi="Times New Roman" w:cs="Times New Roman" w:eastAsia="Times New Roman" w:hint="default"/>
          <w:spacing w:val="-1"/>
        </w:rPr>
        <w:t>”</w:t>
      </w:r>
      <w:r>
        <w:rPr>
          <w:spacing w:val="-1"/>
        </w:rPr>
        <w:t>，在行业内的影响力进一步提升。同时，超大户外高清</w:t>
      </w:r>
      <w:r>
        <w:rPr>
          <w:rFonts w:ascii="Times New Roman" w:hAnsi="Times New Roman" w:cs="Times New Roman" w:eastAsia="Times New Roman" w:hint="default"/>
          <w:spacing w:val="-1"/>
        </w:rPr>
        <w:t>LED</w:t>
      </w:r>
      <w:r>
        <w:rPr>
          <w:spacing w:val="-1"/>
        </w:rPr>
        <w:t>巨屏</w:t>
      </w:r>
      <w:r>
        <w:rPr>
          <w:rFonts w:ascii="Times New Roman" w:hAnsi="Times New Roman" w:cs="Times New Roman" w:eastAsia="Times New Roman" w:hint="default"/>
          <w:spacing w:val="-1"/>
        </w:rPr>
        <w:t>“</w:t>
      </w:r>
      <w:r>
        <w:rPr>
          <w:spacing w:val="-1"/>
        </w:rPr>
        <w:t>西湖天幕</w:t>
      </w:r>
      <w:r>
        <w:rPr>
          <w:rFonts w:ascii="Times New Roman" w:hAnsi="Times New Roman" w:cs="Times New Roman" w:eastAsia="Times New Roman" w:hint="default"/>
          <w:spacing w:val="-1"/>
        </w:rPr>
        <w:t>”</w:t>
      </w:r>
      <w:r>
        <w:rPr>
          <w:spacing w:val="-1"/>
        </w:rPr>
        <w:t>投入运营后，凭借其独一无</w:t>
      </w:r>
      <w:r>
        <w:rPr>
          <w:spacing w:val="-69"/>
        </w:rPr>
        <w:t> </w:t>
      </w:r>
      <w:r>
        <w:rPr>
          <w:spacing w:val="-69"/>
        </w:rPr>
      </w:r>
      <w:r>
        <w:rPr>
          <w:spacing w:val="-5"/>
        </w:rPr>
        <w:t>二的区位优势、震撼的广告效果，不仅受到品牌客户的追捧，还在社会上获得了广泛的关注，已成为杭州的一大标志性景观，</w:t>
      </w:r>
      <w:r>
        <w:rPr>
          <w:spacing w:val="-82"/>
        </w:rPr>
        <w:t> </w:t>
      </w:r>
      <w:r>
        <w:rPr>
          <w:spacing w:val="-82"/>
        </w:rPr>
      </w:r>
      <w:r>
        <w:rPr>
          <w:spacing w:val="-2"/>
        </w:rPr>
        <w:t>大幅提升了公司的品牌形象。视赚网络是互联网协会会员单位，获得软件企业认定和国家高新技术企业认定，杭州市级研发</w:t>
      </w:r>
      <w:r>
        <w:rPr>
          <w:spacing w:val="-65"/>
        </w:rPr>
        <w:t> </w:t>
      </w:r>
      <w:r>
        <w:rPr>
          <w:spacing w:val="-65"/>
        </w:rPr>
      </w:r>
      <w:r>
        <w:rPr/>
        <w:t>中心认定。拥有网络文化经营许可证、</w:t>
      </w:r>
      <w:r>
        <w:rPr>
          <w:rFonts w:ascii="Times New Roman" w:hAnsi="Times New Roman" w:cs="Times New Roman" w:eastAsia="Times New Roman" w:hint="default"/>
        </w:rPr>
        <w:t>ICP</w:t>
      </w:r>
      <w:r>
        <w:rPr/>
        <w:t>、增值电信业务经营许可证等多个证照，申请获得软件产品登记证及软件著作权 </w:t>
      </w:r>
      <w:r>
        <w:rPr>
          <w:spacing w:val="-2"/>
        </w:rPr>
        <w:t>证</w:t>
      </w:r>
      <w:r>
        <w:rPr>
          <w:rFonts w:ascii="Times New Roman" w:hAnsi="Times New Roman" w:cs="Times New Roman" w:eastAsia="Times New Roman" w:hint="default"/>
          <w:spacing w:val="-2"/>
        </w:rPr>
        <w:t>33</w:t>
      </w:r>
      <w:r>
        <w:rPr>
          <w:spacing w:val="-2"/>
        </w:rPr>
        <w:t>项，正在申请专利和软著有</w:t>
      </w:r>
      <w:r>
        <w:rPr>
          <w:rFonts w:ascii="Times New Roman" w:hAnsi="Times New Roman" w:cs="Times New Roman" w:eastAsia="Times New Roman" w:hint="default"/>
          <w:spacing w:val="-2"/>
        </w:rPr>
        <w:t>16</w:t>
      </w:r>
      <w:r>
        <w:rPr>
          <w:spacing w:val="-2"/>
        </w:rPr>
        <w:t>项。同时通过收购赛鸽天地、三吉嘉喜，又获得信息网络传播视听节目许可证、广播电视</w:t>
      </w:r>
      <w:r>
        <w:rPr>
          <w:spacing w:val="-62"/>
        </w:rPr>
        <w:t> </w:t>
      </w:r>
      <w:r>
        <w:rPr>
          <w:spacing w:val="-62"/>
        </w:rPr>
      </w:r>
      <w:r>
        <w:rPr>
          <w:spacing w:val="-5"/>
        </w:rPr>
        <w:t>节目制作许可证，为下一步进军互联网</w:t>
      </w:r>
      <w:r>
        <w:rPr>
          <w:rFonts w:ascii="Times New Roman" w:hAnsi="Times New Roman" w:cs="Times New Roman" w:eastAsia="Times New Roman" w:hint="default"/>
          <w:spacing w:val="-5"/>
        </w:rPr>
        <w:t>+</w:t>
      </w:r>
      <w:r>
        <w:rPr>
          <w:spacing w:val="-5"/>
        </w:rPr>
        <w:t>传媒和视听领域打下了坚实的基础。</w:t>
      </w:r>
      <w:r>
        <w:rPr>
          <w:rFonts w:ascii="Times New Roman" w:hAnsi="Times New Roman" w:cs="Times New Roman" w:eastAsia="Times New Roman" w:hint="default"/>
          <w:spacing w:val="-5"/>
        </w:rPr>
        <w:t>2017</w:t>
      </w:r>
      <w:r>
        <w:rPr>
          <w:spacing w:val="-5"/>
        </w:rPr>
        <w:t>年视赚网络获批国家高新企业，并获得</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年杭州市企业高新技术研发中心</w:t>
      </w:r>
      <w:r>
        <w:rPr>
          <w:rFonts w:ascii="Times New Roman" w:hAnsi="Times New Roman" w:cs="Times New Roman" w:eastAsia="Times New Roman" w:hint="default"/>
        </w:rPr>
        <w:t>”</w:t>
      </w:r>
      <w:r>
        <w:rPr/>
        <w:t>殊荣。</w:t>
      </w:r>
    </w:p>
    <w:p>
      <w:pPr>
        <w:pStyle w:val="BodyText"/>
        <w:spacing w:line="312" w:lineRule="auto" w:before="9"/>
        <w:ind w:left="154" w:right="1032" w:firstLine="362"/>
        <w:jc w:val="left"/>
      </w:pPr>
      <w:r>
        <w:rPr>
          <w:rFonts w:ascii="Times New Roman" w:hAnsi="Times New Roman" w:cs="Times New Roman" w:eastAsia="Times New Roman" w:hint="default"/>
        </w:rPr>
        <w:t>5.</w:t>
      </w:r>
      <w:r>
        <w:rPr/>
        <w:t>完整的产、学、研一体化平台。自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月公司与中国人民大学新闻学院共同建立明德大通新媒体研究院以来，搭 建了学界业界的对话交流合作平台，吸收培养了一批优秀的博士后以及专业学术人才，围绕新媒体产业政策、新传播技术、</w:t>
      </w:r>
      <w:r>
        <w:rPr>
          <w:spacing w:val="-85"/>
        </w:rPr>
        <w:t> </w:t>
      </w:r>
      <w:r>
        <w:rPr>
          <w:spacing w:val="-85"/>
        </w:rPr>
      </w:r>
      <w:r>
        <w:rPr>
          <w:spacing w:val="-2"/>
        </w:rPr>
        <w:t>媒介融合、大数据与舆情、互联网金融、媒体资本运营与产业发展等相关领域展开了深入的研究与合作，形成了一系列的行</w:t>
      </w:r>
      <w:r>
        <w:rPr>
          <w:spacing w:val="-66"/>
        </w:rPr>
        <w:t> </w:t>
      </w:r>
      <w:r>
        <w:rPr>
          <w:spacing w:val="-66"/>
        </w:rPr>
      </w:r>
      <w:r>
        <w:rPr/>
        <w:t>业智力成果，为公司及时了解行业动向、把脉市场行情、定位发展方向提供了强有力的支撑。</w:t>
      </w:r>
    </w:p>
    <w:p>
      <w:pPr>
        <w:pStyle w:val="BodyText"/>
        <w:spacing w:line="300" w:lineRule="auto" w:before="22"/>
        <w:ind w:right="0" w:firstLine="362"/>
        <w:jc w:val="left"/>
      </w:pPr>
      <w:r>
        <w:rPr>
          <w:rFonts w:ascii="Times New Roman" w:hAnsi="Times New Roman" w:cs="Times New Roman" w:eastAsia="Times New Roman" w:hint="default"/>
          <w:spacing w:val="-1"/>
        </w:rPr>
        <w:t>6.</w:t>
      </w:r>
      <w:r>
        <w:rPr>
          <w:spacing w:val="-1"/>
        </w:rPr>
        <w:t>积极的企业文化与团队建设。紧紧围绕</w:t>
      </w:r>
      <w:r>
        <w:rPr>
          <w:rFonts w:ascii="Times New Roman" w:hAnsi="Times New Roman" w:cs="Times New Roman" w:eastAsia="Times New Roman" w:hint="default"/>
          <w:spacing w:val="-1"/>
        </w:rPr>
        <w:t>“</w:t>
      </w:r>
      <w:r>
        <w:rPr>
          <w:spacing w:val="-1"/>
        </w:rPr>
        <w:t>大象无形，融汇贯通</w:t>
      </w:r>
      <w:r>
        <w:rPr>
          <w:rFonts w:ascii="Times New Roman" w:hAnsi="Times New Roman" w:cs="Times New Roman" w:eastAsia="Times New Roman" w:hint="default"/>
          <w:spacing w:val="-1"/>
        </w:rPr>
        <w:t>“</w:t>
      </w:r>
      <w:r>
        <w:rPr>
          <w:spacing w:val="-1"/>
        </w:rPr>
        <w:t>的企业使命，致力于打造员工与企业共同成长、企业与</w:t>
      </w:r>
      <w:r>
        <w:rPr/>
        <w:t> </w:t>
      </w:r>
      <w:r>
        <w:rPr>
          <w:spacing w:val="-2"/>
        </w:rPr>
        <w:t>社会共赢共享的企业文化。通过建立科学的人才引进政策、完善的激励工作机制、健全的培训交流机制，不断提升团队的综</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合素质与专业能力。通过开展形式多样的文体活动、企业年会、员工生日会等，增强了团队的凝聚力，提升了员工对公司的</w:t>
      </w:r>
      <w:r>
        <w:rPr>
          <w:spacing w:val="-66"/>
        </w:rPr>
        <w:t> </w:t>
      </w:r>
      <w:r>
        <w:rPr>
          <w:spacing w:val="-66"/>
        </w:rPr>
      </w:r>
      <w:r>
        <w:rPr/>
        <w:t>认同感和归属感，大大提高了公司的软实力。</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6" w:right="0"/>
        <w:jc w:val="left"/>
        <w:rPr>
          <w:b w:val="0"/>
          <w:bCs w:val="0"/>
        </w:rPr>
      </w:pPr>
      <w:bookmarkStart w:name="第四节经营情况讨论与分析" w:id="23"/>
      <w:bookmarkEnd w:id="23"/>
      <w:r>
        <w:rPr>
          <w:b w:val="0"/>
          <w:bCs w:val="0"/>
        </w:rPr>
      </w:r>
      <w:bookmarkStart w:name="_bookmark3" w:id="24"/>
      <w:bookmarkEnd w:id="2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2" w:firstLine="362"/>
        <w:jc w:val="both"/>
      </w:pPr>
      <w:r>
        <w:rPr>
          <w:rFonts w:ascii="Times New Roman" w:hAnsi="Times New Roman" w:cs="Times New Roman" w:eastAsia="Times New Roman" w:hint="default"/>
          <w:spacing w:val="-2"/>
        </w:rPr>
        <w:t>2017</w:t>
      </w:r>
      <w:r>
        <w:rPr>
          <w:spacing w:val="-2"/>
        </w:rPr>
        <w:t>年，公司完全剥离房地产业务，全力聚集广告主业，发力布局供应链管理领域，搭建了结构明晰、高效互补的组织</w:t>
      </w:r>
      <w:r>
        <w:rPr/>
        <w:t> </w:t>
      </w:r>
      <w:r>
        <w:rPr>
          <w:spacing w:val="-2"/>
        </w:rPr>
        <w:t>架构，实现了资本、智力和产业的有效融合。公司管理层积极落实董事会制定的相关战略，结合公司实际经营计划，全面推</w:t>
      </w:r>
      <w:r>
        <w:rPr>
          <w:spacing w:val="-66"/>
        </w:rPr>
        <w:t> </w:t>
      </w:r>
      <w:r>
        <w:rPr>
          <w:spacing w:val="-66"/>
        </w:rPr>
      </w:r>
      <w:r>
        <w:rPr/>
        <w:t>进各项经营管理工作，积极优化公司资源配置，不断提升公司核心竞争力、盈利能力和综合实力。</w:t>
      </w:r>
    </w:p>
    <w:p>
      <w:pPr>
        <w:spacing w:line="240" w:lineRule="auto" w:before="2"/>
        <w:rPr>
          <w:rFonts w:ascii="宋体" w:hAnsi="宋体" w:cs="宋体" w:eastAsia="宋体" w:hint="default"/>
          <w:sz w:val="21"/>
          <w:szCs w:val="21"/>
        </w:rPr>
      </w:pPr>
    </w:p>
    <w:p>
      <w:pPr>
        <w:pStyle w:val="Heading2"/>
        <w:spacing w:line="240" w:lineRule="auto"/>
        <w:ind w:right="0"/>
        <w:jc w:val="both"/>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32" w:firstLine="360"/>
        <w:jc w:val="both"/>
      </w:pPr>
      <w:r>
        <w:rPr>
          <w:spacing w:val="-1"/>
        </w:rPr>
        <w:t>报告期内，公司实现主营业收入</w:t>
      </w:r>
      <w:r>
        <w:rPr>
          <w:rFonts w:ascii="Times New Roman" w:hAnsi="Times New Roman" w:cs="Times New Roman" w:eastAsia="Times New Roman" w:hint="default"/>
          <w:spacing w:val="-1"/>
        </w:rPr>
        <w:t>1,510,366,505.51</w:t>
      </w:r>
      <w:r>
        <w:rPr>
          <w:spacing w:val="-1"/>
        </w:rPr>
        <w:t>元，同比增长</w:t>
      </w:r>
      <w:r>
        <w:rPr>
          <w:rFonts w:ascii="Times New Roman" w:hAnsi="Times New Roman" w:cs="Times New Roman" w:eastAsia="Times New Roman" w:hint="default"/>
          <w:spacing w:val="-1"/>
        </w:rPr>
        <w:t>46.75%</w:t>
      </w:r>
      <w:r>
        <w:rPr>
          <w:spacing w:val="-1"/>
        </w:rPr>
        <w:t>，主要原因包括（</w:t>
      </w:r>
      <w:r>
        <w:rPr>
          <w:rFonts w:ascii="Times New Roman" w:hAnsi="Times New Roman" w:cs="Times New Roman" w:eastAsia="Times New Roman" w:hint="default"/>
          <w:spacing w:val="-1"/>
        </w:rPr>
        <w:t>1</w:t>
      </w:r>
      <w:r>
        <w:rPr>
          <w:spacing w:val="-1"/>
        </w:rPr>
        <w:t>）各子公司努力提升自身业务</w:t>
      </w:r>
      <w:r>
        <w:rPr/>
        <w:t> </w:t>
      </w:r>
      <w:r>
        <w:rPr>
          <w:spacing w:val="-5"/>
        </w:rPr>
        <w:t>水平和技术能力，积极拓展客户渠道，丰富客户资源和类型，新增地产、教育、婚纱摄影、家装、快消、旅游、游戏、餐饮、</w:t>
      </w:r>
      <w:r>
        <w:rPr>
          <w:spacing w:val="-84"/>
        </w:rPr>
        <w:t> </w:t>
      </w:r>
      <w:r>
        <w:rPr>
          <w:spacing w:val="-84"/>
        </w:rPr>
      </w:r>
      <w:r>
        <w:rPr>
          <w:spacing w:val="-2"/>
        </w:rPr>
        <w:t>商场、应用分发等客户资源，并与各大主流媒体资源如墨迹天气、去哪儿、今日头条等建立了深度合作关系，以优质媒体资</w:t>
      </w:r>
      <w:r>
        <w:rPr>
          <w:spacing w:val="-66"/>
        </w:rPr>
        <w:t> </w:t>
      </w:r>
      <w:r>
        <w:rPr>
          <w:spacing w:val="-66"/>
        </w:rPr>
      </w:r>
      <w:r>
        <w:rPr>
          <w:spacing w:val="-2"/>
        </w:rPr>
        <w:t>源和专业服务吸引客户投放，同时积极打造集移动媒体、移动电商及智能商圈于一体的新媒体平台，以保持其经营业绩的快</w:t>
      </w:r>
      <w:r>
        <w:rPr>
          <w:spacing w:val="-66"/>
        </w:rPr>
        <w:t> </w:t>
      </w:r>
      <w:r>
        <w:rPr>
          <w:spacing w:val="-66"/>
        </w:rPr>
      </w:r>
      <w:r>
        <w:rPr/>
        <w:t>速发展，实现营业收入的增长；（</w:t>
      </w:r>
      <w:r>
        <w:rPr>
          <w:rFonts w:ascii="Times New Roman" w:hAnsi="Times New Roman" w:cs="Times New Roman" w:eastAsia="Times New Roman" w:hint="default"/>
        </w:rPr>
        <w:t>2</w:t>
      </w:r>
      <w:r>
        <w:rPr/>
        <w:t>）合并范围与上年相比，新增视科传媒、冉十科技</w:t>
      </w:r>
      <w:r>
        <w:rPr>
          <w:rFonts w:ascii="Times New Roman" w:hAnsi="Times New Roman" w:cs="Times New Roman" w:eastAsia="Times New Roman" w:hint="default"/>
        </w:rPr>
        <w:t>1</w:t>
      </w:r>
      <w:r>
        <w:rPr/>
        <w:t>月份收入；（</w:t>
      </w:r>
      <w:r>
        <w:rPr>
          <w:rFonts w:ascii="Times New Roman" w:hAnsi="Times New Roman" w:cs="Times New Roman" w:eastAsia="Times New Roman" w:hint="default"/>
        </w:rPr>
        <w:t>3</w:t>
      </w:r>
      <w:r>
        <w:rPr/>
        <w:t>）地产业务交付项目 较多，结转收入；（</w:t>
      </w:r>
      <w:r>
        <w:rPr>
          <w:rFonts w:ascii="Times New Roman" w:hAnsi="Times New Roman" w:cs="Times New Roman" w:eastAsia="Times New Roman" w:hint="default"/>
        </w:rPr>
        <w:t>4</w:t>
      </w:r>
      <w:r>
        <w:rPr/>
        <w:t>）新设的深圳大通致远本期开展供应链管理业务。</w:t>
      </w:r>
    </w:p>
    <w:p>
      <w:pPr>
        <w:spacing w:before="3"/>
        <w:ind w:left="508" w:right="0" w:firstLine="0"/>
        <w:jc w:val="left"/>
        <w:rPr>
          <w:rFonts w:ascii="宋体" w:hAnsi="宋体" w:cs="宋体" w:eastAsia="宋体" w:hint="default"/>
          <w:sz w:val="18"/>
          <w:szCs w:val="18"/>
        </w:rPr>
      </w:pPr>
      <w:r>
        <w:rPr>
          <w:rFonts w:ascii="宋体" w:hAnsi="宋体" w:cs="宋体" w:eastAsia="宋体" w:hint="default"/>
          <w:b/>
          <w:bCs/>
          <w:sz w:val="18"/>
          <w:szCs w:val="18"/>
        </w:rPr>
        <w:t>实现归属于上市公司股东的净利润</w:t>
      </w:r>
      <w:r>
        <w:rPr>
          <w:rFonts w:ascii="Times New Roman" w:hAnsi="Times New Roman" w:cs="Times New Roman" w:eastAsia="Times New Roman" w:hint="default"/>
          <w:b/>
          <w:bCs/>
          <w:sz w:val="18"/>
          <w:szCs w:val="18"/>
        </w:rPr>
        <w:t>357,930,132.37</w:t>
      </w:r>
      <w:r>
        <w:rPr>
          <w:rFonts w:ascii="宋体" w:hAnsi="宋体" w:cs="宋体" w:eastAsia="宋体" w:hint="default"/>
          <w:b/>
          <w:bCs/>
          <w:sz w:val="18"/>
          <w:szCs w:val="18"/>
        </w:rPr>
        <w:t>元，同比增长</w:t>
      </w:r>
      <w:r>
        <w:rPr>
          <w:rFonts w:ascii="Times New Roman" w:hAnsi="Times New Roman" w:cs="Times New Roman" w:eastAsia="Times New Roman" w:hint="default"/>
          <w:b/>
          <w:bCs/>
          <w:sz w:val="18"/>
          <w:szCs w:val="18"/>
        </w:rPr>
        <w:t>53.45%</w:t>
      </w:r>
      <w:r>
        <w:rPr>
          <w:rFonts w:ascii="宋体" w:hAnsi="宋体" w:cs="宋体" w:eastAsia="宋体" w:hint="default"/>
          <w:sz w:val="18"/>
          <w:szCs w:val="18"/>
        </w:rPr>
        <w:t>，主要原因是营业收入增加。</w:t>
      </w:r>
    </w:p>
    <w:p>
      <w:pPr>
        <w:pStyle w:val="BodyText"/>
        <w:spacing w:line="300" w:lineRule="auto" w:before="63"/>
        <w:ind w:left="154" w:right="1132" w:firstLine="360"/>
        <w:jc w:val="both"/>
      </w:pPr>
      <w:r>
        <w:rPr>
          <w:spacing w:val="-1"/>
        </w:rPr>
        <w:t>财务费用为</w:t>
      </w:r>
      <w:r>
        <w:rPr>
          <w:rFonts w:ascii="Times New Roman" w:hAnsi="Times New Roman" w:cs="Times New Roman" w:eastAsia="Times New Roman" w:hint="default"/>
          <w:spacing w:val="-1"/>
        </w:rPr>
        <w:t>-37,850,494.66</w:t>
      </w:r>
      <w:r>
        <w:rPr>
          <w:spacing w:val="-1"/>
        </w:rPr>
        <w:t>元，变动比例为</w:t>
      </w:r>
      <w:r>
        <w:rPr>
          <w:rFonts w:ascii="Times New Roman" w:hAnsi="Times New Roman" w:cs="Times New Roman" w:eastAsia="Times New Roman" w:hint="default"/>
          <w:spacing w:val="-1"/>
        </w:rPr>
        <w:t>419.98%</w:t>
      </w:r>
      <w:r>
        <w:rPr>
          <w:spacing w:val="-1"/>
        </w:rPr>
        <w:t>，主要系本期暂时闲置募集资金以定期存款形式存放实现的利息收入</w:t>
      </w:r>
      <w:r>
        <w:rPr/>
        <w:t> 增加所致。</w:t>
      </w:r>
    </w:p>
    <w:p>
      <w:pPr>
        <w:pStyle w:val="BodyText"/>
        <w:spacing w:line="300" w:lineRule="auto" w:before="31"/>
        <w:ind w:left="154" w:right="1132" w:firstLine="360"/>
        <w:jc w:val="both"/>
      </w:pPr>
      <w:r>
        <w:rPr>
          <w:spacing w:val="-1"/>
        </w:rPr>
        <w:t>投资收益为</w:t>
      </w:r>
      <w:r>
        <w:rPr>
          <w:rFonts w:ascii="Times New Roman" w:hAnsi="Times New Roman" w:cs="Times New Roman" w:eastAsia="Times New Roman" w:hint="default"/>
          <w:spacing w:val="-1"/>
        </w:rPr>
        <w:t>51,677,678.75</w:t>
      </w:r>
      <w:r>
        <w:rPr>
          <w:spacing w:val="-1"/>
        </w:rPr>
        <w:t>元，同比增加</w:t>
      </w:r>
      <w:r>
        <w:rPr>
          <w:rFonts w:ascii="Times New Roman" w:hAnsi="Times New Roman" w:cs="Times New Roman" w:eastAsia="Times New Roman" w:hint="default"/>
          <w:spacing w:val="-1"/>
        </w:rPr>
        <w:t>1347.73%</w:t>
      </w:r>
      <w:r>
        <w:rPr>
          <w:spacing w:val="-1"/>
        </w:rPr>
        <w:t>，主要是报告期内处置子公司实现的投资收益及购买理财产品实现的投</w:t>
      </w:r>
      <w:r>
        <w:rPr/>
        <w:t> 资收益。</w:t>
      </w:r>
    </w:p>
    <w:p>
      <w:pPr>
        <w:spacing w:line="300" w:lineRule="auto" w:before="31"/>
        <w:ind w:left="514" w:right="1197" w:hanging="6"/>
        <w:jc w:val="left"/>
        <w:rPr>
          <w:rFonts w:ascii="宋体" w:hAnsi="宋体" w:cs="宋体" w:eastAsia="宋体" w:hint="default"/>
          <w:sz w:val="18"/>
          <w:szCs w:val="18"/>
        </w:rPr>
      </w:pPr>
      <w:r>
        <w:rPr>
          <w:rFonts w:ascii="宋体" w:hAnsi="宋体" w:cs="宋体" w:eastAsia="宋体" w:hint="default"/>
          <w:b/>
          <w:bCs/>
          <w:sz w:val="18"/>
          <w:szCs w:val="18"/>
        </w:rPr>
        <w:t>实现每股收益</w:t>
      </w:r>
      <w:r>
        <w:rPr>
          <w:rFonts w:ascii="Times New Roman" w:hAnsi="Times New Roman" w:cs="Times New Roman" w:eastAsia="Times New Roman" w:hint="default"/>
          <w:b/>
          <w:bCs/>
          <w:sz w:val="18"/>
          <w:szCs w:val="18"/>
        </w:rPr>
        <w:t>0.6847</w:t>
      </w:r>
      <w:r>
        <w:rPr>
          <w:rFonts w:ascii="宋体" w:hAnsi="宋体" w:cs="宋体" w:eastAsia="宋体" w:hint="default"/>
          <w:b/>
          <w:bCs/>
          <w:sz w:val="18"/>
          <w:szCs w:val="18"/>
        </w:rPr>
        <w:t>元，同比增长</w:t>
      </w:r>
      <w:r>
        <w:rPr>
          <w:rFonts w:ascii="Times New Roman" w:hAnsi="Times New Roman" w:cs="Times New Roman" w:eastAsia="Times New Roman" w:hint="default"/>
          <w:b/>
          <w:bCs/>
          <w:sz w:val="18"/>
          <w:szCs w:val="18"/>
        </w:rPr>
        <w:t>31.34%</w:t>
      </w:r>
      <w:r>
        <w:rPr>
          <w:rFonts w:ascii="宋体" w:hAnsi="宋体" w:cs="宋体" w:eastAsia="宋体" w:hint="default"/>
          <w:b/>
          <w:bCs/>
          <w:sz w:val="18"/>
          <w:szCs w:val="18"/>
        </w:rPr>
        <w:t>，</w:t>
      </w:r>
      <w:r>
        <w:rPr>
          <w:rFonts w:ascii="宋体" w:hAnsi="宋体" w:cs="宋体" w:eastAsia="宋体" w:hint="default"/>
          <w:sz w:val="18"/>
          <w:szCs w:val="18"/>
        </w:rPr>
        <w:t>主要原因是收入增长、净利润的增长及总股本增加等因素所致。 经营活动产生的现金流量净额较</w:t>
      </w:r>
      <w:r>
        <w:rPr>
          <w:rFonts w:ascii="Times New Roman" w:hAnsi="Times New Roman" w:cs="Times New Roman" w:eastAsia="Times New Roman" w:hint="default"/>
          <w:sz w:val="18"/>
          <w:szCs w:val="18"/>
        </w:rPr>
        <w:t>2016</w:t>
      </w:r>
      <w:r>
        <w:rPr>
          <w:rFonts w:ascii="宋体" w:hAnsi="宋体" w:cs="宋体" w:eastAsia="宋体" w:hint="default"/>
          <w:sz w:val="18"/>
          <w:szCs w:val="18"/>
        </w:rPr>
        <w:t>年下降</w:t>
      </w:r>
      <w:r>
        <w:rPr>
          <w:rFonts w:ascii="Times New Roman" w:hAnsi="Times New Roman" w:cs="Times New Roman" w:eastAsia="Times New Roman" w:hint="default"/>
          <w:sz w:val="18"/>
          <w:szCs w:val="18"/>
        </w:rPr>
        <w:t>120.77%</w:t>
      </w:r>
      <w:r>
        <w:rPr>
          <w:rFonts w:ascii="宋体" w:hAnsi="宋体" w:cs="宋体" w:eastAsia="宋体" w:hint="default"/>
          <w:sz w:val="18"/>
          <w:szCs w:val="18"/>
        </w:rPr>
        <w:t>，主要原因包括：（</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）公司互联网板块为拓展业务，通过预付充</w:t>
      </w:r>
    </w:p>
    <w:p>
      <w:pPr>
        <w:pStyle w:val="BodyText"/>
        <w:spacing w:line="300" w:lineRule="auto" w:before="13"/>
        <w:ind w:right="1130"/>
        <w:jc w:val="both"/>
      </w:pPr>
      <w:r>
        <w:rPr/>
        <w:t>值、包版买断方式抢占优质媒体资源；另外，直客类客户通常采用先播后付的方式，回款周期较长；（</w:t>
      </w:r>
      <w:r>
        <w:rPr>
          <w:rFonts w:ascii="Times New Roman" w:hAnsi="Times New Roman" w:cs="Times New Roman" w:eastAsia="Times New Roman" w:hint="default"/>
        </w:rPr>
        <w:t>2</w:t>
      </w:r>
      <w:r>
        <w:rPr/>
        <w:t>）公司新兴业务</w:t>
      </w:r>
      <w:r>
        <w:rPr>
          <w:rFonts w:ascii="Times New Roman" w:hAnsi="Times New Roman" w:cs="Times New Roman" w:eastAsia="Times New Roman" w:hint="default"/>
        </w:rPr>
        <w:t>— </w:t>
      </w:r>
      <w:r>
        <w:rPr>
          <w:spacing w:val="-7"/>
        </w:rPr>
        <w:t>供应链管理板块，主要业务于</w:t>
      </w:r>
      <w:r>
        <w:rPr>
          <w:rFonts w:ascii="Times New Roman" w:hAnsi="Times New Roman" w:cs="Times New Roman" w:eastAsia="Times New Roman" w:hint="default"/>
          <w:spacing w:val="-7"/>
        </w:rPr>
        <w:t>2017</w:t>
      </w:r>
      <w:r>
        <w:rPr>
          <w:spacing w:val="-7"/>
        </w:rPr>
        <w:t>年四季度逐步开展，部分采用预付货款业务模式，报告期内下游客户尚未结算或回款；（</w:t>
      </w:r>
      <w:r>
        <w:rPr>
          <w:rFonts w:ascii="Times New Roman" w:hAnsi="Times New Roman" w:cs="Times New Roman" w:eastAsia="Times New Roman" w:hint="default"/>
          <w:spacing w:val="-7"/>
        </w:rPr>
        <w:t>3</w:t>
      </w:r>
      <w:r>
        <w:rPr>
          <w:spacing w:val="-7"/>
        </w:rPr>
        <w:t>）</w:t>
      </w:r>
      <w:r>
        <w:rPr>
          <w:spacing w:val="-39"/>
        </w:rPr>
        <w:t> </w:t>
      </w:r>
      <w:r>
        <w:rPr>
          <w:spacing w:val="-1"/>
        </w:rPr>
        <w:t>公司房地产板块采用预收房款的模式，</w:t>
      </w:r>
      <w:r>
        <w:rPr>
          <w:rFonts w:ascii="Times New Roman" w:hAnsi="Times New Roman" w:cs="Times New Roman" w:eastAsia="Times New Roman" w:hint="default"/>
          <w:spacing w:val="-1"/>
        </w:rPr>
        <w:t>2017</w:t>
      </w:r>
      <w:r>
        <w:rPr>
          <w:spacing w:val="-1"/>
        </w:rPr>
        <w:t>年因房地产业务逐渐萎缩，</w:t>
      </w:r>
      <w:r>
        <w:rPr>
          <w:rFonts w:ascii="Times New Roman" w:hAnsi="Times New Roman" w:cs="Times New Roman" w:eastAsia="Times New Roman" w:hint="default"/>
          <w:spacing w:val="-1"/>
        </w:rPr>
        <w:t>2017</w:t>
      </w:r>
      <w:r>
        <w:rPr>
          <w:spacing w:val="-1"/>
        </w:rPr>
        <w:t>年较</w:t>
      </w:r>
      <w:r>
        <w:rPr>
          <w:rFonts w:ascii="Times New Roman" w:hAnsi="Times New Roman" w:cs="Times New Roman" w:eastAsia="Times New Roman" w:hint="default"/>
          <w:spacing w:val="-1"/>
        </w:rPr>
        <w:t>2016</w:t>
      </w:r>
      <w:r>
        <w:rPr>
          <w:spacing w:val="-1"/>
        </w:rPr>
        <w:t>年预收房款下降</w:t>
      </w:r>
      <w:r>
        <w:rPr>
          <w:rFonts w:ascii="Times New Roman" w:hAnsi="Times New Roman" w:cs="Times New Roman" w:eastAsia="Times New Roman" w:hint="default"/>
          <w:spacing w:val="-1"/>
        </w:rPr>
        <w:t>58%</w:t>
      </w:r>
      <w:r>
        <w:rPr>
          <w:spacing w:val="-1"/>
        </w:rPr>
        <w:t>，同时本报告期内</w:t>
      </w:r>
      <w:r>
        <w:rPr>
          <w:spacing w:val="-82"/>
        </w:rPr>
        <w:t> </w:t>
      </w:r>
      <w:r>
        <w:rPr>
          <w:spacing w:val="-82"/>
        </w:rPr>
      </w:r>
      <w:r>
        <w:rPr/>
        <w:t>集中支付大量总包工程款及相关税费同比增长。</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600"/>
        <w:gridCol w:w="1589"/>
        <w:gridCol w:w="1600"/>
        <w:gridCol w:w="1583"/>
        <w:gridCol w:w="1601"/>
      </w:tblGrid>
      <w:tr>
        <w:trPr>
          <w:trHeight w:val="206"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pacing w:val="-1"/>
                <w:sz w:val="18"/>
              </w:rPr>
              <w:t>1,510,366,505.51</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1,029,196,295.74</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46.75%</w:t>
            </w: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广告传媒</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1,038,401,794.19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897,382,663.32</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87.19%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367,635,534.61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131,813,632.42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178.91%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104,329,176.71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互联网广告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624,913,973.13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541,991,281.52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户外媒体广告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399,425,081.66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343,548,442.12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策划制作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6,682,940.56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6,978,844.23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7,164,957.40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4,864,095.45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367,166,046.36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131,813,632.42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178.55%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煤炭铁精粉贸易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104,329,176.71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684,329.69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492,629,927.46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417,290,252.46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545,771,866.73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480,092,410.86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367,635,534.61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131,813,632.42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178.91%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104,329,176.71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1,038,401,794.19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591,791,611.97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367,635,534.61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305,857,025.27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212.78%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624,913,973.13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412,615,965.85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户外媒体广告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399,425,081.66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166,891,818.65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367,166,046.36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305,352,733.69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492,629,927.46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183,307,250.51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545,771,866.73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408,484,361.46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367,635,534.61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305,857,025.27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212.78%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60" w:lineRule="auto" w:before="44"/>
        <w:ind w:left="154"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75" w:space="804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591,791,611.97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518,930,339.59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阵地租金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62,229,908.90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76,403,390.56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代理租金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440,922,215.67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348,500,675.08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26.52%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广告传媒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33,117,571.87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15,436,832.78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114.54%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电费、制作费及 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30,031,578.93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45,600,328.82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-34.14%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视赚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16,965,001.48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17,256,772.17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8,525,335.12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15,732,340.18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-45.81%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305,857,025.27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97,785,932.78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212.78%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建安工程费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199,282,192.81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42,816,206.64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365.44%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土地购置成本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62,432,670.71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32,501,282.85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92.09%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开发间接费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2,202,151.30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8,158,470.38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-73.01%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前期费用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18,894,674.00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6,385,674.94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195.89%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公共配套设施费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98,937.15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5,546,817.33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-98.22%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基础设施费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22,442,107.72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2,377,480.64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843.94%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504,291.58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102,402,430.49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18" w:firstLine="360"/>
        <w:jc w:val="left"/>
      </w:pPr>
      <w:r>
        <w:rPr/>
        <w:t>本公司</w:t>
      </w:r>
      <w:r>
        <w:rPr>
          <w:rFonts w:ascii="Times New Roman" w:hAnsi="Times New Roman" w:cs="Times New Roman" w:eastAsia="Times New Roman" w:hint="default"/>
        </w:rPr>
        <w:t>2017</w:t>
      </w:r>
      <w:r>
        <w:rPr/>
        <w:t>年度纳入合并范围的子公司共</w:t>
      </w:r>
      <w:r>
        <w:rPr>
          <w:rFonts w:ascii="Times New Roman" w:hAnsi="Times New Roman" w:cs="Times New Roman" w:eastAsia="Times New Roman" w:hint="default"/>
        </w:rPr>
        <w:t>18</w:t>
      </w:r>
      <w:r>
        <w:rPr/>
        <w:t>家，与上年度相比，本公司本年度合并范围增加</w:t>
      </w:r>
      <w:r>
        <w:rPr>
          <w:rFonts w:ascii="Times New Roman" w:hAnsi="Times New Roman" w:cs="Times New Roman" w:eastAsia="Times New Roman" w:hint="default"/>
        </w:rPr>
        <w:t>3</w:t>
      </w:r>
      <w:r>
        <w:rPr/>
        <w:t>家</w:t>
      </w:r>
      <w:r>
        <w:rPr>
          <w:rFonts w:ascii="Times New Roman" w:hAnsi="Times New Roman" w:cs="Times New Roman" w:eastAsia="Times New Roman" w:hint="default"/>
        </w:rPr>
        <w:t>(</w:t>
      </w:r>
      <w:r>
        <w:rPr/>
        <w:t>其中新增</w:t>
      </w:r>
      <w:r>
        <w:rPr>
          <w:rFonts w:ascii="Times New Roman" w:hAnsi="Times New Roman" w:cs="Times New Roman" w:eastAsia="Times New Roman" w:hint="default"/>
        </w:rPr>
        <w:t>7</w:t>
      </w:r>
      <w:r>
        <w:rPr/>
        <w:t>家，处置</w:t>
      </w:r>
      <w:r>
        <w:rPr>
          <w:rFonts w:ascii="Times New Roman" w:hAnsi="Times New Roman" w:cs="Times New Roman" w:eastAsia="Times New Roman" w:hint="default"/>
        </w:rPr>
        <w:t>3 </w:t>
      </w:r>
      <w:r>
        <w:rPr>
          <w:spacing w:val="-1"/>
        </w:rPr>
        <w:t>家，注销</w:t>
      </w:r>
      <w:r>
        <w:rPr>
          <w:rFonts w:ascii="Times New Roman" w:hAnsi="Times New Roman" w:cs="Times New Roman" w:eastAsia="Times New Roman" w:hint="default"/>
          <w:spacing w:val="-1"/>
        </w:rPr>
        <w:t>1</w:t>
      </w:r>
      <w:r>
        <w:rPr>
          <w:spacing w:val="-1"/>
        </w:rPr>
        <w:t>家</w:t>
      </w:r>
      <w:r>
        <w:rPr>
          <w:rFonts w:ascii="Times New Roman" w:hAnsi="Times New Roman" w:cs="Times New Roman" w:eastAsia="Times New Roman" w:hint="default"/>
          <w:spacing w:val="-1"/>
        </w:rPr>
        <w:t>)</w:t>
      </w:r>
      <w:r>
        <w:rPr>
          <w:spacing w:val="-1"/>
        </w:rPr>
        <w:t>，具体如下：①本公司之全资子公司杭州视赚收购了北京赛鸽天地广告有限公司和北京三吉嘉喜传媒科技有限</w:t>
      </w:r>
      <w:r>
        <w:rPr>
          <w:spacing w:val="-87"/>
        </w:rPr>
        <w:t> </w:t>
      </w:r>
      <w:r>
        <w:rPr>
          <w:spacing w:val="-87"/>
        </w:rPr>
      </w:r>
      <w:r>
        <w:rPr/>
        <w:t>公司</w:t>
      </w:r>
      <w:r>
        <w:rPr>
          <w:rFonts w:ascii="Times New Roman" w:hAnsi="Times New Roman" w:cs="Times New Roman" w:eastAsia="Times New Roman" w:hint="default"/>
        </w:rPr>
        <w:t>100%</w:t>
      </w:r>
      <w:r>
        <w:rPr/>
        <w:t>股权，上述两家公司纳入合并范围；②本公司之全资子公司青岛大通资本有限公司单独出资设立青岛大通佳合资 </w:t>
      </w:r>
      <w:r>
        <w:rPr>
          <w:spacing w:val="-2"/>
        </w:rPr>
        <w:t>产管理有限公司，纳入合并范围；③本公司单独出资设立深圳大通信息科技有限公司，纳入合并范围；④本公司单独出资设</w:t>
      </w:r>
      <w:r>
        <w:rPr>
          <w:spacing w:val="-66"/>
        </w:rPr>
        <w:t> </w:t>
      </w:r>
      <w:r>
        <w:rPr>
          <w:spacing w:val="-66"/>
        </w:rPr>
      </w:r>
      <w:r>
        <w:rPr>
          <w:spacing w:val="-2"/>
        </w:rPr>
        <w:t>立深圳大通致远供应链管理有限公司，纳入合并范围；⑤本公司之全资子公司冉十科技单独出资设立霍尔果斯聚交信息科技</w:t>
      </w:r>
      <w:r>
        <w:rPr>
          <w:spacing w:val="-64"/>
        </w:rPr>
        <w:t> </w:t>
      </w:r>
      <w:r>
        <w:rPr>
          <w:spacing w:val="-64"/>
        </w:rPr>
      </w:r>
      <w:r>
        <w:rPr>
          <w:spacing w:val="-2"/>
        </w:rPr>
        <w:t>有限公司，纳入合并范围；⑥本公司之全资子公司杭州视赚和北京赛鸽天地共同出资设立浙江视赚赛鸽科技有限公司，纳入</w:t>
      </w:r>
      <w:r>
        <w:rPr>
          <w:spacing w:val="-66"/>
        </w:rPr>
        <w:t> </w:t>
      </w:r>
      <w:r>
        <w:rPr>
          <w:spacing w:val="-66"/>
        </w:rPr>
      </w:r>
      <w:r>
        <w:rPr>
          <w:spacing w:val="-2"/>
        </w:rPr>
        <w:t>合并范围；⑦公司剥离房地产业务，济宁海情置业有限公司、青岛广顺房地产有限公司和泗水海情置业有限公司不再纳入合</w:t>
      </w:r>
      <w:r>
        <w:rPr>
          <w:spacing w:val="-65"/>
        </w:rPr>
        <w:t> </w:t>
      </w:r>
      <w:r>
        <w:rPr>
          <w:spacing w:val="-65"/>
        </w:rPr>
      </w:r>
      <w:r>
        <w:rPr/>
        <w:t>并范围；⑧本公司之全资子公司冉十科技的全资子公司美国冉十科技于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日办妥注销手续，不再纳入合并范围。</w:t>
      </w:r>
    </w:p>
    <w:p>
      <w:pPr>
        <w:spacing w:line="240" w:lineRule="auto" w:before="6"/>
        <w:rPr>
          <w:rFonts w:ascii="宋体" w:hAnsi="宋体" w:cs="宋体" w:eastAsia="宋体" w:hint="default"/>
          <w:sz w:val="21"/>
          <w:szCs w:val="21"/>
        </w:rPr>
      </w:pPr>
    </w:p>
    <w:p>
      <w:pPr>
        <w:pStyle w:val="Heading3"/>
        <w:spacing w:line="240" w:lineRule="auto"/>
        <w:ind w:right="0"/>
        <w:jc w:val="both"/>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报告期内公司剥离了房地产业务，公司房地产业务剥离完成后，短期内将减少公司营业务收入和规模，但是对公司净利</w:t>
      </w:r>
    </w:p>
    <w:p>
      <w:pPr>
        <w:pStyle w:val="BodyText"/>
        <w:spacing w:line="316" w:lineRule="auto" w:before="2"/>
        <w:ind w:right="1131"/>
        <w:jc w:val="both"/>
      </w:pPr>
      <w:r>
        <w:rPr>
          <w:spacing w:val="-2"/>
        </w:rPr>
        <w:t>润的影响较小；长期来看，因目前公司的土地储备不足，随着现有房地产项目的清盘，对上市公司整体收入、净利润及现金</w:t>
      </w:r>
      <w:r>
        <w:rPr>
          <w:spacing w:val="-66"/>
        </w:rPr>
        <w:t> </w:t>
      </w:r>
      <w:r>
        <w:rPr>
          <w:spacing w:val="-66"/>
        </w:rPr>
      </w:r>
      <w:r>
        <w:rPr>
          <w:spacing w:val="-2"/>
        </w:rPr>
        <w:t>流量均无重大影响。本次剥离地产业务符合公司战略发展，有利于公司利用现有资源拓展公司主营业务规模，进一步提升公</w:t>
      </w:r>
      <w:r>
        <w:rPr>
          <w:spacing w:val="-65"/>
        </w:rPr>
        <w:t> </w:t>
      </w:r>
      <w:r>
        <w:rPr>
          <w:spacing w:val="-65"/>
        </w:rPr>
      </w:r>
      <w:r>
        <w:rPr/>
        <w:t>司整体盈利能力。</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217,630,521.44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14.41%</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74,099,485.42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52,836,359.65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32,575,094.34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29,330,412.20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28,789,169.83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217,630,521.44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14.41%</w:t>
            </w:r>
          </w:p>
        </w:tc>
      </w:tr>
    </w:tbl>
    <w:p>
      <w:pPr>
        <w:pStyle w:val="BodyText"/>
        <w:spacing w:line="240" w:lineRule="auto" w:before="51"/>
        <w:ind w:left="154" w:right="0"/>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164,034,061.51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23.58%</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47,363,952.21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31,657,994.66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30,134,723.39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28,493,268.15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26,384,123.10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164,034,061.51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23.58%</w:t>
            </w:r>
          </w:p>
        </w:tc>
      </w:tr>
    </w:tbl>
    <w:p>
      <w:pPr>
        <w:pStyle w:val="BodyText"/>
        <w:spacing w:line="240" w:lineRule="auto" w:before="51"/>
        <w:ind w:left="154" w:right="0"/>
        <w:jc w:val="left"/>
      </w:pPr>
      <w:r>
        <w:rPr/>
        <w:t>主要供应商其他情况说明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69" w:right="0"/>
              <w:jc w:val="left"/>
              <w:rPr>
                <w:rFonts w:ascii="Times New Roman" w:hAnsi="Times New Roman" w:cs="Times New Roman" w:eastAsia="Times New Roman" w:hint="default"/>
                <w:sz w:val="18"/>
                <w:szCs w:val="18"/>
              </w:rPr>
            </w:pPr>
            <w:r>
              <w:rPr>
                <w:rFonts w:ascii="Times New Roman"/>
                <w:sz w:val="18"/>
              </w:rPr>
              <w:t>19,791,160.46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20,411,426.91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69" w:right="0"/>
              <w:jc w:val="left"/>
              <w:rPr>
                <w:rFonts w:ascii="Times New Roman" w:hAnsi="Times New Roman" w:cs="Times New Roman" w:eastAsia="Times New Roman" w:hint="default"/>
                <w:sz w:val="18"/>
                <w:szCs w:val="18"/>
              </w:rPr>
            </w:pPr>
            <w:r>
              <w:rPr>
                <w:rFonts w:ascii="Times New Roman"/>
                <w:sz w:val="18"/>
              </w:rPr>
              <w:t>65,718,019.88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70,247,079.36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09" w:right="0"/>
              <w:jc w:val="left"/>
              <w:rPr>
                <w:rFonts w:ascii="Times New Roman" w:hAnsi="Times New Roman" w:cs="Times New Roman" w:eastAsia="Times New Roman" w:hint="default"/>
                <w:sz w:val="18"/>
                <w:szCs w:val="18"/>
              </w:rPr>
            </w:pPr>
            <w:r>
              <w:rPr>
                <w:rFonts w:ascii="Times New Roman"/>
                <w:sz w:val="18"/>
              </w:rPr>
              <w:t>-37,850,494.66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-7,279,217.83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419.98%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银行存款利息。</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1,153,017,634.84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1,145,565,555.27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1,226,930,897.19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789,647,792.32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55.38%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-73,913,262.35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355,917,762.95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-120.77%</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3,895,881,682.85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1,176,719,971.25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231.08%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4,028,511,680.62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2,194,345,265.29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83.59%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-132,629,997.77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-1,017,625,294.04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-86.97%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1,098,525.34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2,722,432,307.86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-99.96%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36,648,668.96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23,252,522.01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57.61%</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-35,550,143.62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2,699,179,785.85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-101.32%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5" w:right="0"/>
              <w:jc w:val="left"/>
              <w:rPr>
                <w:rFonts w:ascii="Times New Roman" w:hAnsi="Times New Roman" w:cs="Times New Roman" w:eastAsia="Times New Roman" w:hint="default"/>
                <w:sz w:val="18"/>
                <w:szCs w:val="18"/>
              </w:rPr>
            </w:pPr>
            <w:r>
              <w:rPr>
                <w:rFonts w:ascii="Times New Roman"/>
                <w:sz w:val="18"/>
              </w:rPr>
              <w:t>-242,174,525.09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9" w:right="0"/>
              <w:jc w:val="left"/>
              <w:rPr>
                <w:rFonts w:ascii="Times New Roman" w:hAnsi="Times New Roman" w:cs="Times New Roman" w:eastAsia="Times New Roman" w:hint="default"/>
                <w:sz w:val="18"/>
                <w:szCs w:val="18"/>
              </w:rPr>
            </w:pPr>
            <w:r>
              <w:rPr>
                <w:rFonts w:ascii="Times New Roman"/>
                <w:sz w:val="18"/>
              </w:rPr>
              <w:t>2,037,516,354.75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-111.89%</w:t>
            </w:r>
            <w:r>
              <w:rPr>
                <w:rFonts w:ascii="Times New Roman"/>
                <w:spacing w:val="-2"/>
                <w:sz w:val="18"/>
              </w:rPr>
            </w:r>
          </w:p>
        </w:tc>
      </w:tr>
    </w:tbl>
    <w:p>
      <w:pPr>
        <w:pStyle w:val="BodyText"/>
        <w:spacing w:line="240" w:lineRule="auto" w:before="51"/>
        <w:ind w:left="154" w:right="0"/>
        <w:jc w:val="left"/>
      </w:pPr>
      <w:r>
        <w:rPr/>
        <w:t>相关数据同比发生重大变动的主要影响因素说明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3" w:right="0"/>
        <w:jc w:val="left"/>
      </w:pPr>
      <w:r>
        <w:rPr/>
        <w:t>（</w:t>
      </w:r>
      <w:r>
        <w:rPr>
          <w:rFonts w:ascii="Times New Roman" w:hAnsi="Times New Roman" w:cs="Times New Roman" w:eastAsia="Times New Roman" w:hint="default"/>
        </w:rPr>
        <w:t>1</w:t>
      </w:r>
      <w:r>
        <w:rPr/>
        <w:t>）经营活动现金流出较</w:t>
      </w:r>
      <w:r>
        <w:rPr>
          <w:rFonts w:ascii="Times New Roman" w:hAnsi="Times New Roman" w:cs="Times New Roman" w:eastAsia="Times New Roman" w:hint="default"/>
        </w:rPr>
        <w:t>2016</w:t>
      </w:r>
      <w:r>
        <w:rPr/>
        <w:t>年增长</w:t>
      </w:r>
      <w:r>
        <w:rPr>
          <w:rFonts w:ascii="Times New Roman" w:hAnsi="Times New Roman" w:cs="Times New Roman" w:eastAsia="Times New Roman" w:hint="default"/>
        </w:rPr>
        <w:t>55.38%</w:t>
      </w:r>
      <w:r>
        <w:rPr/>
        <w:t>主要是营业成本同比增长及本报告期地产板块集中支付总包工程款所致；</w:t>
      </w:r>
    </w:p>
    <w:p>
      <w:pPr>
        <w:pStyle w:val="BodyText"/>
        <w:spacing w:line="300" w:lineRule="auto" w:before="63"/>
        <w:ind w:right="1124" w:firstLine="360"/>
        <w:jc w:val="left"/>
      </w:pPr>
      <w:r>
        <w:rPr/>
        <w:t>（</w:t>
      </w:r>
      <w:r>
        <w:rPr>
          <w:rFonts w:ascii="Times New Roman" w:hAnsi="Times New Roman" w:cs="Times New Roman" w:eastAsia="Times New Roman" w:hint="default"/>
        </w:rPr>
        <w:t>2</w:t>
      </w:r>
      <w:r>
        <w:rPr/>
        <w:t>）经营活动产生的现金流量净额较</w:t>
      </w:r>
      <w:r>
        <w:rPr>
          <w:rFonts w:ascii="Times New Roman" w:hAnsi="Times New Roman" w:cs="Times New Roman" w:eastAsia="Times New Roman" w:hint="default"/>
        </w:rPr>
        <w:t>2016</w:t>
      </w:r>
      <w:r>
        <w:rPr/>
        <w:t>年下降</w:t>
      </w:r>
      <w:r>
        <w:rPr>
          <w:rFonts w:ascii="Times New Roman" w:hAnsi="Times New Roman" w:cs="Times New Roman" w:eastAsia="Times New Roman" w:hint="default"/>
        </w:rPr>
        <w:t>120.77%</w:t>
      </w:r>
      <w:r>
        <w:rPr/>
        <w:t>，主要原因包括：①公司互联网板块为拓展业务，通过预付 </w:t>
      </w:r>
      <w:r>
        <w:rPr>
          <w:spacing w:val="-2"/>
        </w:rPr>
        <w:t>充值、包版买断方式抢占优质媒体资源；另外，直客类客户通常采用先播后付的方式，回款周期较长；②公司新兴业务</w:t>
      </w:r>
      <w:r>
        <w:rPr>
          <w:rFonts w:ascii="Times New Roman" w:hAnsi="Times New Roman" w:cs="Times New Roman" w:eastAsia="Times New Roman" w:hint="default"/>
          <w:spacing w:val="-2"/>
        </w:rPr>
        <w:t>—</w:t>
      </w:r>
      <w:r>
        <w:rPr>
          <w:spacing w:val="-2"/>
        </w:rPr>
        <w:t>供</w:t>
      </w:r>
      <w:r>
        <w:rPr>
          <w:spacing w:val="-66"/>
        </w:rPr>
        <w:t> </w:t>
      </w:r>
      <w:r>
        <w:rPr>
          <w:spacing w:val="-2"/>
        </w:rPr>
        <w:t>应链管理板块，主要业务于</w:t>
      </w:r>
      <w:r>
        <w:rPr>
          <w:rFonts w:ascii="Times New Roman" w:hAnsi="Times New Roman" w:cs="Times New Roman" w:eastAsia="Times New Roman" w:hint="default"/>
          <w:spacing w:val="-2"/>
        </w:rPr>
        <w:t>2017</w:t>
      </w:r>
      <w:r>
        <w:rPr>
          <w:spacing w:val="-2"/>
        </w:rPr>
        <w:t>年四季度逐步开展，部分采用预付货款业务模式，报告期内下游客户尚未结算或回款；③公</w:t>
      </w:r>
      <w:r>
        <w:rPr>
          <w:spacing w:val="-62"/>
        </w:rPr>
        <w:t> </w:t>
      </w:r>
      <w:r>
        <w:rPr>
          <w:spacing w:val="-62"/>
        </w:rPr>
      </w:r>
      <w:r>
        <w:rPr>
          <w:spacing w:val="-1"/>
        </w:rPr>
        <w:t>司房地产板块采用预收房款的模式，</w:t>
      </w:r>
      <w:r>
        <w:rPr>
          <w:rFonts w:ascii="Times New Roman" w:hAnsi="Times New Roman" w:cs="Times New Roman" w:eastAsia="Times New Roman" w:hint="default"/>
          <w:spacing w:val="-1"/>
        </w:rPr>
        <w:t>2017</w:t>
      </w:r>
      <w:r>
        <w:rPr>
          <w:spacing w:val="-1"/>
        </w:rPr>
        <w:t>年因房地产业务逐渐萎缩，</w:t>
      </w:r>
      <w:r>
        <w:rPr>
          <w:rFonts w:ascii="Times New Roman" w:hAnsi="Times New Roman" w:cs="Times New Roman" w:eastAsia="Times New Roman" w:hint="default"/>
          <w:spacing w:val="-1"/>
        </w:rPr>
        <w:t>2017</w:t>
      </w:r>
      <w:r>
        <w:rPr>
          <w:spacing w:val="-1"/>
        </w:rPr>
        <w:t>年较</w:t>
      </w:r>
      <w:r>
        <w:rPr>
          <w:rFonts w:ascii="Times New Roman" w:hAnsi="Times New Roman" w:cs="Times New Roman" w:eastAsia="Times New Roman" w:hint="default"/>
          <w:spacing w:val="-1"/>
        </w:rPr>
        <w:t>2016</w:t>
      </w:r>
      <w:r>
        <w:rPr>
          <w:spacing w:val="-1"/>
        </w:rPr>
        <w:t>年预收房款下降</w:t>
      </w:r>
      <w:r>
        <w:rPr>
          <w:rFonts w:ascii="Times New Roman" w:hAnsi="Times New Roman" w:cs="Times New Roman" w:eastAsia="Times New Roman" w:hint="default"/>
          <w:spacing w:val="-1"/>
        </w:rPr>
        <w:t>58%</w:t>
      </w:r>
      <w:r>
        <w:rPr>
          <w:spacing w:val="-1"/>
        </w:rPr>
        <w:t>，同时本报告期内集</w:t>
      </w:r>
      <w:r>
        <w:rPr>
          <w:spacing w:val="-82"/>
        </w:rPr>
        <w:t> </w:t>
      </w:r>
      <w:r>
        <w:rPr>
          <w:spacing w:val="-82"/>
        </w:rPr>
      </w:r>
      <w:r>
        <w:rPr/>
        <w:t>中支付大量总包工程款及相关税费同比增长；</w:t>
      </w:r>
    </w:p>
    <w:p>
      <w:pPr>
        <w:pStyle w:val="BodyText"/>
        <w:spacing w:line="300" w:lineRule="auto" w:before="31"/>
        <w:ind w:left="154" w:right="1197" w:firstLine="360"/>
        <w:jc w:val="left"/>
      </w:pPr>
      <w:r>
        <w:rPr/>
        <w:t>（</w:t>
      </w:r>
      <w:r>
        <w:rPr>
          <w:rFonts w:ascii="Times New Roman" w:hAnsi="Times New Roman" w:cs="Times New Roman" w:eastAsia="Times New Roman" w:hint="default"/>
        </w:rPr>
        <w:t>3</w:t>
      </w:r>
      <w:r>
        <w:rPr/>
        <w:t>）投资活动现金流入较</w:t>
      </w:r>
      <w:r>
        <w:rPr>
          <w:rFonts w:ascii="Times New Roman" w:hAnsi="Times New Roman" w:cs="Times New Roman" w:eastAsia="Times New Roman" w:hint="default"/>
        </w:rPr>
        <w:t>2016</w:t>
      </w:r>
      <w:r>
        <w:rPr/>
        <w:t>年增长</w:t>
      </w:r>
      <w:r>
        <w:rPr>
          <w:rFonts w:ascii="Times New Roman" w:hAnsi="Times New Roman" w:cs="Times New Roman" w:eastAsia="Times New Roman" w:hint="default"/>
        </w:rPr>
        <w:t>231.08%</w:t>
      </w:r>
      <w:r>
        <w:rPr/>
        <w:t>主要是本报告期内取得处置控股、参股公司股权对价款、闲置资金理财 收益增长所致；</w:t>
      </w:r>
    </w:p>
    <w:p>
      <w:pPr>
        <w:pStyle w:val="BodyText"/>
        <w:spacing w:line="240" w:lineRule="auto" w:before="31"/>
        <w:ind w:left="514" w:right="0"/>
        <w:jc w:val="left"/>
      </w:pPr>
      <w:r>
        <w:rPr/>
        <w:t>（</w:t>
      </w:r>
      <w:r>
        <w:rPr>
          <w:rFonts w:ascii="Times New Roman" w:hAnsi="Times New Roman" w:cs="Times New Roman" w:eastAsia="Times New Roman" w:hint="default"/>
        </w:rPr>
        <w:t>4</w:t>
      </w:r>
      <w:r>
        <w:rPr/>
        <w:t>）投资活动现金流出较</w:t>
      </w:r>
      <w:r>
        <w:rPr>
          <w:rFonts w:ascii="Times New Roman" w:hAnsi="Times New Roman" w:cs="Times New Roman" w:eastAsia="Times New Roman" w:hint="default"/>
        </w:rPr>
        <w:t>2016</w:t>
      </w:r>
      <w:r>
        <w:rPr/>
        <w:t>年增长</w:t>
      </w:r>
      <w:r>
        <w:rPr>
          <w:rFonts w:ascii="Times New Roman" w:hAnsi="Times New Roman" w:cs="Times New Roman" w:eastAsia="Times New Roman" w:hint="default"/>
        </w:rPr>
        <w:t>83.59%</w:t>
      </w:r>
      <w:r>
        <w:rPr/>
        <w:t>主要是本报告期内闲置资金购买理财累计金额较上年增长所致；</w:t>
      </w:r>
    </w:p>
    <w:p>
      <w:pPr>
        <w:pStyle w:val="BodyText"/>
        <w:spacing w:line="240" w:lineRule="auto" w:before="63"/>
        <w:ind w:left="514" w:right="0"/>
        <w:jc w:val="left"/>
      </w:pPr>
      <w:r>
        <w:rPr/>
        <w:t>（</w:t>
      </w:r>
      <w:r>
        <w:rPr>
          <w:rFonts w:ascii="Times New Roman" w:hAnsi="Times New Roman" w:cs="Times New Roman" w:eastAsia="Times New Roman" w:hint="default"/>
        </w:rPr>
        <w:t>5</w:t>
      </w:r>
      <w:r>
        <w:rPr/>
        <w:t>）筹资活动现金流入较</w:t>
      </w:r>
      <w:r>
        <w:rPr>
          <w:rFonts w:ascii="Times New Roman" w:hAnsi="Times New Roman" w:cs="Times New Roman" w:eastAsia="Times New Roman" w:hint="default"/>
        </w:rPr>
        <w:t>2016</w:t>
      </w:r>
      <w:r>
        <w:rPr/>
        <w:t>年下降</w:t>
      </w:r>
      <w:r>
        <w:rPr>
          <w:rFonts w:ascii="Times New Roman" w:hAnsi="Times New Roman" w:cs="Times New Roman" w:eastAsia="Times New Roman" w:hint="default"/>
        </w:rPr>
        <w:t>99.96%</w:t>
      </w:r>
      <w:r>
        <w:rPr/>
        <w:t>主要是上年募集资金发行股份，本报告期无此业务所致；</w:t>
      </w:r>
    </w:p>
    <w:p>
      <w:pPr>
        <w:pStyle w:val="BodyText"/>
        <w:spacing w:line="300" w:lineRule="auto" w:before="63"/>
        <w:ind w:right="1118" w:firstLine="360"/>
        <w:jc w:val="left"/>
      </w:pPr>
      <w:r>
        <w:rPr>
          <w:spacing w:val="-1"/>
        </w:rPr>
        <w:t>（</w:t>
      </w:r>
      <w:r>
        <w:rPr>
          <w:rFonts w:ascii="Times New Roman" w:hAnsi="Times New Roman" w:cs="Times New Roman" w:eastAsia="Times New Roman" w:hint="default"/>
          <w:spacing w:val="-1"/>
        </w:rPr>
        <w:t>6</w:t>
      </w:r>
      <w:r>
        <w:rPr>
          <w:spacing w:val="-1"/>
        </w:rPr>
        <w:t>）筹资活动现金流出较</w:t>
      </w:r>
      <w:r>
        <w:rPr>
          <w:rFonts w:ascii="Times New Roman" w:hAnsi="Times New Roman" w:cs="Times New Roman" w:eastAsia="Times New Roman" w:hint="default"/>
          <w:spacing w:val="-1"/>
        </w:rPr>
        <w:t>2016</w:t>
      </w:r>
      <w:r>
        <w:rPr>
          <w:spacing w:val="-1"/>
        </w:rPr>
        <w:t>年增长</w:t>
      </w:r>
      <w:r>
        <w:rPr>
          <w:rFonts w:ascii="Times New Roman" w:hAnsi="Times New Roman" w:cs="Times New Roman" w:eastAsia="Times New Roman" w:hint="default"/>
          <w:spacing w:val="-1"/>
        </w:rPr>
        <w:t>57.61%</w:t>
      </w:r>
      <w:r>
        <w:rPr>
          <w:spacing w:val="-1"/>
        </w:rPr>
        <w:t>主要是本报告期内实施了</w:t>
      </w:r>
      <w:r>
        <w:rPr>
          <w:rFonts w:ascii="Times New Roman" w:hAnsi="Times New Roman" w:cs="Times New Roman" w:eastAsia="Times New Roman" w:hint="default"/>
          <w:spacing w:val="-1"/>
        </w:rPr>
        <w:t>2016</w:t>
      </w:r>
      <w:r>
        <w:rPr>
          <w:spacing w:val="-1"/>
        </w:rPr>
        <w:t>年度利润分配方案，对全体股东现金分红所</w:t>
      </w:r>
      <w:r>
        <w:rPr/>
        <w:t> 致。</w:t>
      </w:r>
    </w:p>
    <w:p>
      <w:pPr>
        <w:pStyle w:val="BodyText"/>
        <w:spacing w:line="240" w:lineRule="auto" w:before="72"/>
        <w:ind w:left="154" w:right="0"/>
        <w:jc w:val="left"/>
      </w:pPr>
      <w:r>
        <w:rPr/>
        <w:t>报告期内公司经营活动产生的现金净流量与本年度净利润存在重大差异的原因说明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3" w:right="0"/>
        <w:jc w:val="left"/>
      </w:pPr>
      <w:r>
        <w:rPr/>
        <w:t>（</w:t>
      </w:r>
      <w:r>
        <w:rPr>
          <w:rFonts w:ascii="Times New Roman" w:hAnsi="Times New Roman" w:cs="Times New Roman" w:eastAsia="Times New Roman" w:hint="default"/>
        </w:rPr>
        <w:t>1</w:t>
      </w:r>
      <w:r>
        <w:rPr/>
        <w:t>）公司互联网板块为拓展业务，通过预付充值、包版买断方式抢占优质媒体资源；</w:t>
      </w:r>
    </w:p>
    <w:p>
      <w:pPr>
        <w:pStyle w:val="BodyText"/>
        <w:spacing w:line="300" w:lineRule="auto" w:before="63"/>
        <w:ind w:left="154" w:right="1182" w:firstLine="360"/>
        <w:jc w:val="left"/>
      </w:pPr>
      <w:r>
        <w:rPr/>
        <w:t>（</w:t>
      </w:r>
      <w:r>
        <w:rPr>
          <w:rFonts w:ascii="Times New Roman" w:hAnsi="Times New Roman" w:cs="Times New Roman" w:eastAsia="Times New Roman" w:hint="default"/>
        </w:rPr>
        <w:t>2</w:t>
      </w:r>
      <w:r>
        <w:rPr/>
        <w:t>）公司新兴业务</w:t>
      </w:r>
      <w:r>
        <w:rPr>
          <w:rFonts w:ascii="Times New Roman" w:hAnsi="Times New Roman" w:cs="Times New Roman" w:eastAsia="Times New Roman" w:hint="default"/>
        </w:rPr>
        <w:t>--</w:t>
      </w:r>
      <w:r>
        <w:rPr/>
        <w:t>供应链管理板块，主要业务于</w:t>
      </w:r>
      <w:r>
        <w:rPr>
          <w:rFonts w:ascii="Times New Roman" w:hAnsi="Times New Roman" w:cs="Times New Roman" w:eastAsia="Times New Roman" w:hint="default"/>
        </w:rPr>
        <w:t>2017</w:t>
      </w:r>
      <w:r>
        <w:rPr/>
        <w:t>年四季度逐步开展，部分采用预付货款业务模式，报告期内客 户尚未结算或回款；</w:t>
      </w:r>
    </w:p>
    <w:p>
      <w:pPr>
        <w:pStyle w:val="BodyText"/>
        <w:spacing w:line="240" w:lineRule="auto" w:before="31"/>
        <w:ind w:left="514" w:right="0"/>
        <w:jc w:val="left"/>
      </w:pPr>
      <w:r>
        <w:rPr/>
        <w:t>（</w:t>
      </w:r>
      <w:r>
        <w:rPr>
          <w:rFonts w:ascii="Times New Roman" w:hAnsi="Times New Roman" w:cs="Times New Roman" w:eastAsia="Times New Roman" w:hint="default"/>
        </w:rPr>
        <w:t>3</w:t>
      </w:r>
      <w:r>
        <w:rPr/>
        <w:t>）公司房地产板块采用预收房款的模式，</w:t>
      </w:r>
      <w:r>
        <w:rPr>
          <w:rFonts w:ascii="Times New Roman" w:hAnsi="Times New Roman" w:cs="Times New Roman" w:eastAsia="Times New Roman" w:hint="default"/>
        </w:rPr>
        <w:t>2016</w:t>
      </w:r>
      <w:r>
        <w:rPr/>
        <w:t>年实现预售房业务在本报告期内到达交房条件并结转收入；</w:t>
      </w:r>
    </w:p>
    <w:p>
      <w:pPr>
        <w:pStyle w:val="BodyText"/>
        <w:spacing w:line="240" w:lineRule="auto" w:before="63"/>
        <w:ind w:left="513" w:right="0"/>
        <w:jc w:val="left"/>
      </w:pPr>
      <w:r>
        <w:rPr/>
        <w:t>（</w:t>
      </w:r>
      <w:r>
        <w:rPr>
          <w:rFonts w:ascii="Times New Roman" w:hAnsi="Times New Roman" w:cs="Times New Roman" w:eastAsia="Times New Roman" w:hint="default"/>
        </w:rPr>
        <w:t>4</w:t>
      </w:r>
      <w:r>
        <w:rPr/>
        <w:t>）公司地产板块本报告期内集中支付大量总包工程款及相关税费同比增长。</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37"/>
        <w:gridCol w:w="901"/>
        <w:gridCol w:w="1367"/>
        <w:gridCol w:w="892"/>
        <w:gridCol w:w="798"/>
        <w:gridCol w:w="2918"/>
      </w:tblGrid>
      <w:tr>
        <w:trPr>
          <w:trHeight w:val="38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8"/>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8"/>
              <w:ind w:left="260" w:right="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1,900,892,199.51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2,146,393,123.76</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679,583,478.09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454,882,150.54</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7.11%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7" w:right="0"/>
              <w:jc w:val="left"/>
              <w:rPr>
                <w:rFonts w:ascii="Times New Roman" w:hAnsi="Times New Roman" w:cs="Times New Roman" w:eastAsia="Times New Roman" w:hint="default"/>
                <w:sz w:val="18"/>
                <w:szCs w:val="18"/>
              </w:rPr>
            </w:pPr>
            <w:r>
              <w:rPr>
                <w:rFonts w:ascii="Times New Roman"/>
                <w:sz w:val="18"/>
              </w:rPr>
              <w:t>81,615.10</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0.00%</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595,967,058.71</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9.32%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-9.32%</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剥离房地产业务，合并范围发生变 化。</w:t>
            </w:r>
          </w:p>
        </w:tc>
      </w:tr>
      <w:tr>
        <w:trPr>
          <w:trHeight w:val="393"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9,565,997.00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9,414,872.78</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7" w:type="dxa"/>
            <w:tcBorders>
              <w:top w:val="single" w:sz="4" w:space="0" w:color="000000"/>
              <w:left w:val="single" w:sz="13" w:space="0" w:color="D2D2D2"/>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236,143,988.54</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359"/>
        <w:gridCol w:w="1337"/>
        <w:gridCol w:w="901"/>
        <w:gridCol w:w="1367"/>
        <w:gridCol w:w="892"/>
        <w:gridCol w:w="798"/>
        <w:gridCol w:w="2918"/>
      </w:tblGrid>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108,110,436.03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146,178,746.60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3" w:right="0"/>
              <w:jc w:val="left"/>
              <w:rPr>
                <w:rFonts w:ascii="Times New Roman" w:hAnsi="Times New Roman" w:cs="Times New Roman" w:eastAsia="Times New Roman" w:hint="default"/>
                <w:sz w:val="18"/>
                <w:szCs w:val="18"/>
              </w:rPr>
            </w:pPr>
            <w:r>
              <w:rPr>
                <w:rFonts w:ascii="Times New Roman"/>
                <w:sz w:val="18"/>
              </w:rPr>
              <w:t>2.29%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-0.42%</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line="544" w:lineRule="auto" w:before="0"/>
        <w:ind w:left="153" w:right="727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截至报告期末的资产权利受限情况" w:id="44"/>
      <w:bookmarkEnd w:id="4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2"/>
        <w:spacing w:line="240" w:lineRule="auto" w:before="100"/>
        <w:ind w:left="154" w:right="0"/>
        <w:jc w:val="left"/>
        <w:rPr>
          <w:b w:val="0"/>
          <w:bCs w:val="0"/>
        </w:rPr>
      </w:pPr>
      <w:bookmarkStart w:name="五、投资状况" w:id="45"/>
      <w:bookmarkEnd w:id="45"/>
      <w:r>
        <w:rPr>
          <w:b w:val="0"/>
          <w:bCs w:val="0"/>
        </w:rPr>
      </w:r>
      <w:r>
        <w:rPr/>
        <w:t>五、投资状况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272,000,000.00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-84.80%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金融资产投资" w:id="49"/>
      <w:bookmarkEnd w:id="49"/>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证券投资情况" w:id="50"/>
      <w:bookmarkEnd w:id="50"/>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衍生品投资情况" w:id="51"/>
      <w:bookmarkEnd w:id="5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5、募集资金使用情况" w:id="52"/>
      <w:bookmarkEnd w:id="52"/>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募集资金总体使用情况" w:id="53"/>
      <w:bookmarkEnd w:id="53"/>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非公开发 行股份募 集配套资 金</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271,994.99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17,956.83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82,059.51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109,935.48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根据各项 目未来发 展情况投 入或变更</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271,994.99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17,956.83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82,059.51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29.41%</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109,935.48</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0"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日累计使用募集资金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82,059.51 </w:t>
            </w:r>
            <w:r>
              <w:rPr>
                <w:rFonts w:ascii="宋体" w:hAnsi="宋体" w:cs="宋体" w:eastAsia="宋体" w:hint="default"/>
                <w:sz w:val="18"/>
                <w:szCs w:val="18"/>
              </w:rPr>
              <w:t>万元，其中</w:t>
            </w:r>
            <w:r>
              <w:rPr>
                <w:rFonts w:ascii="Times New Roman" w:hAnsi="Times New Roman" w:cs="Times New Roman" w:eastAsia="Times New Roman" w:hint="default"/>
                <w:sz w:val="18"/>
                <w:szCs w:val="18"/>
              </w:rPr>
              <w:t>“</w:t>
            </w:r>
            <w:r>
              <w:rPr>
                <w:rFonts w:ascii="宋体" w:hAnsi="宋体" w:cs="宋体" w:eastAsia="宋体" w:hint="default"/>
                <w:sz w:val="18"/>
                <w:szCs w:val="18"/>
              </w:rPr>
              <w:t>移动广告营销网络建设项目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1,197.47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户外</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媒体联屏联播网项目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12,923.38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“WIFI</w:t>
            </w:r>
            <w:r>
              <w:rPr>
                <w:rFonts w:ascii="Times New Roman" w:hAnsi="Times New Roman" w:cs="Times New Roman" w:eastAsia="Times New Roman" w:hint="default"/>
                <w:sz w:val="18"/>
                <w:szCs w:val="18"/>
              </w:rPr>
              <w:t> </w:t>
            </w:r>
            <w:r>
              <w:rPr>
                <w:rFonts w:ascii="宋体" w:hAnsi="宋体" w:cs="宋体" w:eastAsia="宋体" w:hint="default"/>
                <w:sz w:val="18"/>
                <w:szCs w:val="18"/>
              </w:rPr>
              <w:t>布点项目</w:t>
            </w:r>
            <w:r>
              <w:rPr>
                <w:rFonts w:ascii="Times New Roman" w:hAnsi="Times New Roman" w:cs="Times New Roman" w:eastAsia="Times New Roman" w:hint="default"/>
                <w:sz w:val="18"/>
                <w:szCs w:val="18"/>
              </w:rPr>
              <w:t>”</w:t>
            </w:r>
            <w:r>
              <w:rPr>
                <w:rFonts w:ascii="宋体" w:hAnsi="宋体" w:cs="宋体" w:eastAsia="宋体" w:hint="default"/>
                <w:sz w:val="18"/>
                <w:szCs w:val="18"/>
              </w:rPr>
              <w:t>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72 </w:t>
            </w:r>
            <w:r>
              <w:rPr>
                <w:rFonts w:ascii="宋体" w:hAnsi="宋体" w:cs="宋体" w:eastAsia="宋体" w:hint="default"/>
                <w:spacing w:val="-3"/>
                <w:sz w:val="18"/>
                <w:szCs w:val="18"/>
              </w:rPr>
              <w:t>万元，另支付收购对价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67,866.66 </w:t>
            </w:r>
            <w:r>
              <w:rPr>
                <w:rFonts w:ascii="宋体" w:hAnsi="宋体" w:cs="宋体" w:eastAsia="宋体" w:hint="default"/>
                <w:spacing w:val="-3"/>
                <w:sz w:val="18"/>
                <w:szCs w:val="18"/>
              </w:rPr>
              <w:t>万元，使用部分闲置</w:t>
            </w:r>
          </w:p>
          <w:p>
            <w:pPr>
              <w:pStyle w:val="TableParagraph"/>
              <w:spacing w:line="300"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募集资金投资银行理财产品取得投资收益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2,954.76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万元，募集资金专户存款产生利息收入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3,844.54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万元。公司终止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布点项目、宴会厅</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显示屏项目，减少户外媒体联屏联播网项目投资额</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32,461.56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万元、移动广告营销网络建设项目投 资额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22,047.55 </w:t>
            </w:r>
            <w:r>
              <w:rPr>
                <w:rFonts w:ascii="宋体" w:hAnsi="宋体" w:cs="宋体" w:eastAsia="宋体" w:hint="default"/>
                <w:sz w:val="18"/>
                <w:szCs w:val="18"/>
              </w:rPr>
              <w:t>万元，合计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万元用于永久性补充流动资金。</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募集资金承诺项目情况" w:id="54"/>
      <w:bookmarkEnd w:id="54"/>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640"/>
        <w:gridCol w:w="919"/>
        <w:gridCol w:w="780"/>
        <w:gridCol w:w="779"/>
        <w:gridCol w:w="780"/>
        <w:gridCol w:w="780"/>
        <w:gridCol w:w="780"/>
        <w:gridCol w:w="780"/>
        <w:gridCol w:w="780"/>
        <w:gridCol w:w="780"/>
      </w:tblGrid>
      <w:tr>
        <w:trPr>
          <w:trHeight w:val="16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4" w:right="4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8"/>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移动广告营销网络建 设项目</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23,547.55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1,197.47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79.83%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至美移动数字营销综 合服务平台升级项目</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23,992.82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23,992.82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研发中心项目</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5,130.95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5,130.95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户外媒体联屏联播网 项目</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114,457.91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81,996.35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12,923.38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布点项目</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14,769.67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宴会厅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显示屏项 目</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10,793.22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2.2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640"/>
                    <w:gridCol w:w="919"/>
                    <w:gridCol w:w="780"/>
                    <w:gridCol w:w="779"/>
                    <w:gridCol w:w="780"/>
                    <w:gridCol w:w="780"/>
                    <w:gridCol w:w="780"/>
                    <w:gridCol w:w="780"/>
                    <w:gridCol w:w="780"/>
                    <w:gridCol w:w="780"/>
                  </w:tblGrid>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支付收购对价</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6" w:right="0"/>
                          <w:jc w:val="left"/>
                          <w:rPr>
                            <w:rFonts w:ascii="Times New Roman" w:hAnsi="Times New Roman" w:cs="Times New Roman" w:eastAsia="Times New Roman" w:hint="default"/>
                            <w:sz w:val="18"/>
                            <w:szCs w:val="18"/>
                          </w:rPr>
                        </w:pPr>
                        <w:r>
                          <w:rPr>
                            <w:rFonts w:ascii="Times New Roman"/>
                            <w:sz w:val="18"/>
                          </w:rPr>
                          <w:t>79,302.87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79,302.87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18,308.66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67,866.66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left"/>
                          <w:rPr>
                            <w:rFonts w:ascii="Times New Roman" w:hAnsi="Times New Roman" w:cs="Times New Roman" w:eastAsia="Times New Roman" w:hint="default"/>
                            <w:sz w:val="18"/>
                            <w:szCs w:val="18"/>
                          </w:rPr>
                        </w:pPr>
                        <w:r>
                          <w:rPr>
                            <w:rFonts w:ascii="Times New Roman"/>
                            <w:sz w:val="18"/>
                          </w:rPr>
                          <w:t>85.58%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91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271,994.99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191,994.9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17,956.83</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82,059.51</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-99.75</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53"/>
                          <w:jc w:val="right"/>
                          <w:rPr>
                            <w:rFonts w:ascii="Times New Roman" w:hAnsi="Times New Roman" w:cs="Times New Roman" w:eastAsia="Times New Roman" w:hint="default"/>
                            <w:sz w:val="18"/>
                            <w:szCs w:val="18"/>
                          </w:rPr>
                        </w:pPr>
                        <w:r>
                          <w:rPr>
                            <w:rFonts w:ascii="Times New Roman"/>
                            <w:sz w:val="18"/>
                          </w:rPr>
                          <w:t>--</w:t>
                        </w:r>
                      </w:p>
                    </w:tc>
                    <w:tc>
                      <w:tcPr>
                        <w:tcW w:w="919"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919"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4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91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271,994.99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191,994.9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17,956.83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82,059.51</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-99.75</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53"/>
                          <w:jc w:val="right"/>
                          <w:rPr>
                            <w:rFonts w:ascii="Times New Roman" w:hAnsi="Times New Roman" w:cs="Times New Roman" w:eastAsia="Times New Roman" w:hint="default"/>
                            <w:sz w:val="18"/>
                            <w:szCs w:val="18"/>
                          </w:rPr>
                        </w:pPr>
                        <w:r>
                          <w:rPr>
                            <w:rFonts w:ascii="Times New Roman"/>
                            <w:sz w:val="18"/>
                          </w:rPr>
                          <w:t>--</w:t>
                        </w:r>
                      </w:p>
                    </w:tc>
                    <w:tc>
                      <w:tcPr>
                        <w:tcW w:w="919"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919"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250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7" w:lineRule="auto" w:before="51"/>
                          <w:ind w:left="16"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、移动广告营销网络建设项目，因公司出于对移动广告营销网络布局谨慎决策的考虑，加大了前期</w:t>
                        </w:r>
                        <w:r>
                          <w:rPr>
                            <w:rFonts w:ascii="宋体" w:hAnsi="宋体" w:cs="宋体" w:eastAsia="宋体" w:hint="default"/>
                            <w:sz w:val="18"/>
                            <w:szCs w:val="18"/>
                          </w:rPr>
                          <w:t> 市场调研力度，该项目已不能实现公司合理的商业预期，公司董事会和管理层决定减少该项目投资 额。为最大限度地发挥募集资金作用，提高募集资金的使用效率，公司同意降低本项目的总投资额 </w:t>
                        </w:r>
                        <w:r>
                          <w:rPr>
                            <w:rFonts w:ascii="宋体" w:hAnsi="宋体" w:cs="宋体" w:eastAsia="宋体" w:hint="default"/>
                            <w:spacing w:val="-3"/>
                            <w:sz w:val="18"/>
                            <w:szCs w:val="18"/>
                          </w:rPr>
                          <w:t>度，调减该项目募集资金使用金额</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22,047.55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万元并用于永久性补充流动资金。如募集资金不能满足 本次变更后的资金需求，公司将自筹解决资金缺口。</w:t>
                        </w:r>
                        <w:r>
                          <w:rPr>
                            <w:rFonts w:ascii="Times New Roman" w:hAnsi="Times New Roman" w:cs="Times New Roman" w:eastAsia="Times New Roman" w:hint="default"/>
                            <w:sz w:val="18"/>
                            <w:szCs w:val="18"/>
                          </w:rPr>
                          <w:t>2</w:t>
                        </w:r>
                        <w:r>
                          <w:rPr>
                            <w:rFonts w:ascii="宋体" w:hAnsi="宋体" w:cs="宋体" w:eastAsia="宋体" w:hint="default"/>
                            <w:sz w:val="18"/>
                            <w:szCs w:val="18"/>
                          </w:rPr>
                          <w:t>、至美移动数字营销综合服务平台升级项目 因项目的市场、技术、行业等因素发生进一步变化，考虑到项目的可持续性，公司对项目方案逐步 </w:t>
                        </w:r>
                        <w:r>
                          <w:rPr>
                            <w:rFonts w:ascii="宋体" w:hAnsi="宋体" w:cs="宋体" w:eastAsia="宋体" w:hint="default"/>
                            <w:spacing w:val="-3"/>
                            <w:sz w:val="18"/>
                            <w:szCs w:val="18"/>
                          </w:rPr>
                          <w:t>论证并减缓了项目投入。</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、研发中心项目，因行业技术更新迭代较快，为保证该项目具备长期竞争</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力，目前公司正处于行业技术调研及高端研发人才储备阶段。</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、户外媒体联屏联播网项目，因公司</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对于优质阵地资源的选择较为慎重，鉴于优质阵地资源有限，公司同意降低本项目的总投资额度， 调减该项目募集资金使用金额</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32,461.56</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万元并用于永久性补充流动资金。该项目随公司与阵地资源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方的谈判合作进度陆续投入，如募集资金不能满足本次变更后的资金需求，公司将自筹解决资金缺 口。</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布点项目，因项目的市场、技术、行业等因素发生进一步变化，考虑到项目的可持续 性，公司对项目方案进一步论证，考虑到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布点项目的后期计划的不确定性并避免募集资金闲 置，公司董事会和管理层决定终止</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布点项目，并将未使用募集资金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14,697.67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万元用于永久性</w:t>
                        </w:r>
                        <w:r>
                          <w:rPr>
                            <w:rFonts w:ascii="宋体" w:hAnsi="宋体" w:cs="宋体" w:eastAsia="宋体" w:hint="default"/>
                            <w:w w:val="99"/>
                            <w:sz w:val="18"/>
                            <w:szCs w:val="18"/>
                          </w:rPr>
                          <w:t> </w:t>
                        </w:r>
                        <w:r>
                          <w:rPr>
                            <w:rFonts w:ascii="宋体" w:hAnsi="宋体" w:cs="宋体" w:eastAsia="宋体" w:hint="default"/>
                            <w:spacing w:val="-3"/>
                            <w:sz w:val="18"/>
                            <w:szCs w:val="18"/>
                          </w:rPr>
                          <w:t>补充流动资金。</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、宴会厅</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显示屏项目，因国内高端餐饮消费市场持续低迷，宴会厅</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显示</w:t>
                        </w:r>
                        <w:r>
                          <w:rPr>
                            <w:rFonts w:ascii="宋体" w:hAnsi="宋体" w:cs="宋体" w:eastAsia="宋体" w:hint="default"/>
                            <w:w w:val="99"/>
                            <w:sz w:val="18"/>
                            <w:szCs w:val="18"/>
                          </w:rPr>
                          <w:t> </w:t>
                        </w:r>
                        <w:r>
                          <w:rPr>
                            <w:rFonts w:ascii="宋体" w:hAnsi="宋体" w:cs="宋体" w:eastAsia="宋体" w:hint="default"/>
                            <w:sz w:val="18"/>
                            <w:szCs w:val="18"/>
                          </w:rPr>
                          <w:t>屏项目市场环境已发生很大变化，该项目已不能实现公司合理的商业预期。公司出于对市场行情的</w:t>
                        </w:r>
                        <w:r>
                          <w:rPr>
                            <w:rFonts w:ascii="宋体" w:hAnsi="宋体" w:cs="宋体" w:eastAsia="宋体" w:hint="default"/>
                            <w:w w:val="99"/>
                            <w:sz w:val="18"/>
                            <w:szCs w:val="18"/>
                          </w:rPr>
                          <w:t> </w:t>
                        </w:r>
                        <w:r>
                          <w:rPr>
                            <w:rFonts w:ascii="宋体" w:hAnsi="宋体" w:cs="宋体" w:eastAsia="宋体" w:hint="default"/>
                            <w:spacing w:val="-3"/>
                            <w:sz w:val="18"/>
                            <w:szCs w:val="18"/>
                          </w:rPr>
                          <w:t>判断，考虑到宴会厅</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显示屏项目后期的实施困难，公司董事会和管理层决定终止该项目。为最</w:t>
                        </w:r>
                        <w:r>
                          <w:rPr>
                            <w:rFonts w:ascii="宋体" w:hAnsi="宋体" w:cs="宋体" w:eastAsia="宋体" w:hint="default"/>
                            <w:w w:val="99"/>
                            <w:sz w:val="18"/>
                            <w:szCs w:val="18"/>
                          </w:rPr>
                          <w:t> </w:t>
                        </w:r>
                        <w:r>
                          <w:rPr>
                            <w:rFonts w:ascii="宋体" w:hAnsi="宋体" w:cs="宋体" w:eastAsia="宋体" w:hint="default"/>
                            <w:spacing w:val="-3"/>
                            <w:sz w:val="18"/>
                            <w:szCs w:val="18"/>
                          </w:rPr>
                          <w:t>大限度地发挥募集资金作用，提高募集资金的使用效率，公司决定将未使用募集资金</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10,793.22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宋体" w:hAnsi="宋体" w:cs="宋体" w:eastAsia="宋体" w:hint="default"/>
                            <w:spacing w:val="-86"/>
                            <w:sz w:val="18"/>
                            <w:szCs w:val="18"/>
                          </w:rPr>
                          <w:t> </w:t>
                        </w:r>
                        <w:r>
                          <w:rPr>
                            <w:rFonts w:ascii="宋体" w:hAnsi="宋体" w:cs="宋体" w:eastAsia="宋体" w:hint="default"/>
                            <w:sz w:val="18"/>
                            <w:szCs w:val="18"/>
                          </w:rPr>
                          <w:t>用于永久性补充流动资金。</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250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94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2" w:lineRule="auto" w:before="51"/>
                          <w:ind w:left="16"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、移动广告营销网络建设项目，因公司出于对移动广告营销网络布局谨慎决策的考虑，加大了前期</w:t>
                        </w:r>
                        <w:r>
                          <w:rPr>
                            <w:rFonts w:ascii="宋体" w:hAnsi="宋体" w:cs="宋体" w:eastAsia="宋体" w:hint="default"/>
                            <w:sz w:val="18"/>
                            <w:szCs w:val="18"/>
                          </w:rPr>
                          <w:t> 市场调研力度，该项目已不能实现公司合理的商业预期，公司董事会和管理层决定减少该项目投资 额。</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布点项目，因项目的市场、技术、行业等因素发生进一步变化，考虑到项目的可持续 性，公司对项目方案进一步论证，考虑到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布点项目的后期计划的不确定性并避免募集资金闲 置，公司董事会和管理层决定终止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布点项目。</w:t>
                        </w:r>
                        <w:r>
                          <w:rPr>
                            <w:rFonts w:ascii="Times New Roman" w:hAnsi="Times New Roman" w:cs="Times New Roman" w:eastAsia="Times New Roman" w:hint="default"/>
                            <w:sz w:val="18"/>
                            <w:szCs w:val="18"/>
                          </w:rPr>
                          <w:t>3</w:t>
                        </w:r>
                        <w:r>
                          <w:rPr>
                            <w:rFonts w:ascii="宋体" w:hAnsi="宋体" w:cs="宋体" w:eastAsia="宋体" w:hint="default"/>
                            <w:sz w:val="18"/>
                            <w:szCs w:val="18"/>
                          </w:rPr>
                          <w:t>、宴会厅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显示屏项目，因国内高端餐饮</w:t>
                        </w:r>
                        <w:r>
                          <w:rPr>
                            <w:rFonts w:ascii="宋体" w:hAnsi="宋体" w:cs="宋体" w:eastAsia="宋体" w:hint="default"/>
                            <w:w w:val="99"/>
                            <w:sz w:val="18"/>
                            <w:szCs w:val="18"/>
                          </w:rPr>
                          <w:t> </w:t>
                        </w:r>
                        <w:r>
                          <w:rPr>
                            <w:rFonts w:ascii="宋体" w:hAnsi="宋体" w:cs="宋体" w:eastAsia="宋体" w:hint="default"/>
                            <w:spacing w:val="-4"/>
                            <w:sz w:val="18"/>
                            <w:szCs w:val="18"/>
                          </w:rPr>
                          <w:t>消费市场持续低迷，宴会厅</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显示屏项目市场环境已发生很大变化，该项目已不能实现公司合理</w:t>
                        </w:r>
                        <w:r>
                          <w:rPr>
                            <w:rFonts w:ascii="宋体" w:hAnsi="宋体" w:cs="宋体" w:eastAsia="宋体" w:hint="default"/>
                            <w:w w:val="99"/>
                            <w:sz w:val="18"/>
                            <w:szCs w:val="18"/>
                          </w:rPr>
                          <w:t> </w:t>
                        </w:r>
                        <w:r>
                          <w:rPr>
                            <w:rFonts w:ascii="宋体" w:hAnsi="宋体" w:cs="宋体" w:eastAsia="宋体" w:hint="default"/>
                            <w:spacing w:val="-3"/>
                            <w:sz w:val="18"/>
                            <w:szCs w:val="18"/>
                          </w:rPr>
                          <w:t>的商业预期。公司出于对市场行情的判断，考虑到宴会厅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显示屏项目后期的实施困难，公司董</w:t>
                        </w:r>
                        <w:r>
                          <w:rPr>
                            <w:rFonts w:ascii="宋体" w:hAnsi="宋体" w:cs="宋体" w:eastAsia="宋体" w:hint="default"/>
                            <w:w w:val="99"/>
                            <w:sz w:val="18"/>
                            <w:szCs w:val="18"/>
                          </w:rPr>
                          <w:t> </w:t>
                        </w:r>
                        <w:r>
                          <w:rPr>
                            <w:rFonts w:ascii="宋体" w:hAnsi="宋体" w:cs="宋体" w:eastAsia="宋体" w:hint="default"/>
                            <w:sz w:val="18"/>
                            <w:szCs w:val="18"/>
                          </w:rPr>
                          <w:t>事会和管理层决定终止该项目。</w:t>
                        </w:r>
                      </w:p>
                    </w:tc>
                  </w:tr>
                  <w:tr>
                    <w:trPr>
                      <w:trHeight w:val="70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vMerge/>
                        <w:tcBorders>
                          <w:left w:val="single" w:sz="9" w:space="0" w:color="D2D2D2"/>
                          <w:right w:val="single" w:sz="4" w:space="0" w:color="000000"/>
                        </w:tcBorders>
                      </w:tcPr>
                      <w:p>
                        <w:pPr/>
                      </w:p>
                    </w:tc>
                  </w:tr>
                  <w:tr>
                    <w:trPr>
                      <w:trHeight w:val="94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42"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60"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43"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9" w:lineRule="auto" w:before="51"/>
                          <w:ind w:left="16"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日，本公司召开了董事会第八届四十次会议和监事会第八届二十次会议，审议通过 </w:t>
                        </w:r>
                        <w:r>
                          <w:rPr>
                            <w:rFonts w:ascii="宋体" w:hAnsi="宋体" w:cs="宋体" w:eastAsia="宋体" w:hint="default"/>
                            <w:spacing w:val="-7"/>
                            <w:sz w:val="18"/>
                            <w:szCs w:val="18"/>
                          </w:rPr>
                          <w:t>了《关于变更部分募集资金投资项目实施方式及实施地点的议案》，同意调整部分募集资金投资项目</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具体如下：根据公司战略发展，为扩大公司布点范围，提高募集资金投资项目的实施效率，变更</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移</w:t>
                        </w:r>
                      </w:p>
                    </w:tc>
                  </w:tr>
                  <w:tr>
                    <w:trPr>
                      <w:trHeight w:val="544"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44"/>
        <w:ind w:left="0" w:right="114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before="44"/>
        <w:ind w:left="0" w:right="1139"/>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44"/>
        <w:ind w:left="0" w:right="1139"/>
        <w:jc w:val="right"/>
      </w:pPr>
      <w:r>
        <w:rPr/>
        <w:pict>
          <v:shape style="position:absolute;margin-left:56.459999pt;margin-top:-90.328278pt;width:479.2pt;height:598.550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32"/>
                          <w:jc w:val="left"/>
                          <w:rPr>
                            <w:rFonts w:ascii="宋体" w:hAnsi="宋体" w:cs="宋体" w:eastAsia="宋体" w:hint="default"/>
                            <w:sz w:val="18"/>
                            <w:szCs w:val="18"/>
                          </w:rPr>
                        </w:pPr>
                        <w:r>
                          <w:rPr>
                            <w:rFonts w:ascii="宋体" w:hAnsi="宋体" w:cs="宋体" w:eastAsia="宋体" w:hint="default"/>
                            <w:sz w:val="18"/>
                            <w:szCs w:val="18"/>
                          </w:rPr>
                          <w:t>动广告营销网络建设项目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的实施地点，实施地点由上海、广州、深圳、成都等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个城市变更为全 国范围内主要城市。</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96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日，本公司召开了董事会第八届四十次会议和监事会第八届二十次会议，审议通过 </w:t>
                        </w:r>
                        <w:r>
                          <w:rPr>
                            <w:rFonts w:ascii="宋体" w:hAnsi="宋体" w:cs="宋体" w:eastAsia="宋体" w:hint="default"/>
                            <w:spacing w:val="-7"/>
                            <w:sz w:val="18"/>
                            <w:szCs w:val="18"/>
                          </w:rPr>
                          <w:t>了《关于变更部分募集资金投资项目实施方式及实施地点的议案》，同意调整部分募集资金投资项目</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具体如下：根据公司战略发展，为扩大公司布点范围，提高募集资金投资项目的实施效率，变更</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移</w:t>
                        </w:r>
                        <w:r>
                          <w:rPr>
                            <w:rFonts w:ascii="宋体" w:hAnsi="宋体" w:cs="宋体" w:eastAsia="宋体" w:hint="default"/>
                            <w:spacing w:val="-82"/>
                            <w:sz w:val="18"/>
                            <w:szCs w:val="18"/>
                          </w:rPr>
                          <w:t> </w:t>
                        </w:r>
                        <w:r>
                          <w:rPr>
                            <w:rFonts w:ascii="宋体" w:hAnsi="宋体" w:cs="宋体" w:eastAsia="宋体" w:hint="default"/>
                            <w:spacing w:val="-2"/>
                            <w:sz w:val="18"/>
                            <w:szCs w:val="18"/>
                          </w:rPr>
                          <w:t>动广告营销网络建设项目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的实施方式，实施方式由冉十科技设立全资子公司和控股子公司变更为冉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十科技设立子公司或分公司，以及募集资金用于子公司的办公场所租赁变更为用于子公司或分公司 的办公场所租赁或购置。</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83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日，本公司召开了董事会第八届四十次会议和监事会第八届二十次会议，审议通过 </w:t>
                        </w:r>
                        <w:r>
                          <w:rPr>
                            <w:rFonts w:ascii="宋体" w:hAnsi="宋体" w:cs="宋体" w:eastAsia="宋体" w:hint="default"/>
                            <w:spacing w:val="-5"/>
                            <w:sz w:val="18"/>
                            <w:szCs w:val="18"/>
                          </w:rPr>
                          <w:t>了《关于使用募集资金置换已预先投入募集资金投资项目自筹资金的议案》，同意使用募集资金人民</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13,523.38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万元置换预先已投入的</w:t>
                        </w:r>
                        <w:r>
                          <w:rPr>
                            <w:rFonts w:ascii="Times New Roman" w:hAnsi="Times New Roman" w:cs="Times New Roman" w:eastAsia="Times New Roman" w:hint="default"/>
                            <w:sz w:val="18"/>
                            <w:szCs w:val="18"/>
                          </w:rPr>
                          <w:t>“</w:t>
                        </w:r>
                        <w:r>
                          <w:rPr>
                            <w:rFonts w:ascii="宋体" w:hAnsi="宋体" w:cs="宋体" w:eastAsia="宋体" w:hint="default"/>
                            <w:sz w:val="18"/>
                            <w:szCs w:val="18"/>
                          </w:rPr>
                          <w:t>户外媒体联屏联播网项目</w:t>
                        </w:r>
                        <w:r>
                          <w:rPr>
                            <w:rFonts w:ascii="Times New Roman" w:hAnsi="Times New Roman" w:cs="Times New Roman" w:eastAsia="Times New Roman" w:hint="default"/>
                            <w:sz w:val="18"/>
                            <w:szCs w:val="18"/>
                          </w:rPr>
                          <w:t>”</w:t>
                        </w:r>
                        <w:r>
                          <w:rPr>
                            <w:rFonts w:ascii="宋体" w:hAnsi="宋体" w:cs="宋体" w:eastAsia="宋体" w:hint="default"/>
                            <w:sz w:val="18"/>
                            <w:szCs w:val="18"/>
                          </w:rPr>
                          <w:t>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12,923.38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万元和</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布</w:t>
                        </w:r>
                      </w:p>
                      <w:p>
                        <w:pPr>
                          <w:pStyle w:val="TableParagraph"/>
                          <w:spacing w:line="300" w:lineRule="auto" w:before="5"/>
                          <w:ind w:left="22" w:right="20"/>
                          <w:jc w:val="both"/>
                          <w:rPr>
                            <w:rFonts w:ascii="宋体" w:hAnsi="宋体" w:cs="宋体" w:eastAsia="宋体" w:hint="default"/>
                            <w:sz w:val="18"/>
                            <w:szCs w:val="18"/>
                          </w:rPr>
                        </w:pPr>
                        <w:r>
                          <w:rPr>
                            <w:rFonts w:ascii="宋体" w:hAnsi="宋体" w:cs="宋体" w:eastAsia="宋体" w:hint="default"/>
                            <w:sz w:val="18"/>
                            <w:szCs w:val="18"/>
                          </w:rPr>
                          <w:t>点项目</w:t>
                        </w:r>
                        <w:r>
                          <w:rPr>
                            <w:rFonts w:ascii="Times New Roman" w:hAnsi="Times New Roman" w:cs="Times New Roman" w:eastAsia="Times New Roman" w:hint="default"/>
                            <w:sz w:val="18"/>
                            <w:szCs w:val="18"/>
                          </w:rPr>
                          <w:t>”</w:t>
                        </w:r>
                        <w:r>
                          <w:rPr>
                            <w:rFonts w:ascii="宋体" w:hAnsi="宋体" w:cs="宋体" w:eastAsia="宋体" w:hint="default"/>
                            <w:sz w:val="18"/>
                            <w:szCs w:val="18"/>
                          </w:rPr>
                          <w:t>自筹资金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万元。该先期投入的自筹资金金额业经中汇会计师事务所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出具 的中汇会鉴</w:t>
                        </w:r>
                        <w:r>
                          <w:rPr>
                            <w:rFonts w:ascii="Times New Roman" w:hAnsi="Times New Roman" w:cs="Times New Roman" w:eastAsia="Times New Roman" w:hint="default"/>
                            <w:sz w:val="18"/>
                            <w:szCs w:val="18"/>
                          </w:rPr>
                          <w:t>[2016]4139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号《关于深圳大通实业股份有限公司以自筹资金预先投入募投项目的鉴证报 告》鉴证。</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日，本公司第九届第十四次董事会会议审议通过了《关于转让公司债权</w:t>
                        </w:r>
                      </w:p>
                      <w:p>
                        <w:pPr>
                          <w:pStyle w:val="TableParagraph"/>
                          <w:spacing w:line="312" w:lineRule="auto" w:before="13"/>
                          <w:ind w:left="22" w:right="19"/>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暨关联交易的议案》，同意将公司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万元预付账款债权转让给夏东明先生，转让价格为账面原值</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其中视科传媒与深圳市华科创联科技有限公司就云智能水培物联网项目签署了《云智能水培物联网 项目委托开发协议》及《云智能水培物联网项目委托开发协议》之解除协议，根据合同约定视科传 媒已向深圳市华科创联科技有限公司支付了预付款人民币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pacing w:val="-3"/>
                            <w:sz w:val="18"/>
                            <w:szCs w:val="18"/>
                          </w:rPr>
                          <w:t>万元，根据解除协议，该公司扣除</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72</w:t>
                        </w:r>
                      </w:p>
                      <w:p>
                        <w:pPr>
                          <w:pStyle w:val="TableParagraph"/>
                          <w:spacing w:line="302" w:lineRule="auto" w:before="3"/>
                          <w:ind w:left="22" w:right="68"/>
                          <w:jc w:val="both"/>
                          <w:rPr>
                            <w:rFonts w:ascii="宋体" w:hAnsi="宋体" w:cs="宋体" w:eastAsia="宋体" w:hint="default"/>
                            <w:sz w:val="18"/>
                            <w:szCs w:val="18"/>
                          </w:rPr>
                        </w:pPr>
                        <w:r>
                          <w:rPr>
                            <w:rFonts w:ascii="宋体" w:hAnsi="宋体" w:cs="宋体" w:eastAsia="宋体" w:hint="default"/>
                            <w:sz w:val="18"/>
                            <w:szCs w:val="18"/>
                          </w:rPr>
                          <w:t>万元研发费用后应退还视科传媒预付款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万元已转入募集资 金账户。</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日，本公司召开了董事会第九届四次会议和监事会第九届三次会议，审议通过了《关</w:t>
                        </w:r>
                        <w:r>
                          <w:rPr>
                            <w:rFonts w:ascii="宋体" w:hAnsi="宋体" w:cs="宋体" w:eastAsia="宋体" w:hint="default"/>
                            <w:sz w:val="18"/>
                            <w:szCs w:val="18"/>
                          </w:rPr>
                          <w:t> </w:t>
                        </w:r>
                        <w:r>
                          <w:rPr>
                            <w:rFonts w:ascii="宋体" w:hAnsi="宋体" w:cs="宋体" w:eastAsia="宋体" w:hint="default"/>
                            <w:spacing w:val="-5"/>
                            <w:sz w:val="18"/>
                            <w:szCs w:val="18"/>
                          </w:rPr>
                          <w:t>于使用部分闲置募集资金补充流动资金的议案》，同意本公司使用部分闲置的募集资金暂时补充流动</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资金，总额为人民币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 </w:t>
                        </w:r>
                        <w:r>
                          <w:rPr>
                            <w:rFonts w:ascii="宋体" w:hAnsi="宋体" w:cs="宋体" w:eastAsia="宋体" w:hint="default"/>
                            <w:sz w:val="18"/>
                            <w:szCs w:val="18"/>
                          </w:rPr>
                          <w:t>万元，使用期限自董事会审议批准之日起不超过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个月，到期前归还</w:t>
                        </w:r>
                      </w:p>
                      <w:p>
                        <w:pPr>
                          <w:pStyle w:val="TableParagraph"/>
                          <w:spacing w:line="240" w:lineRule="auto" w:before="6"/>
                          <w:ind w:left="22" w:right="0"/>
                          <w:jc w:val="both"/>
                          <w:rPr>
                            <w:rFonts w:ascii="宋体" w:hAnsi="宋体" w:cs="宋体" w:eastAsia="宋体" w:hint="default"/>
                            <w:sz w:val="18"/>
                            <w:szCs w:val="18"/>
                          </w:rPr>
                        </w:pPr>
                        <w:r>
                          <w:rPr>
                            <w:rFonts w:ascii="宋体" w:hAnsi="宋体" w:cs="宋体" w:eastAsia="宋体" w:hint="default"/>
                            <w:sz w:val="18"/>
                            <w:szCs w:val="18"/>
                          </w:rPr>
                          <w:t>至募集资金专用账户。截至目前公司已归还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万元至募集资金专户。</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尚未使用的募集资金仍存储于募集资金专户，后续将陆续投入到募投项目。在确保不影响募集资金 </w:t>
                        </w:r>
                        <w:r>
                          <w:rPr>
                            <w:rFonts w:ascii="宋体" w:hAnsi="宋体" w:cs="宋体" w:eastAsia="宋体" w:hint="default"/>
                            <w:spacing w:val="-3"/>
                            <w:sz w:val="18"/>
                            <w:szCs w:val="18"/>
                          </w:rPr>
                          <w:t>项目建设、募集资金使用和安全的前提下，对暂时闲置的募集资金进行现金管理，以提高资金收益</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44"/>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3"/>
        <w:spacing w:line="240" w:lineRule="auto"/>
        <w:ind w:left="154" w:right="0"/>
        <w:jc w:val="left"/>
        <w:rPr>
          <w:b w:val="0"/>
          <w:bCs w:val="0"/>
        </w:rPr>
      </w:pPr>
      <w:bookmarkStart w:name="（3）募集资金变更项目情况" w:id="55"/>
      <w:bookmarkEnd w:id="55"/>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r>
        <w:rPr/>
        <w:pict>
          <v:shape style="position:absolute;margin-left:56.459999pt;margin-top:89.609985pt;width:479.3pt;height:678.3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289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移动广告营 销网络建设 项目、户外 媒体联屏联 播网项目、 </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布点 项目、宴会 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显 示屏项目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8203"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3"/>
                          <w:jc w:val="left"/>
                          <w:rPr>
                            <w:rFonts w:ascii="宋体" w:hAnsi="宋体" w:cs="宋体" w:eastAsia="宋体" w:hint="default"/>
                            <w:sz w:val="18"/>
                            <w:szCs w:val="18"/>
                          </w:rPr>
                        </w:pPr>
                        <w:r>
                          <w:rPr>
                            <w:rFonts w:ascii="宋体" w:hAnsi="宋体" w:cs="宋体" w:eastAsia="宋体" w:hint="default"/>
                            <w:sz w:val="18"/>
                            <w:szCs w:val="18"/>
                          </w:rPr>
                          <w:t>一、变更原因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、移动广告营销网络建设项目，因公司出于对移动广告营销网络布局 </w:t>
                        </w:r>
                        <w:r>
                          <w:rPr>
                            <w:rFonts w:ascii="宋体" w:hAnsi="宋体" w:cs="宋体" w:eastAsia="宋体" w:hint="default"/>
                            <w:spacing w:val="-3"/>
                            <w:sz w:val="18"/>
                            <w:szCs w:val="18"/>
                          </w:rPr>
                          <w:t>谨慎决策的考虑，加大了前期市场调研力度，该项目已不能实现公司合理的商业预期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公司董事会和管理层决定减少该项目投资额。为最大限度地发挥募集资金作用，提高</w:t>
                        </w:r>
                        <w:r>
                          <w:rPr>
                            <w:rFonts w:ascii="宋体" w:hAnsi="宋体" w:cs="宋体" w:eastAsia="宋体" w:hint="default"/>
                            <w:sz w:val="18"/>
                            <w:szCs w:val="18"/>
                          </w:rPr>
                          <w:t> 募集资金的使用效率，公司同意降低本项目的总投资额度，调减该项目募集资金使用 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22,047.55 </w:t>
                        </w:r>
                        <w:r>
                          <w:rPr>
                            <w:rFonts w:ascii="宋体" w:hAnsi="宋体" w:cs="宋体" w:eastAsia="宋体" w:hint="default"/>
                            <w:sz w:val="18"/>
                            <w:szCs w:val="18"/>
                          </w:rPr>
                          <w:t>万元并用于永久性补充流动资金。如募集资金不能满足本次变更后的 资金需求，公司将自筹解决资金缺口。</w:t>
                        </w:r>
                        <w:r>
                          <w:rPr>
                            <w:rFonts w:ascii="Times New Roman" w:hAnsi="Times New Roman" w:cs="Times New Roman" w:eastAsia="Times New Roman" w:hint="default"/>
                            <w:sz w:val="18"/>
                            <w:szCs w:val="18"/>
                          </w:rPr>
                          <w:t>2</w:t>
                        </w:r>
                        <w:r>
                          <w:rPr>
                            <w:rFonts w:ascii="宋体" w:hAnsi="宋体" w:cs="宋体" w:eastAsia="宋体" w:hint="default"/>
                            <w:sz w:val="18"/>
                            <w:szCs w:val="18"/>
                          </w:rPr>
                          <w:t>、户外媒体联屏联播网项目，因公司对于优 质阵地资源的选择较为慎重，鉴于优质阵地资源有限，公司同意降低本项目的总投资 额度，调减该项目募集资金使用金额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32,461.56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万元并用于永久性补充流动资金。该 项目随公司与阵地资源方的谈判合作进度陆续投入，如募集资金不能满足本次变更后 的资金需求，公司将自筹解决资金缺口。</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布点项目，因项目的市场、技术、 行业等因素发生进一步变化，考虑到项目的可持续性，公司对项目方案进一步论证， 考虑到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布点项目的后期计划的不确定性并避免募集资金闲置，公司董事会和管</w:t>
                        </w:r>
                        <w:r>
                          <w:rPr>
                            <w:rFonts w:ascii="宋体" w:hAnsi="宋体" w:cs="宋体" w:eastAsia="宋体" w:hint="default"/>
                            <w:w w:val="99"/>
                            <w:sz w:val="18"/>
                            <w:szCs w:val="18"/>
                          </w:rPr>
                          <w:t> </w:t>
                        </w:r>
                        <w:r>
                          <w:rPr>
                            <w:rFonts w:ascii="宋体" w:hAnsi="宋体" w:cs="宋体" w:eastAsia="宋体" w:hint="default"/>
                            <w:sz w:val="18"/>
                            <w:szCs w:val="18"/>
                          </w:rPr>
                          <w:t>理层决定终止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WIFI </w:t>
                        </w:r>
                        <w:r>
                          <w:rPr>
                            <w:rFonts w:ascii="宋体" w:hAnsi="宋体" w:cs="宋体" w:eastAsia="宋体" w:hint="default"/>
                            <w:spacing w:val="-4"/>
                            <w:sz w:val="18"/>
                            <w:szCs w:val="18"/>
                          </w:rPr>
                          <w:t>布点项目，并将未使用募集资金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14,697.67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万元用于永久性补充流 </w:t>
                        </w:r>
                        <w:r>
                          <w:rPr>
                            <w:rFonts w:ascii="宋体" w:hAnsi="宋体" w:cs="宋体" w:eastAsia="宋体" w:hint="default"/>
                            <w:spacing w:val="-13"/>
                            <w:sz w:val="18"/>
                            <w:szCs w:val="18"/>
                          </w:rPr>
                          <w:t>动资金。</w:t>
                        </w:r>
                        <w:r>
                          <w:rPr>
                            <w:rFonts w:ascii="Times New Roman" w:hAnsi="Times New Roman" w:cs="Times New Roman" w:eastAsia="Times New Roman" w:hint="default"/>
                            <w:spacing w:val="-13"/>
                            <w:sz w:val="18"/>
                            <w:szCs w:val="18"/>
                          </w:rPr>
                          <w:t>4</w:t>
                        </w:r>
                        <w:r>
                          <w:rPr>
                            <w:rFonts w:ascii="宋体" w:hAnsi="宋体" w:cs="宋体" w:eastAsia="宋体" w:hint="default"/>
                            <w:spacing w:val="-13"/>
                            <w:sz w:val="18"/>
                            <w:szCs w:val="18"/>
                          </w:rPr>
                          <w:t>、宴会厅</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显示屏项目，因国内高端餐饮消费市场持续低迷，宴会厅</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显示屏项目市场环境已发生很大变化，该项目已不能实现公司合理的商业预期。公司 出于对市场行情的判断，考虑到宴会厅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显示屏项目后期的实施困难，公司董事 会和管理层决定终止该项目。为最大限度地发挥募集资金作用，提高募集资金的使用 效率，公司决定将未使用募集资金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10,793.22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万元用于永久性补充流动资金。二、履</w:t>
                        </w:r>
                      </w:p>
                      <w:p>
                        <w:pPr>
                          <w:pStyle w:val="TableParagraph"/>
                          <w:spacing w:line="307" w:lineRule="auto" w:before="5"/>
                          <w:ind w:left="23" w:right="23"/>
                          <w:jc w:val="left"/>
                          <w:rPr>
                            <w:rFonts w:ascii="宋体" w:hAnsi="宋体" w:cs="宋体" w:eastAsia="宋体" w:hint="default"/>
                            <w:sz w:val="18"/>
                            <w:szCs w:val="18"/>
                          </w:rPr>
                        </w:pPr>
                        <w:r>
                          <w:rPr>
                            <w:rFonts w:ascii="宋体" w:hAnsi="宋体" w:cs="宋体" w:eastAsia="宋体" w:hint="default"/>
                            <w:sz w:val="18"/>
                            <w:szCs w:val="18"/>
                          </w:rPr>
                          <w:t>行决策程序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日，本公司召开了第九届董事会第二十三次会议和第九 </w:t>
                        </w:r>
                        <w:r>
                          <w:rPr>
                            <w:rFonts w:ascii="宋体" w:hAnsi="宋体" w:cs="宋体" w:eastAsia="宋体" w:hint="default"/>
                            <w:spacing w:val="-1"/>
                            <w:sz w:val="18"/>
                            <w:szCs w:val="18"/>
                          </w:rPr>
                          <w:t>届监事会第十一次会议，审议通过了《关于终止及调减部分募投项目并将相关募集资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金用于永久性补充流动资金的提案》，同意终止</w:t>
                        </w:r>
                        <w:r>
                          <w:rPr>
                            <w:rFonts w:ascii="宋体" w:hAnsi="宋体" w:cs="宋体" w:eastAsia="宋体" w:hint="default"/>
                            <w:spacing w:val="-43"/>
                            <w:sz w:val="18"/>
                            <w:szCs w:val="18"/>
                          </w:rPr>
                          <w:t> </w:t>
                        </w:r>
                        <w:r>
                          <w:rPr>
                            <w:rFonts w:ascii="Times New Roman" w:hAnsi="Times New Roman" w:cs="Times New Roman" w:eastAsia="Times New Roman" w:hint="default"/>
                            <w:spacing w:val="-1"/>
                            <w:w w:val="99"/>
                            <w:sz w:val="18"/>
                            <w:szCs w:val="18"/>
                          </w:rPr>
                          <w:t>WIFI</w:t>
                        </w:r>
                        <w:r>
                          <w:rPr>
                            <w:rFonts w:ascii="Times New Roman" w:hAnsi="Times New Roman" w:cs="Times New Roman" w:eastAsia="Times New Roman" w:hint="default"/>
                            <w:spacing w:val="3"/>
                            <w:w w:val="99"/>
                            <w:sz w:val="18"/>
                            <w:szCs w:val="18"/>
                          </w:rPr>
                          <w:t> </w:t>
                        </w:r>
                        <w:r>
                          <w:rPr>
                            <w:rFonts w:ascii="宋体" w:hAnsi="宋体" w:cs="宋体" w:eastAsia="宋体" w:hint="default"/>
                            <w:w w:val="99"/>
                            <w:sz w:val="18"/>
                            <w:szCs w:val="18"/>
                          </w:rPr>
                          <w:t>布点项目、宴会厅</w:t>
                        </w:r>
                        <w:r>
                          <w:rPr>
                            <w:rFonts w:ascii="宋体" w:hAnsi="宋体" w:cs="宋体" w:eastAsia="宋体" w:hint="default"/>
                            <w:spacing w:val="-43"/>
                            <w:w w:val="99"/>
                            <w:sz w:val="18"/>
                            <w:szCs w:val="18"/>
                          </w:rPr>
                          <w:t> </w:t>
                        </w:r>
                        <w:r>
                          <w:rPr>
                            <w:rFonts w:ascii="Times New Roman" w:hAnsi="Times New Roman" w:cs="Times New Roman" w:eastAsia="Times New Roman" w:hint="default"/>
                            <w:w w:val="99"/>
                            <w:sz w:val="18"/>
                            <w:szCs w:val="18"/>
                          </w:rPr>
                          <w:t>LED</w:t>
                        </w:r>
                        <w:r>
                          <w:rPr>
                            <w:rFonts w:ascii="Times New Roman" w:hAnsi="Times New Roman" w:cs="Times New Roman" w:eastAsia="Times New Roman" w:hint="default"/>
                            <w:spacing w:val="2"/>
                            <w:w w:val="99"/>
                            <w:sz w:val="18"/>
                            <w:szCs w:val="18"/>
                          </w:rPr>
                          <w:t> </w:t>
                        </w:r>
                        <w:r>
                          <w:rPr>
                            <w:rFonts w:ascii="宋体" w:hAnsi="宋体" w:cs="宋体" w:eastAsia="宋体" w:hint="default"/>
                            <w:w w:val="99"/>
                            <w:sz w:val="18"/>
                            <w:szCs w:val="18"/>
                          </w:rPr>
                          <w:t>显示屏</w:t>
                        </w:r>
                        <w:r>
                          <w:rPr>
                            <w:rFonts w:ascii="宋体" w:hAnsi="宋体" w:cs="宋体" w:eastAsia="宋体" w:hint="default"/>
                            <w:spacing w:val="-85"/>
                            <w:w w:val="99"/>
                            <w:sz w:val="18"/>
                            <w:szCs w:val="18"/>
                          </w:rPr>
                          <w:t> </w:t>
                        </w:r>
                        <w:r>
                          <w:rPr>
                            <w:rFonts w:ascii="宋体" w:hAnsi="宋体" w:cs="宋体" w:eastAsia="宋体" w:hint="default"/>
                            <w:sz w:val="18"/>
                            <w:szCs w:val="18"/>
                          </w:rPr>
                          <w:t>项目，减少户外媒体联屏联播网项目投资额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32,461.56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万元、移动广告营销网络建设</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项目投资额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22,047.55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万元用于永久性补充流动资金。上述提案经</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年第六次临时股东大会审议通过。三、信息披</w:t>
                        </w:r>
                      </w:p>
                      <w:p>
                        <w:pPr>
                          <w:pStyle w:val="TableParagraph"/>
                          <w:spacing w:line="302" w:lineRule="auto" w:before="63"/>
                          <w:ind w:left="23" w:right="100"/>
                          <w:jc w:val="left"/>
                          <w:rPr>
                            <w:rFonts w:ascii="宋体" w:hAnsi="宋体" w:cs="宋体" w:eastAsia="宋体" w:hint="default"/>
                            <w:sz w:val="18"/>
                            <w:szCs w:val="18"/>
                          </w:rPr>
                        </w:pPr>
                        <w:r>
                          <w:rPr>
                            <w:rFonts w:ascii="宋体" w:hAnsi="宋体" w:cs="宋体" w:eastAsia="宋体" w:hint="default"/>
                            <w:sz w:val="18"/>
                            <w:szCs w:val="18"/>
                          </w:rPr>
                          <w:t>露情况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日公司在指定媒体披露了《关于终止及调减部分募投项目并 </w:t>
                        </w:r>
                        <w:r>
                          <w:rPr>
                            <w:rFonts w:ascii="宋体" w:hAnsi="宋体" w:cs="宋体" w:eastAsia="宋体" w:hint="default"/>
                            <w:spacing w:val="-8"/>
                            <w:sz w:val="18"/>
                            <w:szCs w:val="18"/>
                          </w:rPr>
                          <w:t>将相关募集资金用于永久性补充流动资金的公告》（公告编号：</w:t>
                        </w:r>
                        <w:r>
                          <w:rPr>
                            <w:rFonts w:ascii="Times New Roman" w:hAnsi="Times New Roman" w:cs="Times New Roman" w:eastAsia="Times New Roman" w:hint="default"/>
                            <w:spacing w:val="-8"/>
                            <w:sz w:val="18"/>
                            <w:szCs w:val="18"/>
                          </w:rPr>
                          <w:t>2017-140</w:t>
                        </w:r>
                        <w:r>
                          <w:rPr>
                            <w:rFonts w:ascii="宋体" w:hAnsi="宋体" w:cs="宋体" w:eastAsia="宋体" w:hint="default"/>
                            <w:spacing w:val="-8"/>
                            <w:sz w:val="18"/>
                            <w:szCs w:val="18"/>
                          </w:rPr>
                          <w:t>）。</w:t>
                        </w:r>
                        <w:r>
                          <w:rPr>
                            <w:rFonts w:ascii="宋体" w:hAnsi="宋体" w:cs="宋体" w:eastAsia="宋体" w:hint="default"/>
                            <w:sz w:val="18"/>
                            <w:szCs w:val="18"/>
                          </w:rPr>
                        </w:r>
                      </w:p>
                    </w:tc>
                  </w:tr>
                  <w:tr>
                    <w:trPr>
                      <w:trHeight w:val="715"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before="44"/>
        <w:ind w:left="0" w:right="1137"/>
        <w:jc w:val="right"/>
      </w:pPr>
      <w:r>
        <w:rPr/>
        <w:t>，</w:t>
      </w:r>
    </w:p>
    <w:p>
      <w:pPr>
        <w:spacing w:after="0" w:line="240" w:lineRule="auto"/>
        <w:jc w:val="right"/>
        <w:sectPr>
          <w:pgSz w:w="11910" w:h="16840"/>
          <w:pgMar w:header="747" w:footer="979" w:top="1060" w:bottom="1160" w:left="980" w:right="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872"/>
        <w:gridCol w:w="6699"/>
      </w:tblGrid>
      <w:tr>
        <w:trPr>
          <w:trHeight w:val="332" w:hRule="exact"/>
        </w:trPr>
        <w:tc>
          <w:tcPr>
            <w:tcW w:w="2872" w:type="dxa"/>
            <w:tcBorders>
              <w:top w:val="single" w:sz="6" w:space="0" w:color="000000"/>
              <w:left w:val="nil" w:sz="6" w:space="0" w:color="auto"/>
              <w:bottom w:val="single" w:sz="4" w:space="0" w:color="000000"/>
              <w:right w:val="nil" w:sz="6" w:space="0" w:color="auto"/>
            </w:tcBorders>
          </w:tcPr>
          <w:p>
            <w:pPr/>
          </w:p>
        </w:tc>
        <w:tc>
          <w:tcPr>
            <w:tcW w:w="6699" w:type="dxa"/>
            <w:tcBorders>
              <w:top w:val="single" w:sz="6" w:space="0" w:color="000000"/>
              <w:left w:val="nil" w:sz="6" w:space="0" w:color="auto"/>
              <w:bottom w:val="single" w:sz="4" w:space="0" w:color="000000"/>
              <w:right w:val="nil" w:sz="6" w:space="0" w:color="auto"/>
            </w:tcBorders>
          </w:tcPr>
          <w:p>
            <w:pP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8"/>
          <w:szCs w:val="18"/>
        </w:rPr>
      </w:pPr>
    </w:p>
    <w:p>
      <w:pPr>
        <w:pStyle w:val="Heading2"/>
        <w:spacing w:line="240" w:lineRule="auto" w:before="26"/>
        <w:ind w:left="114" w:right="0"/>
        <w:jc w:val="left"/>
        <w:rPr>
          <w:b w:val="0"/>
          <w:bCs w:val="0"/>
        </w:rPr>
      </w:pPr>
      <w:bookmarkStart w:name="六、重大资产和股权出售" w:id="56"/>
      <w:bookmarkEnd w:id="56"/>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 w:right="0"/>
        <w:jc w:val="left"/>
        <w:rPr>
          <w:b w:val="0"/>
          <w:bCs w:val="0"/>
        </w:rPr>
      </w:pPr>
      <w:bookmarkStart w:name="1、出售重大资产情况" w:id="57"/>
      <w:bookmarkEnd w:id="57"/>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13"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2"/>
        <w:rPr>
          <w:rFonts w:ascii="宋体" w:hAnsi="宋体" w:cs="宋体" w:eastAsia="宋体" w:hint="default"/>
          <w:sz w:val="20"/>
          <w:szCs w:val="20"/>
        </w:rPr>
      </w:pPr>
    </w:p>
    <w:p>
      <w:pPr>
        <w:pStyle w:val="Heading3"/>
        <w:spacing w:line="240" w:lineRule="auto"/>
        <w:ind w:left="113" w:right="0"/>
        <w:jc w:val="left"/>
        <w:rPr>
          <w:b w:val="0"/>
          <w:bCs w:val="0"/>
        </w:rPr>
      </w:pPr>
      <w:bookmarkStart w:name="2、出售重大股权情况" w:id="58"/>
      <w:bookmarkEnd w:id="58"/>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568"/>
        <w:gridCol w:w="800"/>
        <w:gridCol w:w="475"/>
        <w:gridCol w:w="709"/>
        <w:gridCol w:w="566"/>
        <w:gridCol w:w="2693"/>
        <w:gridCol w:w="568"/>
        <w:gridCol w:w="710"/>
        <w:gridCol w:w="283"/>
        <w:gridCol w:w="426"/>
        <w:gridCol w:w="282"/>
        <w:gridCol w:w="568"/>
        <w:gridCol w:w="425"/>
        <w:gridCol w:w="492"/>
      </w:tblGrid>
      <w:tr>
        <w:trPr>
          <w:trHeight w:val="5082" w:hRule="exact"/>
        </w:trPr>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98" w:right="99"/>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304" w:right="35" w:hanging="270"/>
              <w:jc w:val="left"/>
              <w:rPr>
                <w:rFonts w:ascii="宋体" w:hAnsi="宋体" w:cs="宋体" w:eastAsia="宋体" w:hint="default"/>
                <w:sz w:val="18"/>
                <w:szCs w:val="18"/>
              </w:rPr>
            </w:pPr>
            <w:r>
              <w:rPr>
                <w:rFonts w:ascii="宋体" w:hAnsi="宋体" w:cs="宋体" w:eastAsia="宋体" w:hint="default"/>
                <w:sz w:val="18"/>
                <w:szCs w:val="18"/>
              </w:rPr>
              <w:t>被出售股 权</w:t>
            </w: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141" w:right="53"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79" w:right="7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本期 初起 至出 售日 该股 权为 上市 公司 贡献 的净 利润</w:t>
            </w:r>
          </w:p>
          <w:p>
            <w:pPr>
              <w:pStyle w:val="TableParagraph"/>
              <w:spacing w:line="319" w:lineRule="auto" w:before="19"/>
              <w:ind w:left="98" w:right="96"/>
              <w:jc w:val="both"/>
              <w:rPr>
                <w:rFonts w:ascii="宋体" w:hAnsi="宋体" w:cs="宋体" w:eastAsia="宋体" w:hint="default"/>
                <w:sz w:val="18"/>
                <w:szCs w:val="18"/>
              </w:rPr>
            </w:pPr>
            <w:r>
              <w:rPr>
                <w:rFonts w:ascii="宋体" w:hAnsi="宋体" w:cs="宋体" w:eastAsia="宋体" w:hint="default"/>
                <w:sz w:val="18"/>
                <w:szCs w:val="18"/>
              </w:rPr>
              <w:t>（万 元）</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622" w:right="0"/>
              <w:jc w:val="left"/>
              <w:rPr>
                <w:rFonts w:ascii="宋体" w:hAnsi="宋体" w:cs="宋体" w:eastAsia="宋体" w:hint="default"/>
                <w:sz w:val="18"/>
                <w:szCs w:val="18"/>
              </w:rPr>
            </w:pPr>
            <w:r>
              <w:rPr>
                <w:rFonts w:ascii="宋体" w:hAnsi="宋体" w:cs="宋体" w:eastAsia="宋体" w:hint="default"/>
                <w:sz w:val="18"/>
                <w:szCs w:val="18"/>
              </w:rPr>
              <w:t>出售对公司的影响</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9" w:right="96"/>
              <w:jc w:val="both"/>
              <w:rPr>
                <w:rFonts w:ascii="宋体" w:hAnsi="宋体" w:cs="宋体" w:eastAsia="宋体" w:hint="default"/>
                <w:sz w:val="18"/>
                <w:szCs w:val="18"/>
              </w:rPr>
            </w:pPr>
            <w:r>
              <w:rPr>
                <w:rFonts w:ascii="宋体" w:hAnsi="宋体" w:cs="宋体" w:eastAsia="宋体" w:hint="default"/>
                <w:sz w:val="18"/>
                <w:szCs w:val="18"/>
              </w:rPr>
              <w:t>股权 出售 为上 市公 司贡 献的 净利 润占 净利 润总 额的 比例</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79" w:right="78"/>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45" w:right="47"/>
              <w:jc w:val="both"/>
              <w:rPr>
                <w:rFonts w:ascii="宋体" w:hAnsi="宋体" w:cs="宋体" w:eastAsia="宋体" w:hint="default"/>
                <w:sz w:val="18"/>
                <w:szCs w:val="18"/>
              </w:rPr>
            </w:pPr>
            <w:r>
              <w:rPr>
                <w:rFonts w:ascii="宋体" w:hAnsi="宋体" w:cs="宋体" w:eastAsia="宋体" w:hint="default"/>
                <w:sz w:val="18"/>
                <w:szCs w:val="18"/>
              </w:rPr>
              <w:t>是 否 为 关 联 交 易</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27" w:right="26"/>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5" w:right="44"/>
              <w:jc w:val="both"/>
              <w:rPr>
                <w:rFonts w:ascii="宋体" w:hAnsi="宋体" w:cs="宋体" w:eastAsia="宋体" w:hint="default"/>
                <w:sz w:val="18"/>
                <w:szCs w:val="18"/>
              </w:rPr>
            </w:pPr>
            <w:r>
              <w:rPr>
                <w:rFonts w:ascii="宋体" w:hAnsi="宋体" w:cs="宋体" w:eastAsia="宋体" w:hint="default"/>
                <w:sz w:val="18"/>
                <w:szCs w:val="18"/>
              </w:rPr>
              <w:t>所 涉 及 的 股 权 是 否 已 全 部 过 户</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7" w:hanging="29"/>
              <w:jc w:val="center"/>
              <w:rPr>
                <w:rFonts w:ascii="宋体" w:hAnsi="宋体" w:cs="宋体" w:eastAsia="宋体" w:hint="default"/>
                <w:sz w:val="18"/>
                <w:szCs w:val="18"/>
              </w:rPr>
            </w:pPr>
            <w:r>
              <w:rPr>
                <w:rFonts w:ascii="宋体" w:hAnsi="宋体" w:cs="宋体" w:eastAsia="宋体" w:hint="default"/>
                <w:sz w:val="18"/>
                <w:szCs w:val="18"/>
              </w:rPr>
              <w:t>是否 按计 划如 期实 </w:t>
            </w:r>
            <w:r>
              <w:rPr>
                <w:rFonts w:ascii="宋体" w:hAnsi="宋体" w:cs="宋体" w:eastAsia="宋体" w:hint="default"/>
                <w:spacing w:val="-10"/>
                <w:sz w:val="18"/>
                <w:szCs w:val="18"/>
              </w:rPr>
              <w:t>施，如</w:t>
            </w:r>
            <w:r>
              <w:rPr>
                <w:rFonts w:ascii="宋体" w:hAnsi="宋体" w:cs="宋体" w:eastAsia="宋体" w:hint="default"/>
                <w:sz w:val="18"/>
                <w:szCs w:val="18"/>
              </w:rPr>
              <w:t> 未按 计划 实施， 应当 说明 原因 及公 司已 采取 的措</w:t>
            </w:r>
          </w:p>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施</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0" w:right="60"/>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3522"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青岛 亚星 实业 有限 公司</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青岛广顺 房地产有 限公司 </w:t>
            </w:r>
            <w:r>
              <w:rPr>
                <w:rFonts w:ascii="Times New Roman" w:hAnsi="Times New Roman" w:cs="Times New Roman" w:eastAsia="Times New Roman" w:hint="default"/>
                <w:sz w:val="18"/>
                <w:szCs w:val="18"/>
              </w:rPr>
              <w:t>83%</w:t>
            </w:r>
            <w:r>
              <w:rPr>
                <w:rFonts w:ascii="宋体" w:hAnsi="宋体" w:cs="宋体" w:eastAsia="宋体" w:hint="default"/>
                <w:sz w:val="18"/>
                <w:szCs w:val="18"/>
              </w:rPr>
              <w:t>股</w:t>
            </w:r>
          </w:p>
          <w:p>
            <w:pPr>
              <w:pStyle w:val="TableParagraph"/>
              <w:spacing w:line="319" w:lineRule="auto"/>
              <w:ind w:left="22" w:right="47"/>
              <w:jc w:val="both"/>
              <w:rPr>
                <w:rFonts w:ascii="宋体" w:hAnsi="宋体" w:cs="宋体" w:eastAsia="宋体" w:hint="default"/>
                <w:sz w:val="18"/>
                <w:szCs w:val="18"/>
              </w:rPr>
            </w:pPr>
            <w:r>
              <w:rPr>
                <w:rFonts w:ascii="宋体" w:hAnsi="宋体" w:cs="宋体" w:eastAsia="宋体" w:hint="default"/>
                <w:sz w:val="18"/>
                <w:szCs w:val="18"/>
              </w:rPr>
              <w:t>权、济宁 海情置业 有限公司 </w:t>
            </w:r>
            <w:r>
              <w:rPr>
                <w:rFonts w:ascii="Times New Roman" w:hAnsi="Times New Roman" w:cs="Times New Roman" w:eastAsia="Times New Roman" w:hint="default"/>
                <w:sz w:val="18"/>
                <w:szCs w:val="18"/>
              </w:rPr>
              <w:t>90%</w:t>
            </w:r>
            <w:r>
              <w:rPr>
                <w:rFonts w:ascii="宋体" w:hAnsi="宋体" w:cs="宋体" w:eastAsia="宋体" w:hint="default"/>
                <w:sz w:val="18"/>
                <w:szCs w:val="18"/>
              </w:rPr>
              <w:t>股权</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17,374.6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555.85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0"/>
              <w:jc w:val="left"/>
              <w:rPr>
                <w:rFonts w:ascii="宋体" w:hAnsi="宋体" w:cs="宋体" w:eastAsia="宋体" w:hint="default"/>
                <w:sz w:val="18"/>
                <w:szCs w:val="18"/>
              </w:rPr>
            </w:pPr>
            <w:r>
              <w:rPr>
                <w:rFonts w:ascii="宋体" w:hAnsi="宋体" w:cs="宋体" w:eastAsia="宋体" w:hint="default"/>
                <w:spacing w:val="-5"/>
                <w:sz w:val="18"/>
                <w:szCs w:val="18"/>
              </w:rPr>
              <w:t>公司房地产业务剥离完成后，短期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内将减少公司营业务收入和规模， </w:t>
            </w:r>
            <w:r>
              <w:rPr>
                <w:rFonts w:ascii="宋体" w:hAnsi="宋体" w:cs="宋体" w:eastAsia="宋体" w:hint="default"/>
                <w:spacing w:val="-5"/>
                <w:sz w:val="18"/>
                <w:szCs w:val="18"/>
              </w:rPr>
              <w:t>但是对公司净利润的影响较小；长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期来看，因目前公司的土地储备不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足，随着现有房地产项目的清盘， </w:t>
            </w:r>
            <w:r>
              <w:rPr>
                <w:rFonts w:ascii="宋体" w:hAnsi="宋体" w:cs="宋体" w:eastAsia="宋体" w:hint="default"/>
                <w:spacing w:val="-5"/>
                <w:sz w:val="18"/>
                <w:szCs w:val="18"/>
              </w:rPr>
              <w:t>对上市公司整体收入、净利润及现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金流量均无重大影响。本次剥离地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产业务符合公司战略发展，有利于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公司利用现有资源拓展公司主营 </w:t>
            </w:r>
            <w:r>
              <w:rPr>
                <w:rFonts w:ascii="宋体" w:hAnsi="宋体" w:cs="宋体" w:eastAsia="宋体" w:hint="default"/>
                <w:spacing w:val="-5"/>
                <w:sz w:val="18"/>
                <w:szCs w:val="18"/>
              </w:rPr>
              <w:t>业务规模，进一步提升公司整体盈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利能力。</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left="1" w:right="-51"/>
              <w:jc w:val="left"/>
              <w:rPr>
                <w:rFonts w:ascii="宋体" w:hAnsi="宋体" w:cs="宋体" w:eastAsia="宋体" w:hint="default"/>
                <w:sz w:val="20"/>
                <w:szCs w:val="20"/>
              </w:rPr>
            </w:pPr>
            <w:r>
              <w:rPr>
                <w:rFonts w:ascii="宋体" w:hAnsi="宋体" w:cs="宋体" w:eastAsia="宋体" w:hint="default"/>
                <w:position w:val="-30"/>
                <w:sz w:val="20"/>
                <w:szCs w:val="20"/>
              </w:rPr>
              <w:pict>
                <v:group style="width:27.85pt;height:78pt;mso-position-horizontal-relative:char;mso-position-vertical-relative:line" coordorigin="0,0" coordsize="557,1560">
                  <v:group style="position:absolute;left:0;top:0;width:557;height:1560" coordorigin="0,0" coordsize="557,1560">
                    <v:shape style="position:absolute;left:0;top:0;width:557;height:1560" coordorigin="0,0" coordsize="557,1560" path="m0,1560l557,1560,557,0,0,0,0,1560xe" filled="true" fillcolor="#ffffff" stroked="false">
                      <v:path arrowok="t"/>
                      <v:fill type="solid"/>
                    </v:shape>
                  </v:group>
                </v:group>
              </w:pict>
            </w:r>
            <w:r>
              <w:rPr>
                <w:rFonts w:ascii="宋体" w:hAnsi="宋体" w:cs="宋体" w:eastAsia="宋体" w:hint="default"/>
                <w:position w:val="-30"/>
                <w:sz w:val="20"/>
                <w:szCs w:val="20"/>
              </w:rPr>
            </w:r>
          </w:p>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6.19%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5"/>
              <w:jc w:val="both"/>
              <w:rPr>
                <w:rFonts w:ascii="宋体" w:hAnsi="宋体" w:cs="宋体" w:eastAsia="宋体" w:hint="default"/>
                <w:sz w:val="18"/>
                <w:szCs w:val="18"/>
              </w:rPr>
            </w:pPr>
            <w:r>
              <w:rPr>
                <w:rFonts w:ascii="宋体" w:hAnsi="宋体" w:cs="宋体" w:eastAsia="宋体" w:hint="default"/>
                <w:sz w:val="18"/>
                <w:szCs w:val="18"/>
              </w:rPr>
              <w:t>按照经 评估且 不低于 审计后 净资产 的价格 基础为 依据确 定转让 价格</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控股 股东</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62" w:lineRule="auto"/>
              <w:ind w:left="22" w:right="26"/>
              <w:jc w:val="left"/>
              <w:rPr>
                <w:rFonts w:ascii="Times New Roman" w:hAnsi="Times New Roman" w:cs="Times New Roman" w:eastAsia="Times New Roman" w:hint="default"/>
                <w:sz w:val="18"/>
                <w:szCs w:val="18"/>
              </w:rPr>
            </w:pPr>
            <w:r>
              <w:rPr>
                <w:rFonts w:ascii="Times New Roman"/>
                <w:sz w:val="18"/>
              </w:rPr>
              <w:t>http:// </w:t>
            </w:r>
            <w:hyperlink r:id="rId12">
              <w:r>
                <w:rPr>
                  <w:rFonts w:ascii="Times New Roman"/>
                  <w:spacing w:val="-4"/>
                  <w:sz w:val="18"/>
                </w:rPr>
                <w:t>www.</w:t>
              </w:r>
            </w:hyperlink>
            <w:r>
              <w:rPr>
                <w:rFonts w:ascii="Times New Roman"/>
                <w:sz w:val="18"/>
              </w:rPr>
              <w:t> cninf o.co 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巨潮</w:t>
            </w:r>
          </w:p>
          <w:p>
            <w:pPr>
              <w:pStyle w:val="TableParagraph"/>
              <w:spacing w:line="338" w:lineRule="auto" w:before="76"/>
              <w:ind w:left="22" w:right="37"/>
              <w:jc w:val="left"/>
              <w:rPr>
                <w:rFonts w:ascii="Times New Roman" w:hAnsi="Times New Roman" w:cs="Times New Roman" w:eastAsia="Times New Roman" w:hint="default"/>
                <w:sz w:val="18"/>
                <w:szCs w:val="18"/>
              </w:rPr>
            </w:pPr>
            <w:r>
              <w:rPr>
                <w:rFonts w:ascii="宋体" w:hAnsi="宋体" w:cs="宋体" w:eastAsia="宋体" w:hint="default"/>
                <w:sz w:val="18"/>
                <w:szCs w:val="18"/>
              </w:rPr>
              <w:t>资讯 网 </w:t>
            </w:r>
            <w:r>
              <w:rPr>
                <w:rFonts w:ascii="Times New Roman" w:hAnsi="Times New Roman" w:cs="Times New Roman" w:eastAsia="Times New Roman" w:hint="default"/>
                <w:sz w:val="18"/>
                <w:szCs w:val="18"/>
              </w:rPr>
              <w:t>2017-</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090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10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2"/>
        <w:spacing w:line="240" w:lineRule="auto" w:before="26"/>
        <w:ind w:right="0"/>
        <w:jc w:val="left"/>
        <w:rPr>
          <w:b w:val="0"/>
          <w:bCs w:val="0"/>
        </w:rPr>
      </w:pPr>
      <w:bookmarkStart w:name="七、主要控股参股公司分析" w:id="59"/>
      <w:bookmarkEnd w:id="59"/>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冉十科</w:t>
            </w:r>
            <w:r>
              <w:rPr>
                <w:rFonts w:ascii="宋体" w:hAnsi="宋体" w:cs="宋体" w:eastAsia="宋体" w:hint="default"/>
                <w:spacing w:val="-82"/>
                <w:sz w:val="18"/>
                <w:szCs w:val="18"/>
              </w:rPr>
              <w:t>技</w:t>
            </w:r>
            <w:r>
              <w:rPr>
                <w:rFonts w:ascii="宋体" w:hAnsi="宋体" w:cs="宋体" w:eastAsia="宋体" w:hint="default"/>
                <w:sz w:val="18"/>
                <w:szCs w:val="18"/>
              </w:rPr>
              <w:t>（北</w:t>
            </w:r>
            <w:r>
              <w:rPr>
                <w:rFonts w:ascii="宋体" w:hAnsi="宋体" w:cs="宋体" w:eastAsia="宋体" w:hint="default"/>
                <w:sz w:val="18"/>
                <w:szCs w:val="18"/>
              </w:rPr>
              <w:t> 京</w:t>
            </w:r>
            <w:r>
              <w:rPr>
                <w:rFonts w:ascii="宋体" w:hAnsi="宋体" w:cs="宋体" w:eastAsia="宋体" w:hint="default"/>
                <w:spacing w:val="-82"/>
                <w:sz w:val="18"/>
                <w:szCs w:val="18"/>
              </w:rPr>
              <w:t>）</w:t>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移动互联网 广告营销服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z w:val="18"/>
              </w:rPr>
              <w:t>20,000,000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351,473,095.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263,285,125.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545,771,866.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112,888,062.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98,772,508.7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浙江视科文 化传播有限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户外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显 示屏、</w:t>
            </w:r>
            <w:r>
              <w:rPr>
                <w:rFonts w:ascii="Times New Roman" w:hAnsi="Times New Roman" w:cs="Times New Roman" w:eastAsia="Times New Roman" w:hint="default"/>
                <w:sz w:val="18"/>
                <w:szCs w:val="18"/>
              </w:rPr>
              <w:t>LCD </w:t>
            </w:r>
            <w:r>
              <w:rPr>
                <w:rFonts w:ascii="宋体" w:hAnsi="宋体" w:cs="宋体" w:eastAsia="宋体" w:hint="default"/>
                <w:sz w:val="18"/>
                <w:szCs w:val="18"/>
              </w:rPr>
              <w:t>数字屏及公 共自行车亭 灯箱广告业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z w:val="18"/>
              </w:rPr>
              <w:t>88,888,889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709,231,847.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527,286,505.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492,629,927.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242,882,560.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192,759,989.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r>
    </w:tbl>
    <w:p>
      <w:pPr>
        <w:pStyle w:val="BodyText"/>
        <w:spacing w:line="240" w:lineRule="auto" w:before="51"/>
        <w:ind w:left="154" w:right="0"/>
        <w:jc w:val="left"/>
      </w:pPr>
      <w:r>
        <w:rPr/>
        <w:t>报告期内取得和处置子公司的情况</w:t>
      </w:r>
    </w:p>
    <w:p>
      <w:pPr>
        <w:pStyle w:val="BodyText"/>
        <w:spacing w:line="240" w:lineRule="auto" w:before="117"/>
        <w:ind w:left="154" w:right="0"/>
        <w:jc w:val="left"/>
      </w:pPr>
      <w:r>
        <w:rPr/>
        <w:pict>
          <v:group style="position:absolute;margin-left:56.459999pt;margin-top:22.601709pt;width:479pt;height:320.25pt;mso-position-horizontal-relative:page;mso-position-vertical-relative:paragraph;z-index:-859936" coordorigin="1129,452" coordsize="9580,6405">
            <v:group style="position:absolute;left:1139;top:468;width:3178;height:156" coordorigin="1139,468" coordsize="3178,156">
              <v:shape style="position:absolute;left:1139;top:468;width:3178;height:156" coordorigin="1139,468" coordsize="3178,156" path="m1139,624l4317,624,4317,468,1139,468,1139,624xe" filled="true" fillcolor="#d2d2d2" stroked="false">
                <v:path arrowok="t"/>
                <v:fill type="solid"/>
              </v:shape>
            </v:group>
            <v:group style="position:absolute;left:1150;top:624;width:2;height:392" coordorigin="1150,624" coordsize="2,392">
              <v:shape style="position:absolute;left:1150;top:624;width:2;height:392" coordorigin="1150,624" coordsize="0,392" path="m1150,624l1150,1015e" filled="false" stroked="true" strokeweight="1.140pt" strokecolor="#d2d2d2">
                <v:path arrowok="t"/>
              </v:shape>
            </v:group>
            <v:group style="position:absolute;left:4305;top:624;width:2;height:392" coordorigin="4305,624" coordsize="2,392">
              <v:shape style="position:absolute;left:4305;top:624;width:2;height:392" coordorigin="4305,624" coordsize="0,392" path="m4305,624l4305,1015e" filled="false" stroked="true" strokeweight="1.140pt" strokecolor="#d2d2d2">
                <v:path arrowok="t"/>
              </v:shape>
            </v:group>
            <v:group style="position:absolute;left:1139;top:1015;width:3178;height:156" coordorigin="1139,1015" coordsize="3178,156">
              <v:shape style="position:absolute;left:1139;top:1015;width:3178;height:156" coordorigin="1139,1015" coordsize="3178,156" path="m1139,1171l4317,1171,4317,1015,1139,1015,1139,1171xe" filled="true" fillcolor="#d2d2d2" stroked="false">
                <v:path arrowok="t"/>
                <v:fill type="solid"/>
              </v:shape>
            </v:group>
            <v:group style="position:absolute;left:1162;top:624;width:3133;height:392" coordorigin="1162,624" coordsize="3133,392">
              <v:shape style="position:absolute;left:1162;top:624;width:3133;height:392" coordorigin="1162,624" coordsize="3133,392" path="m1162,1015l4294,1015,4294,624,1162,624,1162,1015xe" filled="true" fillcolor="#d2d2d2" stroked="false">
                <v:path arrowok="t"/>
                <v:fill type="solid"/>
              </v:shape>
            </v:group>
            <v:group style="position:absolute;left:4339;top:468;width:2;height:704" coordorigin="4339,468" coordsize="2,704">
              <v:shape style="position:absolute;left:4339;top:468;width:2;height:704" coordorigin="4339,468" coordsize="0,704" path="m4339,468l4339,1171e" filled="false" stroked="true" strokeweight="1.140pt" strokecolor="#d2d2d2">
                <v:path arrowok="t"/>
              </v:shape>
            </v:group>
            <v:group style="position:absolute;left:6789;top:468;width:2;height:704" coordorigin="6789,468" coordsize="2,704">
              <v:shape style="position:absolute;left:6789;top:468;width:2;height:704" coordorigin="6789,468" coordsize="0,704" path="m6789,468l6789,1171e" filled="false" stroked="true" strokeweight="1.140pt" strokecolor="#d2d2d2">
                <v:path arrowok="t"/>
              </v:shape>
            </v:group>
            <v:group style="position:absolute;left:4350;top:468;width:2427;height:352" coordorigin="4350,468" coordsize="2427,352">
              <v:shape style="position:absolute;left:4350;top:468;width:2427;height:352" coordorigin="4350,468" coordsize="2427,352" path="m4350,819l6777,819,6777,468,4350,468,4350,819xe" filled="true" fillcolor="#d2d2d2" stroked="false">
                <v:path arrowok="t"/>
                <v:fill type="solid"/>
              </v:shape>
            </v:group>
            <v:group style="position:absolute;left:4350;top:819;width:2427;height:352" coordorigin="4350,819" coordsize="2427,352">
              <v:shape style="position:absolute;left:4350;top:819;width:2427;height:352" coordorigin="4350,819" coordsize="2427,352" path="m4350,1171l6777,1171,6777,819,4350,819,4350,1171xe" filled="true" fillcolor="#d2d2d2" stroked="false">
                <v:path arrowok="t"/>
                <v:fill type="solid"/>
              </v:shape>
            </v:group>
            <v:group style="position:absolute;left:6810;top:468;width:3890;height:156" coordorigin="6810,468" coordsize="3890,156">
              <v:shape style="position:absolute;left:6810;top:468;width:3890;height:156" coordorigin="6810,468" coordsize="3890,156" path="m6810,624l10699,624,10699,468,6810,468,6810,624xe" filled="true" fillcolor="#d2d2d2" stroked="false">
                <v:path arrowok="t"/>
                <v:fill type="solid"/>
              </v:shape>
            </v:group>
            <v:group style="position:absolute;left:6821;top:624;width:2;height:392" coordorigin="6821,624" coordsize="2,392">
              <v:shape style="position:absolute;left:6821;top:624;width:2;height:392" coordorigin="6821,624" coordsize="0,392" path="m6821,624l6821,1015e" filled="false" stroked="true" strokeweight="1.140pt" strokecolor="#d2d2d2">
                <v:path arrowok="t"/>
              </v:shape>
            </v:group>
            <v:group style="position:absolute;left:10688;top:624;width:2;height:392" coordorigin="10688,624" coordsize="2,392">
              <v:shape style="position:absolute;left:10688;top:624;width:2;height:392" coordorigin="10688,624" coordsize="0,392" path="m10688,624l10688,1015e" filled="false" stroked="true" strokeweight="1.140pt" strokecolor="#d2d2d2">
                <v:path arrowok="t"/>
              </v:shape>
            </v:group>
            <v:group style="position:absolute;left:6810;top:1015;width:3890;height:156" coordorigin="6810,1015" coordsize="3890,156">
              <v:shape style="position:absolute;left:6810;top:1015;width:3890;height:156" coordorigin="6810,1015" coordsize="3890,156" path="m6810,1171l10699,1171,10699,1015,6810,1015,6810,1171xe" filled="true" fillcolor="#d2d2d2" stroked="false">
                <v:path arrowok="t"/>
                <v:fill type="solid"/>
              </v:shape>
            </v:group>
            <v:group style="position:absolute;left:6832;top:624;width:3844;height:392" coordorigin="6832,624" coordsize="3844,392">
              <v:shape style="position:absolute;left:6832;top:624;width:3844;height:392" coordorigin="6832,624" coordsize="3844,392" path="m6832,1015l10676,1015,10676,624,6832,624,6832,1015xe" filled="true" fillcolor="#d2d2d2" stroked="false">
                <v:path arrowok="t"/>
                <v:fill type="solid"/>
              </v:shape>
            </v:group>
            <v:group style="position:absolute;left:1139;top:462;width:3180;height:2" coordorigin="1139,462" coordsize="3180,2">
              <v:shape style="position:absolute;left:1139;top:462;width:3180;height:2" coordorigin="1139,462" coordsize="3180,0" path="m1139,462l4318,462e" filled="false" stroked="true" strokeweight=".48pt" strokecolor="#000000">
                <v:path arrowok="t"/>
              </v:shape>
            </v:group>
            <v:group style="position:absolute;left:4328;top:462;width:2473;height:2" coordorigin="4328,462" coordsize="2473,2">
              <v:shape style="position:absolute;left:4328;top:462;width:2473;height:2" coordorigin="4328,462" coordsize="2473,0" path="m4328,462l6800,462e" filled="false" stroked="true" strokeweight=".48pt" strokecolor="#000000">
                <v:path arrowok="t"/>
              </v:shape>
            </v:group>
            <v:group style="position:absolute;left:6810;top:462;width:3890;height:2" coordorigin="6810,462" coordsize="3890,2">
              <v:shape style="position:absolute;left:6810;top:462;width:3890;height:2" coordorigin="6810,462" coordsize="3890,0" path="m6810,462l10699,462e" filled="false" stroked="true" strokeweight=".48pt" strokecolor="#000000">
                <v:path arrowok="t"/>
              </v:shape>
            </v:group>
            <v:group style="position:absolute;left:1139;top:1176;width:3180;height:2" coordorigin="1139,1176" coordsize="3180,2">
              <v:shape style="position:absolute;left:1139;top:1176;width:3180;height:2" coordorigin="1139,1176" coordsize="3180,0" path="m1139,1176l4318,1176e" filled="false" stroked="true" strokeweight=".48pt" strokecolor="#000000">
                <v:path arrowok="t"/>
              </v:shape>
            </v:group>
            <v:group style="position:absolute;left:4328;top:1176;width:2473;height:2" coordorigin="4328,1176" coordsize="2473,2">
              <v:shape style="position:absolute;left:4328;top:1176;width:2473;height:2" coordorigin="4328,1176" coordsize="2473,0" path="m4328,1176l6800,1176e" filled="false" stroked="true" strokeweight=".48pt" strokecolor="#000000">
                <v:path arrowok="t"/>
              </v:shape>
            </v:group>
            <v:group style="position:absolute;left:6810;top:1176;width:3890;height:2" coordorigin="6810,1176" coordsize="3890,2">
              <v:shape style="position:absolute;left:6810;top:1176;width:3890;height:2" coordorigin="6810,1176" coordsize="3890,0" path="m6810,1176l10699,1176e" filled="false" stroked="true" strokeweight=".48pt" strokecolor="#000000">
                <v:path arrowok="t"/>
              </v:shape>
            </v:group>
            <v:group style="position:absolute;left:1139;top:1578;width:3180;height:2" coordorigin="1139,1578" coordsize="3180,2">
              <v:shape style="position:absolute;left:1139;top:1578;width:3180;height:2" coordorigin="1139,1578" coordsize="3180,0" path="m1139,1578l4318,1578e" filled="false" stroked="true" strokeweight=".48pt" strokecolor="#000000">
                <v:path arrowok="t"/>
              </v:shape>
            </v:group>
            <v:group style="position:absolute;left:4328;top:1578;width:2473;height:2" coordorigin="4328,1578" coordsize="2473,2">
              <v:shape style="position:absolute;left:4328;top:1578;width:2473;height:2" coordorigin="4328,1578" coordsize="2473,0" path="m4328,1578l6800,1578e" filled="false" stroked="true" strokeweight=".48pt" strokecolor="#000000">
                <v:path arrowok="t"/>
              </v:shape>
            </v:group>
            <v:group style="position:absolute;left:6810;top:1578;width:3890;height:2" coordorigin="6810,1578" coordsize="3890,2">
              <v:shape style="position:absolute;left:6810;top:1578;width:3890;height:2" coordorigin="6810,1578" coordsize="3890,0" path="m6810,1578l10699,1578e" filled="false" stroked="true" strokeweight=".48pt" strokecolor="#000000">
                <v:path arrowok="t"/>
              </v:shape>
            </v:group>
            <v:group style="position:absolute;left:1139;top:1980;width:3180;height:2" coordorigin="1139,1980" coordsize="3180,2">
              <v:shape style="position:absolute;left:1139;top:1980;width:3180;height:2" coordorigin="1139,1980" coordsize="3180,0" path="m1139,1980l4318,1980e" filled="false" stroked="true" strokeweight=".48pt" strokecolor="#000000">
                <v:path arrowok="t"/>
              </v:shape>
            </v:group>
            <v:group style="position:absolute;left:4328;top:1980;width:2473;height:2" coordorigin="4328,1980" coordsize="2473,2">
              <v:shape style="position:absolute;left:4328;top:1980;width:2473;height:2" coordorigin="4328,1980" coordsize="2473,0" path="m4328,1980l6800,1980e" filled="false" stroked="true" strokeweight=".48pt" strokecolor="#000000">
                <v:path arrowok="t"/>
              </v:shape>
            </v:group>
            <v:group style="position:absolute;left:6810;top:1980;width:3890;height:2" coordorigin="6810,1980" coordsize="3890,2">
              <v:shape style="position:absolute;left:6810;top:1980;width:3890;height:2" coordorigin="6810,1980" coordsize="3890,0" path="m6810,1980l10699,1980e" filled="false" stroked="true" strokeweight=".48pt" strokecolor="#000000">
                <v:path arrowok="t"/>
              </v:shape>
            </v:group>
            <v:group style="position:absolute;left:1139;top:2382;width:3180;height:2" coordorigin="1139,2382" coordsize="3180,2">
              <v:shape style="position:absolute;left:1139;top:2382;width:3180;height:2" coordorigin="1139,2382" coordsize="3180,0" path="m1139,2382l4318,2382e" filled="false" stroked="true" strokeweight=".48pt" strokecolor="#000000">
                <v:path arrowok="t"/>
              </v:shape>
            </v:group>
            <v:group style="position:absolute;left:4328;top:2382;width:2473;height:2" coordorigin="4328,2382" coordsize="2473,2">
              <v:shape style="position:absolute;left:4328;top:2382;width:2473;height:2" coordorigin="4328,2382" coordsize="2473,0" path="m4328,2382l6800,2382e" filled="false" stroked="true" strokeweight=".48pt" strokecolor="#000000">
                <v:path arrowok="t"/>
              </v:shape>
            </v:group>
            <v:group style="position:absolute;left:6810;top:2382;width:3890;height:2" coordorigin="6810,2382" coordsize="3890,2">
              <v:shape style="position:absolute;left:6810;top:2382;width:3890;height:2" coordorigin="6810,2382" coordsize="3890,0" path="m6810,2382l10699,2382e" filled="false" stroked="true" strokeweight=".48pt" strokecolor="#000000">
                <v:path arrowok="t"/>
              </v:shape>
            </v:group>
            <v:group style="position:absolute;left:1139;top:2784;width:3180;height:2" coordorigin="1139,2784" coordsize="3180,2">
              <v:shape style="position:absolute;left:1139;top:2784;width:3180;height:2" coordorigin="1139,2784" coordsize="3180,0" path="m1139,2784l4318,2784e" filled="false" stroked="true" strokeweight=".48pt" strokecolor="#000000">
                <v:path arrowok="t"/>
              </v:shape>
            </v:group>
            <v:group style="position:absolute;left:4328;top:2784;width:2473;height:2" coordorigin="4328,2784" coordsize="2473,2">
              <v:shape style="position:absolute;left:4328;top:2784;width:2473;height:2" coordorigin="4328,2784" coordsize="2473,0" path="m4328,2784l6800,2784e" filled="false" stroked="true" strokeweight=".48pt" strokecolor="#000000">
                <v:path arrowok="t"/>
              </v:shape>
            </v:group>
            <v:group style="position:absolute;left:6810;top:2784;width:3890;height:2" coordorigin="6810,2784" coordsize="3890,2">
              <v:shape style="position:absolute;left:6810;top:2784;width:3890;height:2" coordorigin="6810,2784" coordsize="3890,0" path="m6810,2784l10699,2784e" filled="false" stroked="true" strokeweight=".48pt" strokecolor="#000000">
                <v:path arrowok="t"/>
              </v:shape>
            </v:group>
            <v:group style="position:absolute;left:1139;top:3186;width:3180;height:2" coordorigin="1139,3186" coordsize="3180,2">
              <v:shape style="position:absolute;left:1139;top:3186;width:3180;height:2" coordorigin="1139,3186" coordsize="3180,0" path="m1139,3186l4318,3186e" filled="false" stroked="true" strokeweight=".48pt" strokecolor="#000000">
                <v:path arrowok="t"/>
              </v:shape>
            </v:group>
            <v:group style="position:absolute;left:4328;top:3186;width:2473;height:2" coordorigin="4328,3186" coordsize="2473,2">
              <v:shape style="position:absolute;left:4328;top:3186;width:2473;height:2" coordorigin="4328,3186" coordsize="2473,0" path="m4328,3186l6800,3186e" filled="false" stroked="true" strokeweight=".48pt" strokecolor="#000000">
                <v:path arrowok="t"/>
              </v:shape>
            </v:group>
            <v:group style="position:absolute;left:6810;top:3186;width:3890;height:2" coordorigin="6810,3186" coordsize="3890,2">
              <v:shape style="position:absolute;left:6810;top:3186;width:3890;height:2" coordorigin="6810,3186" coordsize="3890,0" path="m6810,3186l10699,3186e" filled="false" stroked="true" strokeweight=".48pt" strokecolor="#000000">
                <v:path arrowok="t"/>
              </v:shape>
            </v:group>
            <v:group style="position:absolute;left:1139;top:3588;width:3180;height:2" coordorigin="1139,3588" coordsize="3180,2">
              <v:shape style="position:absolute;left:1139;top:3588;width:3180;height:2" coordorigin="1139,3588" coordsize="3180,0" path="m1139,3588l4318,3588e" filled="false" stroked="true" strokeweight=".48pt" strokecolor="#000000">
                <v:path arrowok="t"/>
              </v:shape>
            </v:group>
            <v:group style="position:absolute;left:4328;top:3588;width:2473;height:2" coordorigin="4328,3588" coordsize="2473,2">
              <v:shape style="position:absolute;left:4328;top:3588;width:2473;height:2" coordorigin="4328,3588" coordsize="2473,0" path="m4328,3588l6800,3588e" filled="false" stroked="true" strokeweight=".48pt" strokecolor="#000000">
                <v:path arrowok="t"/>
              </v:shape>
            </v:group>
            <v:group style="position:absolute;left:6810;top:3588;width:3890;height:2" coordorigin="6810,3588" coordsize="3890,2">
              <v:shape style="position:absolute;left:6810;top:3588;width:3890;height:2" coordorigin="6810,3588" coordsize="3890,0" path="m6810,3588l10699,3588e" filled="false" stroked="true" strokeweight=".48pt" strokecolor="#000000">
                <v:path arrowok="t"/>
              </v:shape>
            </v:group>
            <v:group style="position:absolute;left:1139;top:3990;width:3180;height:2" coordorigin="1139,3990" coordsize="3180,2">
              <v:shape style="position:absolute;left:1139;top:3990;width:3180;height:2" coordorigin="1139,3990" coordsize="3180,0" path="m1139,3990l4318,3990e" filled="false" stroked="true" strokeweight=".48pt" strokecolor="#000000">
                <v:path arrowok="t"/>
              </v:shape>
            </v:group>
            <v:group style="position:absolute;left:4328;top:3990;width:2473;height:2" coordorigin="4328,3990" coordsize="2473,2">
              <v:shape style="position:absolute;left:4328;top:3990;width:2473;height:2" coordorigin="4328,3990" coordsize="2473,0" path="m4328,3990l6800,3990e" filled="false" stroked="true" strokeweight=".48pt" strokecolor="#000000">
                <v:path arrowok="t"/>
              </v:shape>
            </v:group>
            <v:group style="position:absolute;left:6810;top:3990;width:3890;height:2" coordorigin="6810,3990" coordsize="3890,2">
              <v:shape style="position:absolute;left:6810;top:3990;width:3890;height:2" coordorigin="6810,3990" coordsize="3890,0" path="m6810,3990l10699,3990e" filled="false" stroked="true" strokeweight=".48pt" strokecolor="#000000">
                <v:path arrowok="t"/>
              </v:shape>
            </v:group>
            <v:group style="position:absolute;left:1139;top:5640;width:3180;height:2" coordorigin="1139,5640" coordsize="3180,2">
              <v:shape style="position:absolute;left:1139;top:5640;width:3180;height:2" coordorigin="1139,5640" coordsize="3180,0" path="m1139,5640l4318,5640e" filled="false" stroked="true" strokeweight=".48pt" strokecolor="#000000">
                <v:path arrowok="t"/>
              </v:shape>
            </v:group>
            <v:group style="position:absolute;left:4328;top:5640;width:2473;height:2" coordorigin="4328,5640" coordsize="2473,2">
              <v:shape style="position:absolute;left:4328;top:5640;width:2473;height:2" coordorigin="4328,5640" coordsize="2473,0" path="m4328,5640l6800,5640e" filled="false" stroked="true" strokeweight=".48pt" strokecolor="#000000">
                <v:path arrowok="t"/>
              </v:shape>
            </v:group>
            <v:group style="position:absolute;left:6810;top:5640;width:3890;height:2" coordorigin="6810,5640" coordsize="3890,2">
              <v:shape style="position:absolute;left:6810;top:5640;width:3890;height:2" coordorigin="6810,5640" coordsize="3890,0" path="m6810,5640l10699,5640e" filled="false" stroked="true" strokeweight=".48pt" strokecolor="#000000">
                <v:path arrowok="t"/>
              </v:shape>
            </v:group>
            <v:group style="position:absolute;left:1139;top:6042;width:3180;height:2" coordorigin="1139,6042" coordsize="3180,2">
              <v:shape style="position:absolute;left:1139;top:6042;width:3180;height:2" coordorigin="1139,6042" coordsize="3180,0" path="m1139,6042l4318,6042e" filled="false" stroked="true" strokeweight=".48pt" strokecolor="#000000">
                <v:path arrowok="t"/>
              </v:shape>
            </v:group>
            <v:group style="position:absolute;left:4328;top:6042;width:2473;height:2" coordorigin="4328,6042" coordsize="2473,2">
              <v:shape style="position:absolute;left:4328;top:6042;width:2473;height:2" coordorigin="4328,6042" coordsize="2473,0" path="m4328,6042l6800,6042e" filled="false" stroked="true" strokeweight=".48pt" strokecolor="#000000">
                <v:path arrowok="t"/>
              </v:shape>
            </v:group>
            <v:group style="position:absolute;left:6810;top:6042;width:3890;height:2" coordorigin="6810,6042" coordsize="3890,2">
              <v:shape style="position:absolute;left:6810;top:6042;width:3890;height:2" coordorigin="6810,6042" coordsize="3890,0" path="m6810,6042l10699,6042e" filled="false" stroked="true" strokeweight=".48pt" strokecolor="#000000">
                <v:path arrowok="t"/>
              </v:shape>
            </v:group>
            <v:group style="position:absolute;left:1139;top:6444;width:3180;height:2" coordorigin="1139,6444" coordsize="3180,2">
              <v:shape style="position:absolute;left:1139;top:6444;width:3180;height:2" coordorigin="1139,6444" coordsize="3180,0" path="m1139,6444l4318,6444e" filled="false" stroked="true" strokeweight=".48pt" strokecolor="#000000">
                <v:path arrowok="t"/>
              </v:shape>
            </v:group>
            <v:group style="position:absolute;left:4328;top:6444;width:2473;height:2" coordorigin="4328,6444" coordsize="2473,2">
              <v:shape style="position:absolute;left:4328;top:6444;width:2473;height:2" coordorigin="4328,6444" coordsize="2473,0" path="m4328,6444l6800,6444e" filled="false" stroked="true" strokeweight=".48pt" strokecolor="#000000">
                <v:path arrowok="t"/>
              </v:shape>
            </v:group>
            <v:group style="position:absolute;left:6810;top:6444;width:3890;height:2" coordorigin="6810,6444" coordsize="3890,2">
              <v:shape style="position:absolute;left:6810;top:6444;width:3890;height:2" coordorigin="6810,6444" coordsize="3890,0" path="m6810,6444l10699,6444e" filled="false" stroked="true" strokeweight=".48pt" strokecolor="#000000">
                <v:path arrowok="t"/>
              </v:shape>
            </v:group>
            <v:group style="position:absolute;left:1134;top:457;width:2;height:6396" coordorigin="1134,457" coordsize="2,6396">
              <v:shape style="position:absolute;left:1134;top:457;width:2;height:6396" coordorigin="1134,457" coordsize="0,6396" path="m1134,457l1134,6852e" filled="false" stroked="true" strokeweight=".48pt" strokecolor="#000000">
                <v:path arrowok="t"/>
              </v:shape>
            </v:group>
            <v:group style="position:absolute;left:1139;top:6847;width:3180;height:2" coordorigin="1139,6847" coordsize="3180,2">
              <v:shape style="position:absolute;left:1139;top:6847;width:3180;height:2" coordorigin="1139,6847" coordsize="3180,0" path="m1139,6847l4318,6847e" filled="false" stroked="true" strokeweight=".48pt" strokecolor="#000000">
                <v:path arrowok="t"/>
              </v:shape>
            </v:group>
            <v:group style="position:absolute;left:4323;top:457;width:2;height:6396" coordorigin="4323,457" coordsize="2,6396">
              <v:shape style="position:absolute;left:4323;top:457;width:2;height:6396" coordorigin="4323,457" coordsize="0,6396" path="m4323,457l4323,6852e" filled="false" stroked="true" strokeweight=".48pt" strokecolor="#000000">
                <v:path arrowok="t"/>
              </v:shape>
            </v:group>
            <v:group style="position:absolute;left:4328;top:6847;width:2473;height:2" coordorigin="4328,6847" coordsize="2473,2">
              <v:shape style="position:absolute;left:4328;top:6847;width:2473;height:2" coordorigin="4328,6847" coordsize="2473,0" path="m4328,6847l6800,6847e" filled="false" stroked="true" strokeweight=".48pt" strokecolor="#000000">
                <v:path arrowok="t"/>
              </v:shape>
            </v:group>
            <v:group style="position:absolute;left:6805;top:457;width:2;height:6396" coordorigin="6805,457" coordsize="2,6396">
              <v:shape style="position:absolute;left:6805;top:457;width:2;height:6396" coordorigin="6805,457" coordsize="0,6396" path="m6805,457l6805,6852e" filled="false" stroked="true" strokeweight=".48pt" strokecolor="#000000">
                <v:path arrowok="t"/>
              </v:shape>
            </v:group>
            <v:group style="position:absolute;left:6810;top:6847;width:3890;height:2" coordorigin="6810,6847" coordsize="3890,2">
              <v:shape style="position:absolute;left:6810;top:6847;width:3890;height:2" coordorigin="6810,6847" coordsize="3890,0" path="m6810,6847l10699,6847e" filled="false" stroked="true" strokeweight=".48pt" strokecolor="#000000">
                <v:path arrowok="t"/>
              </v:shape>
            </v:group>
            <v:group style="position:absolute;left:10704;top:457;width:2;height:6396" coordorigin="10704,457" coordsize="2,6396">
              <v:shape style="position:absolute;left:10704;top:457;width:2;height:6396" coordorigin="10704,457" coordsize="0,6396" path="m10704,457l10704,6852e" filled="false" stroked="true" strokeweight=".48pt" strokecolor="#000000">
                <v:path arrowok="t"/>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pStyle w:val="BodyText"/>
        <w:spacing w:line="240" w:lineRule="auto"/>
        <w:ind w:left="1388" w:right="-20"/>
        <w:jc w:val="left"/>
      </w:pPr>
      <w:r>
        <w:rPr/>
        <w:t>公司名称</w:t>
      </w:r>
    </w:p>
    <w:p>
      <w:pPr>
        <w:pStyle w:val="BodyText"/>
        <w:spacing w:line="316" w:lineRule="auto" w:before="44"/>
        <w:ind w:left="2345" w:right="-19" w:hanging="1081"/>
        <w:jc w:val="left"/>
      </w:pPr>
      <w:r>
        <w:rPr/>
        <w:br w:type="column"/>
      </w:r>
      <w:r>
        <w:rPr/>
        <w:t>报告期内取得和处置子公司方 式</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809" w:right="0"/>
        <w:jc w:val="left"/>
      </w:pPr>
      <w:r>
        <w:rPr/>
        <w:t>对整体生产经营和业绩的影响</w:t>
      </w:r>
    </w:p>
    <w:p>
      <w:pPr>
        <w:spacing w:after="0" w:line="240" w:lineRule="auto"/>
        <w:jc w:val="left"/>
        <w:sectPr>
          <w:type w:val="continuous"/>
          <w:pgSz w:w="11910" w:h="16840"/>
          <w:pgMar w:top="1060" w:bottom="1160" w:left="980" w:right="0"/>
          <w:cols w:num="3" w:equalWidth="0">
            <w:col w:w="2109" w:space="40"/>
            <w:col w:w="3606" w:space="40"/>
            <w:col w:w="5135"/>
          </w:cols>
        </w:sectPr>
      </w:pPr>
    </w:p>
    <w:p>
      <w:pPr>
        <w:pStyle w:val="BodyText"/>
        <w:tabs>
          <w:tab w:pos="3370" w:val="left" w:leader="none"/>
          <w:tab w:pos="5852" w:val="left" w:leader="none"/>
        </w:tabs>
        <w:spacing w:line="240" w:lineRule="auto" w:before="109"/>
        <w:ind w:left="181" w:right="0"/>
        <w:jc w:val="left"/>
      </w:pPr>
      <w:r>
        <w:rPr/>
        <w:t>青岛大通佳合资产管理有限公司</w:t>
        <w:tab/>
        <w:t>设立</w:t>
        <w:tab/>
        <w:t>报告期尚未开展业务，对整体经营和业绩无影响。</w:t>
      </w:r>
    </w:p>
    <w:p>
      <w:pPr>
        <w:spacing w:line="240" w:lineRule="auto" w:before="5"/>
        <w:rPr>
          <w:rFonts w:ascii="宋体" w:hAnsi="宋体" w:cs="宋体" w:eastAsia="宋体" w:hint="default"/>
          <w:sz w:val="9"/>
          <w:szCs w:val="9"/>
        </w:rPr>
      </w:pPr>
    </w:p>
    <w:p>
      <w:pPr>
        <w:pStyle w:val="BodyText"/>
        <w:tabs>
          <w:tab w:pos="3370" w:val="left" w:leader="none"/>
          <w:tab w:pos="5852" w:val="left" w:leader="none"/>
        </w:tabs>
        <w:spacing w:line="240" w:lineRule="auto" w:before="44"/>
        <w:ind w:left="181" w:right="0"/>
        <w:jc w:val="left"/>
      </w:pPr>
      <w:r>
        <w:rPr/>
        <w:t>深圳大通信息科技有限公司</w:t>
        <w:tab/>
        <w:t>设立</w:t>
        <w:tab/>
        <w:t>报告期尚未开展业务，对整体经营和业绩无影响。</w:t>
      </w:r>
    </w:p>
    <w:p>
      <w:pPr>
        <w:spacing w:line="240" w:lineRule="auto" w:before="4"/>
        <w:rPr>
          <w:rFonts w:ascii="宋体" w:hAnsi="宋体" w:cs="宋体" w:eastAsia="宋体" w:hint="default"/>
          <w:sz w:val="9"/>
          <w:szCs w:val="9"/>
        </w:rPr>
      </w:pPr>
    </w:p>
    <w:p>
      <w:pPr>
        <w:pStyle w:val="BodyText"/>
        <w:tabs>
          <w:tab w:pos="3370" w:val="left" w:leader="none"/>
          <w:tab w:pos="5852" w:val="left" w:leader="none"/>
        </w:tabs>
        <w:spacing w:line="240" w:lineRule="auto" w:before="44"/>
        <w:ind w:left="181" w:right="0"/>
        <w:jc w:val="left"/>
      </w:pPr>
      <w:r>
        <w:rPr/>
        <w:t>霍尔果斯聚交信息科技有限公司</w:t>
        <w:tab/>
        <w:t>设立</w:t>
        <w:tab/>
        <w:t>报告期尚未开展业务，对整体经营和业绩无影响。</w:t>
      </w:r>
    </w:p>
    <w:p>
      <w:pPr>
        <w:spacing w:line="240" w:lineRule="auto" w:before="4"/>
        <w:rPr>
          <w:rFonts w:ascii="宋体" w:hAnsi="宋体" w:cs="宋体" w:eastAsia="宋体" w:hint="default"/>
          <w:sz w:val="9"/>
          <w:szCs w:val="9"/>
        </w:rPr>
      </w:pPr>
    </w:p>
    <w:p>
      <w:pPr>
        <w:pStyle w:val="BodyText"/>
        <w:tabs>
          <w:tab w:pos="3370" w:val="left" w:leader="none"/>
          <w:tab w:pos="5852" w:val="left" w:leader="none"/>
        </w:tabs>
        <w:spacing w:line="240" w:lineRule="auto" w:before="44"/>
        <w:ind w:left="181" w:right="0"/>
        <w:jc w:val="left"/>
      </w:pPr>
      <w:r>
        <w:rPr/>
        <w:t>深圳大通致远供应链管理有限公司</w:t>
        <w:tab/>
        <w:t>设立</w:t>
        <w:tab/>
        <w:t>业务刚起步，对公司整体业绩影响较小。</w:t>
      </w:r>
    </w:p>
    <w:p>
      <w:pPr>
        <w:spacing w:line="240" w:lineRule="auto" w:before="4"/>
        <w:rPr>
          <w:rFonts w:ascii="宋体" w:hAnsi="宋体" w:cs="宋体" w:eastAsia="宋体" w:hint="default"/>
          <w:sz w:val="9"/>
          <w:szCs w:val="9"/>
        </w:rPr>
      </w:pPr>
    </w:p>
    <w:p>
      <w:pPr>
        <w:pStyle w:val="BodyText"/>
        <w:tabs>
          <w:tab w:pos="3370" w:val="left" w:leader="none"/>
          <w:tab w:pos="5852" w:val="left" w:leader="none"/>
        </w:tabs>
        <w:spacing w:line="240" w:lineRule="auto" w:before="44"/>
        <w:ind w:left="181" w:right="0"/>
        <w:jc w:val="left"/>
      </w:pPr>
      <w:r>
        <w:rPr/>
        <w:t>北京赛鸽天地广告有限公司</w:t>
        <w:tab/>
        <w:t>收购</w:t>
        <w:tab/>
        <w:t>报告期尚未开展业务，对整体经营和业绩无影响。</w:t>
      </w:r>
    </w:p>
    <w:p>
      <w:pPr>
        <w:spacing w:line="240" w:lineRule="auto" w:before="4"/>
        <w:rPr>
          <w:rFonts w:ascii="宋体" w:hAnsi="宋体" w:cs="宋体" w:eastAsia="宋体" w:hint="default"/>
          <w:sz w:val="9"/>
          <w:szCs w:val="9"/>
        </w:rPr>
      </w:pPr>
    </w:p>
    <w:p>
      <w:pPr>
        <w:pStyle w:val="BodyText"/>
        <w:tabs>
          <w:tab w:pos="3370" w:val="left" w:leader="none"/>
          <w:tab w:pos="5852" w:val="left" w:leader="none"/>
        </w:tabs>
        <w:spacing w:line="240" w:lineRule="auto" w:before="44"/>
        <w:ind w:left="181" w:right="0"/>
        <w:jc w:val="left"/>
      </w:pPr>
      <w:r>
        <w:rPr/>
        <w:t>北京三吉嘉喜传媒科技有限公司</w:t>
        <w:tab/>
        <w:t>收购</w:t>
        <w:tab/>
        <w:t>报告期尚未开展业务，对整体经营和业绩无影响。</w:t>
      </w:r>
    </w:p>
    <w:p>
      <w:pPr>
        <w:spacing w:line="240" w:lineRule="auto" w:before="4"/>
        <w:rPr>
          <w:rFonts w:ascii="宋体" w:hAnsi="宋体" w:cs="宋体" w:eastAsia="宋体" w:hint="default"/>
          <w:sz w:val="9"/>
          <w:szCs w:val="9"/>
        </w:rPr>
      </w:pPr>
    </w:p>
    <w:p>
      <w:pPr>
        <w:pStyle w:val="BodyText"/>
        <w:tabs>
          <w:tab w:pos="3370" w:val="left" w:leader="none"/>
          <w:tab w:pos="5852" w:val="left" w:leader="none"/>
        </w:tabs>
        <w:spacing w:line="240" w:lineRule="auto" w:before="44"/>
        <w:ind w:left="181" w:right="0"/>
        <w:jc w:val="left"/>
      </w:pPr>
      <w:r>
        <w:rPr/>
        <w:t>浙江视赚赛鸽科技有限公司</w:t>
        <w:tab/>
        <w:t>设立</w:t>
        <w:tab/>
        <w:t>报告期尚未开展业务，对整体经营和业绩无影响。</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3370" w:val="left" w:leader="none"/>
        </w:tabs>
        <w:spacing w:line="240" w:lineRule="auto"/>
        <w:ind w:left="181" w:right="-20"/>
        <w:jc w:val="left"/>
      </w:pPr>
      <w:r>
        <w:rPr/>
        <w:t>济宁海情置业有限公司</w:t>
        <w:tab/>
        <w:t>出售</w:t>
      </w:r>
    </w:p>
    <w:p>
      <w:pPr>
        <w:pStyle w:val="BodyText"/>
        <w:spacing w:line="316" w:lineRule="auto" w:before="44"/>
        <w:ind w:left="181" w:right="1138"/>
        <w:jc w:val="left"/>
      </w:pPr>
      <w:r>
        <w:rPr/>
        <w:br w:type="column"/>
      </w:r>
      <w:r>
        <w:rPr/>
        <w:t>公司房地产业务剥离完成后，短期内将减少公司 营业务收入和规模，但是对公司净利润的影响较 小；长期来看，因目前公司的土地储备不足，随 </w:t>
      </w:r>
      <w:r>
        <w:rPr>
          <w:spacing w:val="-2"/>
        </w:rPr>
        <w:t>着现有房地产项目的清盘，对上市公司整体收入、</w:t>
      </w:r>
      <w:r>
        <w:rPr>
          <w:spacing w:val="-74"/>
        </w:rPr>
        <w:t> </w:t>
      </w:r>
      <w:r>
        <w:rPr>
          <w:spacing w:val="-74"/>
        </w:rPr>
      </w:r>
      <w:r>
        <w:rPr/>
        <w:t>净利润及现金流量均无重大影响。</w:t>
      </w:r>
    </w:p>
    <w:p>
      <w:pPr>
        <w:spacing w:after="0" w:line="316" w:lineRule="auto"/>
        <w:jc w:val="left"/>
        <w:sectPr>
          <w:type w:val="continuous"/>
          <w:pgSz w:w="11910" w:h="16840"/>
          <w:pgMar w:top="1060" w:bottom="1160" w:left="980" w:right="0"/>
          <w:cols w:num="2" w:equalWidth="0">
            <w:col w:w="3731" w:space="1940"/>
            <w:col w:w="5259"/>
          </w:cols>
        </w:sectPr>
      </w:pPr>
    </w:p>
    <w:p>
      <w:pPr>
        <w:pStyle w:val="BodyText"/>
        <w:tabs>
          <w:tab w:pos="3370" w:val="left" w:leader="none"/>
          <w:tab w:pos="5852" w:val="left" w:leader="none"/>
        </w:tabs>
        <w:spacing w:line="240" w:lineRule="auto" w:before="109"/>
        <w:ind w:left="181" w:right="0"/>
        <w:jc w:val="left"/>
      </w:pPr>
      <w:r>
        <w:rPr/>
        <w:t>青岛广顺房地产有限公司</w:t>
        <w:tab/>
        <w:t>出售</w:t>
        <w:tab/>
        <w:t>同上。</w:t>
      </w:r>
    </w:p>
    <w:p>
      <w:pPr>
        <w:spacing w:line="240" w:lineRule="auto" w:before="4"/>
        <w:rPr>
          <w:rFonts w:ascii="宋体" w:hAnsi="宋体" w:cs="宋体" w:eastAsia="宋体" w:hint="default"/>
          <w:sz w:val="9"/>
          <w:szCs w:val="9"/>
        </w:rPr>
      </w:pPr>
    </w:p>
    <w:p>
      <w:pPr>
        <w:pStyle w:val="BodyText"/>
        <w:tabs>
          <w:tab w:pos="3370" w:val="left" w:leader="none"/>
          <w:tab w:pos="5852" w:val="left" w:leader="none"/>
        </w:tabs>
        <w:spacing w:line="240" w:lineRule="auto" w:before="44"/>
        <w:ind w:left="181" w:right="0"/>
        <w:jc w:val="left"/>
      </w:pPr>
      <w:r>
        <w:rPr/>
        <w:t>泗水海情置业有限公司</w:t>
        <w:tab/>
        <w:t>出售</w:t>
        <w:tab/>
        <w:t>同上。</w:t>
      </w:r>
    </w:p>
    <w:p>
      <w:pPr>
        <w:spacing w:line="240" w:lineRule="auto" w:before="4"/>
        <w:rPr>
          <w:rFonts w:ascii="宋体" w:hAnsi="宋体" w:cs="宋体" w:eastAsia="宋体" w:hint="default"/>
          <w:sz w:val="9"/>
          <w:szCs w:val="9"/>
        </w:rPr>
      </w:pPr>
    </w:p>
    <w:p>
      <w:pPr>
        <w:pStyle w:val="BodyText"/>
        <w:tabs>
          <w:tab w:pos="3370" w:val="left" w:leader="none"/>
          <w:tab w:pos="5852" w:val="left" w:leader="none"/>
        </w:tabs>
        <w:spacing w:line="240" w:lineRule="auto" w:before="44"/>
        <w:ind w:left="181" w:right="0"/>
        <w:jc w:val="left"/>
      </w:pPr>
      <w:r>
        <w:rPr/>
        <w:t>美国冉十科技公司</w:t>
        <w:tab/>
        <w:t>注销</w:t>
        <w:tab/>
        <w:t>报告期尚未开展业务，对整体经营和业绩无影响。</w:t>
      </w:r>
    </w:p>
    <w:p>
      <w:pPr>
        <w:spacing w:line="240" w:lineRule="auto" w:before="4"/>
        <w:rPr>
          <w:rFonts w:ascii="宋体" w:hAnsi="宋体" w:cs="宋体" w:eastAsia="宋体" w:hint="default"/>
          <w:sz w:val="9"/>
          <w:szCs w:val="9"/>
        </w:rPr>
      </w:pPr>
    </w:p>
    <w:p>
      <w:pPr>
        <w:pStyle w:val="BodyText"/>
        <w:spacing w:line="240" w:lineRule="auto" w:before="44"/>
        <w:ind w:left="154" w:right="0"/>
        <w:jc w:val="left"/>
      </w:pPr>
      <w:r>
        <w:rPr/>
        <w:t>主要控股参股公司情况说明</w:t>
      </w:r>
    </w:p>
    <w:p>
      <w:pPr>
        <w:spacing w:line="240" w:lineRule="auto" w:before="0"/>
        <w:rPr>
          <w:rFonts w:ascii="宋体" w:hAnsi="宋体" w:cs="宋体" w:eastAsia="宋体" w:hint="default"/>
          <w:sz w:val="25"/>
          <w:szCs w:val="25"/>
        </w:rPr>
      </w:pPr>
    </w:p>
    <w:p>
      <w:pPr>
        <w:pStyle w:val="Heading2"/>
        <w:spacing w:line="240" w:lineRule="auto"/>
        <w:ind w:left="154" w:right="0"/>
        <w:jc w:val="left"/>
        <w:rPr>
          <w:b w:val="0"/>
          <w:bCs w:val="0"/>
        </w:rPr>
      </w:pPr>
      <w:bookmarkStart w:name="八、公司控制的结构化主体情况" w:id="60"/>
      <w:bookmarkEnd w:id="60"/>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134" w:right="8102"/>
        <w:jc w:val="center"/>
        <w:rPr>
          <w:b w:val="0"/>
          <w:bCs w:val="0"/>
        </w:rPr>
      </w:pPr>
      <w:bookmarkStart w:name="九、公司未来发展的展望" w:id="61"/>
      <w:bookmarkEnd w:id="61"/>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4" w:right="1032" w:firstLine="360"/>
        <w:jc w:val="left"/>
      </w:pPr>
      <w:r>
        <w:rPr>
          <w:spacing w:val="-2"/>
        </w:rPr>
        <w:t>（一）行业格局和趋势。</w:t>
      </w:r>
      <w:r>
        <w:rPr>
          <w:rFonts w:ascii="Times New Roman" w:hAnsi="Times New Roman" w:cs="Times New Roman" w:eastAsia="Times New Roman" w:hint="default"/>
          <w:spacing w:val="-2"/>
        </w:rPr>
        <w:t>2017</w:t>
      </w:r>
      <w:r>
        <w:rPr>
          <w:spacing w:val="-2"/>
        </w:rPr>
        <w:t>年，广告市场整体小幅回升，传统媒体降幅回稳，互联网媒体市场增速放缓，行业进入了</w:t>
      </w:r>
      <w:r>
        <w:rPr/>
        <w:t> </w:t>
      </w:r>
      <w:r>
        <w:rPr>
          <w:spacing w:val="-2"/>
        </w:rPr>
        <w:t>新一轮的稳定期，部分场景化媒体和移动互联网媒体带动整体市场增长，以楼宇电视、影院媒体为代表的户外视频媒体优势</w:t>
      </w:r>
      <w:r>
        <w:rPr>
          <w:spacing w:val="-66"/>
        </w:rPr>
        <w:t> </w:t>
      </w:r>
      <w:r>
        <w:rPr>
          <w:spacing w:val="-66"/>
        </w:rPr>
      </w:r>
      <w:r>
        <w:rPr>
          <w:spacing w:val="-2"/>
        </w:rPr>
        <w:t>更为凸显。随着原生内容和网络视频产业的蓬勃发展以及资本化预期，越来越多的优质资源向头部平台和内容倾斜，市场化</w:t>
      </w:r>
      <w:r>
        <w:rPr>
          <w:spacing w:val="-66"/>
        </w:rPr>
        <w:t> </w:t>
      </w:r>
      <w:r>
        <w:rPr>
          <w:spacing w:val="-66"/>
        </w:rPr>
      </w:r>
      <w:r>
        <w:rPr>
          <w:spacing w:val="-5"/>
        </w:rPr>
        <w:t>竞争将会更加激烈，垄断趋势进一步加强。以大数据、物联网、人工智能、区块链等代表的前沿技术正引领产业的未来发展，</w:t>
      </w:r>
      <w:r>
        <w:rPr>
          <w:spacing w:val="-79"/>
        </w:rPr>
        <w:t> </w:t>
      </w:r>
      <w:r>
        <w:rPr>
          <w:spacing w:val="-79"/>
        </w:rPr>
      </w:r>
      <w:r>
        <w:rPr/>
        <w:t>并逐步向移动营销、户外广告、网络视频、版权</w:t>
      </w:r>
      <w:r>
        <w:rPr>
          <w:rFonts w:ascii="Times New Roman" w:hAnsi="Times New Roman" w:cs="Times New Roman" w:eastAsia="Times New Roman" w:hint="default"/>
        </w:rPr>
        <w:t>IP</w:t>
      </w:r>
      <w:r>
        <w:rPr/>
        <w:t>、泛娱乐等领域渗透，且结合得越来越紧密。在此背景下，公司未来的发 </w:t>
      </w:r>
      <w:r>
        <w:rPr>
          <w:spacing w:val="-2"/>
        </w:rPr>
        <w:t>展，可以说是机遇与挑战并存。广告市场整体回升，为公司在广告领域的深度布局提供了很好的契机，同时，随着广告行业</w:t>
      </w:r>
      <w:r>
        <w:rPr>
          <w:spacing w:val="-66"/>
        </w:rPr>
        <w:t> </w:t>
      </w:r>
      <w:r>
        <w:rPr>
          <w:spacing w:val="-66"/>
        </w:rPr>
      </w:r>
      <w:r>
        <w:rPr/>
        <w:t>规模化和集中度的提升，又对公司做大做强提出了很高的要求，如何在积极推进内生式增长的同时，稳步推进外延式并购，</w:t>
      </w:r>
      <w:r>
        <w:rPr>
          <w:spacing w:val="-85"/>
        </w:rPr>
        <w:t> </w:t>
      </w:r>
      <w:r>
        <w:rPr>
          <w:spacing w:val="-85"/>
        </w:rPr>
      </w:r>
      <w:r>
        <w:rPr/>
        <w:t>发挥各领域广告资源的协同效应，是公司下一步面临的严峻课题。</w:t>
      </w:r>
    </w:p>
    <w:p>
      <w:pPr>
        <w:pStyle w:val="BodyText"/>
        <w:spacing w:line="312" w:lineRule="auto" w:before="22"/>
        <w:ind w:right="1131" w:firstLine="360"/>
        <w:jc w:val="both"/>
      </w:pPr>
      <w:r>
        <w:rPr>
          <w:spacing w:val="-4"/>
        </w:rPr>
        <w:t>（二）公司发展战略。公司将以</w:t>
      </w:r>
      <w:r>
        <w:rPr>
          <w:rFonts w:ascii="Times New Roman" w:hAnsi="Times New Roman" w:cs="Times New Roman" w:eastAsia="Times New Roman" w:hint="default"/>
          <w:spacing w:val="-4"/>
        </w:rPr>
        <w:t>“</w:t>
      </w:r>
      <w:r>
        <w:rPr>
          <w:spacing w:val="-4"/>
        </w:rPr>
        <w:t>产业</w:t>
      </w:r>
      <w:r>
        <w:rPr>
          <w:rFonts w:ascii="Times New Roman" w:hAnsi="Times New Roman" w:cs="Times New Roman" w:eastAsia="Times New Roman" w:hint="default"/>
          <w:spacing w:val="-4"/>
        </w:rPr>
        <w:t>+</w:t>
      </w:r>
      <w:r>
        <w:rPr>
          <w:spacing w:val="-4"/>
        </w:rPr>
        <w:t>资本</w:t>
      </w:r>
      <w:r>
        <w:rPr>
          <w:rFonts w:ascii="Times New Roman" w:hAnsi="Times New Roman" w:cs="Times New Roman" w:eastAsia="Times New Roman" w:hint="default"/>
          <w:spacing w:val="-4"/>
        </w:rPr>
        <w:t>”</w:t>
      </w:r>
      <w:r>
        <w:rPr>
          <w:spacing w:val="-4"/>
        </w:rPr>
        <w:t>的产融互动双轮驱动模式，以文化传媒产业为根本，深耕广告主业，做足、</w:t>
      </w:r>
      <w:r>
        <w:rPr/>
        <w:t> </w:t>
      </w:r>
      <w:r>
        <w:rPr>
          <w:spacing w:val="-2"/>
        </w:rPr>
        <w:t>做强实体产业。以大通资本、供应链金融等金融业务为基础，搭建资本平台，以资本为驱动力，推动产业整合。大力投入和</w:t>
      </w:r>
      <w:r>
        <w:rPr>
          <w:spacing w:val="-68"/>
        </w:rPr>
        <w:t> </w:t>
      </w:r>
      <w:r>
        <w:rPr>
          <w:spacing w:val="-68"/>
        </w:rPr>
      </w:r>
      <w:r>
        <w:rPr>
          <w:spacing w:val="-2"/>
        </w:rPr>
        <w:t>研发人工智能、物联网、大数据、区块链等技术，通过技术创新实现产业升级，引导资本进入实体产业。通过内生式发展和</w:t>
      </w:r>
      <w:r>
        <w:rPr>
          <w:spacing w:val="-68"/>
        </w:rPr>
        <w:t> </w:t>
      </w:r>
      <w:r>
        <w:rPr>
          <w:spacing w:val="-68"/>
        </w:rPr>
      </w:r>
      <w:r>
        <w:rPr/>
        <w:t>外延式扩张，积极推进公司跨越式发展，搭建文化传媒产业创新发展的生态型平台。公司未来的具体发展规划包括：</w:t>
      </w:r>
    </w:p>
    <w:p>
      <w:pPr>
        <w:pStyle w:val="BodyText"/>
        <w:spacing w:line="309" w:lineRule="auto" w:before="22"/>
        <w:ind w:right="1132" w:firstLine="362"/>
        <w:jc w:val="both"/>
      </w:pPr>
      <w:r>
        <w:rPr>
          <w:rFonts w:ascii="Times New Roman" w:hAnsi="Times New Roman" w:cs="Times New Roman" w:eastAsia="Times New Roman" w:hint="default"/>
          <w:spacing w:val="-1"/>
        </w:rPr>
        <w:t>1.</w:t>
      </w:r>
      <w:r>
        <w:rPr>
          <w:spacing w:val="-1"/>
        </w:rPr>
        <w:t>持续资源整合和规模扩张。公司经过两年的磨合和业务整合，逐步实现了户外广告和移动营销的媒体资源、客户资源</w:t>
      </w:r>
      <w:r>
        <w:rPr/>
        <w:t> </w:t>
      </w:r>
      <w:r>
        <w:rPr>
          <w:spacing w:val="-2"/>
        </w:rPr>
        <w:t>的融合，业务协同价值开始显现。未来，在现有基础上，将持续扩大优质资源规模，优化资源结构，实现资源共享，推进并</w:t>
      </w:r>
      <w:r>
        <w:rPr>
          <w:spacing w:val="-72"/>
        </w:rPr>
        <w:t> </w:t>
      </w:r>
      <w:r>
        <w:rPr>
          <w:spacing w:val="-72"/>
        </w:rPr>
      </w:r>
      <w:r>
        <w:rPr/>
        <w:t>购重组工作，进一步提升公司的行业地位和行业竞争力。</w:t>
      </w:r>
    </w:p>
    <w:p>
      <w:pPr>
        <w:pStyle w:val="BodyText"/>
        <w:spacing w:line="309" w:lineRule="auto" w:before="24"/>
        <w:ind w:left="154" w:right="1132" w:firstLine="362"/>
        <w:jc w:val="both"/>
      </w:pPr>
      <w:r>
        <w:rPr>
          <w:rFonts w:ascii="Times New Roman" w:hAnsi="Times New Roman" w:cs="Times New Roman" w:eastAsia="Times New Roman" w:hint="default"/>
          <w:spacing w:val="-1"/>
        </w:rPr>
        <w:t>2.</w:t>
      </w:r>
      <w:r>
        <w:rPr>
          <w:spacing w:val="-1"/>
        </w:rPr>
        <w:t>加大技术力量储备和技术研发。公司通过与知名高校、科研院所等合作，加强新媒体和广告领域行业研究，开辟人才</w:t>
      </w:r>
      <w:r>
        <w:rPr/>
        <w:t> </w:t>
      </w:r>
      <w:r>
        <w:rPr>
          <w:spacing w:val="-2"/>
        </w:rPr>
        <w:t>引进通道，吸引一批在物联网、人工智能、大数据、区块链等技术领域的优秀人才，提升核心技术力量，通过技术创新，推</w:t>
      </w:r>
      <w:r>
        <w:rPr>
          <w:spacing w:val="-71"/>
        </w:rPr>
        <w:t> </w:t>
      </w:r>
      <w:r>
        <w:rPr>
          <w:spacing w:val="-71"/>
        </w:rPr>
      </w:r>
      <w:r>
        <w:rPr/>
        <w:t>动产业升级。</w:t>
      </w:r>
    </w:p>
    <w:p>
      <w:pPr>
        <w:pStyle w:val="BodyText"/>
        <w:spacing w:line="300" w:lineRule="auto" w:before="24"/>
        <w:ind w:left="154" w:right="1133" w:firstLine="362"/>
        <w:jc w:val="both"/>
      </w:pPr>
      <w:r>
        <w:rPr>
          <w:rFonts w:ascii="Times New Roman" w:hAnsi="Times New Roman" w:cs="Times New Roman" w:eastAsia="Times New Roman" w:hint="default"/>
          <w:spacing w:val="-1"/>
        </w:rPr>
        <w:t>3.</w:t>
      </w:r>
      <w:r>
        <w:rPr>
          <w:spacing w:val="-1"/>
        </w:rPr>
        <w:t>大力培育发展新业务。</w:t>
      </w:r>
      <w:r>
        <w:rPr>
          <w:rFonts w:ascii="Times New Roman" w:hAnsi="Times New Roman" w:cs="Times New Roman" w:eastAsia="Times New Roman" w:hint="default"/>
          <w:spacing w:val="-1"/>
        </w:rPr>
        <w:t>2017</w:t>
      </w:r>
      <w:r>
        <w:rPr>
          <w:spacing w:val="-1"/>
        </w:rPr>
        <w:t>年，公司开始布局供应链管理等领域，下一步还将启动民间资本管理公司的组建和业务谋</w:t>
      </w:r>
      <w:r>
        <w:rPr/>
        <w:t> 划，在做实广告主业的同时，迈入金融服务领域，实现产业</w:t>
      </w:r>
      <w:r>
        <w:rPr>
          <w:rFonts w:ascii="Times New Roman" w:hAnsi="Times New Roman" w:cs="Times New Roman" w:eastAsia="Times New Roman" w:hint="default"/>
        </w:rPr>
        <w:t>+</w:t>
      </w:r>
      <w:r>
        <w:rPr/>
        <w:t>资本的融合发展。</w:t>
      </w:r>
    </w:p>
    <w:p>
      <w:pPr>
        <w:pStyle w:val="BodyText"/>
        <w:spacing w:line="312" w:lineRule="auto" w:before="13"/>
        <w:ind w:right="1130" w:firstLine="362"/>
        <w:jc w:val="both"/>
      </w:pPr>
      <w:r>
        <w:rPr>
          <w:rFonts w:ascii="Times New Roman" w:hAnsi="Times New Roman" w:cs="Times New Roman" w:eastAsia="Times New Roman" w:hint="default"/>
          <w:spacing w:val="-1"/>
        </w:rPr>
        <w:t>4.</w:t>
      </w:r>
      <w:r>
        <w:rPr>
          <w:spacing w:val="-1"/>
        </w:rPr>
        <w:t>持续加强团队建设。一方面通过内部培养和外部引进的举措，构建稳定的核心管理团队和执行管理团队，另一方面将</w:t>
      </w:r>
      <w:r>
        <w:rPr/>
        <w:t> </w:t>
      </w:r>
      <w:r>
        <w:rPr>
          <w:spacing w:val="-2"/>
        </w:rPr>
        <w:t>继续加强与各子公司的统筹协作，优化组织架构、理顺流程权限、促进深度沟通，系统提升管理水平。同时，在推出员工持</w:t>
      </w:r>
      <w:r>
        <w:rPr>
          <w:spacing w:val="-67"/>
        </w:rPr>
        <w:t> </w:t>
      </w:r>
      <w:r>
        <w:rPr>
          <w:spacing w:val="-67"/>
        </w:rPr>
      </w:r>
      <w:r>
        <w:rPr>
          <w:spacing w:val="-2"/>
        </w:rPr>
        <w:t>股计划的基础上，将通过股权激励、业绩奖励等措施，最大限度保持核心管理运营团队的稳定，并持续注入新鲜血液，为公</w:t>
      </w:r>
      <w:r>
        <w:rPr>
          <w:spacing w:val="-66"/>
        </w:rPr>
        <w:t> </w:t>
      </w:r>
      <w:r>
        <w:rPr>
          <w:spacing w:val="-66"/>
        </w:rPr>
      </w:r>
      <w:r>
        <w:rPr/>
        <w:t>司的稳健发展夯实基础。</w:t>
      </w:r>
    </w:p>
    <w:p>
      <w:pPr>
        <w:pStyle w:val="BodyText"/>
        <w:spacing w:line="312" w:lineRule="auto" w:before="22"/>
        <w:ind w:left="154" w:right="1130" w:firstLine="360"/>
        <w:jc w:val="both"/>
      </w:pPr>
      <w:r>
        <w:rPr>
          <w:spacing w:val="-2"/>
        </w:rPr>
        <w:t>（三）经营计划。公司</w:t>
      </w:r>
      <w:r>
        <w:rPr>
          <w:rFonts w:ascii="Times New Roman" w:hAnsi="Times New Roman" w:cs="Times New Roman" w:eastAsia="Times New Roman" w:hint="default"/>
          <w:spacing w:val="-2"/>
        </w:rPr>
        <w:t>2018</w:t>
      </w:r>
      <w:r>
        <w:rPr>
          <w:spacing w:val="-2"/>
        </w:rPr>
        <w:t>年将通过内生式与外延式发展并举的方式，不断提高在广告行业的市场占有率、提升广告主</w:t>
      </w:r>
      <w:r>
        <w:rPr/>
        <w:t> </w:t>
      </w:r>
      <w:r>
        <w:rPr>
          <w:spacing w:val="-2"/>
        </w:rPr>
        <w:t>营收入，特别是在获取优质媒体资源和客户资源方面持续发力，打造大通全媒体平台，形成媒体和客户资源池与资源包，实</w:t>
      </w:r>
      <w:r>
        <w:rPr>
          <w:spacing w:val="-66"/>
        </w:rPr>
        <w:t> </w:t>
      </w:r>
      <w:r>
        <w:rPr>
          <w:spacing w:val="-66"/>
        </w:rPr>
      </w:r>
      <w:r>
        <w:rPr>
          <w:spacing w:val="-2"/>
        </w:rPr>
        <w:t>现全流量平台售卖、多场景媒体矩阵，有效解决媒体资源闲置问题，实现多方共赢。同时，公司将积极推进新业务发展。具</w:t>
      </w:r>
      <w:r>
        <w:rPr>
          <w:spacing w:val="-68"/>
        </w:rPr>
        <w:t> </w:t>
      </w:r>
      <w:r>
        <w:rPr>
          <w:spacing w:val="-68"/>
        </w:rPr>
      </w:r>
      <w:r>
        <w:rPr/>
        <w:t>体经营目标如下：</w:t>
      </w:r>
    </w:p>
    <w:p>
      <w:pPr>
        <w:pStyle w:val="BodyText"/>
        <w:spacing w:line="309" w:lineRule="auto" w:before="22"/>
        <w:ind w:left="154" w:right="1131" w:firstLine="362"/>
        <w:jc w:val="both"/>
      </w:pPr>
      <w:r>
        <w:rPr>
          <w:rFonts w:ascii="Times New Roman" w:hAnsi="Times New Roman" w:cs="Times New Roman" w:eastAsia="Times New Roman" w:hint="default"/>
          <w:spacing w:val="-4"/>
        </w:rPr>
        <w:t>2018</w:t>
      </w:r>
      <w:r>
        <w:rPr>
          <w:spacing w:val="-4"/>
        </w:rPr>
        <w:t>年营业收入</w:t>
      </w:r>
      <w:r>
        <w:rPr>
          <w:rFonts w:ascii="Times New Roman" w:hAnsi="Times New Roman" w:cs="Times New Roman" w:eastAsia="Times New Roman" w:hint="default"/>
          <w:spacing w:val="-4"/>
        </w:rPr>
        <w:t>/</w:t>
      </w:r>
      <w:r>
        <w:rPr>
          <w:spacing w:val="-4"/>
        </w:rPr>
        <w:t>销售额达到</w:t>
      </w:r>
      <w:r>
        <w:rPr>
          <w:rFonts w:ascii="Times New Roman" w:hAnsi="Times New Roman" w:cs="Times New Roman" w:eastAsia="Times New Roman" w:hint="default"/>
          <w:spacing w:val="-4"/>
        </w:rPr>
        <w:t>33</w:t>
      </w:r>
      <w:r>
        <w:rPr>
          <w:spacing w:val="-4"/>
        </w:rPr>
        <w:t>亿元以上，净利润力争达到</w:t>
      </w:r>
      <w:r>
        <w:rPr>
          <w:rFonts w:ascii="Times New Roman" w:hAnsi="Times New Roman" w:cs="Times New Roman" w:eastAsia="Times New Roman" w:hint="default"/>
          <w:spacing w:val="-4"/>
        </w:rPr>
        <w:t>4.8</w:t>
      </w:r>
      <w:r>
        <w:rPr>
          <w:spacing w:val="-4"/>
        </w:rPr>
        <w:t>亿元。同时，采取多种措施，持续加大应收账款回款比例。</w:t>
      </w:r>
      <w:r>
        <w:rPr/>
        <w:t> </w:t>
      </w:r>
      <w:r>
        <w:rPr>
          <w:spacing w:val="-2"/>
        </w:rPr>
        <w:t>上述经营目标因受市环境、业务推进、监管要求等诸多因素的制约，具有一定的风险性，不构成对投资者的业绩承诺，也提</w:t>
      </w:r>
      <w:r>
        <w:rPr>
          <w:spacing w:val="-66"/>
        </w:rPr>
        <w:t> </w:t>
      </w:r>
      <w:r>
        <w:rPr>
          <w:spacing w:val="-66"/>
        </w:rPr>
      </w:r>
      <w:r>
        <w:rPr/>
        <w:t>醒广大投资者对此保持足够的风险意识。</w:t>
      </w:r>
    </w:p>
    <w:p>
      <w:pPr>
        <w:pStyle w:val="BodyText"/>
        <w:spacing w:line="240" w:lineRule="auto" w:before="24"/>
        <w:ind w:left="513" w:right="0"/>
        <w:jc w:val="left"/>
      </w:pPr>
      <w:r>
        <w:rPr/>
        <w:t>另外，</w:t>
      </w:r>
      <w:r>
        <w:rPr>
          <w:rFonts w:ascii="Times New Roman" w:hAnsi="Times New Roman" w:cs="Times New Roman" w:eastAsia="Times New Roman" w:hint="default"/>
        </w:rPr>
        <w:t>2018</w:t>
      </w:r>
      <w:r>
        <w:rPr/>
        <w:t>年各子公司业绩承诺如下：冉十科技承诺利润为</w:t>
      </w:r>
      <w:r>
        <w:rPr>
          <w:rFonts w:ascii="Times New Roman" w:hAnsi="Times New Roman" w:cs="Times New Roman" w:eastAsia="Times New Roman" w:hint="default"/>
        </w:rPr>
        <w:t>1.36</w:t>
      </w:r>
      <w:r>
        <w:rPr/>
        <w:t>亿元，视科传媒承诺利润为</w:t>
      </w:r>
      <w:r>
        <w:rPr>
          <w:rFonts w:ascii="Times New Roman" w:hAnsi="Times New Roman" w:cs="Times New Roman" w:eastAsia="Times New Roman" w:hint="default"/>
        </w:rPr>
        <w:t>2.12</w:t>
      </w:r>
      <w:r>
        <w:rPr/>
        <w:t>亿元。</w:t>
      </w:r>
    </w:p>
    <w:p>
      <w:pPr>
        <w:pStyle w:val="BodyText"/>
        <w:spacing w:line="240" w:lineRule="auto" w:before="63"/>
        <w:ind w:left="513" w:right="0"/>
        <w:jc w:val="left"/>
      </w:pPr>
      <w:r>
        <w:rPr/>
        <w:t>（四）可能面对的风险</w:t>
      </w:r>
    </w:p>
    <w:p>
      <w:pPr>
        <w:pStyle w:val="BodyText"/>
        <w:spacing w:line="314" w:lineRule="auto" w:before="76"/>
        <w:ind w:right="1130" w:firstLine="362"/>
        <w:jc w:val="both"/>
      </w:pPr>
      <w:r>
        <w:rPr>
          <w:rFonts w:ascii="Times New Roman" w:hAnsi="Times New Roman" w:cs="Times New Roman" w:eastAsia="Times New Roman" w:hint="default"/>
          <w:spacing w:val="-1"/>
        </w:rPr>
        <w:t>1.</w:t>
      </w:r>
      <w:r>
        <w:rPr>
          <w:spacing w:val="-1"/>
        </w:rPr>
        <w:t>同质化竞争风险。目前，国内广告传媒行业产品结构单一，同质化竞争比较严重，创新能力相对不足。大多数广告传</w:t>
      </w:r>
      <w:r>
        <w:rPr/>
        <w:t> </w:t>
      </w:r>
      <w:r>
        <w:rPr>
          <w:spacing w:val="-2"/>
        </w:rPr>
        <w:t>媒公司在内容服务和营销手段上同质化现象比较突出，同时受限于文化需求创意和创新能力的不足，提供优质产品和服务的</w:t>
      </w:r>
      <w:r>
        <w:rPr>
          <w:spacing w:val="-64"/>
        </w:rPr>
        <w:t> </w:t>
      </w:r>
      <w:r>
        <w:rPr>
          <w:spacing w:val="-64"/>
        </w:rPr>
      </w:r>
      <w:r>
        <w:rPr>
          <w:spacing w:val="-2"/>
        </w:rPr>
        <w:t>能力相对缺乏。未来广告传媒行业竞争只有从之前的偏重竞争对手向偏重于消费者受众转变，才能赢得受众、保持受众，进</w:t>
      </w:r>
      <w:r>
        <w:rPr>
          <w:spacing w:val="-66"/>
        </w:rPr>
        <w:t> </w:t>
      </w:r>
      <w:r>
        <w:rPr>
          <w:spacing w:val="-66"/>
        </w:rPr>
      </w:r>
      <w:r>
        <w:rPr>
          <w:spacing w:val="-2"/>
        </w:rPr>
        <w:t>而保证广告媒体行业的可持续发展。公司近年来正在积极转变理念，从产品、技术、服务等多个维度着力，积极打造以客户</w:t>
      </w:r>
      <w:r>
        <w:rPr>
          <w:spacing w:val="-66"/>
        </w:rPr>
        <w:t> </w:t>
      </w:r>
      <w:r>
        <w:rPr>
          <w:spacing w:val="-66"/>
        </w:rPr>
      </w:r>
      <w:r>
        <w:rPr/>
        <w:t>为中心的经营理念。</w:t>
      </w:r>
    </w:p>
    <w:p>
      <w:pPr>
        <w:pStyle w:val="BodyText"/>
        <w:spacing w:line="312" w:lineRule="auto" w:before="21"/>
        <w:ind w:right="1131" w:firstLine="362"/>
        <w:jc w:val="both"/>
      </w:pPr>
      <w:r>
        <w:rPr>
          <w:rFonts w:ascii="Times New Roman" w:hAnsi="Times New Roman" w:cs="Times New Roman" w:eastAsia="Times New Roman" w:hint="default"/>
          <w:spacing w:val="-1"/>
        </w:rPr>
        <w:t>2.</w:t>
      </w:r>
      <w:r>
        <w:rPr>
          <w:spacing w:val="-1"/>
        </w:rPr>
        <w:t>人才流失的风险。广告行业各类人才特别是营销和技术类人才，是持续提升公司核心竞争力的关键要素。在当前广告</w:t>
      </w:r>
      <w:r>
        <w:rPr/>
        <w:t> </w:t>
      </w:r>
      <w:r>
        <w:rPr>
          <w:spacing w:val="-2"/>
        </w:rPr>
        <w:t>行业竞争日益激烈的形势下，公司营销管理团队及核心业务骨干的稳定性，将直接影响公司经营目标和经营业绩的实现。如</w:t>
      </w:r>
      <w:r>
        <w:rPr>
          <w:spacing w:val="-66"/>
        </w:rPr>
        <w:t> </w:t>
      </w:r>
      <w:r>
        <w:rPr>
          <w:spacing w:val="-66"/>
        </w:rPr>
      </w:r>
      <w:r>
        <w:rPr>
          <w:spacing w:val="-2"/>
        </w:rPr>
        <w:t>果不能采取有效措施，控制好核心人才的流失，将会对公司下一步的经营和业务发展造成不利影响。为避免核心团队成员流</w:t>
      </w:r>
      <w:r>
        <w:rPr>
          <w:spacing w:val="-66"/>
        </w:rPr>
        <w:t> </w:t>
      </w:r>
      <w:r>
        <w:rPr>
          <w:spacing w:val="-66"/>
        </w:rPr>
      </w:r>
      <w:r>
        <w:rPr>
          <w:spacing w:val="-2"/>
        </w:rPr>
        <w:t>失造成不利影响，公司已于报告年度推出了员工持股计划，同时未来也将推出股权激励计划，对核心管理团队及业务骨干实</w:t>
      </w:r>
    </w:p>
    <w:p>
      <w:pPr>
        <w:spacing w:after="0" w:line="312"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施激励，留住现有人才，积极引进高端人才。</w:t>
      </w:r>
    </w:p>
    <w:p>
      <w:pPr>
        <w:pStyle w:val="BodyText"/>
        <w:spacing w:line="312" w:lineRule="auto" w:before="76"/>
        <w:ind w:right="1131" w:firstLine="362"/>
        <w:jc w:val="both"/>
      </w:pPr>
      <w:r>
        <w:rPr>
          <w:rFonts w:ascii="Times New Roman" w:hAnsi="Times New Roman" w:cs="Times New Roman" w:eastAsia="Times New Roman" w:hint="default"/>
          <w:spacing w:val="-1"/>
        </w:rPr>
        <w:t>3.</w:t>
      </w:r>
      <w:r>
        <w:rPr>
          <w:spacing w:val="-1"/>
        </w:rPr>
        <w:t>商誉减值的风险。</w:t>
      </w:r>
      <w:r>
        <w:rPr>
          <w:rFonts w:ascii="Times New Roman" w:hAnsi="Times New Roman" w:cs="Times New Roman" w:eastAsia="Times New Roman" w:hint="default"/>
          <w:spacing w:val="-1"/>
        </w:rPr>
        <w:t>2015</w:t>
      </w:r>
      <w:r>
        <w:rPr>
          <w:spacing w:val="-1"/>
        </w:rPr>
        <w:t>年公司以发行股份及支付现金方式购买了冉十科技和视科传媒公司，在公司合并资产负债表中</w:t>
      </w:r>
      <w:r>
        <w:rPr/>
        <w:t> </w:t>
      </w:r>
      <w:r>
        <w:rPr>
          <w:spacing w:val="-2"/>
        </w:rPr>
        <w:t>增加了较大金额的商誉。根据《企业会计准则》规定，重组交易形成的商誉不作摊销处理，但需在未来每年年度终了时做减</w:t>
      </w:r>
      <w:r>
        <w:rPr>
          <w:spacing w:val="-66"/>
        </w:rPr>
        <w:t> </w:t>
      </w:r>
      <w:r>
        <w:rPr>
          <w:spacing w:val="-66"/>
        </w:rPr>
      </w:r>
      <w:r>
        <w:rPr>
          <w:spacing w:val="-2"/>
        </w:rPr>
        <w:t>值测试。由于未来国家经济形势、行业竞争以国家法律法规、产业政策均存在一定的不确定性，可能对标的公司的经营业绩</w:t>
      </w:r>
      <w:r>
        <w:rPr>
          <w:spacing w:val="-66"/>
        </w:rPr>
        <w:t> </w:t>
      </w:r>
      <w:r>
        <w:rPr>
          <w:spacing w:val="-66"/>
        </w:rPr>
      </w:r>
      <w:r>
        <w:rPr/>
        <w:t>造成影响，进而出现计提商誉减值的风险。</w:t>
      </w:r>
    </w:p>
    <w:p>
      <w:pPr>
        <w:spacing w:line="240" w:lineRule="auto" w:before="0"/>
        <w:rPr>
          <w:rFonts w:ascii="宋体" w:hAnsi="宋体" w:cs="宋体" w:eastAsia="宋体" w:hint="default"/>
          <w:sz w:val="21"/>
          <w:szCs w:val="21"/>
        </w:rPr>
      </w:pPr>
    </w:p>
    <w:p>
      <w:pPr>
        <w:pStyle w:val="Heading2"/>
        <w:spacing w:line="240" w:lineRule="auto"/>
        <w:ind w:right="0"/>
        <w:jc w:val="left"/>
        <w:rPr>
          <w:b w:val="0"/>
          <w:bCs w:val="0"/>
        </w:rPr>
      </w:pPr>
      <w:bookmarkStart w:name="十、接待调研、沟通、采访等活动情况" w:id="62"/>
      <w:bookmarkEnd w:id="62"/>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3"/>
      <w:bookmarkEnd w:id="63"/>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before="44"/>
        <w:ind w:left="0" w:right="1138"/>
        <w:jc w:val="right"/>
      </w:pPr>
      <w:r>
        <w:rPr/>
        <w:pict>
          <v:shape style="position:absolute;margin-left:56.459999pt;margin-top:-139.118271pt;width:479.25pt;height:290.650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8"/>
                    <w:gridCol w:w="1538"/>
                    <w:gridCol w:w="639"/>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31"/>
                          <w:jc w:val="left"/>
                          <w:rPr>
                            <w:rFonts w:ascii="宋体" w:hAnsi="宋体" w:cs="宋体" w:eastAsia="宋体" w:hint="default"/>
                            <w:sz w:val="18"/>
                            <w:szCs w:val="18"/>
                          </w:rPr>
                        </w:pPr>
                        <w:r>
                          <w:rPr>
                            <w:rFonts w:ascii="宋体" w:hAnsi="宋体" w:cs="宋体" w:eastAsia="宋体" w:hint="default"/>
                            <w:sz w:val="18"/>
                            <w:szCs w:val="18"/>
                          </w:rPr>
                          <w:t>公司的发展战略、公司的并购重组方 向、子公司新增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年承诺业绩的背 景等</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公司经营情况、重大资产重组情况、</w:t>
                        </w:r>
                      </w:p>
                      <w:p>
                        <w:pPr>
                          <w:pStyle w:val="TableParagraph"/>
                          <w:spacing w:line="240" w:lineRule="auto" w:before="7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年度利润分配进展情况，未提供</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任何书面资料（累计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人次）</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3" w:right="21"/>
                          <w:jc w:val="left"/>
                          <w:rPr>
                            <w:rFonts w:ascii="宋体" w:hAnsi="宋体" w:cs="宋体" w:eastAsia="宋体" w:hint="default"/>
                            <w:sz w:val="18"/>
                            <w:szCs w:val="18"/>
                          </w:rPr>
                        </w:pPr>
                        <w:r>
                          <w:rPr>
                            <w:rFonts w:ascii="宋体" w:hAnsi="宋体" w:cs="宋体" w:eastAsia="宋体" w:hint="default"/>
                            <w:spacing w:val="-5"/>
                            <w:sz w:val="18"/>
                            <w:szCs w:val="18"/>
                          </w:rPr>
                          <w:t>公司未来规划、股东情况、重大资产重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组情况、</w:t>
                        </w:r>
                        <w:r>
                          <w:rPr>
                            <w:rFonts w:ascii="Times New Roman" w:hAnsi="Times New Roman" w:cs="Times New Roman" w:eastAsia="Times New Roman" w:hint="default"/>
                            <w:spacing w:val="-5"/>
                            <w:sz w:val="18"/>
                            <w:szCs w:val="18"/>
                          </w:rPr>
                          <w:t>2016 </w:t>
                        </w:r>
                        <w:r>
                          <w:rPr>
                            <w:rFonts w:ascii="宋体" w:hAnsi="宋体" w:cs="宋体" w:eastAsia="宋体" w:hint="default"/>
                            <w:sz w:val="18"/>
                            <w:szCs w:val="18"/>
                          </w:rPr>
                          <w:t>年度利润分配进展情况</w:t>
                        </w:r>
                        <w:r>
                          <w:rPr>
                            <w:rFonts w:ascii="宋体" w:hAnsi="宋体" w:cs="宋体" w:eastAsia="宋体" w:hint="default"/>
                            <w:spacing w:val="-80"/>
                            <w:sz w:val="18"/>
                            <w:szCs w:val="18"/>
                          </w:rPr>
                          <w:t> </w:t>
                        </w:r>
                        <w:r>
                          <w:rPr>
                            <w:rFonts w:ascii="宋体" w:hAnsi="宋体" w:cs="宋体" w:eastAsia="宋体" w:hint="default"/>
                            <w:spacing w:val="-5"/>
                            <w:sz w:val="18"/>
                            <w:szCs w:val="18"/>
                          </w:rPr>
                          <w:t>仅提供公司公开信息资料（投资者互动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平台，累计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人次）</w:t>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827</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826</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3"/>
        <w:jc w:val="center"/>
        <w:rPr>
          <w:b w:val="0"/>
          <w:bCs w:val="0"/>
        </w:rPr>
      </w:pPr>
      <w:bookmarkStart w:name="第五节重要事项" w:id="64"/>
      <w:bookmarkEnd w:id="64"/>
      <w:r>
        <w:rPr>
          <w:b w:val="0"/>
          <w:bCs w:val="0"/>
        </w:rPr>
      </w:r>
      <w:bookmarkStart w:name="_bookmark4" w:id="65"/>
      <w:bookmarkEnd w:id="65"/>
      <w:r>
        <w:rPr>
          <w:b w:val="0"/>
          <w:bCs w:val="0"/>
        </w:rPr>
      </w:r>
      <w:r>
        <w:rPr/>
        <w:t>第五节重要事项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6"/>
      <w:bookmarkEnd w:id="66"/>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1"/>
        <w:ind w:right="1130" w:firstLine="362"/>
        <w:jc w:val="right"/>
      </w:pPr>
      <w:r>
        <w:rPr>
          <w:rFonts w:ascii="Times New Roman" w:hAnsi="Times New Roman" w:cs="Times New Roman" w:eastAsia="Times New Roman" w:hint="default"/>
          <w:spacing w:val="-1"/>
        </w:rPr>
        <w:t>2017</w:t>
      </w:r>
      <w:r>
        <w:rPr>
          <w:spacing w:val="-1"/>
        </w:rPr>
        <w:t>年利润分配方案：以公司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日的总股本</w:t>
      </w:r>
      <w:r>
        <w:rPr>
          <w:rFonts w:ascii="Times New Roman" w:hAnsi="Times New Roman" w:cs="Times New Roman" w:eastAsia="Times New Roman" w:hint="default"/>
          <w:spacing w:val="-1"/>
        </w:rPr>
        <w:t>522,777,419</w:t>
      </w:r>
      <w:r>
        <w:rPr>
          <w:spacing w:val="-1"/>
        </w:rPr>
        <w:t>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4.00</w:t>
      </w:r>
      <w:r>
        <w:rPr>
          <w:spacing w:val="-1"/>
        </w:rPr>
        <w:t>元（含</w:t>
      </w:r>
      <w:r>
        <w:rPr/>
        <w:t> </w:t>
      </w:r>
      <w:r>
        <w:rPr>
          <w:spacing w:val="-1"/>
        </w:rPr>
        <w:t>税），共派发现金红利</w:t>
      </w:r>
      <w:r>
        <w:rPr>
          <w:rFonts w:ascii="Times New Roman" w:hAnsi="Times New Roman" w:cs="Times New Roman" w:eastAsia="Times New Roman" w:hint="default"/>
          <w:spacing w:val="-1"/>
        </w:rPr>
        <w:t>209,110,967.60</w:t>
      </w:r>
      <w:r>
        <w:rPr>
          <w:spacing w:val="-1"/>
        </w:rPr>
        <w:t>元。</w:t>
      </w:r>
      <w:r>
        <w:rPr>
          <w:rFonts w:ascii="Times New Roman" w:hAnsi="Times New Roman" w:cs="Times New Roman" w:eastAsia="Times New Roman" w:hint="default"/>
          <w:spacing w:val="-1"/>
        </w:rPr>
        <w:t>2017</w:t>
      </w:r>
      <w:r>
        <w:rPr>
          <w:spacing w:val="-1"/>
        </w:rPr>
        <w:t>年度不送红股，不进行资本公积转增股本。该事项尚需提交股东大会审议。</w:t>
      </w:r>
      <w:r>
        <w:rPr/>
        <w:t> </w:t>
      </w:r>
      <w:r>
        <w:rPr>
          <w:rFonts w:ascii="Times New Roman" w:hAnsi="Times New Roman" w:cs="Times New Roman" w:eastAsia="Times New Roman" w:hint="default"/>
          <w:spacing w:val="-1"/>
        </w:rPr>
        <w:t>2016</w:t>
      </w:r>
      <w:r>
        <w:rPr>
          <w:spacing w:val="-1"/>
        </w:rPr>
        <w:t>年利润分配预案：以公司</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日的总股本</w:t>
      </w:r>
      <w:r>
        <w:rPr>
          <w:rFonts w:ascii="Times New Roman" w:hAnsi="Times New Roman" w:cs="Times New Roman" w:eastAsia="Times New Roman" w:hint="default"/>
          <w:spacing w:val="-1"/>
        </w:rPr>
        <w:t>326,735,887</w:t>
      </w:r>
      <w:r>
        <w:rPr>
          <w:spacing w:val="-1"/>
        </w:rPr>
        <w:t>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1.00</w:t>
      </w:r>
      <w:r>
        <w:rPr>
          <w:spacing w:val="-1"/>
        </w:rPr>
        <w:t>元（含</w:t>
      </w:r>
    </w:p>
    <w:p>
      <w:pPr>
        <w:pStyle w:val="BodyText"/>
        <w:spacing w:line="240" w:lineRule="auto" w:before="13"/>
        <w:ind w:right="0"/>
        <w:jc w:val="left"/>
      </w:pPr>
      <w:r>
        <w:rPr/>
        <w:t>税），共派发现金红利</w:t>
      </w:r>
      <w:r>
        <w:rPr>
          <w:rFonts w:ascii="Times New Roman" w:hAnsi="Times New Roman" w:cs="Times New Roman" w:eastAsia="Times New Roman" w:hint="default"/>
        </w:rPr>
        <w:t>32,673,588.70</w:t>
      </w:r>
      <w:r>
        <w:rPr/>
        <w:t>元，同时以资本公积金向全体股东每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w:t>
      </w:r>
    </w:p>
    <w:p>
      <w:pPr>
        <w:pStyle w:val="BodyText"/>
        <w:spacing w:line="340" w:lineRule="auto" w:before="63"/>
        <w:ind w:left="154" w:right="6070" w:firstLine="362"/>
        <w:jc w:val="left"/>
      </w:pPr>
      <w:r>
        <w:rPr>
          <w:rFonts w:ascii="Times New Roman" w:hAnsi="Times New Roman" w:cs="Times New Roman" w:eastAsia="Times New Roman" w:hint="default"/>
        </w:rPr>
        <w:t>2015</w:t>
      </w:r>
      <w:r>
        <w:rPr/>
        <w:t>年利润分配方案：公司</w:t>
      </w:r>
      <w:r>
        <w:rPr>
          <w:rFonts w:ascii="Times New Roman" w:hAnsi="Times New Roman" w:cs="Times New Roman" w:eastAsia="Times New Roman" w:hint="default"/>
        </w:rPr>
        <w:t>2015</w:t>
      </w:r>
      <w:r>
        <w:rPr/>
        <w:t>年度未进行利润分配。 公司近三年（包括本报告期）普通股现金分红情况表</w:t>
      </w:r>
    </w:p>
    <w:p>
      <w:pPr>
        <w:pStyle w:val="BodyText"/>
        <w:spacing w:line="240" w:lineRule="auto" w:before="41"/>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8"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209,110,967.60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b/>
                <w:spacing w:val="-1"/>
                <w:sz w:val="18"/>
              </w:rPr>
              <w:t>357,930,132.37</w:t>
            </w:r>
            <w:r>
              <w:rPr>
                <w:rFonts w:ascii="Times New Roman"/>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b/>
                <w:sz w:val="18"/>
              </w:rPr>
              <w:t>58.42%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32,673,588.70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233,254,396.14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5,933,910.65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公司报告期内盈利且母公司可供普通股股东分配利润为正但未提出普通股现金红利分配预案</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本报告期利润分配及资本公积金转增股本预案" w:id="67"/>
      <w:bookmarkEnd w:id="67"/>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522,777,419</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209,110,967.60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250,857,122.49</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宋体" w:hAnsi="宋体" w:cs="宋体" w:eastAsia="宋体" w:hint="default"/>
          <w:sz w:val="28"/>
          <w:szCs w:val="28"/>
        </w:rPr>
      </w:pPr>
      <w:r>
        <w:rPr/>
        <w:pict>
          <v:group style="position:absolute;margin-left:361.779999pt;margin-top:591.339966pt;width:34.950pt;height:54.6pt;mso-position-horizontal-relative:page;mso-position-vertical-relative:page;z-index:-859840" coordorigin="7236,11827" coordsize="699,1092">
            <v:shape style="position:absolute;left:7236;top:11827;width:699;height:1092" coordorigin="7236,11827" coordsize="699,1092" path="m7236,12919l7934,12919,7934,11827,7236,11827,7236,12919xe" filled="true" fillcolor="#ffffff" stroked="false">
              <v:path arrowok="t"/>
              <v:fill type="solid"/>
            </v:shape>
            <w10:wrap type="none"/>
          </v:group>
        </w:pict>
      </w:r>
    </w:p>
    <w:p>
      <w:pPr>
        <w:spacing w:line="714" w:lineRule="exact"/>
        <w:ind w:left="154" w:right="0" w:firstLine="0"/>
        <w:rPr>
          <w:rFonts w:ascii="宋体" w:hAnsi="宋体" w:cs="宋体" w:eastAsia="宋体" w:hint="default"/>
          <w:sz w:val="20"/>
          <w:szCs w:val="20"/>
        </w:rPr>
      </w:pPr>
      <w:r>
        <w:rPr>
          <w:rFonts w:ascii="宋体" w:hAnsi="宋体" w:cs="宋体" w:eastAsia="宋体" w:hint="default"/>
          <w:position w:val="-13"/>
          <w:sz w:val="20"/>
          <w:szCs w:val="20"/>
        </w:rPr>
        <w:pict>
          <v:shape style="width:478.45pt;height:35.7pt;mso-position-horizontal-relative:char;mso-position-vertical-relative:line" type="#_x0000_t202" filled="false" stroked="true" strokeweight=".48pt" strokecolor="#000000">
            <w10:anchorlock/>
            <v:textbox inset="0,0,0,0">
              <w:txbxContent>
                <w:p>
                  <w:pPr>
                    <w:pStyle w:val="BodyText"/>
                    <w:spacing w:line="302" w:lineRule="auto" w:before="51"/>
                    <w:ind w:left="22" w:right="22"/>
                    <w:jc w:val="left"/>
                  </w:pPr>
                  <w:r>
                    <w:rPr/>
                    <w:t>以公司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日的总股本</w:t>
                  </w:r>
                  <w:r>
                    <w:rPr>
                      <w:spacing w:val="-46"/>
                    </w:rPr>
                    <w:t> </w:t>
                  </w:r>
                  <w:r>
                    <w:rPr>
                      <w:rFonts w:ascii="Times New Roman" w:hAnsi="Times New Roman" w:cs="Times New Roman" w:eastAsia="Times New Roman" w:hint="default"/>
                    </w:rPr>
                    <w:t>522,777,419 </w:t>
                  </w:r>
                  <w:r>
                    <w:rPr>
                      <w:spacing w:val="-3"/>
                    </w:rPr>
                    <w:t>为基数，向全体股东每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46"/>
                    </w:rPr>
                    <w:t> </w:t>
                  </w:r>
                  <w:r>
                    <w:rPr>
                      <w:rFonts w:ascii="Times New Roman" w:hAnsi="Times New Roman" w:cs="Times New Roman" w:eastAsia="Times New Roman" w:hint="default"/>
                    </w:rPr>
                    <w:t>4.00</w:t>
                  </w:r>
                  <w:r>
                    <w:rPr>
                      <w:rFonts w:ascii="Times New Roman" w:hAnsi="Times New Roman" w:cs="Times New Roman" w:eastAsia="Times New Roman" w:hint="default"/>
                      <w:spacing w:val="-1"/>
                    </w:rPr>
                    <w:t> </w:t>
                  </w:r>
                  <w:r>
                    <w:rPr>
                      <w:spacing w:val="-12"/>
                    </w:rPr>
                    <w:t>元（含税），共派发现金红</w:t>
                  </w:r>
                  <w:r>
                    <w:rPr/>
                    <w:t> 利</w:t>
                  </w:r>
                  <w:r>
                    <w:rPr>
                      <w:spacing w:val="-49"/>
                    </w:rPr>
                    <w:t> </w:t>
                  </w:r>
                  <w:r>
                    <w:rPr>
                      <w:rFonts w:ascii="Times New Roman" w:hAnsi="Times New Roman" w:cs="Times New Roman" w:eastAsia="Times New Roman" w:hint="default"/>
                    </w:rPr>
                    <w:t>209,110,967.60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年度不送红股，不进行资本公积转增股本。该事项尚需提交股东大会审议。</w:t>
                  </w:r>
                </w:p>
              </w:txbxContent>
            </v:textbox>
          </v:shape>
        </w:pict>
      </w:r>
      <w:r>
        <w:rPr>
          <w:rFonts w:ascii="宋体" w:hAnsi="宋体" w:cs="宋体" w:eastAsia="宋体" w:hint="default"/>
          <w:position w:val="-13"/>
          <w:sz w:val="20"/>
          <w:szCs w:val="20"/>
        </w:rPr>
      </w:r>
    </w:p>
    <w:p>
      <w:pPr>
        <w:spacing w:line="240" w:lineRule="auto" w:before="7"/>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承诺事项履行情况" w:id="68"/>
      <w:bookmarkEnd w:id="68"/>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9"/>
      <w:bookmarkEnd w:id="69"/>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34"/>
        <w:gridCol w:w="851"/>
        <w:gridCol w:w="709"/>
        <w:gridCol w:w="3402"/>
        <w:gridCol w:w="708"/>
        <w:gridCol w:w="710"/>
        <w:gridCol w:w="2054"/>
      </w:tblGrid>
      <w:tr>
        <w:trPr>
          <w:trHeight w:val="161"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34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57" w:right="78"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59" w:right="78" w:hanging="181"/>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205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49"/>
              <w:jc w:val="right"/>
              <w:rPr>
                <w:rFonts w:ascii="宋体" w:hAnsi="宋体" w:cs="宋体" w:eastAsia="宋体" w:hint="default"/>
                <w:sz w:val="18"/>
                <w:szCs w:val="18"/>
              </w:rPr>
            </w:pPr>
            <w:r>
              <w:rPr>
                <w:rFonts w:ascii="宋体" w:hAnsi="宋体" w:cs="宋体" w:eastAsia="宋体" w:hint="default"/>
                <w:sz w:val="18"/>
                <w:szCs w:val="18"/>
              </w:rPr>
              <w:t>承诺方</w:t>
            </w:r>
          </w:p>
        </w:tc>
        <w:tc>
          <w:tcPr>
            <w:tcW w:w="709" w:type="dxa"/>
            <w:vMerge/>
            <w:tcBorders>
              <w:left w:val="single" w:sz="4" w:space="0" w:color="000000"/>
              <w:right w:val="single" w:sz="4" w:space="0" w:color="000000"/>
            </w:tcBorders>
            <w:shd w:val="clear" w:color="auto" w:fill="D2D2D2"/>
          </w:tcPr>
          <w:p>
            <w:pPr/>
          </w:p>
        </w:tc>
        <w:tc>
          <w:tcPr>
            <w:tcW w:w="34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08"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2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6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34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205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454"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6" w:right="96"/>
              <w:jc w:val="both"/>
              <w:rPr>
                <w:rFonts w:ascii="宋体" w:hAnsi="宋体" w:cs="宋体" w:eastAsia="宋体" w:hint="default"/>
                <w:sz w:val="18"/>
                <w:szCs w:val="18"/>
              </w:rPr>
            </w:pPr>
            <w:r>
              <w:rPr>
                <w:rFonts w:ascii="宋体" w:hAnsi="宋体" w:cs="宋体" w:eastAsia="宋体" w:hint="default"/>
                <w:sz w:val="18"/>
                <w:szCs w:val="18"/>
              </w:rPr>
              <w:t>青岛亚星 实业有限 公司</w:t>
            </w:r>
          </w:p>
        </w:tc>
        <w:tc>
          <w:tcPr>
            <w:tcW w:w="709"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7"/>
                <w:sz w:val="18"/>
                <w:szCs w:val="18"/>
              </w:rPr>
              <w:t>易、资金</w:t>
            </w:r>
            <w:r>
              <w:rPr>
                <w:rFonts w:ascii="宋体" w:hAnsi="宋体" w:cs="宋体" w:eastAsia="宋体" w:hint="default"/>
                <w:sz w:val="18"/>
                <w:szCs w:val="18"/>
              </w:rPr>
              <w:t> 占用方 面的承</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402" w:type="dxa"/>
            <w:vMerge w:val="restart"/>
            <w:tcBorders>
              <w:top w:val="single" w:sz="4" w:space="0" w:color="000000"/>
              <w:left w:val="single" w:sz="4" w:space="0" w:color="000000"/>
              <w:right w:val="single" w:sz="4" w:space="0" w:color="000000"/>
            </w:tcBorders>
          </w:tcPr>
          <w:p>
            <w:pPr>
              <w:pStyle w:val="TableParagraph"/>
              <w:spacing w:line="780" w:lineRule="exact"/>
              <w:ind w:right="-51"/>
              <w:jc w:val="left"/>
              <w:rPr>
                <w:rFonts w:ascii="宋体" w:hAnsi="宋体" w:cs="宋体" w:eastAsia="宋体" w:hint="default"/>
                <w:sz w:val="20"/>
                <w:szCs w:val="20"/>
              </w:rPr>
            </w:pPr>
            <w:r>
              <w:rPr>
                <w:rFonts w:ascii="宋体" w:hAnsi="宋体" w:cs="宋体" w:eastAsia="宋体" w:hint="default"/>
                <w:position w:val="-15"/>
                <w:sz w:val="20"/>
                <w:szCs w:val="20"/>
              </w:rPr>
              <w:pict>
                <v:group style="width:169.65pt;height:39pt;mso-position-horizontal-relative:char;mso-position-vertical-relative:line" coordorigin="0,0" coordsize="3393,780">
                  <v:group style="position:absolute;left:0;top:0;width:3393;height:780" coordorigin="0,0" coordsize="3393,780">
                    <v:shape style="position:absolute;left:0;top:0;width:3393;height:780" coordorigin="0,0" coordsize="3393,780" path="m0,780l3393,780,3393,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禁止同业竞争、禁止资金占用，避免关联交</w:t>
            </w:r>
            <w:r>
              <w:rPr>
                <w:rFonts w:ascii="宋体" w:hAnsi="宋体" w:cs="宋体" w:eastAsia="宋体" w:hint="default"/>
                <w:sz w:val="18"/>
                <w:szCs w:val="18"/>
              </w:rPr>
              <w:t> 易等承诺</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0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未违反承诺。</w:t>
            </w:r>
          </w:p>
        </w:tc>
      </w:tr>
      <w:tr>
        <w:trPr>
          <w:trHeight w:val="391"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851"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3402"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2054" w:type="dxa"/>
            <w:vMerge/>
            <w:tcBorders>
              <w:left w:val="single" w:sz="4" w:space="0" w:color="000000"/>
              <w:right w:val="single" w:sz="4" w:space="0" w:color="000000"/>
            </w:tcBorders>
          </w:tcPr>
          <w:p>
            <w:pPr/>
          </w:p>
        </w:tc>
      </w:tr>
      <w:tr>
        <w:trPr>
          <w:trHeight w:val="428" w:hRule="exact"/>
        </w:trPr>
        <w:tc>
          <w:tcPr>
            <w:tcW w:w="1134" w:type="dxa"/>
            <w:vMerge w:val="restart"/>
            <w:tcBorders>
              <w:top w:val="nil" w:sz="6" w:space="0" w:color="auto"/>
              <w:left w:val="single" w:sz="4" w:space="0" w:color="000000"/>
              <w:right w:val="single" w:sz="4" w:space="0" w:color="000000"/>
            </w:tcBorders>
            <w:shd w:val="clear" w:color="auto" w:fill="D2D2D2"/>
          </w:tcPr>
          <w:p>
            <w:pPr/>
          </w:p>
        </w:tc>
        <w:tc>
          <w:tcPr>
            <w:tcW w:w="851"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340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2054" w:type="dxa"/>
            <w:vMerge/>
            <w:tcBorders>
              <w:left w:val="single" w:sz="4" w:space="0" w:color="000000"/>
              <w:bottom w:val="single" w:sz="4" w:space="0" w:color="000000"/>
              <w:right w:val="single" w:sz="4" w:space="0" w:color="000000"/>
            </w:tcBorders>
          </w:tcPr>
          <w:p>
            <w:pPr/>
          </w:p>
        </w:tc>
      </w:tr>
      <w:tr>
        <w:trPr>
          <w:trHeight w:val="1026"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青岛亚星 实业有限 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4"/>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保持上市公司独立性方面的承诺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未违反承诺。</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85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2416"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6" w:right="96"/>
              <w:jc w:val="both"/>
              <w:rPr>
                <w:rFonts w:ascii="宋体" w:hAnsi="宋体" w:cs="宋体" w:eastAsia="宋体" w:hint="default"/>
                <w:sz w:val="18"/>
                <w:szCs w:val="18"/>
              </w:rPr>
            </w:pPr>
            <w:r>
              <w:rPr>
                <w:rFonts w:ascii="宋体" w:hAnsi="宋体" w:cs="宋体" w:eastAsia="宋体" w:hint="default"/>
                <w:sz w:val="18"/>
                <w:szCs w:val="18"/>
              </w:rPr>
              <w:t>青岛亚星 实业有限 公司</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34"/>
              <w:jc w:val="both"/>
              <w:rPr>
                <w:rFonts w:ascii="宋体" w:hAnsi="宋体" w:cs="宋体" w:eastAsia="宋体" w:hint="default"/>
                <w:sz w:val="18"/>
                <w:szCs w:val="18"/>
              </w:rPr>
            </w:pPr>
            <w:r>
              <w:rPr>
                <w:rFonts w:ascii="宋体" w:hAnsi="宋体" w:cs="宋体" w:eastAsia="宋体" w:hint="default"/>
                <w:sz w:val="18"/>
                <w:szCs w:val="18"/>
              </w:rPr>
              <w:t>上市公 司剥离 地产承 诺</w:t>
            </w:r>
          </w:p>
        </w:tc>
        <w:tc>
          <w:tcPr>
            <w:tcW w:w="3402" w:type="dxa"/>
            <w:vMerge w:val="restart"/>
            <w:tcBorders>
              <w:top w:val="single" w:sz="4" w:space="0" w:color="000000"/>
              <w:left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自深大通股东大会批准修改相关承诺之日</w:t>
            </w:r>
          </w:p>
          <w:p>
            <w:pPr>
              <w:pStyle w:val="TableParagraph"/>
              <w:spacing w:line="314" w:lineRule="auto" w:before="76"/>
              <w:ind w:left="22" w:right="1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日）起两年内，如深大通</w:t>
            </w:r>
            <w:r>
              <w:rPr>
                <w:rFonts w:ascii="宋体" w:hAnsi="宋体" w:cs="宋体" w:eastAsia="宋体" w:hint="default"/>
                <w:sz w:val="18"/>
                <w:szCs w:val="18"/>
              </w:rPr>
              <w:t> </w:t>
            </w:r>
            <w:r>
              <w:rPr>
                <w:rFonts w:ascii="宋体" w:hAnsi="宋体" w:cs="宋体" w:eastAsia="宋体" w:hint="default"/>
                <w:spacing w:val="-4"/>
                <w:sz w:val="18"/>
                <w:szCs w:val="18"/>
              </w:rPr>
              <w:t>仍有地产项目尚未销售完成或剥离完成，亚</w:t>
            </w:r>
            <w:r>
              <w:rPr>
                <w:rFonts w:ascii="宋体" w:hAnsi="宋体" w:cs="宋体" w:eastAsia="宋体" w:hint="default"/>
                <w:sz w:val="18"/>
                <w:szCs w:val="18"/>
              </w:rPr>
              <w:t> 星实业将按照经评估且不低于净资产的价 格无条件购买上市公司房地产资产和业务 从而彻底解决同业竞争问题。</w:t>
            </w:r>
          </w:p>
        </w:tc>
        <w:tc>
          <w:tcPr>
            <w:tcW w:w="708"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195" w:lineRule="exact"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195" w:lineRule="exact"/>
              <w:ind w:left="-147" w:right="0"/>
              <w:jc w:val="left"/>
              <w:rPr>
                <w:rFonts w:ascii="宋体" w:hAnsi="宋体" w:cs="宋体" w:eastAsia="宋体" w:hint="default"/>
                <w:sz w:val="18"/>
                <w:szCs w:val="18"/>
              </w:rPr>
            </w:pPr>
            <w:r>
              <w:rPr>
                <w:rFonts w:ascii="宋体" w:hAnsi="宋体" w:cs="宋体" w:eastAsia="宋体" w:hint="default"/>
                <w:sz w:val="18"/>
                <w:szCs w:val="18"/>
              </w:rPr>
              <w:t>，</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05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深大通持有的济宁海情置 业有限公司及青岛广顺房 地产有限公司等相关股权 已变更给青岛亚星实业有 限公司，青岛亚星实业有 限公司已按照协议约定支 </w:t>
            </w:r>
            <w:r>
              <w:rPr>
                <w:rFonts w:ascii="宋体" w:hAnsi="宋体" w:cs="宋体" w:eastAsia="宋体" w:hint="default"/>
                <w:spacing w:val="-4"/>
                <w:sz w:val="18"/>
                <w:szCs w:val="18"/>
              </w:rPr>
              <w:t>付款项。公司于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309" w:lineRule="auto"/>
              <w:ind w:left="22" w:right="4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日召开第九届董事 会第十六次会议审议通过 剥离房地产业务事宜。</w:t>
            </w:r>
          </w:p>
        </w:tc>
      </w:tr>
      <w:tr>
        <w:trPr>
          <w:trHeight w:val="703"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851" w:type="dxa"/>
            <w:vMerge/>
            <w:tcBorders>
              <w:left w:val="single" w:sz="9"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3402" w:type="dxa"/>
            <w:vMerge/>
            <w:tcBorders>
              <w:left w:val="single" w:sz="4" w:space="0" w:color="000000"/>
              <w:right w:val="single" w:sz="9" w:space="0" w:color="FFFFFF"/>
            </w:tcBorders>
          </w:tcPr>
          <w:p>
            <w:pPr/>
          </w:p>
        </w:tc>
        <w:tc>
          <w:tcPr>
            <w:tcW w:w="708" w:type="dxa"/>
            <w:vMerge/>
            <w:tcBorders>
              <w:left w:val="single" w:sz="9" w:space="0" w:color="FFFFFF"/>
              <w:right w:val="single" w:sz="4" w:space="0" w:color="000000"/>
            </w:tcBorders>
          </w:tcPr>
          <w:p>
            <w:pPr/>
          </w:p>
        </w:tc>
        <w:tc>
          <w:tcPr>
            <w:tcW w:w="710" w:type="dxa"/>
            <w:vMerge/>
            <w:tcBorders>
              <w:left w:val="single" w:sz="4" w:space="0" w:color="000000"/>
              <w:right w:val="single" w:sz="4" w:space="0" w:color="000000"/>
            </w:tcBorders>
          </w:tcPr>
          <w:p>
            <w:pPr/>
          </w:p>
        </w:tc>
        <w:tc>
          <w:tcPr>
            <w:tcW w:w="2054" w:type="dxa"/>
            <w:vMerge/>
            <w:tcBorders>
              <w:left w:val="single" w:sz="4" w:space="0" w:color="000000"/>
              <w:right w:val="single" w:sz="4" w:space="0" w:color="000000"/>
            </w:tcBorders>
          </w:tcPr>
          <w:p>
            <w:pPr/>
          </w:p>
        </w:tc>
      </w:tr>
      <w:tr>
        <w:trPr>
          <w:trHeight w:val="91" w:hRule="exact"/>
        </w:trPr>
        <w:tc>
          <w:tcPr>
            <w:tcW w:w="1134" w:type="dxa"/>
            <w:vMerge w:val="restart"/>
            <w:tcBorders>
              <w:top w:val="nil" w:sz="6" w:space="0" w:color="auto"/>
              <w:left w:val="single" w:sz="4" w:space="0" w:color="000000"/>
              <w:right w:val="single" w:sz="4" w:space="0" w:color="000000"/>
            </w:tcBorders>
            <w:shd w:val="clear" w:color="auto" w:fill="D2D2D2"/>
          </w:tcPr>
          <w:p>
            <w:pPr/>
          </w:p>
        </w:tc>
        <w:tc>
          <w:tcPr>
            <w:tcW w:w="851"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3402" w:type="dxa"/>
            <w:vMerge/>
            <w:tcBorders>
              <w:left w:val="single" w:sz="4" w:space="0" w:color="000000"/>
              <w:bottom w:val="single" w:sz="4" w:space="0" w:color="000000"/>
              <w:right w:val="single" w:sz="9" w:space="0" w:color="FFFFFF"/>
            </w:tcBorders>
          </w:tcPr>
          <w:p>
            <w:pPr/>
          </w:p>
        </w:tc>
        <w:tc>
          <w:tcPr>
            <w:tcW w:w="708" w:type="dxa"/>
            <w:vMerge/>
            <w:tcBorders>
              <w:left w:val="single" w:sz="9" w:space="0" w:color="FFFFFF"/>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2054" w:type="dxa"/>
            <w:vMerge/>
            <w:tcBorders>
              <w:left w:val="single" w:sz="4" w:space="0" w:color="000000"/>
              <w:bottom w:val="single" w:sz="4" w:space="0" w:color="000000"/>
              <w:right w:val="single" w:sz="4" w:space="0" w:color="000000"/>
            </w:tcBorders>
          </w:tcPr>
          <w:p>
            <w:pPr/>
          </w:p>
        </w:tc>
      </w:tr>
      <w:tr>
        <w:trPr>
          <w:trHeight w:val="1962" w:hRule="exact"/>
        </w:trPr>
        <w:tc>
          <w:tcPr>
            <w:tcW w:w="1134" w:type="dxa"/>
            <w:vMerge/>
            <w:tcBorders>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青岛亚星 实业有限 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3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青岛亚星实业有限公司持有的深大通 </w:t>
            </w:r>
            <w:r>
              <w:rPr>
                <w:rFonts w:ascii="Times New Roman" w:hAnsi="Times New Roman" w:cs="Times New Roman" w:eastAsia="Times New Roman" w:hint="default"/>
                <w:sz w:val="18"/>
                <w:szCs w:val="18"/>
              </w:rPr>
              <w:t>43,101,098</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股股份，自深大通本次重组募集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配套资金非公开发行的股份上市之日起十 </w:t>
            </w:r>
            <w:r>
              <w:rPr>
                <w:rFonts w:ascii="宋体" w:hAnsi="宋体" w:cs="宋体" w:eastAsia="宋体" w:hint="default"/>
                <w:spacing w:val="-4"/>
                <w:sz w:val="18"/>
                <w:szCs w:val="18"/>
              </w:rPr>
              <w:t>二个月内不转让，如因上市公司分配股票股</w:t>
            </w:r>
            <w:r>
              <w:rPr>
                <w:rFonts w:ascii="宋体" w:hAnsi="宋体" w:cs="宋体" w:eastAsia="宋体" w:hint="default"/>
                <w:sz w:val="18"/>
                <w:szCs w:val="18"/>
              </w:rPr>
              <w:t> </w:t>
            </w:r>
            <w:r>
              <w:rPr>
                <w:rFonts w:ascii="宋体" w:hAnsi="宋体" w:cs="宋体" w:eastAsia="宋体" w:hint="default"/>
                <w:spacing w:val="-4"/>
                <w:sz w:val="18"/>
                <w:szCs w:val="18"/>
              </w:rPr>
              <w:t>利、资本公积转增股本等原因新增取得的股</w:t>
            </w:r>
            <w:r>
              <w:rPr>
                <w:rFonts w:ascii="宋体" w:hAnsi="宋体" w:cs="宋体" w:eastAsia="宋体" w:hint="default"/>
                <w:sz w:val="18"/>
                <w:szCs w:val="18"/>
              </w:rPr>
              <w:t> 份，亦应遵守上述锁定安排。</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62"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
              <w:jc w:val="right"/>
              <w:rPr>
                <w:rFonts w:ascii="宋体" w:hAnsi="宋体" w:cs="宋体" w:eastAsia="宋体" w:hint="default"/>
                <w:sz w:val="18"/>
                <w:szCs w:val="18"/>
              </w:rPr>
            </w:pPr>
            <w:r>
              <w:rPr>
                <w:rFonts w:ascii="宋体" w:hAnsi="宋体" w:cs="宋体" w:eastAsia="宋体" w:hint="default"/>
                <w:sz w:val="18"/>
                <w:szCs w:val="18"/>
              </w:rPr>
              <w:t>曹林芳；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股份限</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、本人就本次交易中取得的深大通的股份</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非公开发行的股份于</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1"/>
        <w:gridCol w:w="709"/>
        <w:gridCol w:w="3402"/>
        <w:gridCol w:w="708"/>
        <w:gridCol w:w="710"/>
        <w:gridCol w:w="2054"/>
      </w:tblGrid>
      <w:tr>
        <w:trPr>
          <w:trHeight w:val="7539"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6"/>
              <w:jc w:val="left"/>
              <w:rPr>
                <w:rFonts w:ascii="宋体" w:hAnsi="宋体" w:cs="宋体" w:eastAsia="宋体" w:hint="default"/>
                <w:sz w:val="18"/>
                <w:szCs w:val="18"/>
              </w:rPr>
            </w:pPr>
            <w:r>
              <w:rPr>
                <w:rFonts w:ascii="宋体" w:hAnsi="宋体" w:cs="宋体" w:eastAsia="宋体" w:hint="default"/>
                <w:sz w:val="18"/>
                <w:szCs w:val="18"/>
              </w:rPr>
              <w:t>李勇；莫 清雅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自股份上市之日起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个月内不转让。</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、在</w:t>
            </w:r>
            <w:r>
              <w:rPr>
                <w:rFonts w:ascii="宋体" w:hAnsi="宋体" w:cs="宋体" w:eastAsia="宋体" w:hint="default"/>
                <w:spacing w:val="-88"/>
                <w:sz w:val="18"/>
                <w:szCs w:val="18"/>
              </w:rPr>
              <w:t> </w:t>
            </w:r>
            <w:r>
              <w:rPr>
                <w:rFonts w:ascii="宋体" w:hAnsi="宋体" w:cs="宋体" w:eastAsia="宋体" w:hint="default"/>
                <w:spacing w:val="-4"/>
                <w:sz w:val="18"/>
                <w:szCs w:val="18"/>
              </w:rPr>
              <w:t>上述锁定期的基础上，为保证本次交易标的</w:t>
            </w:r>
            <w:r>
              <w:rPr>
                <w:rFonts w:ascii="宋体" w:hAnsi="宋体" w:cs="宋体" w:eastAsia="宋体" w:hint="default"/>
                <w:sz w:val="18"/>
                <w:szCs w:val="18"/>
              </w:rPr>
              <w:t> </w:t>
            </w:r>
            <w:r>
              <w:rPr>
                <w:rFonts w:ascii="宋体" w:hAnsi="宋体" w:cs="宋体" w:eastAsia="宋体" w:hint="default"/>
                <w:spacing w:val="-4"/>
                <w:sz w:val="18"/>
                <w:szCs w:val="18"/>
              </w:rPr>
              <w:t>资产交易盈利预测补偿承诺的实现，本人按</w:t>
            </w:r>
            <w:r>
              <w:rPr>
                <w:rFonts w:ascii="宋体" w:hAnsi="宋体" w:cs="宋体" w:eastAsia="宋体" w:hint="default"/>
                <w:sz w:val="18"/>
                <w:szCs w:val="18"/>
              </w:rPr>
              <w:t> 下列安排转让本次交易取得的深大通的股 </w:t>
            </w:r>
            <w:r>
              <w:rPr>
                <w:rFonts w:ascii="宋体" w:hAnsi="宋体" w:cs="宋体" w:eastAsia="宋体" w:hint="default"/>
                <w:spacing w:val="-7"/>
                <w:sz w:val="18"/>
                <w:szCs w:val="18"/>
              </w:rPr>
              <w:t>份：（</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）自股份上市之日起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个月届满且</w:t>
            </w:r>
          </w:p>
          <w:p>
            <w:pPr>
              <w:pStyle w:val="TableParagraph"/>
              <w:spacing w:line="309" w:lineRule="auto" w:before="1"/>
              <w:ind w:left="22" w:right="23"/>
              <w:jc w:val="left"/>
              <w:rPr>
                <w:rFonts w:ascii="宋体" w:hAnsi="宋体" w:cs="宋体" w:eastAsia="宋体" w:hint="default"/>
                <w:sz w:val="18"/>
                <w:szCs w:val="18"/>
              </w:rPr>
            </w:pPr>
            <w:r>
              <w:rPr>
                <w:rFonts w:ascii="宋体" w:hAnsi="宋体" w:cs="宋体" w:eastAsia="宋体" w:hint="default"/>
                <w:sz w:val="18"/>
                <w:szCs w:val="18"/>
              </w:rPr>
              <w:t>履行其相应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年度目标公司业绩补偿承 </w:t>
            </w:r>
            <w:r>
              <w:rPr>
                <w:rFonts w:ascii="宋体" w:hAnsi="宋体" w:cs="宋体" w:eastAsia="宋体" w:hint="default"/>
                <w:spacing w:val="-4"/>
                <w:sz w:val="18"/>
                <w:szCs w:val="18"/>
              </w:rPr>
              <w:t>诺之日起，本人可转让股份数为其各自认购</w:t>
            </w:r>
            <w:r>
              <w:rPr>
                <w:rFonts w:ascii="宋体" w:hAnsi="宋体" w:cs="宋体" w:eastAsia="宋体" w:hint="default"/>
                <w:sz w:val="18"/>
                <w:szCs w:val="18"/>
              </w:rPr>
              <w:t> 深大通本次发行股份数的</w:t>
            </w:r>
            <w:r>
              <w:rPr>
                <w:rFonts w:ascii="宋体" w:hAnsi="宋体" w:cs="宋体" w:eastAsia="宋体" w:hint="default"/>
                <w:spacing w:val="-46"/>
                <w:sz w:val="18"/>
                <w:szCs w:val="18"/>
              </w:rPr>
              <w:t> </w:t>
            </w:r>
            <w:r>
              <w:rPr>
                <w:rFonts w:ascii="Times New Roman" w:hAnsi="Times New Roman" w:cs="Times New Roman" w:eastAsia="Times New Roman" w:hint="default"/>
                <w:spacing w:val="-18"/>
                <w:sz w:val="18"/>
                <w:szCs w:val="18"/>
              </w:rPr>
              <w:t>20%</w:t>
            </w:r>
            <w:r>
              <w:rPr>
                <w:rFonts w:ascii="宋体" w:hAnsi="宋体" w:cs="宋体" w:eastAsia="宋体" w:hint="default"/>
                <w:spacing w:val="-18"/>
                <w:sz w:val="18"/>
                <w:szCs w:val="18"/>
              </w:rPr>
              <w:t>；（</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）自股份</w:t>
            </w:r>
            <w:r>
              <w:rPr>
                <w:rFonts w:ascii="宋体" w:hAnsi="宋体" w:cs="宋体" w:eastAsia="宋体" w:hint="default"/>
                <w:sz w:val="18"/>
                <w:szCs w:val="18"/>
              </w:rPr>
              <w:t> 上市之日起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个月届满且履行其相应</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pacing w:val="-4"/>
                <w:sz w:val="18"/>
                <w:szCs w:val="18"/>
              </w:rPr>
              <w:t>年度目标公司业绩补偿承诺之日起，本人累</w:t>
            </w:r>
            <w:r>
              <w:rPr>
                <w:rFonts w:ascii="宋体" w:hAnsi="宋体" w:cs="宋体" w:eastAsia="宋体" w:hint="default"/>
                <w:sz w:val="18"/>
                <w:szCs w:val="18"/>
              </w:rPr>
              <w:t> 计可转让股份数为其各自认购深大通本次 发行股份数的</w:t>
            </w:r>
            <w:r>
              <w:rPr>
                <w:rFonts w:ascii="宋体" w:hAnsi="宋体" w:cs="宋体" w:eastAsia="宋体" w:hint="default"/>
                <w:spacing w:val="-46"/>
                <w:sz w:val="18"/>
                <w:szCs w:val="18"/>
              </w:rPr>
              <w:t> </w:t>
            </w:r>
            <w:r>
              <w:rPr>
                <w:rFonts w:ascii="Times New Roman" w:hAnsi="Times New Roman" w:cs="Times New Roman" w:eastAsia="Times New Roman" w:hint="default"/>
                <w:spacing w:val="-12"/>
                <w:sz w:val="18"/>
                <w:szCs w:val="18"/>
              </w:rPr>
              <w:t>50%</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）自股份上市之日起</w:t>
            </w:r>
            <w:r>
              <w:rPr>
                <w:rFonts w:ascii="宋体" w:hAnsi="宋体" w:cs="宋体" w:eastAsia="宋体" w:hint="default"/>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个月届满且履行其相应</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年度目标公 </w:t>
            </w:r>
            <w:r>
              <w:rPr>
                <w:rFonts w:ascii="宋体" w:hAnsi="宋体" w:cs="宋体" w:eastAsia="宋体" w:hint="default"/>
                <w:spacing w:val="-4"/>
                <w:sz w:val="18"/>
                <w:szCs w:val="18"/>
              </w:rPr>
              <w:t>司业绩补偿承诺之日起，本人累计可转让股</w:t>
            </w:r>
            <w:r>
              <w:rPr>
                <w:rFonts w:ascii="宋体" w:hAnsi="宋体" w:cs="宋体" w:eastAsia="宋体" w:hint="default"/>
                <w:sz w:val="18"/>
                <w:szCs w:val="18"/>
              </w:rPr>
              <w:t> 份数为其各自认购深大通本次发行股份数 的</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80%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）自股份上市之日起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本人累计可转让股份数为其各自认购深大 通本次发行股份数的</w:t>
            </w:r>
            <w:r>
              <w:rPr>
                <w:rFonts w:ascii="宋体" w:hAnsi="宋体" w:cs="宋体" w:eastAsia="宋体" w:hint="default"/>
                <w:spacing w:val="-42"/>
                <w:sz w:val="18"/>
                <w:szCs w:val="18"/>
              </w:rPr>
              <w:t> </w:t>
            </w:r>
            <w:r>
              <w:rPr>
                <w:rFonts w:ascii="Times New Roman" w:hAnsi="Times New Roman" w:cs="Times New Roman" w:eastAsia="Times New Roman" w:hint="default"/>
                <w:spacing w:val="-8"/>
                <w:sz w:val="18"/>
                <w:szCs w:val="18"/>
              </w:rPr>
              <w:t>100%</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、本人在转让</w:t>
            </w:r>
            <w:r>
              <w:rPr>
                <w:rFonts w:ascii="宋体" w:hAnsi="宋体" w:cs="宋体" w:eastAsia="宋体" w:hint="default"/>
                <w:sz w:val="18"/>
                <w:szCs w:val="18"/>
              </w:rPr>
              <w:t> </w:t>
            </w:r>
            <w:r>
              <w:rPr>
                <w:rFonts w:ascii="宋体" w:hAnsi="宋体" w:cs="宋体" w:eastAsia="宋体" w:hint="default"/>
                <w:spacing w:val="-4"/>
                <w:sz w:val="18"/>
                <w:szCs w:val="18"/>
              </w:rPr>
              <w:t>本次交易中取得的深大通的股份时，如担任</w:t>
            </w:r>
            <w:r>
              <w:rPr>
                <w:rFonts w:ascii="宋体" w:hAnsi="宋体" w:cs="宋体" w:eastAsia="宋体" w:hint="default"/>
                <w:sz w:val="18"/>
                <w:szCs w:val="18"/>
              </w:rPr>
              <w:t> </w:t>
            </w:r>
            <w:r>
              <w:rPr>
                <w:rFonts w:ascii="宋体" w:hAnsi="宋体" w:cs="宋体" w:eastAsia="宋体" w:hint="default"/>
                <w:spacing w:val="-5"/>
                <w:sz w:val="18"/>
                <w:szCs w:val="18"/>
              </w:rPr>
              <w:t>深大通的董事、监事、高管职务，本人可转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让的股份数量还应遵守《公司法》等法律法</w:t>
            </w:r>
            <w:r>
              <w:rPr>
                <w:rFonts w:ascii="宋体" w:hAnsi="宋体" w:cs="宋体" w:eastAsia="宋体" w:hint="default"/>
                <w:sz w:val="18"/>
                <w:szCs w:val="18"/>
              </w:rPr>
              <w:t> 规的限制性规定。</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、本人本次交易所认购 </w:t>
            </w:r>
            <w:r>
              <w:rPr>
                <w:rFonts w:ascii="宋体" w:hAnsi="宋体" w:cs="宋体" w:eastAsia="宋体" w:hint="default"/>
                <w:spacing w:val="-4"/>
                <w:sz w:val="18"/>
                <w:szCs w:val="18"/>
              </w:rPr>
              <w:t>深大通的股份的限售期，最终将按照中国证</w:t>
            </w:r>
            <w:r>
              <w:rPr>
                <w:rFonts w:ascii="宋体" w:hAnsi="宋体" w:cs="宋体" w:eastAsia="宋体" w:hint="default"/>
                <w:sz w:val="18"/>
                <w:szCs w:val="18"/>
              </w:rPr>
              <w:t> 监会或深圳证券交易所的审核要求执行。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日上市，</w:t>
            </w:r>
          </w:p>
          <w:p>
            <w:pPr>
              <w:pStyle w:val="TableParagraph"/>
              <w:spacing w:line="300" w:lineRule="auto" w:before="63"/>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日可解除 限售的比例为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日可解除限售的 比例为</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50%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日可解除限售的比例</w:t>
            </w:r>
          </w:p>
          <w:p>
            <w:pPr>
              <w:pStyle w:val="TableParagraph"/>
              <w:spacing w:line="240" w:lineRule="auto" w:before="1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319" w:lineRule="auto" w:before="63"/>
              <w:ind w:left="22" w:right="41"/>
              <w:jc w:val="both"/>
              <w:rPr>
                <w:rFonts w:ascii="宋体" w:hAnsi="宋体" w:cs="宋体" w:eastAsia="宋体" w:hint="default"/>
                <w:sz w:val="18"/>
                <w:szCs w:val="18"/>
              </w:rPr>
            </w:pPr>
            <w:r>
              <w:rPr>
                <w:rFonts w:ascii="宋体" w:hAnsi="宋体" w:cs="宋体" w:eastAsia="宋体" w:hint="default"/>
                <w:sz w:val="18"/>
                <w:szCs w:val="18"/>
              </w:rPr>
              <w:t>日可全部解除限售，未违 反承诺。</w:t>
            </w:r>
          </w:p>
        </w:tc>
      </w:tr>
      <w:tr>
        <w:trPr>
          <w:trHeight w:val="6291"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夏东明； 罗承；宁 波华夏嘉 源管理咨 询有限公 司；蒋纪 平；黄艳 红；龚莉 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13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402" w:type="dxa"/>
            <w:tcBorders>
              <w:top w:val="single" w:sz="4" w:space="0" w:color="000000"/>
              <w:left w:val="single" w:sz="4" w:space="0" w:color="000000"/>
              <w:bottom w:val="single" w:sz="4" w:space="0" w:color="000000"/>
              <w:right w:val="single" w:sz="9" w:space="0" w:color="FFFFFF"/>
            </w:tcBorders>
          </w:tcPr>
          <w:p>
            <w:pPr>
              <w:pStyle w:val="TableParagraph"/>
              <w:spacing w:line="307" w:lineRule="auto" w:before="51"/>
              <w:ind w:left="22" w:right="1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、本人通过本次交易取得的上市公司新增 股份，自股份上市之日起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个月内不得以 任何形式转让。</w:t>
            </w:r>
            <w:r>
              <w:rPr>
                <w:rFonts w:ascii="Times New Roman" w:hAnsi="Times New Roman" w:cs="Times New Roman" w:eastAsia="Times New Roman" w:hint="default"/>
                <w:sz w:val="18"/>
                <w:szCs w:val="18"/>
              </w:rPr>
              <w:t>2</w:t>
            </w:r>
            <w:r>
              <w:rPr>
                <w:rFonts w:ascii="宋体" w:hAnsi="宋体" w:cs="宋体" w:eastAsia="宋体" w:hint="default"/>
                <w:sz w:val="18"/>
                <w:szCs w:val="18"/>
              </w:rPr>
              <w:t>、在遵守前述股份锁定期 </w:t>
            </w:r>
            <w:r>
              <w:rPr>
                <w:rFonts w:ascii="宋体" w:hAnsi="宋体" w:cs="宋体" w:eastAsia="宋体" w:hint="default"/>
                <w:spacing w:val="-4"/>
                <w:sz w:val="18"/>
                <w:szCs w:val="18"/>
              </w:rPr>
              <w:t>的前提下，为使公司与本人签订的利润补偿</w:t>
            </w:r>
            <w:r>
              <w:rPr>
                <w:rFonts w:ascii="宋体" w:hAnsi="宋体" w:cs="宋体" w:eastAsia="宋体" w:hint="default"/>
                <w:sz w:val="18"/>
                <w:szCs w:val="18"/>
              </w:rPr>
              <w:t> </w:t>
            </w:r>
            <w:r>
              <w:rPr>
                <w:rFonts w:ascii="宋体" w:hAnsi="宋体" w:cs="宋体" w:eastAsia="宋体" w:hint="default"/>
                <w:spacing w:val="-4"/>
                <w:sz w:val="18"/>
                <w:szCs w:val="18"/>
              </w:rPr>
              <w:t>协议更具可操作性，本人同意其所认购的深</w:t>
            </w:r>
            <w:r>
              <w:rPr>
                <w:rFonts w:ascii="宋体" w:hAnsi="宋体" w:cs="宋体" w:eastAsia="宋体" w:hint="default"/>
                <w:sz w:val="18"/>
                <w:szCs w:val="18"/>
              </w:rPr>
              <w:t> 大通股份自上市之日起满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个月后按如下</w:t>
            </w:r>
          </w:p>
          <w:p>
            <w:pPr>
              <w:pStyle w:val="TableParagraph"/>
              <w:spacing w:line="240" w:lineRule="auto" w:before="7"/>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方式解除限售</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）自股份上市之日起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09" w:lineRule="auto" w:before="63"/>
              <w:ind w:left="22" w:right="15"/>
              <w:jc w:val="both"/>
              <w:rPr>
                <w:rFonts w:ascii="Times New Roman" w:hAnsi="Times New Roman" w:cs="Times New Roman" w:eastAsia="Times New Roman" w:hint="default"/>
                <w:sz w:val="18"/>
                <w:szCs w:val="18"/>
              </w:rPr>
            </w:pPr>
            <w:r>
              <w:rPr>
                <w:rFonts w:ascii="宋体" w:hAnsi="宋体" w:cs="宋体" w:eastAsia="宋体" w:hint="default"/>
                <w:sz w:val="18"/>
                <w:szCs w:val="18"/>
              </w:rPr>
              <w:t>个月届满且履行其相应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年度视科传媒 </w:t>
            </w:r>
            <w:r>
              <w:rPr>
                <w:rFonts w:ascii="宋体" w:hAnsi="宋体" w:cs="宋体" w:eastAsia="宋体" w:hint="default"/>
                <w:spacing w:val="-4"/>
                <w:sz w:val="18"/>
                <w:szCs w:val="18"/>
              </w:rPr>
              <w:t>业绩补偿承诺之日起，可转让股份数为其各</w:t>
            </w:r>
            <w:r>
              <w:rPr>
                <w:rFonts w:ascii="宋体" w:hAnsi="宋体" w:cs="宋体" w:eastAsia="宋体" w:hint="default"/>
                <w:sz w:val="18"/>
                <w:szCs w:val="18"/>
              </w:rPr>
              <w:t> 自认购深大通本次发行股份数的</w:t>
            </w:r>
            <w:r>
              <w:rPr>
                <w:rFonts w:ascii="宋体" w:hAnsi="宋体" w:cs="宋体" w:eastAsia="宋体" w:hint="default"/>
                <w:spacing w:val="-46"/>
                <w:sz w:val="18"/>
                <w:szCs w:val="18"/>
              </w:rPr>
              <w:t> </w:t>
            </w:r>
            <w:r>
              <w:rPr>
                <w:rFonts w:ascii="Times New Roman" w:hAnsi="Times New Roman" w:cs="Times New Roman" w:eastAsia="Times New Roman" w:hint="default"/>
                <w:spacing w:val="-15"/>
                <w:sz w:val="18"/>
                <w:szCs w:val="18"/>
              </w:rPr>
              <w:t>25%</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自股份上市之日起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个月届满且履行其相</w:t>
            </w:r>
          </w:p>
          <w:p>
            <w:pPr>
              <w:pStyle w:val="TableParagraph"/>
              <w:spacing w:line="309" w:lineRule="auto" w:before="63"/>
              <w:ind w:left="22" w:right="15"/>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年度视科传媒业绩补偿承诺之日 </w:t>
            </w:r>
            <w:r>
              <w:rPr>
                <w:rFonts w:ascii="宋体" w:hAnsi="宋体" w:cs="宋体" w:eastAsia="宋体" w:hint="default"/>
                <w:spacing w:val="-4"/>
                <w:sz w:val="18"/>
                <w:szCs w:val="18"/>
              </w:rPr>
              <w:t>起，累计可转让股份数为其各自认购深大通</w:t>
            </w:r>
            <w:r>
              <w:rPr>
                <w:rFonts w:ascii="宋体" w:hAnsi="宋体" w:cs="宋体" w:eastAsia="宋体" w:hint="default"/>
                <w:sz w:val="18"/>
                <w:szCs w:val="18"/>
              </w:rPr>
              <w:t> 本次发行股份数的</w:t>
            </w:r>
            <w:r>
              <w:rPr>
                <w:rFonts w:ascii="宋体" w:hAnsi="宋体" w:cs="宋体" w:eastAsia="宋体" w:hint="default"/>
                <w:spacing w:val="-45"/>
                <w:sz w:val="18"/>
                <w:szCs w:val="18"/>
              </w:rPr>
              <w:t> </w:t>
            </w:r>
            <w:r>
              <w:rPr>
                <w:rFonts w:ascii="Times New Roman" w:hAnsi="Times New Roman" w:cs="Times New Roman" w:eastAsia="Times New Roman" w:hint="default"/>
                <w:spacing w:val="-14"/>
                <w:sz w:val="18"/>
                <w:szCs w:val="18"/>
              </w:rPr>
              <w:t>55%</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）自股份上市之</w:t>
            </w:r>
            <w:r>
              <w:rPr>
                <w:rFonts w:ascii="宋体" w:hAnsi="宋体" w:cs="宋体" w:eastAsia="宋体" w:hint="default"/>
                <w:sz w:val="18"/>
                <w:szCs w:val="18"/>
              </w:rPr>
              <w:t> 日起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个月届满且履行其相应</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年度视 </w:t>
            </w:r>
            <w:r>
              <w:rPr>
                <w:rFonts w:ascii="宋体" w:hAnsi="宋体" w:cs="宋体" w:eastAsia="宋体" w:hint="default"/>
                <w:spacing w:val="-4"/>
                <w:sz w:val="18"/>
                <w:szCs w:val="18"/>
              </w:rPr>
              <w:t>科传媒业绩补偿承诺之日起，累计可转让股</w:t>
            </w:r>
            <w:r>
              <w:rPr>
                <w:rFonts w:ascii="宋体" w:hAnsi="宋体" w:cs="宋体" w:eastAsia="宋体" w:hint="default"/>
                <w:sz w:val="18"/>
                <w:szCs w:val="18"/>
              </w:rPr>
              <w:t> 份数为其各自认购深大通本次发行股份数 的</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80%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）自股份上市之日起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个月届 </w:t>
            </w:r>
            <w:r>
              <w:rPr>
                <w:rFonts w:ascii="宋体" w:hAnsi="宋体" w:cs="宋体" w:eastAsia="宋体" w:hint="default"/>
                <w:spacing w:val="-4"/>
                <w:sz w:val="18"/>
                <w:szCs w:val="18"/>
              </w:rPr>
              <w:t>满之日起，累计可转让股份数为其各自认购</w:t>
            </w:r>
            <w:r>
              <w:rPr>
                <w:rFonts w:ascii="宋体" w:hAnsi="宋体" w:cs="宋体" w:eastAsia="宋体" w:hint="default"/>
                <w:sz w:val="18"/>
                <w:szCs w:val="18"/>
              </w:rPr>
              <w:t> 深大通本次发行股份数的</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100%</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、本人在</w:t>
            </w:r>
          </w:p>
        </w:tc>
        <w:tc>
          <w:tcPr>
            <w:tcW w:w="70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12"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149"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664" w:lineRule="exact"/>
              <w:ind w:left="16"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32.65pt;height:33.25pt;mso-position-horizontal-relative:char;mso-position-vertical-relative:line" coordorigin="0,0" coordsize="653,665">
                  <v:group style="position:absolute;left:0;top:0;width:653;height:353" coordorigin="0,0" coordsize="653,353">
                    <v:shape style="position:absolute;left:0;top:0;width:653;height:353" coordorigin="0,0" coordsize="653,353" path="m0,353l653,353,653,0,0,0,0,353xe" filled="true" fillcolor="#ffffff" stroked="false">
                      <v:path arrowok="t"/>
                      <v:fill type="solid"/>
                    </v:shape>
                  </v:group>
                  <v:group style="position:absolute;left:0;top:353;width:653;height:312" coordorigin="0,353" coordsize="653,312">
                    <v:shape style="position:absolute;left:0;top:353;width:653;height:312" coordorigin="0,353" coordsize="653,312" path="m0,665l653,665,653,353,0,353,0,665xe" filled="true" fillcolor="#ffffff" stroked="false">
                      <v:path arrowok="t"/>
                      <v:fill type="solid"/>
                    </v:shape>
                  </v:group>
                </v:group>
              </w:pict>
            </w:r>
            <w:r>
              <w:rPr>
                <w:rFonts w:ascii="Times New Roman" w:hAnsi="Times New Roman" w:cs="Times New Roman" w:eastAsia="Times New Roman" w:hint="default"/>
                <w:position w:val="-12"/>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both"/>
              <w:rPr>
                <w:rFonts w:ascii="宋体" w:hAnsi="宋体" w:cs="宋体" w:eastAsia="宋体" w:hint="default"/>
                <w:sz w:val="18"/>
                <w:szCs w:val="18"/>
              </w:rPr>
            </w:pPr>
            <w:r>
              <w:rPr>
                <w:rFonts w:ascii="宋体" w:hAnsi="宋体" w:cs="宋体" w:eastAsia="宋体" w:hint="default"/>
                <w:sz w:val="18"/>
                <w:szCs w:val="18"/>
              </w:rPr>
              <w:t>非公开发行的股份于</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日上市，</w:t>
            </w:r>
          </w:p>
          <w:p>
            <w:pPr>
              <w:pStyle w:val="TableParagraph"/>
              <w:spacing w:line="300" w:lineRule="auto" w:before="63"/>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日可解除 限售的比例为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日可解除限售的 比例为</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55%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日可解除限售的比例</w:t>
            </w:r>
          </w:p>
          <w:p>
            <w:pPr>
              <w:pStyle w:val="TableParagraph"/>
              <w:spacing w:line="240" w:lineRule="auto" w:before="1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319" w:lineRule="auto" w:before="63"/>
              <w:ind w:left="22" w:right="41"/>
              <w:jc w:val="both"/>
              <w:rPr>
                <w:rFonts w:ascii="宋体" w:hAnsi="宋体" w:cs="宋体" w:eastAsia="宋体" w:hint="default"/>
                <w:sz w:val="18"/>
                <w:szCs w:val="18"/>
              </w:rPr>
            </w:pPr>
            <w:r>
              <w:rPr>
                <w:rFonts w:ascii="宋体" w:hAnsi="宋体" w:cs="宋体" w:eastAsia="宋体" w:hint="default"/>
                <w:sz w:val="18"/>
                <w:szCs w:val="18"/>
              </w:rPr>
              <w:t>日可全部解除限售，未违 反承诺。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pStyle w:val="BodyText"/>
        <w:spacing w:line="314" w:lineRule="auto"/>
        <w:ind w:left="2876" w:right="4686"/>
        <w:jc w:val="left"/>
      </w:pPr>
      <w:r>
        <w:rPr>
          <w:spacing w:val="-4"/>
        </w:rPr>
        <w:t>转让本次交易中取得的深大通的股份时，如</w:t>
      </w:r>
      <w:r>
        <w:rPr/>
        <w:t> </w:t>
      </w:r>
      <w:r>
        <w:rPr>
          <w:spacing w:val="-5"/>
        </w:rPr>
        <w:t>担任深大通的董事、监事、高管职务，本人</w:t>
      </w:r>
      <w:r>
        <w:rPr>
          <w:spacing w:val="-72"/>
        </w:rPr>
        <w:t> </w:t>
      </w:r>
      <w:r>
        <w:rPr>
          <w:spacing w:val="-72"/>
        </w:rPr>
      </w:r>
      <w:r>
        <w:rPr>
          <w:spacing w:val="-4"/>
        </w:rPr>
        <w:t>可转让的股份数量还应遵守《公司法》等法</w:t>
      </w:r>
      <w:r>
        <w:rPr/>
        <w:t> 律法规的限制性规定。</w:t>
      </w:r>
      <w:r>
        <w:rPr>
          <w:rFonts w:ascii="Times New Roman" w:hAnsi="Times New Roman" w:cs="Times New Roman" w:eastAsia="Times New Roman" w:hint="default"/>
        </w:rPr>
        <w:t>4</w:t>
      </w:r>
      <w:r>
        <w:rPr/>
        <w:t>、本人本次交易所 </w:t>
      </w:r>
      <w:r>
        <w:rPr>
          <w:spacing w:val="-4"/>
        </w:rPr>
        <w:t>认购深大通的股份的限售期，最终将按照中</w:t>
      </w:r>
      <w:r>
        <w:rPr/>
        <w:t> 国证监会或深圳证券交易所的审核要求执 行。</w:t>
      </w:r>
    </w:p>
    <w:p>
      <w:pPr>
        <w:spacing w:after="0" w:line="314" w:lineRule="auto"/>
        <w:jc w:val="left"/>
        <w:sectPr>
          <w:pgSz w:w="11910" w:h="16840"/>
          <w:pgMar w:header="747" w:footer="979"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pStyle w:val="BodyText"/>
        <w:spacing w:line="210" w:lineRule="exact"/>
        <w:ind w:left="1316" w:right="-20"/>
        <w:jc w:val="left"/>
      </w:pPr>
      <w:r>
        <w:rPr/>
        <w:t>朱兰英；</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pStyle w:val="BodyText"/>
        <w:spacing w:line="210" w:lineRule="exact"/>
        <w:ind w:left="90" w:right="-20"/>
        <w:jc w:val="left"/>
      </w:pPr>
      <w:r>
        <w:rPr/>
        <w:t>股份限</w:t>
      </w:r>
    </w:p>
    <w:p>
      <w:pPr>
        <w:spacing w:before="110"/>
        <w:ind w:left="129" w:right="0" w:firstLine="0"/>
        <w:jc w:val="both"/>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BodyText"/>
        <w:spacing w:line="240" w:lineRule="auto" w:before="61"/>
        <w:ind w:left="129" w:right="0"/>
        <w:jc w:val="both"/>
      </w:pPr>
      <w:r>
        <w:rPr/>
        <w:pict>
          <v:shape style="position:absolute;margin-left:202.583008pt;margin-top:-15.058264pt;width:194.15pt;height:85.8pt;mso-position-horizontal-relative:page;mso-position-vertical-relative:paragraph;z-index:-859792" type="#_x0000_t202" filled="false" stroked="false">
            <v:textbox inset="0,0,0,0">
              <w:txbxContent>
                <w:p>
                  <w:pPr>
                    <w:pStyle w:val="BodyText"/>
                    <w:spacing w:line="240" w:lineRule="auto" w:before="51"/>
                    <w:ind w:left="0" w:right="0"/>
                    <w:jc w:val="left"/>
                  </w:pPr>
                  <w:r>
                    <w:rPr/>
                    <w:t>通过本次交易取得的上市公司新增股份，</w:t>
                  </w:r>
                </w:p>
              </w:txbxContent>
            </v:textbox>
            <w10:wrap type="none"/>
          </v:shape>
        </w:pict>
      </w:r>
      <w:r>
        <w:rPr/>
        <w:t>自股份上市之日起</w:t>
      </w:r>
      <w:r>
        <w:rPr>
          <w:spacing w:val="-46"/>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个月内不得以任何形</w:t>
      </w:r>
    </w:p>
    <w:p>
      <w:pPr>
        <w:pStyle w:val="BodyText"/>
        <w:spacing w:line="240" w:lineRule="auto" w:before="63"/>
        <w:ind w:left="129" w:right="0"/>
        <w:jc w:val="both"/>
      </w:pPr>
      <w:r>
        <w:rPr/>
        <w:t>式转让。自股份上市之日起</w:t>
      </w:r>
      <w:r>
        <w:rPr>
          <w:spacing w:val="-46"/>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个月届满且</w:t>
      </w:r>
    </w:p>
    <w:p>
      <w:pPr>
        <w:pStyle w:val="BodyText"/>
        <w:spacing w:line="312" w:lineRule="exact" w:before="23"/>
        <w:ind w:left="129" w:right="0"/>
        <w:jc w:val="both"/>
      </w:pPr>
      <w:r>
        <w:rPr/>
        <w:t>履行其相应</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年度目标公司业绩补偿承 </w:t>
      </w:r>
      <w:r>
        <w:rPr>
          <w:spacing w:val="-4"/>
        </w:rPr>
        <w:t>诺之日起，可转让不超过本次认购股份数量</w:t>
      </w:r>
      <w:r>
        <w:rPr/>
        <w:t> 的</w:t>
      </w:r>
      <w:r>
        <w:rPr>
          <w:spacing w:val="-46"/>
        </w:rPr>
        <w:t> </w:t>
      </w:r>
      <w:r>
        <w:rPr>
          <w:rFonts w:ascii="Times New Roman" w:hAnsi="Times New Roman" w:cs="Times New Roman" w:eastAsia="Times New Roman" w:hint="default"/>
        </w:rPr>
        <w:t>80%</w:t>
      </w:r>
      <w:r>
        <w:rPr/>
        <w:t>；自股份上市之日起</w:t>
      </w:r>
      <w:r>
        <w:rPr>
          <w:spacing w:val="-46"/>
        </w:rPr>
        <w:t> </w:t>
      </w:r>
      <w:r>
        <w:rPr>
          <w:rFonts w:ascii="Times New Roman" w:hAnsi="Times New Roman" w:cs="Times New Roman" w:eastAsia="Times New Roman" w:hint="default"/>
        </w:rPr>
        <w:t>48</w:t>
      </w:r>
      <w:r>
        <w:rPr>
          <w:rFonts w:ascii="Times New Roman" w:hAnsi="Times New Roman" w:cs="Times New Roman" w:eastAsia="Times New Roman" w:hint="default"/>
          <w:spacing w:val="-1"/>
        </w:rPr>
        <w:t> </w:t>
      </w:r>
      <w:r>
        <w:rPr/>
        <w:t>个月届满之 日起，可转让本次认购的全部股份。</w:t>
      </w:r>
      <w:r>
        <w:rPr>
          <w:rFonts w:ascii="Times New Roman" w:hAnsi="Times New Roman" w:cs="Times New Roman" w:eastAsia="Times New Roman" w:hint="default"/>
        </w:rPr>
        <w:t>2</w:t>
      </w:r>
      <w:r>
        <w:rPr/>
        <w:t>、本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240" w:lineRule="auto"/>
        <w:ind w:left="16" w:right="-19"/>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240" w:lineRule="auto"/>
        <w:ind w:left="83" w:right="-19"/>
        <w:jc w:val="left"/>
      </w:pP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spacing w:line="240" w:lineRule="auto"/>
        <w:ind w:left="84" w:right="0"/>
        <w:jc w:val="left"/>
      </w:pPr>
      <w:r>
        <w:rPr/>
        <w:t>非公开发行的股份于</w:t>
      </w:r>
    </w:p>
    <w:p>
      <w:pPr>
        <w:pStyle w:val="BodyText"/>
        <w:spacing w:line="240" w:lineRule="auto" w:before="75"/>
        <w:ind w:left="84"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22 </w:t>
      </w:r>
      <w:r>
        <w:rPr/>
        <w:t>日上市，</w:t>
      </w:r>
    </w:p>
    <w:p>
      <w:pPr>
        <w:pStyle w:val="BodyText"/>
        <w:spacing w:line="212" w:lineRule="exact" w:before="63"/>
        <w:ind w:left="84"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22 </w:t>
      </w:r>
      <w:r>
        <w:rPr/>
        <w:t>日可解除</w:t>
      </w:r>
    </w:p>
    <w:p>
      <w:pPr>
        <w:spacing w:after="0" w:line="212" w:lineRule="exact"/>
        <w:jc w:val="left"/>
        <w:sectPr>
          <w:type w:val="continuous"/>
          <w:pgSz w:w="11910" w:h="16840"/>
          <w:pgMar w:top="1060" w:bottom="1160" w:left="980" w:right="0"/>
          <w:cols w:num="6" w:equalWidth="0">
            <w:col w:w="2037" w:space="40"/>
            <w:col w:w="631" w:space="40"/>
            <w:col w:w="3475" w:space="40"/>
            <w:col w:w="602" w:space="40"/>
            <w:col w:w="669" w:space="40"/>
            <w:col w:w="3316"/>
          </w:cols>
        </w:sectPr>
      </w:pPr>
    </w:p>
    <w:p>
      <w:pPr>
        <w:pStyle w:val="BodyText"/>
        <w:spacing w:line="212" w:lineRule="exact" w:before="40"/>
        <w:ind w:left="0" w:right="0"/>
        <w:jc w:val="right"/>
      </w:pPr>
      <w:r>
        <w:rPr/>
        <w:t>修涞贵</w:t>
      </w:r>
    </w:p>
    <w:p>
      <w:pPr>
        <w:spacing w:line="212" w:lineRule="exact" w:before="40"/>
        <w:ind w:left="27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售承诺</w:t>
      </w:r>
    </w:p>
    <w:p>
      <w:pPr>
        <w:pStyle w:val="BodyText"/>
        <w:spacing w:line="213" w:lineRule="exact" w:before="39"/>
        <w:ind w:left="129" w:right="-20"/>
        <w:jc w:val="left"/>
      </w:pPr>
      <w:r>
        <w:rPr/>
        <w:br w:type="column"/>
      </w:r>
      <w:r>
        <w:rPr/>
        <w:t>人在转让本次交易中取得的深大通的股份</w:t>
      </w:r>
    </w:p>
    <w:p>
      <w:pPr>
        <w:pStyle w:val="BodyText"/>
        <w:spacing w:line="133" w:lineRule="exact"/>
        <w:ind w:left="122" w:right="-18"/>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01 </w:t>
      </w:r>
      <w:r>
        <w:rPr/>
        <w:t>月 </w:t>
      </w:r>
      <w:r>
        <w:rPr>
          <w:rFonts w:ascii="Times New Roman" w:hAnsi="Times New Roman" w:cs="Times New Roman" w:eastAsia="Times New Roman" w:hint="default"/>
        </w:rPr>
        <w:t>22 1 </w:t>
      </w:r>
      <w:r>
        <w:rPr/>
        <w:t>月</w:t>
      </w:r>
      <w:r>
        <w:rPr>
          <w:spacing w:val="-60"/>
        </w:rPr>
        <w:t> </w:t>
      </w:r>
      <w:r>
        <w:rPr>
          <w:rFonts w:ascii="Times New Roman" w:hAnsi="Times New Roman" w:cs="Times New Roman" w:eastAsia="Times New Roman" w:hint="default"/>
        </w:rPr>
        <w:t>22</w:t>
      </w:r>
    </w:p>
    <w:p>
      <w:pPr>
        <w:pStyle w:val="BodyText"/>
        <w:spacing w:line="213" w:lineRule="exact" w:before="39"/>
        <w:ind w:left="130" w:right="0"/>
        <w:jc w:val="left"/>
        <w:rPr>
          <w:rFonts w:ascii="Times New Roman" w:hAnsi="Times New Roman" w:cs="Times New Roman" w:eastAsia="Times New Roman" w:hint="default"/>
        </w:rPr>
      </w:pPr>
      <w:r>
        <w:rPr/>
        <w:br w:type="column"/>
      </w:r>
      <w:r>
        <w:rPr/>
        <w:t>限售的比例为</w:t>
      </w:r>
      <w:r>
        <w:rPr>
          <w:spacing w:val="-46"/>
        </w:rPr>
        <w:t> </w:t>
      </w:r>
      <w:r>
        <w:rPr>
          <w:rFonts w:ascii="Times New Roman" w:hAnsi="Times New Roman" w:cs="Times New Roman" w:eastAsia="Times New Roman" w:hint="default"/>
        </w:rPr>
        <w:t>80%</w:t>
      </w:r>
      <w:r>
        <w:rPr/>
        <w:t>，</w:t>
      </w:r>
      <w:r>
        <w:rPr>
          <w:rFonts w:ascii="Times New Roman" w:hAnsi="Times New Roman" w:cs="Times New Roman" w:eastAsia="Times New Roman" w:hint="default"/>
        </w:rPr>
        <w:t>2020</w:t>
      </w:r>
    </w:p>
    <w:p>
      <w:pPr>
        <w:spacing w:after="0" w:line="213" w:lineRule="exact"/>
        <w:jc w:val="left"/>
        <w:rPr>
          <w:rFonts w:ascii="Times New Roman" w:hAnsi="Times New Roman" w:cs="Times New Roman" w:eastAsia="Times New Roman" w:hint="default"/>
        </w:rPr>
        <w:sectPr>
          <w:type w:val="continuous"/>
          <w:pgSz w:w="11910" w:h="16840"/>
          <w:pgMar w:top="1060" w:bottom="1160" w:left="980" w:right="0"/>
          <w:cols w:num="5" w:equalWidth="0">
            <w:col w:w="1857" w:space="40"/>
            <w:col w:w="811" w:space="40"/>
            <w:col w:w="3370" w:space="40"/>
            <w:col w:w="1370" w:space="40"/>
            <w:col w:w="3362"/>
          </w:cols>
        </w:sectPr>
      </w:pPr>
    </w:p>
    <w:p>
      <w:pPr>
        <w:pStyle w:val="BodyText"/>
        <w:tabs>
          <w:tab w:pos="707" w:val="left" w:leader="none"/>
        </w:tabs>
        <w:spacing w:line="140" w:lineRule="exact"/>
        <w:ind w:left="0" w:right="0"/>
        <w:jc w:val="right"/>
      </w:pPr>
      <w:r>
        <w:rPr/>
        <w:t>日</w:t>
        <w:tab/>
        <w:t>日</w:t>
      </w:r>
    </w:p>
    <w:p>
      <w:pPr>
        <w:pStyle w:val="BodyText"/>
        <w:spacing w:line="195" w:lineRule="exact"/>
        <w:ind w:left="2876" w:right="-20"/>
        <w:jc w:val="left"/>
      </w:pPr>
      <w:r>
        <w:rPr>
          <w:spacing w:val="-9"/>
        </w:rPr>
        <w:t>时，如担任深大通的董事、监事、高管职务，</w:t>
      </w:r>
    </w:p>
    <w:p>
      <w:pPr>
        <w:pStyle w:val="BodyText"/>
        <w:spacing w:line="314" w:lineRule="auto" w:before="76"/>
        <w:ind w:left="2876" w:right="850"/>
        <w:jc w:val="left"/>
      </w:pPr>
      <w:r>
        <w:rPr/>
        <w:t>本人可转让的股份数量还应遵守《公司法》 等法律法规的限制性规定。</w:t>
      </w:r>
      <w:r>
        <w:rPr>
          <w:rFonts w:ascii="Times New Roman" w:hAnsi="Times New Roman" w:cs="Times New Roman" w:eastAsia="Times New Roman" w:hint="default"/>
        </w:rPr>
        <w:t>3</w:t>
      </w:r>
      <w:r>
        <w:rPr/>
        <w:t>、本人本次交 </w:t>
      </w:r>
      <w:r>
        <w:rPr>
          <w:spacing w:val="-4"/>
        </w:rPr>
        <w:t>易所认购深大通的股份的限售期，最终将按</w:t>
      </w:r>
      <w:r>
        <w:rPr/>
        <w:t> 照中国证监会或深圳证券交易所的审核要 求执行。</w:t>
      </w:r>
    </w:p>
    <w:p>
      <w:pPr>
        <w:pStyle w:val="BodyText"/>
        <w:spacing w:line="302" w:lineRule="auto" w:before="99"/>
        <w:ind w:left="489" w:right="1215"/>
        <w:jc w:val="left"/>
      </w:pPr>
      <w:r>
        <w:rPr/>
        <w:br w:type="column"/>
      </w:r>
      <w:r>
        <w:rPr/>
        <w:t>年</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月</w:t>
      </w:r>
      <w:r>
        <w:rPr>
          <w:spacing w:val="-63"/>
        </w:rPr>
        <w:t> </w:t>
      </w:r>
      <w:r>
        <w:rPr>
          <w:rFonts w:ascii="Times New Roman" w:hAnsi="Times New Roman" w:cs="Times New Roman" w:eastAsia="Times New Roman" w:hint="default"/>
        </w:rPr>
        <w:t>22</w:t>
      </w:r>
      <w:r>
        <w:rPr>
          <w:rFonts w:ascii="Times New Roman" w:hAnsi="Times New Roman" w:cs="Times New Roman" w:eastAsia="Times New Roman" w:hint="default"/>
          <w:spacing w:val="-18"/>
        </w:rPr>
        <w:t> </w:t>
      </w:r>
      <w:r>
        <w:rPr/>
        <w:t>日可全部解除限 售，未违反承诺。</w:t>
      </w:r>
    </w:p>
    <w:p>
      <w:pPr>
        <w:spacing w:after="0" w:line="302" w:lineRule="auto"/>
        <w:jc w:val="left"/>
        <w:sectPr>
          <w:type w:val="continuous"/>
          <w:pgSz w:w="11910" w:h="16840"/>
          <w:pgMar w:top="1060" w:bottom="1160" w:left="980" w:right="0"/>
          <w:cols w:num="2" w:equalWidth="0">
            <w:col w:w="7167" w:space="40"/>
            <w:col w:w="3723"/>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BodyText"/>
        <w:spacing w:line="240" w:lineRule="auto"/>
        <w:ind w:left="1316" w:right="-20"/>
        <w:jc w:val="left"/>
      </w:pPr>
      <w:r>
        <w:rPr/>
        <w:t>曹林芳；</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BodyText"/>
        <w:spacing w:line="210" w:lineRule="exact"/>
        <w:ind w:left="90" w:right="-20"/>
        <w:jc w:val="left"/>
      </w:pPr>
      <w:r>
        <w:rPr/>
        <w:t>利润承</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ind w:left="129" w:right="-17"/>
        <w:jc w:val="left"/>
      </w:pPr>
      <w:r>
        <w:rPr/>
        <w:t>冉十科技</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年净利润不低于人民币</w:t>
      </w:r>
    </w:p>
    <w:p>
      <w:pPr>
        <w:pStyle w:val="BodyText"/>
        <w:spacing w:line="240" w:lineRule="auto" w:before="63"/>
        <w:ind w:left="129" w:right="-17"/>
        <w:jc w:val="left"/>
      </w:pPr>
      <w:r>
        <w:rPr>
          <w:rFonts w:ascii="Times New Roman" w:hAnsi="Times New Roman" w:cs="Times New Roman" w:eastAsia="Times New Roman" w:hint="default"/>
        </w:rPr>
        <w:t>7,000.00</w:t>
      </w:r>
      <w:r>
        <w:rPr>
          <w:rFonts w:ascii="Times New Roman" w:hAnsi="Times New Roman" w:cs="Times New Roman" w:eastAsia="Times New Roman" w:hint="default"/>
          <w:spacing w:val="-1"/>
        </w:rPr>
        <w:t> </w:t>
      </w:r>
      <w:r>
        <w:rPr/>
        <w:t>万元</w:t>
      </w:r>
      <w:r>
        <w:rPr>
          <w:spacing w:val="-74"/>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年净利润不低于人民币</w:t>
      </w:r>
      <w:r>
        <w:rPr>
          <w:spacing w:val="-3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BodyText"/>
        <w:spacing w:line="240" w:lineRule="auto"/>
        <w:ind w:left="83" w:right="-19"/>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p>
    <w:p>
      <w:pPr>
        <w:pStyle w:val="BodyText"/>
        <w:spacing w:line="240" w:lineRule="auto" w:before="110"/>
        <w:ind w:left="84" w:right="0"/>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2015 </w:t>
      </w:r>
      <w:r>
        <w:rPr/>
        <w:t>年实现利润</w:t>
      </w:r>
      <w:r>
        <w:rPr>
          <w:spacing w:val="-47"/>
        </w:rPr>
        <w:t> </w:t>
      </w:r>
      <w:r>
        <w:rPr>
          <w:rFonts w:ascii="Times New Roman" w:hAnsi="Times New Roman" w:cs="Times New Roman" w:eastAsia="Times New Roman" w:hint="default"/>
        </w:rPr>
        <w:t>7,803.93</w:t>
      </w:r>
    </w:p>
    <w:p>
      <w:pPr>
        <w:pStyle w:val="BodyText"/>
        <w:spacing w:line="240" w:lineRule="auto" w:before="62"/>
        <w:ind w:left="84" w:right="0"/>
        <w:jc w:val="left"/>
      </w:pPr>
      <w:r>
        <w:rPr/>
        <w:t>万元、</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年实现利润</w:t>
      </w:r>
    </w:p>
    <w:p>
      <w:pPr>
        <w:pStyle w:val="BodyText"/>
        <w:spacing w:line="240" w:lineRule="auto" w:before="63"/>
        <w:ind w:left="84" w:right="0"/>
        <w:jc w:val="left"/>
      </w:pPr>
      <w:r>
        <w:rPr>
          <w:rFonts w:ascii="Times New Roman" w:hAnsi="Times New Roman" w:cs="Times New Roman" w:eastAsia="Times New Roman" w:hint="default"/>
        </w:rPr>
        <w:t>10,127.25 </w:t>
      </w:r>
      <w:r>
        <w:rPr>
          <w:spacing w:val="-11"/>
        </w:rPr>
        <w:t>万元，</w:t>
      </w:r>
      <w:r>
        <w:rPr>
          <w:rFonts w:ascii="Times New Roman" w:hAnsi="Times New Roman" w:cs="Times New Roman" w:eastAsia="Times New Roman" w:hint="default"/>
          <w:spacing w:val="-11"/>
        </w:rPr>
        <w:t>2017</w:t>
      </w:r>
      <w:r>
        <w:rPr>
          <w:rFonts w:ascii="Times New Roman" w:hAnsi="Times New Roman" w:cs="Times New Roman" w:eastAsia="Times New Roman" w:hint="default"/>
          <w:spacing w:val="1"/>
        </w:rPr>
        <w:t> </w:t>
      </w:r>
      <w:r>
        <w:rPr/>
        <w:t>年实</w:t>
      </w:r>
    </w:p>
    <w:p>
      <w:pPr>
        <w:pStyle w:val="BodyText"/>
        <w:spacing w:line="240" w:lineRule="auto" w:before="63"/>
        <w:ind w:left="84" w:right="0"/>
        <w:jc w:val="left"/>
      </w:pPr>
      <w:r>
        <w:rPr/>
        <w:t>现利润</w:t>
      </w:r>
      <w:r>
        <w:rPr>
          <w:spacing w:val="-47"/>
        </w:rPr>
        <w:t> </w:t>
      </w:r>
      <w:r>
        <w:rPr>
          <w:rFonts w:ascii="Times New Roman" w:hAnsi="Times New Roman" w:cs="Times New Roman" w:eastAsia="Times New Roman" w:hint="default"/>
        </w:rPr>
        <w:t>9,950.12</w:t>
      </w:r>
      <w:r>
        <w:rPr>
          <w:rFonts w:ascii="Times New Roman" w:hAnsi="Times New Roman" w:cs="Times New Roman" w:eastAsia="Times New Roman" w:hint="default"/>
          <w:spacing w:val="-2"/>
        </w:rPr>
        <w:t> </w:t>
      </w:r>
      <w:r>
        <w:rPr/>
        <w:t>万元，</w:t>
      </w:r>
    </w:p>
    <w:p>
      <w:pPr>
        <w:spacing w:after="0" w:line="240" w:lineRule="auto"/>
        <w:jc w:val="left"/>
        <w:sectPr>
          <w:type w:val="continuous"/>
          <w:pgSz w:w="11910" w:h="16840"/>
          <w:pgMar w:top="1060" w:bottom="1160" w:left="980" w:right="0"/>
          <w:cols w:num="5" w:equalWidth="0">
            <w:col w:w="2037" w:space="40"/>
            <w:col w:w="631" w:space="40"/>
            <w:col w:w="4116" w:space="40"/>
            <w:col w:w="669" w:space="40"/>
            <w:col w:w="3317"/>
          </w:cols>
        </w:sectPr>
      </w:pPr>
    </w:p>
    <w:p>
      <w:pPr>
        <w:pStyle w:val="BodyText"/>
        <w:spacing w:line="141" w:lineRule="exact"/>
        <w:ind w:left="1316" w:right="0"/>
        <w:jc w:val="left"/>
      </w:pPr>
      <w:r>
        <w:rPr/>
        <w:t>李勇；莫</w:t>
      </w:r>
    </w:p>
    <w:p>
      <w:pPr>
        <w:pStyle w:val="BodyText"/>
        <w:spacing w:line="171" w:lineRule="exact"/>
        <w:ind w:left="0" w:right="0"/>
        <w:jc w:val="right"/>
      </w:pPr>
      <w:r>
        <w:rPr/>
        <w:t>诺</w:t>
      </w:r>
    </w:p>
    <w:p>
      <w:pPr>
        <w:pStyle w:val="BodyText"/>
        <w:spacing w:line="194" w:lineRule="exact"/>
        <w:ind w:left="489" w:right="0"/>
        <w:jc w:val="left"/>
      </w:pPr>
      <w:r>
        <w:rPr/>
        <w:br w:type="column"/>
      </w:r>
      <w:r>
        <w:rPr>
          <w:rFonts w:ascii="Times New Roman" w:hAnsi="Times New Roman" w:cs="Times New Roman" w:eastAsia="Times New Roman" w:hint="default"/>
        </w:rPr>
        <w:t>8,750.00</w:t>
      </w:r>
      <w:r>
        <w:rPr>
          <w:rFonts w:ascii="Times New Roman" w:hAnsi="Times New Roman" w:cs="Times New Roman" w:eastAsia="Times New Roman" w:hint="default"/>
          <w:spacing w:val="-1"/>
        </w:rPr>
        <w:t> </w:t>
      </w:r>
      <w:r>
        <w:rPr/>
        <w:t>万元</w:t>
      </w:r>
      <w:r>
        <w:rPr>
          <w:spacing w:val="-74"/>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年净利润不低于人民币</w:t>
      </w:r>
      <w:r>
        <w:rPr>
          <w:spacing w:val="-34"/>
        </w:rPr>
        <w:t> </w:t>
      </w:r>
      <w:r>
        <w:rPr>
          <w:rFonts w:ascii="Times New Roman" w:hAnsi="Times New Roman" w:cs="Times New Roman" w:eastAsia="Times New Roman" w:hint="default"/>
        </w:rPr>
        <w:t>01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01 </w:t>
      </w:r>
      <w:r>
        <w:rPr>
          <w:rFonts w:ascii="Times New Roman" w:hAnsi="Times New Roman" w:cs="Times New Roman" w:eastAsia="Times New Roman" w:hint="default"/>
          <w:spacing w:val="-1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 </w:t>
      </w:r>
      <w:r>
        <w:rPr>
          <w:rFonts w:ascii="Times New Roman" w:hAnsi="Times New Roman" w:cs="Times New Roman" w:eastAsia="Times New Roman" w:hint="default"/>
          <w:spacing w:val="-1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72"/>
        </w:rPr>
        <w:t>、</w:t>
      </w:r>
      <w:r>
        <w:rPr>
          <w:rFonts w:ascii="Times New Roman" w:hAnsi="Times New Roman" w:cs="Times New Roman" w:eastAsia="Times New Roman" w:hint="default"/>
        </w:rPr>
        <w:t>2016 </w:t>
      </w:r>
      <w:r>
        <w:rPr/>
        <w:t>年完成承诺</w:t>
      </w:r>
    </w:p>
    <w:p>
      <w:pPr>
        <w:spacing w:after="0" w:line="194" w:lineRule="exact"/>
        <w:jc w:val="left"/>
        <w:sectPr>
          <w:type w:val="continuous"/>
          <w:pgSz w:w="11910" w:h="16840"/>
          <w:pgMar w:top="1060" w:bottom="1160" w:left="980" w:right="0"/>
          <w:cols w:num="2" w:equalWidth="0">
            <w:col w:w="2347" w:space="40"/>
            <w:col w:w="8543"/>
          </w:cols>
        </w:sectPr>
      </w:pPr>
    </w:p>
    <w:p>
      <w:pPr>
        <w:pStyle w:val="BodyText"/>
        <w:tabs>
          <w:tab w:pos="2875" w:val="left" w:leader="none"/>
          <w:tab w:pos="6986" w:val="left" w:leader="none"/>
        </w:tabs>
        <w:spacing w:line="195" w:lineRule="exact"/>
        <w:ind w:left="1316" w:right="-20"/>
        <w:jc w:val="left"/>
      </w:pPr>
      <w:r>
        <w:rPr/>
        <w:t>清雅</w:t>
        <w:tab/>
      </w:r>
      <w:r>
        <w:rPr>
          <w:rFonts w:ascii="Times New Roman" w:hAnsi="Times New Roman" w:cs="Times New Roman" w:eastAsia="Times New Roman" w:hint="default"/>
        </w:rPr>
        <w:t>10,937.00 </w:t>
      </w:r>
      <w:r>
        <w:rPr/>
        <w:t>万元、</w:t>
      </w:r>
      <w:r>
        <w:rPr>
          <w:rFonts w:ascii="Times New Roman" w:hAnsi="Times New Roman" w:cs="Times New Roman" w:eastAsia="Times New Roman" w:hint="default"/>
        </w:rPr>
        <w:t>2018 </w:t>
      </w:r>
      <w:r>
        <w:rPr/>
        <w:t>年净利润不低于人民</w:t>
      </w:r>
      <w:r>
        <w:rPr>
          <w:spacing w:val="-21"/>
        </w:rPr>
        <w:t> </w:t>
      </w:r>
      <w:r>
        <w:rPr/>
        <w:t>日</w:t>
        <w:tab/>
        <w:t>日</w:t>
      </w:r>
    </w:p>
    <w:p>
      <w:pPr>
        <w:pStyle w:val="BodyText"/>
        <w:spacing w:line="240" w:lineRule="auto" w:before="63"/>
        <w:ind w:left="2857" w:right="2966"/>
        <w:jc w:val="center"/>
      </w:pPr>
      <w:r>
        <w:rPr/>
        <w:t>币</w:t>
      </w:r>
      <w:r>
        <w:rPr>
          <w:spacing w:val="-46"/>
        </w:rPr>
        <w:t> </w:t>
      </w:r>
      <w:r>
        <w:rPr>
          <w:rFonts w:ascii="Times New Roman" w:hAnsi="Times New Roman" w:cs="Times New Roman" w:eastAsia="Times New Roman" w:hint="default"/>
        </w:rPr>
        <w:t>13,635</w:t>
      </w:r>
      <w:r>
        <w:rPr>
          <w:rFonts w:ascii="Times New Roman" w:hAnsi="Times New Roman" w:cs="Times New Roman" w:eastAsia="Times New Roman" w:hint="default"/>
          <w:spacing w:val="-1"/>
        </w:rPr>
        <w:t> </w:t>
      </w:r>
      <w:r>
        <w:rPr/>
        <w:t>万元。</w:t>
      </w:r>
    </w:p>
    <w:p>
      <w:pPr>
        <w:pStyle w:val="BodyText"/>
        <w:spacing w:line="194" w:lineRule="exact"/>
        <w:ind w:left="489" w:right="0"/>
        <w:jc w:val="both"/>
      </w:pPr>
      <w:r>
        <w:rPr>
          <w:spacing w:val="-4"/>
        </w:rPr>
        <w:br w:type="column"/>
      </w:r>
      <w:r>
        <w:rPr>
          <w:spacing w:val="-4"/>
        </w:rPr>
        <w:t>利润，</w:t>
      </w:r>
      <w:r>
        <w:rPr>
          <w:rFonts w:ascii="Times New Roman" w:hAnsi="Times New Roman" w:cs="Times New Roman" w:eastAsia="Times New Roman" w:hint="default"/>
          <w:spacing w:val="-4"/>
        </w:rPr>
        <w:t>2017</w:t>
      </w:r>
      <w:r>
        <w:rPr>
          <w:rFonts w:ascii="Times New Roman" w:hAnsi="Times New Roman" w:cs="Times New Roman" w:eastAsia="Times New Roman" w:hint="default"/>
        </w:rPr>
        <w:t> </w:t>
      </w:r>
      <w:r>
        <w:rPr/>
        <w:t>年未完成承诺</w:t>
      </w:r>
    </w:p>
    <w:p>
      <w:pPr>
        <w:pStyle w:val="BodyText"/>
        <w:spacing w:line="319" w:lineRule="auto" w:before="63"/>
        <w:ind w:left="489" w:right="1248"/>
        <w:jc w:val="both"/>
      </w:pPr>
      <w:r>
        <w:rPr/>
        <w:t>利润，三年累计实现利润 大于承诺利润，未触发业 绩补偿承诺。</w:t>
      </w:r>
    </w:p>
    <w:p>
      <w:pPr>
        <w:spacing w:after="0" w:line="319" w:lineRule="auto"/>
        <w:jc w:val="both"/>
        <w:sectPr>
          <w:type w:val="continuous"/>
          <w:pgSz w:w="11910" w:h="16840"/>
          <w:pgMar w:top="1060" w:bottom="1160" w:left="980" w:right="0"/>
          <w:cols w:num="2" w:equalWidth="0">
            <w:col w:w="7167" w:space="40"/>
            <w:col w:w="3723"/>
          </w:cols>
        </w:sectPr>
      </w:pPr>
    </w:p>
    <w:p>
      <w:pPr>
        <w:pStyle w:val="BodyText"/>
        <w:spacing w:line="316" w:lineRule="auto" w:before="107"/>
        <w:ind w:left="1316" w:right="0"/>
        <w:jc w:val="both"/>
      </w:pPr>
      <w:r>
        <w:rPr/>
        <w:t>夏东明； 朱兰英； 罗承；修 涞贵；宁 波华夏嘉</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BodyText"/>
        <w:spacing w:line="210" w:lineRule="exact"/>
        <w:ind w:left="90" w:right="-20"/>
        <w:jc w:val="left"/>
      </w:pPr>
      <w:r>
        <w:rPr/>
        <w:t>利润承</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BodyText"/>
        <w:spacing w:line="240" w:lineRule="auto"/>
        <w:ind w:left="129" w:right="-17"/>
        <w:jc w:val="left"/>
      </w:pPr>
      <w:r>
        <w:rPr/>
        <w:t>视科传媒</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年净利润不低于人民币</w:t>
      </w:r>
    </w:p>
    <w:p>
      <w:pPr>
        <w:pStyle w:val="BodyText"/>
        <w:spacing w:line="240" w:lineRule="auto" w:before="63"/>
        <w:ind w:left="129" w:right="-16"/>
        <w:jc w:val="left"/>
      </w:pPr>
      <w:r>
        <w:rPr>
          <w:rFonts w:ascii="Times New Roman" w:hAnsi="Times New Roman" w:cs="Times New Roman" w:eastAsia="Times New Roman" w:hint="default"/>
        </w:rPr>
        <w:t>13,100.00 </w:t>
      </w:r>
      <w:r>
        <w:rPr/>
        <w:t>万元、</w:t>
      </w:r>
      <w:r>
        <w:rPr>
          <w:rFonts w:ascii="Times New Roman" w:hAnsi="Times New Roman" w:cs="Times New Roman" w:eastAsia="Times New Roman" w:hint="default"/>
        </w:rPr>
        <w:t>2016 </w:t>
      </w:r>
      <w:r>
        <w:rPr/>
        <w:t>年净利润不低于人民 </w:t>
      </w:r>
      <w:r>
        <w:rPr>
          <w:rFonts w:ascii="Times New Roman" w:hAnsi="Times New Roman" w:cs="Times New Roman" w:eastAsia="Times New Roman" w:hint="default"/>
        </w:rPr>
        <w:t>2015</w:t>
      </w:r>
      <w:r>
        <w:rPr>
          <w:rFonts w:ascii="Times New Roman" w:hAnsi="Times New Roman" w:cs="Times New Roman" w:eastAsia="Times New Roman" w:hint="default"/>
          <w:spacing w:val="-22"/>
        </w:rPr>
        <w:t> </w:t>
      </w:r>
      <w:r>
        <w:rPr/>
        <w:t>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left="83" w:right="-19"/>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p>
    <w:p>
      <w:pPr>
        <w:spacing w:line="240" w:lineRule="auto" w:before="1"/>
        <w:rPr>
          <w:rFonts w:ascii="宋体" w:hAnsi="宋体" w:cs="宋体" w:eastAsia="宋体" w:hint="default"/>
          <w:sz w:val="20"/>
          <w:szCs w:val="20"/>
        </w:rPr>
      </w:pPr>
      <w:r>
        <w:rPr/>
        <w:br w:type="column"/>
      </w:r>
      <w:r>
        <w:rPr>
          <w:rFonts w:ascii="宋体"/>
          <w:sz w:val="20"/>
        </w:rPr>
      </w:r>
    </w:p>
    <w:p>
      <w:pPr>
        <w:pStyle w:val="BodyText"/>
        <w:spacing w:line="240" w:lineRule="auto"/>
        <w:ind w:left="84"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年实现利润</w:t>
      </w:r>
    </w:p>
    <w:p>
      <w:pPr>
        <w:pStyle w:val="BodyText"/>
        <w:spacing w:line="240" w:lineRule="auto" w:before="61"/>
        <w:ind w:left="84" w:right="0"/>
        <w:jc w:val="left"/>
      </w:pPr>
      <w:r>
        <w:rPr>
          <w:rFonts w:ascii="Times New Roman" w:hAnsi="Times New Roman" w:cs="Times New Roman" w:eastAsia="Times New Roman" w:hint="default"/>
        </w:rPr>
        <w:t>13,919.29 </w:t>
      </w:r>
      <w:r>
        <w:rPr>
          <w:spacing w:val="-11"/>
        </w:rPr>
        <w:t>万元、</w:t>
      </w:r>
      <w:r>
        <w:rPr>
          <w:rFonts w:ascii="Times New Roman" w:hAnsi="Times New Roman" w:cs="Times New Roman" w:eastAsia="Times New Roman" w:hint="default"/>
          <w:spacing w:val="-11"/>
        </w:rPr>
        <w:t>2016</w:t>
      </w:r>
      <w:r>
        <w:rPr>
          <w:rFonts w:ascii="Times New Roman" w:hAnsi="Times New Roman" w:cs="Times New Roman" w:eastAsia="Times New Roman" w:hint="default"/>
          <w:spacing w:val="1"/>
        </w:rPr>
        <w:t> </w:t>
      </w:r>
      <w:r>
        <w:rPr/>
        <w:t>年实</w:t>
      </w:r>
    </w:p>
    <w:p>
      <w:pPr>
        <w:pStyle w:val="BodyText"/>
        <w:spacing w:line="240" w:lineRule="auto" w:before="63"/>
        <w:ind w:left="84" w:right="0"/>
        <w:jc w:val="left"/>
      </w:pPr>
      <w:r>
        <w:rPr/>
        <w:t>现利润</w:t>
      </w:r>
      <w:r>
        <w:rPr>
          <w:spacing w:val="-47"/>
        </w:rPr>
        <w:t> </w:t>
      </w:r>
      <w:r>
        <w:rPr>
          <w:rFonts w:ascii="Times New Roman" w:hAnsi="Times New Roman" w:cs="Times New Roman" w:eastAsia="Times New Roman" w:hint="default"/>
        </w:rPr>
        <w:t>17,251.61</w:t>
      </w:r>
      <w:r>
        <w:rPr>
          <w:rFonts w:ascii="Times New Roman" w:hAnsi="Times New Roman" w:cs="Times New Roman" w:eastAsia="Times New Roman" w:hint="default"/>
          <w:spacing w:val="-2"/>
        </w:rPr>
        <w:t> </w:t>
      </w:r>
      <w:r>
        <w:rPr/>
        <w:t>万元，</w:t>
      </w:r>
    </w:p>
    <w:p>
      <w:pPr>
        <w:pStyle w:val="BodyText"/>
        <w:spacing w:line="240" w:lineRule="auto" w:before="63"/>
        <w:ind w:left="8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年实现净利润</w:t>
      </w:r>
    </w:p>
    <w:p>
      <w:pPr>
        <w:pStyle w:val="BodyText"/>
        <w:spacing w:line="212" w:lineRule="exact" w:before="63"/>
        <w:ind w:left="84" w:right="0"/>
        <w:jc w:val="left"/>
      </w:pPr>
      <w:r>
        <w:rPr>
          <w:rFonts w:ascii="Times New Roman" w:hAnsi="Times New Roman" w:cs="Times New Roman" w:eastAsia="Times New Roman" w:hint="default"/>
        </w:rPr>
        <w:t>19,292.76 </w:t>
      </w:r>
      <w:r>
        <w:rPr/>
        <w:t>万元，</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p>
    <w:p>
      <w:pPr>
        <w:spacing w:after="0" w:line="212" w:lineRule="exact"/>
        <w:jc w:val="left"/>
        <w:sectPr>
          <w:type w:val="continuous"/>
          <w:pgSz w:w="11910" w:h="16840"/>
          <w:pgMar w:top="1060" w:bottom="1160" w:left="980" w:right="0"/>
          <w:cols w:num="5" w:equalWidth="0">
            <w:col w:w="2037" w:space="40"/>
            <w:col w:w="631" w:space="40"/>
            <w:col w:w="4116" w:space="40"/>
            <w:col w:w="669" w:space="40"/>
            <w:col w:w="3317"/>
          </w:cols>
        </w:sectPr>
      </w:pPr>
    </w:p>
    <w:p>
      <w:pPr>
        <w:pStyle w:val="BodyText"/>
        <w:spacing w:line="141" w:lineRule="exact"/>
        <w:ind w:left="1316" w:right="0"/>
        <w:jc w:val="both"/>
      </w:pPr>
      <w:r>
        <w:rPr/>
        <w:t>源管理咨</w:t>
      </w:r>
    </w:p>
    <w:p>
      <w:pPr>
        <w:pStyle w:val="BodyText"/>
        <w:spacing w:line="156" w:lineRule="exact"/>
        <w:ind w:left="0" w:right="0"/>
        <w:jc w:val="right"/>
      </w:pPr>
      <w:r>
        <w:rPr/>
        <w:t>诺</w:t>
      </w:r>
    </w:p>
    <w:p>
      <w:pPr>
        <w:pStyle w:val="BodyText"/>
        <w:spacing w:line="195" w:lineRule="exact"/>
        <w:ind w:left="1316" w:right="0"/>
        <w:jc w:val="both"/>
      </w:pPr>
      <w:r>
        <w:rPr/>
        <w:t>询有限公</w:t>
      </w:r>
    </w:p>
    <w:p>
      <w:pPr>
        <w:pStyle w:val="BodyText"/>
        <w:spacing w:line="319" w:lineRule="auto" w:before="76"/>
        <w:ind w:left="1316" w:right="308"/>
        <w:jc w:val="both"/>
      </w:pPr>
      <w:r>
        <w:rPr/>
        <w:t>司；蒋纪 平；黄艳 红；龚莉 蓉</w:t>
      </w:r>
    </w:p>
    <w:p>
      <w:pPr>
        <w:pStyle w:val="BodyText"/>
        <w:spacing w:line="194" w:lineRule="exact"/>
        <w:ind w:left="489" w:right="-10"/>
        <w:jc w:val="left"/>
        <w:rPr>
          <w:rFonts w:ascii="Times New Roman" w:hAnsi="Times New Roman" w:cs="Times New Roman" w:eastAsia="Times New Roman" w:hint="default"/>
        </w:rPr>
      </w:pPr>
      <w:r>
        <w:rPr/>
        <w:br w:type="column"/>
      </w:r>
      <w:r>
        <w:rPr/>
        <w:t>币</w:t>
      </w:r>
      <w:r>
        <w:rPr>
          <w:spacing w:val="-46"/>
        </w:rPr>
        <w:t> </w:t>
      </w:r>
      <w:r>
        <w:rPr>
          <w:rFonts w:ascii="Times New Roman" w:hAnsi="Times New Roman" w:cs="Times New Roman" w:eastAsia="Times New Roman" w:hint="default"/>
        </w:rPr>
        <w:t>16,500.00</w:t>
      </w:r>
      <w:r>
        <w:rPr>
          <w:rFonts w:ascii="Times New Roman" w:hAnsi="Times New Roman" w:cs="Times New Roman" w:eastAsia="Times New Roman" w:hint="default"/>
          <w:spacing w:val="-1"/>
        </w:rPr>
        <w:t> </w:t>
      </w:r>
      <w:r>
        <w:rPr>
          <w:spacing w:val="-5"/>
        </w:rPr>
        <w:t>万元、</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
        </w:rPr>
        <w:t> </w:t>
      </w:r>
      <w:r>
        <w:rPr/>
        <w:t>年净利润不低于人</w:t>
      </w:r>
      <w:r>
        <w:rPr>
          <w:spacing w:val="-34"/>
        </w:rPr>
        <w:t> </w:t>
      </w:r>
      <w:r>
        <w:rPr>
          <w:rFonts w:ascii="Times New Roman" w:hAnsi="Times New Roman" w:cs="Times New Roman" w:eastAsia="Times New Roman" w:hint="default"/>
        </w:rPr>
        <w:t>01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01</w:t>
      </w:r>
      <w:r>
        <w:rPr>
          <w:rFonts w:ascii="Times New Roman" w:hAnsi="Times New Roman" w:cs="Times New Roman" w:eastAsia="Times New Roman" w:hint="default"/>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p>
    <w:p>
      <w:pPr>
        <w:pStyle w:val="BodyText"/>
        <w:tabs>
          <w:tab w:pos="4599" w:val="left" w:leader="none"/>
        </w:tabs>
        <w:spacing w:line="300" w:lineRule="auto" w:before="64"/>
        <w:ind w:left="489" w:right="447"/>
        <w:jc w:val="left"/>
      </w:pPr>
      <w:r>
        <w:rPr/>
        <w:t>民币 </w:t>
      </w:r>
      <w:r>
        <w:rPr>
          <w:rFonts w:ascii="Times New Roman" w:hAnsi="Times New Roman" w:cs="Times New Roman" w:eastAsia="Times New Roman" w:hint="default"/>
        </w:rPr>
        <w:t>19,800.00 </w:t>
      </w:r>
      <w:r>
        <w:rPr>
          <w:spacing w:val="-5"/>
        </w:rPr>
        <w:t>万元、</w:t>
      </w:r>
      <w:r>
        <w:rPr>
          <w:rFonts w:ascii="Times New Roman" w:hAnsi="Times New Roman" w:cs="Times New Roman" w:eastAsia="Times New Roman" w:hint="default"/>
          <w:spacing w:val="-5"/>
        </w:rPr>
        <w:t>2018 </w:t>
      </w:r>
      <w:r>
        <w:rPr/>
        <w:t>年净利润不低于</w:t>
      </w:r>
      <w:r>
        <w:rPr>
          <w:spacing w:val="-70"/>
        </w:rPr>
        <w:t> </w:t>
      </w:r>
      <w:r>
        <w:rPr/>
        <w:t>日</w:t>
        <w:tab/>
        <w:t>日</w:t>
      </w:r>
      <w:r>
        <w:rPr/>
        <w:t> 人民币</w:t>
      </w:r>
      <w:r>
        <w:rPr>
          <w:spacing w:val="-46"/>
        </w:rPr>
        <w:t> </w:t>
      </w:r>
      <w:r>
        <w:rPr>
          <w:rFonts w:ascii="Times New Roman" w:hAnsi="Times New Roman" w:cs="Times New Roman" w:eastAsia="Times New Roman" w:hint="default"/>
        </w:rPr>
        <w:t>21,200 </w:t>
      </w:r>
      <w:r>
        <w:rPr/>
        <w:t>万元。</w:t>
      </w:r>
    </w:p>
    <w:p>
      <w:pPr>
        <w:pStyle w:val="BodyText"/>
        <w:spacing w:line="240" w:lineRule="auto" w:before="100"/>
        <w:ind w:left="40" w:right="0"/>
        <w:jc w:val="both"/>
      </w:pPr>
      <w:r>
        <w:rPr/>
        <w:br w:type="column"/>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年完成承诺利润，</w:t>
      </w:r>
    </w:p>
    <w:p>
      <w:pPr>
        <w:pStyle w:val="BodyText"/>
        <w:spacing w:line="312" w:lineRule="auto" w:before="63"/>
        <w:ind w:left="40" w:right="1204"/>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年未完成承诺利润， 三年累计实现利润大于承 诺利润，未触发业绩补偿 承诺。</w:t>
      </w:r>
    </w:p>
    <w:p>
      <w:pPr>
        <w:spacing w:after="0" w:line="312" w:lineRule="auto"/>
        <w:jc w:val="both"/>
        <w:sectPr>
          <w:type w:val="continuous"/>
          <w:pgSz w:w="11910" w:h="16840"/>
          <w:pgMar w:top="1060" w:bottom="1160" w:left="980" w:right="0"/>
          <w:cols w:num="3" w:equalWidth="0">
            <w:col w:w="2347" w:space="40"/>
            <w:col w:w="5229" w:space="40"/>
            <w:col w:w="3274"/>
          </w:cols>
        </w:sectPr>
      </w:pPr>
    </w:p>
    <w:p>
      <w:pPr>
        <w:pStyle w:val="BodyText"/>
        <w:spacing w:line="240" w:lineRule="auto" w:before="127"/>
        <w:ind w:left="1316" w:right="-20"/>
        <w:jc w:val="left"/>
      </w:pPr>
      <w:r>
        <w:rPr/>
        <w:t>曹林芳；</w:t>
      </w:r>
    </w:p>
    <w:p>
      <w:pPr>
        <w:spacing w:before="127"/>
        <w:ind w:left="9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避免关</w:t>
      </w:r>
    </w:p>
    <w:p>
      <w:pPr>
        <w:pStyle w:val="BodyText"/>
        <w:spacing w:line="240" w:lineRule="auto" w:before="107"/>
        <w:ind w:left="129" w:right="-17"/>
        <w:jc w:val="left"/>
      </w:pPr>
      <w:r>
        <w:rPr>
          <w:spacing w:val="-4"/>
        </w:rPr>
        <w:br w:type="column"/>
      </w:r>
      <w:r>
        <w:rPr>
          <w:spacing w:val="-4"/>
        </w:rPr>
        <w:t>避免关联交易、避免同业竞争、保持高速独</w:t>
      </w:r>
      <w:r>
        <w:rPr>
          <w:spacing w:val="-34"/>
        </w:rPr>
        <w:t> </w:t>
      </w:r>
      <w:r>
        <w:rPr>
          <w:rFonts w:ascii="Times New Roman" w:hAnsi="Times New Roman" w:cs="Times New Roman" w:eastAsia="Times New Roman" w:hint="default"/>
          <w:position w:val="-1"/>
        </w:rPr>
        <w:t>2016</w:t>
      </w:r>
      <w:r>
        <w:rPr>
          <w:rFonts w:ascii="Times New Roman" w:hAnsi="Times New Roman" w:cs="Times New Roman" w:eastAsia="Times New Roman" w:hint="default"/>
          <w:spacing w:val="-1"/>
          <w:position w:val="-1"/>
        </w:rPr>
        <w:t> </w:t>
      </w:r>
      <w:r>
        <w:rPr>
          <w:position w:val="-1"/>
        </w:rPr>
        <w:t>年</w:t>
      </w:r>
      <w:r>
        <w:rPr/>
      </w:r>
    </w:p>
    <w:p>
      <w:pPr>
        <w:spacing w:line="240" w:lineRule="auto" w:before="1"/>
        <w:rPr>
          <w:rFonts w:ascii="宋体" w:hAnsi="宋体" w:cs="宋体" w:eastAsia="宋体" w:hint="default"/>
          <w:sz w:val="20"/>
          <w:szCs w:val="20"/>
        </w:rPr>
      </w:pPr>
      <w:r>
        <w:rPr/>
        <w:br w:type="column"/>
      </w:r>
      <w:r>
        <w:rPr>
          <w:rFonts w:ascii="宋体"/>
          <w:sz w:val="20"/>
        </w:rPr>
      </w:r>
    </w:p>
    <w:p>
      <w:pPr>
        <w:pStyle w:val="BodyText"/>
        <w:tabs>
          <w:tab w:pos="793" w:val="left" w:leader="none"/>
        </w:tabs>
        <w:spacing w:line="212" w:lineRule="exact"/>
        <w:ind w:left="83" w:right="0"/>
        <w:jc w:val="left"/>
      </w:pPr>
      <w:r>
        <w:rPr/>
        <w:t>长期</w:t>
        <w:tab/>
        <w:t>未违反承诺。</w:t>
      </w:r>
    </w:p>
    <w:p>
      <w:pPr>
        <w:spacing w:after="0" w:line="212" w:lineRule="exact"/>
        <w:jc w:val="left"/>
        <w:sectPr>
          <w:type w:val="continuous"/>
          <w:pgSz w:w="11910" w:h="16840"/>
          <w:pgMar w:top="1060" w:bottom="1160" w:left="980" w:right="0"/>
          <w:cols w:num="4" w:equalWidth="0">
            <w:col w:w="2037" w:space="40"/>
            <w:col w:w="631" w:space="40"/>
            <w:col w:w="4116" w:space="40"/>
            <w:col w:w="4026"/>
          </w:cols>
        </w:sectPr>
      </w:pPr>
    </w:p>
    <w:p>
      <w:pPr>
        <w:pStyle w:val="BodyText"/>
        <w:spacing w:line="199" w:lineRule="exact"/>
        <w:ind w:left="1316" w:right="-20"/>
        <w:jc w:val="left"/>
      </w:pPr>
      <w:r>
        <w:rPr/>
        <w:pict>
          <v:group style="position:absolute;margin-left:56.459999pt;margin-top:71.759979pt;width:478.95pt;height:692.35pt;mso-position-horizontal-relative:page;mso-position-vertical-relative:page;z-index:-859768" coordorigin="1129,1435" coordsize="9579,13847">
            <v:group style="position:absolute;left:1139;top:1450;width:1125;height:2226" coordorigin="1139,1450" coordsize="1125,2226">
              <v:shape style="position:absolute;left:1139;top:1450;width:1125;height:2226" coordorigin="1139,1450" coordsize="1125,2226" path="m1139,3675l2264,3675,2264,1450,1139,1450,1139,3675xe" filled="true" fillcolor="#d2d2d2" stroked="false">
                <v:path arrowok="t"/>
                <v:fill type="solid"/>
              </v:shape>
            </v:group>
            <v:group style="position:absolute;left:1139;top:1445;width:1125;height:2" coordorigin="1139,1445" coordsize="1125,2">
              <v:shape style="position:absolute;left:1139;top:1445;width:1125;height:2" coordorigin="1139,1445" coordsize="1125,0" path="m1139,1445l2264,1445e" filled="false" stroked="true" strokeweight=".48pt" strokecolor="#000000">
                <v:path arrowok="t"/>
              </v:shape>
            </v:group>
            <v:group style="position:absolute;left:2273;top:1445;width:842;height:2" coordorigin="2273,1445" coordsize="842,2">
              <v:shape style="position:absolute;left:2273;top:1445;width:842;height:2" coordorigin="2273,1445" coordsize="842,0" path="m2273,1445l3114,1445e" filled="false" stroked="true" strokeweight=".48pt" strokecolor="#000000">
                <v:path arrowok="t"/>
              </v:shape>
            </v:group>
            <v:group style="position:absolute;left:3124;top:1445;width:700;height:2" coordorigin="3124,1445" coordsize="700,2">
              <v:shape style="position:absolute;left:3124;top:1445;width:700;height:2" coordorigin="3124,1445" coordsize="700,0" path="m3124,1445l3824,1445e" filled="false" stroked="true" strokeweight=".48pt" strokecolor="#000000">
                <v:path arrowok="t"/>
              </v:shape>
            </v:group>
            <v:group style="position:absolute;left:3833;top:1445;width:3393;height:2" coordorigin="3833,1445" coordsize="3393,2">
              <v:shape style="position:absolute;left:3833;top:1445;width:3393;height:2" coordorigin="3833,1445" coordsize="3393,0" path="m3833,1445l7226,1445e" filled="false" stroked="true" strokeweight=".48pt" strokecolor="#000000">
                <v:path arrowok="t"/>
              </v:shape>
            </v:group>
            <v:group style="position:absolute;left:7236;top:1445;width:699;height:2" coordorigin="7236,1445" coordsize="699,2">
              <v:shape style="position:absolute;left:7236;top:1445;width:699;height:2" coordorigin="7236,1445" coordsize="699,0" path="m7236,1445l7934,1445e" filled="false" stroked="true" strokeweight=".48pt" strokecolor="#000000">
                <v:path arrowok="t"/>
              </v:shape>
            </v:group>
            <v:group style="position:absolute;left:7944;top:1445;width:700;height:2" coordorigin="7944,1445" coordsize="700,2">
              <v:shape style="position:absolute;left:7944;top:1445;width:700;height:2" coordorigin="7944,1445" coordsize="700,0" path="m7944,1445l8644,1445e" filled="false" stroked="true" strokeweight=".48pt" strokecolor="#000000">
                <v:path arrowok="t"/>
              </v:shape>
            </v:group>
            <v:group style="position:absolute;left:8653;top:1445;width:2045;height:2" coordorigin="8653,1445" coordsize="2045,2">
              <v:shape style="position:absolute;left:8653;top:1445;width:2045;height:2" coordorigin="8653,1445" coordsize="2045,0" path="m8653,1445l10698,1445e" filled="false" stroked="true" strokeweight=".48pt" strokecolor="#000000">
                <v:path arrowok="t"/>
              </v:shape>
            </v:group>
            <v:group style="position:absolute;left:1139;top:3675;width:1125;height:4458" coordorigin="1139,3675" coordsize="1125,4458">
              <v:shape style="position:absolute;left:1139;top:3675;width:1125;height:4458" coordorigin="1139,3675" coordsize="1125,4458" path="m1139,8133l2264,8133,2264,3675,1139,3675,1139,8133xe" filled="true" fillcolor="#d2d2d2" stroked="false">
                <v:path arrowok="t"/>
                <v:fill type="solid"/>
              </v:shape>
            </v:group>
            <v:group style="position:absolute;left:7236;top:3684;width:699;height:1716" coordorigin="7236,3684" coordsize="699,1716">
              <v:shape style="position:absolute;left:7236;top:3684;width:699;height:1716" coordorigin="7236,3684" coordsize="699,1716" path="m7236,5400l7934,5400,7934,3684,7236,3684,7236,5400xe" filled="true" fillcolor="#ffffff" stroked="false">
                <v:path arrowok="t"/>
                <v:fill type="solid"/>
              </v:shape>
            </v:group>
            <v:group style="position:absolute;left:7247;top:5400;width:2;height:1017" coordorigin="7247,5400" coordsize="2,1017">
              <v:shape style="position:absolute;left:7247;top:5400;width:2;height:1017" coordorigin="7247,5400" coordsize="0,1017" path="m7247,5400l7247,6417e" filled="false" stroked="true" strokeweight="1.140pt" strokecolor="#ffffff">
                <v:path arrowok="t"/>
              </v:shape>
            </v:group>
            <v:group style="position:absolute;left:7236;top:6417;width:699;height:1716" coordorigin="7236,6417" coordsize="699,1716">
              <v:shape style="position:absolute;left:7236;top:6417;width:699;height:1716" coordorigin="7236,6417" coordsize="699,1716" path="m7236,8133l7934,8133,7934,6417,7236,6417,7236,8133xe" filled="true" fillcolor="#ffffff" stroked="false">
                <v:path arrowok="t"/>
                <v:fill type="solid"/>
              </v:shape>
            </v:group>
            <v:group style="position:absolute;left:7258;top:6064;width:653;height:353" coordorigin="7258,6064" coordsize="653,353">
              <v:shape style="position:absolute;left:7258;top:6064;width:653;height:353" coordorigin="7258,6064" coordsize="653,353" path="m7258,6417l7911,6417,7911,6064,7258,6064,7258,6417xe" filled="true" fillcolor="#ffffff" stroked="false">
                <v:path arrowok="t"/>
                <v:fill type="solid"/>
              </v:shape>
            </v:group>
            <v:group style="position:absolute;left:2273;top:3680;width:842;height:2" coordorigin="2273,3680" coordsize="842,2">
              <v:shape style="position:absolute;left:2273;top:3680;width:842;height:2" coordorigin="2273,3680" coordsize="842,0" path="m2273,3680l3114,3680e" filled="false" stroked="true" strokeweight=".48pt" strokecolor="#000000">
                <v:path arrowok="t"/>
              </v:shape>
            </v:group>
            <v:group style="position:absolute;left:3124;top:3680;width:700;height:2" coordorigin="3124,3680" coordsize="700,2">
              <v:shape style="position:absolute;left:3124;top:3680;width:700;height:2" coordorigin="3124,3680" coordsize="700,0" path="m3124,3680l3824,3680e" filled="false" stroked="true" strokeweight=".48pt" strokecolor="#000000">
                <v:path arrowok="t"/>
              </v:shape>
            </v:group>
            <v:group style="position:absolute;left:3833;top:3680;width:3393;height:2" coordorigin="3833,3680" coordsize="3393,2">
              <v:shape style="position:absolute;left:3833;top:3680;width:3393;height:2" coordorigin="3833,3680" coordsize="3393,0" path="m3833,3680l7226,3680e" filled="false" stroked="true" strokeweight=".48pt" strokecolor="#000000">
                <v:path arrowok="t"/>
              </v:shape>
            </v:group>
            <v:group style="position:absolute;left:7236;top:3680;width:699;height:2" coordorigin="7236,3680" coordsize="699,2">
              <v:shape style="position:absolute;left:7236;top:3680;width:699;height:2" coordorigin="7236,3680" coordsize="699,0" path="m7236,3680l7934,3680e" filled="false" stroked="true" strokeweight=".48pt" strokecolor="#000000">
                <v:path arrowok="t"/>
              </v:shape>
            </v:group>
            <v:group style="position:absolute;left:7944;top:3680;width:700;height:2" coordorigin="7944,3680" coordsize="700,2">
              <v:shape style="position:absolute;left:7944;top:3680;width:700;height:2" coordorigin="7944,3680" coordsize="700,0" path="m7944,3680l8644,3680e" filled="false" stroked="true" strokeweight=".48pt" strokecolor="#000000">
                <v:path arrowok="t"/>
              </v:shape>
            </v:group>
            <v:group style="position:absolute;left:8653;top:3680;width:2045;height:2" coordorigin="8653,3680" coordsize="2045,2">
              <v:shape style="position:absolute;left:8653;top:3680;width:2045;height:2" coordorigin="8653,3680" coordsize="2045,0" path="m8653,3680l10698,3680e" filled="false" stroked="true" strokeweight=".48pt" strokecolor="#000000">
                <v:path arrowok="t"/>
              </v:shape>
            </v:group>
            <v:group style="position:absolute;left:1139;top:8133;width:1125;height:2899" coordorigin="1139,8133" coordsize="1125,2899">
              <v:shape style="position:absolute;left:1139;top:8133;width:1125;height:2899" coordorigin="1139,8133" coordsize="1125,2899" path="m1139,11031l2264,11031,2264,8133,1139,8133,1139,11031xe" filled="true" fillcolor="#d2d2d2" stroked="false">
                <v:path arrowok="t"/>
                <v:fill type="solid"/>
              </v:shape>
            </v:group>
            <v:group style="position:absolute;left:2273;top:8138;width:842;height:2" coordorigin="2273,8138" coordsize="842,2">
              <v:shape style="position:absolute;left:2273;top:8138;width:842;height:2" coordorigin="2273,8138" coordsize="842,0" path="m2273,8138l3114,8138e" filled="false" stroked="true" strokeweight=".48pt" strokecolor="#000000">
                <v:path arrowok="t"/>
              </v:shape>
            </v:group>
            <v:group style="position:absolute;left:3124;top:8138;width:700;height:2" coordorigin="3124,8138" coordsize="700,2">
              <v:shape style="position:absolute;left:3124;top:8138;width:700;height:2" coordorigin="3124,8138" coordsize="700,0" path="m3124,8138l3824,8138e" filled="false" stroked="true" strokeweight=".48pt" strokecolor="#000000">
                <v:path arrowok="t"/>
              </v:shape>
            </v:group>
            <v:group style="position:absolute;left:3833;top:8138;width:3393;height:2" coordorigin="3833,8138" coordsize="3393,2">
              <v:shape style="position:absolute;left:3833;top:8138;width:3393;height:2" coordorigin="3833,8138" coordsize="3393,0" path="m3833,8138l7226,8138e" filled="false" stroked="true" strokeweight=".48pt" strokecolor="#000000">
                <v:path arrowok="t"/>
              </v:shape>
            </v:group>
            <v:group style="position:absolute;left:7236;top:8138;width:699;height:2" coordorigin="7236,8138" coordsize="699,2">
              <v:shape style="position:absolute;left:7236;top:8138;width:699;height:2" coordorigin="7236,8138" coordsize="699,0" path="m7236,8138l7934,8138e" filled="false" stroked="true" strokeweight=".48pt" strokecolor="#000000">
                <v:path arrowok="t"/>
              </v:shape>
            </v:group>
            <v:group style="position:absolute;left:7944;top:8138;width:700;height:2" coordorigin="7944,8138" coordsize="700,2">
              <v:shape style="position:absolute;left:7944;top:8138;width:700;height:2" coordorigin="7944,8138" coordsize="700,0" path="m7944,8138l8644,8138e" filled="false" stroked="true" strokeweight=".48pt" strokecolor="#000000">
                <v:path arrowok="t"/>
              </v:shape>
            </v:group>
            <v:group style="position:absolute;left:8653;top:8138;width:2045;height:2" coordorigin="8653,8138" coordsize="2045,2">
              <v:shape style="position:absolute;left:8653;top:8138;width:2045;height:2" coordorigin="8653,8138" coordsize="2045,0" path="m8653,8138l10698,8138e" filled="false" stroked="true" strokeweight=".48pt" strokecolor="#000000">
                <v:path arrowok="t"/>
              </v:shape>
            </v:group>
            <v:group style="position:absolute;left:1139;top:11031;width:1125;height:3523" coordorigin="1139,11031" coordsize="1125,3523">
              <v:shape style="position:absolute;left:1139;top:11031;width:1125;height:3523" coordorigin="1139,11031" coordsize="1125,3523" path="m1139,14554l2264,14554,2264,11031,1139,11031,1139,14554xe" filled="true" fillcolor="#d2d2d2" stroked="false">
                <v:path arrowok="t"/>
                <v:fill type="solid"/>
              </v:shape>
            </v:group>
            <v:group style="position:absolute;left:2273;top:11036;width:842;height:2" coordorigin="2273,11036" coordsize="842,2">
              <v:shape style="position:absolute;left:2273;top:11036;width:842;height:2" coordorigin="2273,11036" coordsize="842,0" path="m2273,11036l3114,11036e" filled="false" stroked="true" strokeweight=".48pt" strokecolor="#000000">
                <v:path arrowok="t"/>
              </v:shape>
            </v:group>
            <v:group style="position:absolute;left:3124;top:11036;width:700;height:2" coordorigin="3124,11036" coordsize="700,2">
              <v:shape style="position:absolute;left:3124;top:11036;width:700;height:2" coordorigin="3124,11036" coordsize="700,0" path="m3124,11036l3824,11036e" filled="false" stroked="true" strokeweight=".48pt" strokecolor="#000000">
                <v:path arrowok="t"/>
              </v:shape>
            </v:group>
            <v:group style="position:absolute;left:3833;top:11036;width:3393;height:2" coordorigin="3833,11036" coordsize="3393,2">
              <v:shape style="position:absolute;left:3833;top:11036;width:3393;height:2" coordorigin="3833,11036" coordsize="3393,0" path="m3833,11036l7226,11036e" filled="false" stroked="true" strokeweight=".48pt" strokecolor="#000000">
                <v:path arrowok="t"/>
              </v:shape>
            </v:group>
            <v:group style="position:absolute;left:7236;top:11036;width:699;height:2" coordorigin="7236,11036" coordsize="699,2">
              <v:shape style="position:absolute;left:7236;top:11036;width:699;height:2" coordorigin="7236,11036" coordsize="699,0" path="m7236,11036l7934,11036e" filled="false" stroked="true" strokeweight=".48pt" strokecolor="#000000">
                <v:path arrowok="t"/>
              </v:shape>
            </v:group>
            <v:group style="position:absolute;left:7944;top:11036;width:700;height:2" coordorigin="7944,11036" coordsize="700,2">
              <v:shape style="position:absolute;left:7944;top:11036;width:700;height:2" coordorigin="7944,11036" coordsize="700,0" path="m7944,11036l8644,11036e" filled="false" stroked="true" strokeweight=".48pt" strokecolor="#000000">
                <v:path arrowok="t"/>
              </v:shape>
            </v:group>
            <v:group style="position:absolute;left:8653;top:11036;width:2045;height:2" coordorigin="8653,11036" coordsize="2045,2">
              <v:shape style="position:absolute;left:8653;top:11036;width:2045;height:2" coordorigin="8653,11036" coordsize="2045,0" path="m8653,11036l10698,11036e" filled="false" stroked="true" strokeweight=".48pt" strokecolor="#000000">
                <v:path arrowok="t"/>
              </v:shape>
            </v:group>
            <v:group style="position:absolute;left:1139;top:14554;width:1125;height:714" coordorigin="1139,14554" coordsize="1125,714">
              <v:shape style="position:absolute;left:1139;top:14554;width:1125;height:714" coordorigin="1139,14554" coordsize="1125,714" path="m1139,15268l2264,15268,2264,14554,1139,14554,1139,15268xe" filled="true" fillcolor="#d2d2d2" stroked="false">
                <v:path arrowok="t"/>
                <v:fill type="solid"/>
              </v:shape>
            </v:group>
            <v:group style="position:absolute;left:3845;top:14563;width:2;height:705" coordorigin="3845,14563" coordsize="2,705">
              <v:shape style="position:absolute;left:3845;top:14563;width:2;height:705" coordorigin="3845,14563" coordsize="0,705" path="m3845,14563l3845,15268e" filled="false" stroked="true" strokeweight="1.140pt" strokecolor="#ffffff">
                <v:path arrowok="t"/>
              </v:shape>
            </v:group>
            <v:group style="position:absolute;left:2273;top:14558;width:842;height:2" coordorigin="2273,14558" coordsize="842,2">
              <v:shape style="position:absolute;left:2273;top:14558;width:842;height:2" coordorigin="2273,14558" coordsize="842,0" path="m2273,14558l3114,14558e" filled="false" stroked="true" strokeweight=".48pt" strokecolor="#000000">
                <v:path arrowok="t"/>
              </v:shape>
            </v:group>
            <v:group style="position:absolute;left:3124;top:14558;width:700;height:2" coordorigin="3124,14558" coordsize="700,2">
              <v:shape style="position:absolute;left:3124;top:14558;width:700;height:2" coordorigin="3124,14558" coordsize="700,0" path="m3124,14558l3824,14558e" filled="false" stroked="true" strokeweight=".48pt" strokecolor="#000000">
                <v:path arrowok="t"/>
              </v:shape>
            </v:group>
            <v:group style="position:absolute;left:3833;top:14558;width:3393;height:2" coordorigin="3833,14558" coordsize="3393,2">
              <v:shape style="position:absolute;left:3833;top:14558;width:3393;height:2" coordorigin="3833,14558" coordsize="3393,0" path="m3833,14558l7226,14558e" filled="false" stroked="true" strokeweight=".48pt" strokecolor="#000000">
                <v:path arrowok="t"/>
              </v:shape>
            </v:group>
            <v:group style="position:absolute;left:7236;top:14558;width:699;height:2" coordorigin="7236,14558" coordsize="699,2">
              <v:shape style="position:absolute;left:7236;top:14558;width:699;height:2" coordorigin="7236,14558" coordsize="699,0" path="m7236,14558l7934,14558e" filled="false" stroked="true" strokeweight=".48pt" strokecolor="#000000">
                <v:path arrowok="t"/>
              </v:shape>
            </v:group>
            <v:group style="position:absolute;left:7944;top:14558;width:700;height:2" coordorigin="7944,14558" coordsize="700,2">
              <v:shape style="position:absolute;left:7944;top:14558;width:700;height:2" coordorigin="7944,14558" coordsize="700,0" path="m7944,14558l8644,14558e" filled="false" stroked="true" strokeweight=".48pt" strokecolor="#000000">
                <v:path arrowok="t"/>
              </v:shape>
            </v:group>
            <v:group style="position:absolute;left:8653;top:14558;width:2045;height:2" coordorigin="8653,14558" coordsize="2045,2">
              <v:shape style="position:absolute;left:8653;top:14558;width:2045;height:2" coordorigin="8653,14558" coordsize="2045,0" path="m8653,14558l10698,14558e" filled="false" stroked="true" strokeweight=".48pt" strokecolor="#000000">
                <v:path arrowok="t"/>
              </v:shape>
            </v:group>
            <v:group style="position:absolute;left:1134;top:1440;width:2;height:13838" coordorigin="1134,1440" coordsize="2,13838">
              <v:shape style="position:absolute;left:1134;top:1440;width:2;height:13838" coordorigin="1134,1440" coordsize="0,13838" path="m1134,1440l1134,15277e" filled="false" stroked="true" strokeweight=".48pt" strokecolor="#000000">
                <v:path arrowok="t"/>
              </v:shape>
            </v:group>
            <v:group style="position:absolute;left:1139;top:15272;width:1125;height:2" coordorigin="1139,15272" coordsize="1125,2">
              <v:shape style="position:absolute;left:1139;top:15272;width:1125;height:2" coordorigin="1139,15272" coordsize="1125,0" path="m1139,15272l2264,15272e" filled="false" stroked="true" strokeweight=".48pt" strokecolor="#000000">
                <v:path arrowok="t"/>
              </v:shape>
            </v:group>
            <v:group style="position:absolute;left:2268;top:1440;width:2;height:13838" coordorigin="2268,1440" coordsize="2,13838">
              <v:shape style="position:absolute;left:2268;top:1440;width:2;height:13838" coordorigin="2268,1440" coordsize="0,13838" path="m2268,1440l2268,15277e" filled="false" stroked="true" strokeweight=".48pt" strokecolor="#000000">
                <v:path arrowok="t"/>
              </v:shape>
            </v:group>
            <v:group style="position:absolute;left:2273;top:15272;width:842;height:2" coordorigin="2273,15272" coordsize="842,2">
              <v:shape style="position:absolute;left:2273;top:15272;width:842;height:2" coordorigin="2273,15272" coordsize="842,0" path="m2273,15272l3114,15272e" filled="false" stroked="true" strokeweight=".48pt" strokecolor="#000000">
                <v:path arrowok="t"/>
              </v:shape>
            </v:group>
            <v:group style="position:absolute;left:3119;top:1440;width:2;height:13838" coordorigin="3119,1440" coordsize="2,13838">
              <v:shape style="position:absolute;left:3119;top:1440;width:2;height:13838" coordorigin="3119,1440" coordsize="0,13838" path="m3119,1440l3119,15277e" filled="false" stroked="true" strokeweight=".48pt" strokecolor="#000000">
                <v:path arrowok="t"/>
              </v:shape>
            </v:group>
            <v:group style="position:absolute;left:3124;top:15272;width:700;height:2" coordorigin="3124,15272" coordsize="700,2">
              <v:shape style="position:absolute;left:3124;top:15272;width:700;height:2" coordorigin="3124,15272" coordsize="700,0" path="m3124,15272l3824,15272e" filled="false" stroked="true" strokeweight=".48pt" strokecolor="#000000">
                <v:path arrowok="t"/>
              </v:shape>
            </v:group>
            <v:group style="position:absolute;left:3828;top:1440;width:2;height:13838" coordorigin="3828,1440" coordsize="2,13838">
              <v:shape style="position:absolute;left:3828;top:1440;width:2;height:13838" coordorigin="3828,1440" coordsize="0,13838" path="m3828,1440l3828,15277e" filled="false" stroked="true" strokeweight=".48pt" strokecolor="#000000">
                <v:path arrowok="t"/>
              </v:shape>
            </v:group>
            <v:group style="position:absolute;left:3833;top:15272;width:3393;height:2" coordorigin="3833,15272" coordsize="3393,2">
              <v:shape style="position:absolute;left:3833;top:15272;width:3393;height:2" coordorigin="3833,15272" coordsize="3393,0" path="m3833,15272l7226,15272e" filled="false" stroked="true" strokeweight=".48pt" strokecolor="#000000">
                <v:path arrowok="t"/>
              </v:shape>
            </v:group>
            <v:group style="position:absolute;left:7231;top:1440;width:2;height:13838" coordorigin="7231,1440" coordsize="2,13838">
              <v:shape style="position:absolute;left:7231;top:1440;width:2;height:13838" coordorigin="7231,1440" coordsize="0,13838" path="m7231,1440l7231,15277e" filled="false" stroked="true" strokeweight=".48pt" strokecolor="#000000">
                <v:path arrowok="t"/>
              </v:shape>
            </v:group>
            <v:group style="position:absolute;left:7236;top:15272;width:699;height:2" coordorigin="7236,15272" coordsize="699,2">
              <v:shape style="position:absolute;left:7236;top:15272;width:699;height:2" coordorigin="7236,15272" coordsize="699,0" path="m7236,15272l7934,15272e" filled="false" stroked="true" strokeweight=".48pt" strokecolor="#000000">
                <v:path arrowok="t"/>
              </v:shape>
            </v:group>
            <v:group style="position:absolute;left:7939;top:1440;width:2;height:13838" coordorigin="7939,1440" coordsize="2,13838">
              <v:shape style="position:absolute;left:7939;top:1440;width:2;height:13838" coordorigin="7939,1440" coordsize="0,13838" path="m7939,1440l7939,15277e" filled="false" stroked="true" strokeweight=".48pt" strokecolor="#000000">
                <v:path arrowok="t"/>
              </v:shape>
            </v:group>
            <v:group style="position:absolute;left:7944;top:15272;width:700;height:2" coordorigin="7944,15272" coordsize="700,2">
              <v:shape style="position:absolute;left:7944;top:15272;width:700;height:2" coordorigin="7944,15272" coordsize="700,0" path="m7944,15272l8644,15272e" filled="false" stroked="true" strokeweight=".48pt" strokecolor="#000000">
                <v:path arrowok="t"/>
              </v:shape>
            </v:group>
            <v:group style="position:absolute;left:8648;top:1440;width:2;height:13838" coordorigin="8648,1440" coordsize="2,13838">
              <v:shape style="position:absolute;left:8648;top:1440;width:2;height:13838" coordorigin="8648,1440" coordsize="0,13838" path="m8648,1440l8648,15277e" filled="false" stroked="true" strokeweight=".48pt" strokecolor="#000000">
                <v:path arrowok="t"/>
              </v:shape>
            </v:group>
            <v:group style="position:absolute;left:8653;top:15272;width:2045;height:2" coordorigin="8653,15272" coordsize="2045,2">
              <v:shape style="position:absolute;left:8653;top:15272;width:2045;height:2" coordorigin="8653,15272" coordsize="2045,0" path="m8653,15272l10698,15272e" filled="false" stroked="true" strokeweight=".48pt" strokecolor="#000000">
                <v:path arrowok="t"/>
              </v:shape>
            </v:group>
            <v:group style="position:absolute;left:10703;top:1440;width:2;height:13838" coordorigin="10703,1440" coordsize="2,13838">
              <v:shape style="position:absolute;left:10703;top:1440;width:2;height:13838" coordorigin="10703,1440" coordsize="0,13838" path="m10703,1440l10703,15277e" filled="false" stroked="true" strokeweight=".48pt" strokecolor="#000000">
                <v:path arrowok="t"/>
              </v:shape>
            </v:group>
            <w10:wrap type="none"/>
          </v:group>
        </w:pict>
      </w:r>
      <w:r>
        <w:rPr/>
        <w:t>李勇；莫</w:t>
      </w:r>
    </w:p>
    <w:p>
      <w:pPr>
        <w:pStyle w:val="BodyText"/>
        <w:spacing w:line="199" w:lineRule="exact"/>
        <w:ind w:left="90" w:right="-10"/>
        <w:jc w:val="left"/>
      </w:pPr>
      <w:r>
        <w:rPr>
          <w:spacing w:val="-2"/>
        </w:rPr>
        <w:br w:type="column"/>
      </w:r>
      <w:r>
        <w:rPr>
          <w:spacing w:val="-2"/>
        </w:rPr>
        <w:t>联交易、</w:t>
      </w:r>
      <w:r>
        <w:rPr>
          <w:spacing w:val="-2"/>
          <w:position w:val="2"/>
        </w:rPr>
        <w:t>立性相关承诺</w:t>
      </w:r>
      <w:r>
        <w:rPr>
          <w:spacing w:val="-2"/>
        </w:rPr>
      </w:r>
    </w:p>
    <w:p>
      <w:pPr>
        <w:pStyle w:val="BodyText"/>
        <w:spacing w:line="213" w:lineRule="exact"/>
        <w:ind w:left="1316" w:right="0"/>
        <w:jc w:val="left"/>
        <w:rPr>
          <w:rFonts w:ascii="Times New Roman" w:hAnsi="Times New Roman" w:cs="Times New Roman" w:eastAsia="Times New Roman" w:hint="default"/>
        </w:rPr>
      </w:pPr>
      <w:r>
        <w:rPr/>
        <w:br w:type="column"/>
      </w:r>
      <w:r>
        <w:rPr>
          <w:rFonts w:ascii="Times New Roman" w:hAnsi="Times New Roman" w:cs="Times New Roman" w:eastAsia="Times New Roman" w:hint="default"/>
        </w:rPr>
        <w:t>01 </w:t>
      </w:r>
      <w:r>
        <w:rPr/>
        <w:t>月</w:t>
      </w:r>
      <w:r>
        <w:rPr>
          <w:spacing w:val="-47"/>
        </w:rPr>
        <w:t> </w:t>
      </w:r>
      <w:r>
        <w:rPr>
          <w:rFonts w:ascii="Times New Roman" w:hAnsi="Times New Roman" w:cs="Times New Roman" w:eastAsia="Times New Roman" w:hint="default"/>
        </w:rPr>
        <w:t>22</w:t>
      </w:r>
    </w:p>
    <w:p>
      <w:pPr>
        <w:spacing w:after="0" w:line="213" w:lineRule="exact"/>
        <w:jc w:val="left"/>
        <w:rPr>
          <w:rFonts w:ascii="Times New Roman" w:hAnsi="Times New Roman" w:cs="Times New Roman" w:eastAsia="Times New Roman" w:hint="default"/>
        </w:rPr>
        <w:sectPr>
          <w:type w:val="continuous"/>
          <w:pgSz w:w="11910" w:h="16840"/>
          <w:pgMar w:top="1060" w:bottom="1160" w:left="980" w:right="0"/>
          <w:cols w:num="3" w:equalWidth="0">
            <w:col w:w="2037" w:space="40"/>
            <w:col w:w="1881" w:space="1006"/>
            <w:col w:w="5966"/>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1"/>
        <w:gridCol w:w="709"/>
        <w:gridCol w:w="3402"/>
        <w:gridCol w:w="708"/>
        <w:gridCol w:w="710"/>
        <w:gridCol w:w="2054"/>
      </w:tblGrid>
      <w:tr>
        <w:trPr>
          <w:trHeight w:val="3795"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6"/>
              <w:jc w:val="left"/>
              <w:rPr>
                <w:rFonts w:ascii="宋体" w:hAnsi="宋体" w:cs="宋体" w:eastAsia="宋体" w:hint="default"/>
                <w:sz w:val="18"/>
                <w:szCs w:val="18"/>
              </w:rPr>
            </w:pPr>
            <w:r>
              <w:rPr>
                <w:rFonts w:ascii="宋体" w:hAnsi="宋体" w:cs="宋体" w:eastAsia="宋体" w:hint="default"/>
                <w:sz w:val="18"/>
                <w:szCs w:val="18"/>
              </w:rPr>
              <w:t>清雅；夏 东明；朱 兰英；罗 承；修涞 贵；宁波 华夏嘉源 管理咨询 有限公 司；蒋纪 平；黄艳 红；龚莉 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4"/>
              <w:jc w:val="left"/>
              <w:rPr>
                <w:rFonts w:ascii="宋体" w:hAnsi="宋体" w:cs="宋体" w:eastAsia="宋体" w:hint="default"/>
                <w:sz w:val="18"/>
                <w:szCs w:val="18"/>
              </w:rPr>
            </w:pPr>
            <w:r>
              <w:rPr>
                <w:rFonts w:ascii="宋体" w:hAnsi="宋体" w:cs="宋体" w:eastAsia="宋体" w:hint="default"/>
                <w:sz w:val="18"/>
                <w:szCs w:val="18"/>
              </w:rPr>
              <w:t>避免同 业竞争、 保持高 速独立 性相关 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78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5"/>
                <w:sz w:val="20"/>
                <w:szCs w:val="20"/>
              </w:rPr>
              <w:pict>
                <v:group style="width:169.65pt;height:189.3pt;mso-position-horizontal-relative:char;mso-position-vertical-relative:line" coordorigin="0,0" coordsize="3393,3786">
                  <v:group style="position:absolute;left:0;top:0;width:3393;height:3786" coordorigin="0,0" coordsize="3393,3786">
                    <v:shape style="position:absolute;left:0;top:0;width:3393;height:3786" coordorigin="0,0" coordsize="3393,3786" path="m0,3785l3393,3785,3393,0,0,0,0,3785xe" filled="true" fillcolor="#ffffff" stroked="false">
                      <v:path arrowok="t"/>
                      <v:fill type="solid"/>
                    </v:shape>
                  </v:group>
                </v:group>
              </w:pict>
            </w:r>
            <w:r>
              <w:rPr>
                <w:rFonts w:ascii="Times New Roman" w:hAnsi="Times New Roman" w:cs="Times New Roman" w:eastAsia="Times New Roman" w:hint="default"/>
                <w:position w:val="-75"/>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85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43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8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 未履行完毕 的，应当详细 说明未完成 履行的具体 原因及下一 步的工作计 划</w:t>
            </w:r>
          </w:p>
        </w:tc>
        <w:tc>
          <w:tcPr>
            <w:tcW w:w="843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54" w:right="0"/>
        <w:jc w:val="left"/>
        <w:rPr>
          <w:b w:val="0"/>
          <w:bCs w:val="0"/>
        </w:rPr>
      </w:pPr>
      <w:bookmarkStart w:name="2、公司资产或项目存在盈利预测，且报告期仍处在盈利预测期间，公司就资产或项目达到" w:id="70"/>
      <w:bookmarkEnd w:id="70"/>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61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冉十科技</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53" w:right="0"/>
              <w:jc w:val="left"/>
              <w:rPr>
                <w:rFonts w:ascii="Times New Roman" w:hAnsi="Times New Roman" w:cs="Times New Roman" w:eastAsia="Times New Roman" w:hint="default"/>
                <w:sz w:val="18"/>
                <w:szCs w:val="18"/>
              </w:rPr>
            </w:pPr>
            <w:r>
              <w:rPr>
                <w:rFonts w:ascii="Times New Roman"/>
                <w:sz w:val="18"/>
              </w:rPr>
              <w:t>10,937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9,950.12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面临优质媒体 采购成本日渐 走高的行业趋 势，公司积极 进行业务和媒</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2"/>
              <w:ind w:left="22" w:right="23"/>
              <w:jc w:val="both"/>
              <w:rPr>
                <w:rFonts w:ascii="宋体" w:hAnsi="宋体" w:cs="宋体" w:eastAsia="宋体" w:hint="default"/>
                <w:sz w:val="18"/>
                <w:szCs w:val="18"/>
              </w:rPr>
            </w:pPr>
            <w:hyperlink r:id="rId13">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m.cn 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13"/>
                <w:sz w:val="18"/>
                <w:szCs w:val="18"/>
              </w:rPr>
              <w:t>日《深大</w:t>
            </w:r>
            <w:r>
              <w:rPr>
                <w:rFonts w:ascii="宋体" w:hAnsi="宋体" w:cs="宋体" w:eastAsia="宋体" w:hint="default"/>
                <w:sz w:val="18"/>
                <w:szCs w:val="18"/>
              </w:rPr>
              <w:t> 通：公司与曹 林芳、李勇、</w:t>
            </w:r>
          </w:p>
        </w:tc>
      </w:tr>
    </w:tbl>
    <w:p>
      <w:pPr>
        <w:spacing w:after="0" w:line="30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before="44"/>
        <w:ind w:left="0" w:right="1142"/>
        <w:jc w:val="right"/>
      </w:pPr>
      <w:r>
        <w:rPr/>
        <w:pict>
          <v:shape style="position:absolute;margin-left:56.459999pt;margin-top:-112.52829pt;width:479.05pt;height:288.350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1923"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5"/>
                          <w:jc w:val="left"/>
                          <w:rPr>
                            <w:rFonts w:ascii="宋体" w:hAnsi="宋体" w:cs="宋体" w:eastAsia="宋体" w:hint="default"/>
                            <w:sz w:val="18"/>
                            <w:szCs w:val="18"/>
                          </w:rPr>
                        </w:pPr>
                        <w:r>
                          <w:rPr>
                            <w:rFonts w:ascii="宋体" w:hAnsi="宋体" w:cs="宋体" w:eastAsia="宋体" w:hint="default"/>
                            <w:sz w:val="18"/>
                            <w:szCs w:val="18"/>
                          </w:rPr>
                          <w:t>体资源布局的 调整，新客户 正处于培育 期，报告期内 尚未完全转化 成营收。</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5"/>
                          <w:jc w:val="both"/>
                          <w:rPr>
                            <w:rFonts w:ascii="宋体" w:hAnsi="宋体" w:cs="宋体" w:eastAsia="宋体" w:hint="default"/>
                            <w:sz w:val="18"/>
                            <w:szCs w:val="18"/>
                          </w:rPr>
                        </w:pPr>
                        <w:r>
                          <w:rPr>
                            <w:rFonts w:ascii="宋体" w:hAnsi="宋体" w:cs="宋体" w:eastAsia="宋体" w:hint="default"/>
                            <w:sz w:val="18"/>
                            <w:szCs w:val="18"/>
                          </w:rPr>
                          <w:t>莫清雅之标的 资产盈利预测 补偿协议》</w:t>
                        </w:r>
                      </w:p>
                    </w:tc>
                  </w:tr>
                  <w:tr>
                    <w:trPr>
                      <w:trHeight w:val="383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视科传媒</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653" w:right="0"/>
                          <w:jc w:val="left"/>
                          <w:rPr>
                            <w:rFonts w:ascii="Times New Roman" w:hAnsi="Times New Roman" w:cs="Times New Roman" w:eastAsia="Times New Roman" w:hint="default"/>
                            <w:sz w:val="18"/>
                            <w:szCs w:val="18"/>
                          </w:rPr>
                        </w:pPr>
                        <w:r>
                          <w:rPr>
                            <w:rFonts w:ascii="Times New Roman"/>
                            <w:sz w:val="18"/>
                          </w:rPr>
                          <w:t>19,800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427" w:right="0"/>
                          <w:jc w:val="left"/>
                          <w:rPr>
                            <w:rFonts w:ascii="Times New Roman" w:hAnsi="Times New Roman" w:cs="Times New Roman" w:eastAsia="Times New Roman" w:hint="default"/>
                            <w:sz w:val="18"/>
                            <w:szCs w:val="18"/>
                          </w:rPr>
                        </w:pPr>
                        <w:r>
                          <w:rPr>
                            <w:rFonts w:ascii="Times New Roman"/>
                            <w:sz w:val="18"/>
                          </w:rPr>
                          <w:t>19,292.76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5"/>
                          <w:jc w:val="both"/>
                          <w:rPr>
                            <w:rFonts w:ascii="宋体" w:hAnsi="宋体" w:cs="宋体" w:eastAsia="宋体" w:hint="default"/>
                            <w:sz w:val="18"/>
                            <w:szCs w:val="18"/>
                          </w:rPr>
                        </w:pPr>
                        <w:r>
                          <w:rPr>
                            <w:rFonts w:ascii="宋体" w:hAnsi="宋体" w:cs="宋体" w:eastAsia="宋体" w:hint="default"/>
                            <w:sz w:val="18"/>
                            <w:szCs w:val="18"/>
                          </w:rPr>
                          <w:t>受西湖天幕巨 屏审批周期过 长、工程量较 大进度迟缓的 影响，部分大 客户推迟广告 投放，截止本 报告日，该屏 已投入正常使 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1"/>
                          <w:ind w:left="22" w:right="45"/>
                          <w:jc w:val="left"/>
                          <w:rPr>
                            <w:rFonts w:ascii="宋体" w:hAnsi="宋体" w:cs="宋体" w:eastAsia="宋体" w:hint="default"/>
                            <w:sz w:val="18"/>
                            <w:szCs w:val="18"/>
                          </w:rPr>
                        </w:pPr>
                        <w:hyperlink r:id="rId13">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Times New Roman" w:hAnsi="Times New Roman" w:cs="Times New Roman" w:eastAsia="Times New Roman" w:hint="default"/>
                            <w:spacing w:val="-6"/>
                            <w:sz w:val="18"/>
                            <w:szCs w:val="18"/>
                          </w:rPr>
                          <w:t>m.cn</w:t>
                        </w:r>
                        <w:r>
                          <w:rPr>
                            <w:rFonts w:ascii="宋体" w:hAnsi="宋体" w:cs="宋体" w:eastAsia="宋体" w:hint="default"/>
                            <w:spacing w:val="-6"/>
                            <w:sz w:val="18"/>
                            <w:szCs w:val="18"/>
                          </w:rPr>
                          <w:t>《深大通</w:t>
                        </w:r>
                        <w:r>
                          <w:rPr>
                            <w:rFonts w:ascii="宋体" w:hAnsi="宋体" w:cs="宋体" w:eastAsia="宋体" w:hint="default"/>
                            <w:spacing w:val="-86"/>
                            <w:sz w:val="18"/>
                            <w:szCs w:val="18"/>
                          </w:rPr>
                          <w:t> </w:t>
                        </w:r>
                        <w:r>
                          <w:rPr>
                            <w:rFonts w:ascii="宋体" w:hAnsi="宋体" w:cs="宋体" w:eastAsia="宋体" w:hint="default"/>
                            <w:sz w:val="18"/>
                            <w:szCs w:val="18"/>
                          </w:rPr>
                          <w:t>公司与夏东 明、朱兰英、 </w:t>
                        </w:r>
                        <w:r>
                          <w:rPr>
                            <w:rFonts w:ascii="宋体" w:hAnsi="宋体" w:cs="宋体" w:eastAsia="宋体" w:hint="default"/>
                            <w:spacing w:val="-9"/>
                            <w:sz w:val="18"/>
                            <w:szCs w:val="18"/>
                          </w:rPr>
                          <w:t>罗承、修涞贵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蒋纪平、黄艳 红、龚莉蓉、 宁波华夏嘉源 管理咨询有限 公司之标的资 产盈利预测补 偿协议》</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114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44"/>
        <w:ind w:left="154" w:right="0"/>
        <w:jc w:val="left"/>
      </w:pPr>
      <w:r>
        <w:rPr/>
        <w:t>公司股东、交易对手方在报告年度经营业绩做出的承诺情况</w:t>
      </w:r>
    </w:p>
    <w:p>
      <w:pPr>
        <w:pStyle w:val="BodyText"/>
        <w:spacing w:line="338" w:lineRule="auto" w:before="117"/>
        <w:ind w:left="513" w:right="115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报告期，标的公司冉十科技原股东承诺</w:t>
      </w:r>
      <w:r>
        <w:rPr>
          <w:rFonts w:ascii="Times New Roman" w:hAnsi="Times New Roman" w:cs="Times New Roman" w:eastAsia="Times New Roman" w:hint="default"/>
        </w:rPr>
        <w:t>2017</w:t>
      </w:r>
      <w:r>
        <w:rPr/>
        <w:t>年业绩为</w:t>
      </w:r>
      <w:r>
        <w:rPr>
          <w:rFonts w:ascii="Times New Roman" w:hAnsi="Times New Roman" w:cs="Times New Roman" w:eastAsia="Times New Roman" w:hint="default"/>
        </w:rPr>
        <w:t>10,937</w:t>
      </w:r>
      <w:r>
        <w:rPr/>
        <w:t>万元，实际实现净利润</w:t>
      </w:r>
      <w:r>
        <w:rPr>
          <w:rFonts w:ascii="Times New Roman" w:hAnsi="Times New Roman" w:cs="Times New Roman" w:eastAsia="Times New Roman" w:hint="default"/>
        </w:rPr>
        <w:t>9,950.12</w:t>
      </w:r>
      <w:r>
        <w:rPr/>
        <w:t>万元，完成率</w:t>
      </w:r>
      <w:r>
        <w:rPr>
          <w:rFonts w:ascii="Times New Roman" w:hAnsi="Times New Roman" w:cs="Times New Roman" w:eastAsia="Times New Roman" w:hint="default"/>
        </w:rPr>
        <w:t>90.98%</w:t>
      </w:r>
      <w:r>
        <w:rPr/>
        <w:t>，冉十</w:t>
      </w:r>
    </w:p>
    <w:p>
      <w:pPr>
        <w:pStyle w:val="BodyText"/>
        <w:spacing w:line="231" w:lineRule="exact"/>
        <w:ind w:right="0"/>
        <w:jc w:val="left"/>
      </w:pPr>
      <w:r>
        <w:rPr/>
        <w:t>科技</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-2017</w:t>
      </w:r>
      <w:r>
        <w:rPr/>
        <w:t>年三年累计承诺利润为</w:t>
      </w:r>
      <w:r>
        <w:rPr>
          <w:rFonts w:ascii="Times New Roman" w:hAnsi="Times New Roman" w:cs="Times New Roman" w:eastAsia="Times New Roman" w:hint="default"/>
        </w:rPr>
        <w:t>26,687.00</w:t>
      </w:r>
      <w:r>
        <w:rPr/>
        <w:t>万元，冉十科技</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-2017</w:t>
      </w:r>
      <w:r>
        <w:rPr/>
        <w:t>年三年累计实现净利润</w:t>
      </w:r>
      <w:r>
        <w:rPr>
          <w:rFonts w:ascii="Times New Roman" w:hAnsi="Times New Roman" w:cs="Times New Roman" w:eastAsia="Times New Roman" w:hint="default"/>
        </w:rPr>
        <w:t>27,881.30</w:t>
      </w:r>
      <w:r>
        <w:rPr/>
        <w:t>万元，三年累</w:t>
      </w:r>
    </w:p>
    <w:p>
      <w:pPr>
        <w:pStyle w:val="BodyText"/>
        <w:spacing w:line="316" w:lineRule="auto" w:before="63"/>
        <w:ind w:left="514" w:right="1200" w:hanging="360"/>
        <w:jc w:val="left"/>
        <w:rPr>
          <w:rFonts w:ascii="Times New Roman" w:hAnsi="Times New Roman" w:cs="Times New Roman" w:eastAsia="Times New Roman" w:hint="default"/>
        </w:rPr>
      </w:pPr>
      <w:r>
        <w:rPr/>
        <w:t>计实现净利润大于三年累计承诺利润，未触发业绩补偿承诺； 视科传媒原股东承诺</w:t>
      </w:r>
      <w:r>
        <w:rPr>
          <w:rFonts w:ascii="Times New Roman" w:hAnsi="Times New Roman" w:cs="Times New Roman" w:eastAsia="Times New Roman" w:hint="default"/>
        </w:rPr>
        <w:t>2017</w:t>
      </w:r>
      <w:r>
        <w:rPr/>
        <w:t>年业绩为</w:t>
      </w:r>
      <w:r>
        <w:rPr>
          <w:rFonts w:ascii="Times New Roman" w:hAnsi="Times New Roman" w:cs="Times New Roman" w:eastAsia="Times New Roman" w:hint="default"/>
        </w:rPr>
        <w:t>19,800</w:t>
      </w:r>
      <w:r>
        <w:rPr/>
        <w:t>万元，实际实现净利润</w:t>
      </w:r>
      <w:r>
        <w:rPr>
          <w:rFonts w:ascii="Times New Roman" w:hAnsi="Times New Roman" w:cs="Times New Roman" w:eastAsia="Times New Roman" w:hint="default"/>
        </w:rPr>
        <w:t>19,292.76</w:t>
      </w:r>
      <w:r>
        <w:rPr/>
        <w:t>万元，完成率</w:t>
      </w:r>
      <w:r>
        <w:rPr>
          <w:rFonts w:ascii="Times New Roman" w:hAnsi="Times New Roman" w:cs="Times New Roman" w:eastAsia="Times New Roman" w:hint="default"/>
        </w:rPr>
        <w:t>97.44%</w:t>
      </w:r>
      <w:r>
        <w:rPr/>
        <w:t>，视科传媒</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-2017</w:t>
      </w:r>
    </w:p>
    <w:p>
      <w:pPr>
        <w:pStyle w:val="BodyText"/>
        <w:spacing w:line="300" w:lineRule="auto"/>
        <w:ind w:right="1153"/>
        <w:jc w:val="left"/>
      </w:pPr>
      <w:r>
        <w:rPr/>
        <w:t>年三年累计承诺利润为</w:t>
      </w:r>
      <w:r>
        <w:rPr>
          <w:rFonts w:ascii="Times New Roman" w:hAnsi="Times New Roman" w:cs="Times New Roman" w:eastAsia="Times New Roman" w:hint="default"/>
        </w:rPr>
        <w:t>49,400.00</w:t>
      </w:r>
      <w:r>
        <w:rPr/>
        <w:t>万元，视科传媒</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-2017</w:t>
      </w:r>
      <w:r>
        <w:rPr/>
        <w:t>年三年累计实现净利润</w:t>
      </w:r>
      <w:r>
        <w:rPr>
          <w:rFonts w:ascii="Times New Roman" w:hAnsi="Times New Roman" w:cs="Times New Roman" w:eastAsia="Times New Roman" w:hint="default"/>
        </w:rPr>
        <w:t>50,463.66</w:t>
      </w:r>
      <w:r>
        <w:rPr/>
        <w:t>万元，三年累计实现净利润大 于三年累计承诺利润，未触发业绩补偿承诺。</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四、控股股东及其关联方对上市公司的非经营性占用资金情况" w:id="71"/>
      <w:bookmarkEnd w:id="71"/>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2"/>
      <w:bookmarkEnd w:id="72"/>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与上年度财务报告相比，会计政策、会计估计和核算方法发生变化的情况说明" w:id="73"/>
      <w:bookmarkEnd w:id="73"/>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为规范公司财务报表列报，提高会计信息质量，公司于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日召开了第九届董事会第三十次会议，审议通过了</w:t>
      </w:r>
    </w:p>
    <w:p>
      <w:pPr>
        <w:pStyle w:val="BodyText"/>
        <w:spacing w:line="230" w:lineRule="exact"/>
        <w:ind w:right="0"/>
        <w:jc w:val="left"/>
        <w:rPr>
          <w:rFonts w:ascii="Times New Roman" w:hAnsi="Times New Roman" w:cs="Times New Roman" w:eastAsia="Times New Roman" w:hint="default"/>
        </w:rPr>
      </w:pPr>
      <w:r>
        <w:rPr>
          <w:spacing w:val="-4"/>
        </w:rPr>
        <w:t>《关于会计政策变更的议案》，根据《企业会计准则第</w:t>
      </w:r>
      <w:r>
        <w:rPr>
          <w:rFonts w:ascii="Times New Roman" w:hAnsi="Times New Roman" w:cs="Times New Roman" w:eastAsia="Times New Roman" w:hint="default"/>
          <w:spacing w:val="-4"/>
        </w:rPr>
        <w:t>42</w:t>
      </w:r>
      <w:r>
        <w:rPr>
          <w:spacing w:val="-4"/>
        </w:rPr>
        <w:t>号</w:t>
      </w:r>
      <w:r>
        <w:rPr>
          <w:rFonts w:ascii="Times New Roman" w:hAnsi="Times New Roman" w:cs="Times New Roman" w:eastAsia="Times New Roman" w:hint="default"/>
          <w:spacing w:val="-4"/>
        </w:rPr>
        <w:t>——</w:t>
      </w:r>
      <w:r>
        <w:rPr>
          <w:spacing w:val="-4"/>
        </w:rPr>
        <w:t>持有待售的非流动资产、处置组和终止经营》（财会</w:t>
      </w:r>
      <w:r>
        <w:rPr>
          <w:rFonts w:ascii="Times New Roman" w:hAnsi="Times New Roman" w:cs="Times New Roman" w:eastAsia="Times New Roman" w:hint="default"/>
          <w:spacing w:val="-4"/>
        </w:rPr>
        <w:t>[2017]13</w:t>
      </w:r>
    </w:p>
    <w:p>
      <w:pPr>
        <w:pStyle w:val="BodyText"/>
        <w:spacing w:line="240" w:lineRule="auto" w:before="63"/>
        <w:ind w:right="0"/>
        <w:jc w:val="left"/>
      </w:pPr>
      <w:r>
        <w:rPr/>
        <w:t>号）、《企业会计准则第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政府补助》（财会</w:t>
      </w:r>
      <w:r>
        <w:rPr>
          <w:rFonts w:ascii="Times New Roman" w:hAnsi="Times New Roman" w:cs="Times New Roman" w:eastAsia="Times New Roman" w:hint="default"/>
        </w:rPr>
        <w:t>[2017]15</w:t>
      </w:r>
      <w:r>
        <w:rPr/>
        <w:t>号）及《关于修订印发一般企业财务报表格式的通知》（财会</w:t>
      </w:r>
    </w:p>
    <w:p>
      <w:pPr>
        <w:pStyle w:val="BodyText"/>
        <w:spacing w:line="240" w:lineRule="auto" w:before="63"/>
        <w:ind w:right="0"/>
        <w:jc w:val="left"/>
      </w:pPr>
      <w:r>
        <w:rPr>
          <w:rFonts w:ascii="Times New Roman" w:hAnsi="Times New Roman" w:cs="Times New Roman" w:eastAsia="Times New Roman" w:hint="default"/>
        </w:rPr>
        <w:t>[2017]30</w:t>
      </w:r>
      <w:r>
        <w:rPr/>
        <w:t>号）的相关规定，公司对相关政策进行变更。上述会计政策的变更对公司净利润没有影响。</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七、报告期内发生重大会计差错更正需追溯重述的情况说明" w:id="74"/>
      <w:bookmarkEnd w:id="74"/>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154" w:right="0"/>
        <w:jc w:val="both"/>
        <w:rPr>
          <w:b w:val="0"/>
          <w:bCs w:val="0"/>
        </w:rPr>
      </w:pPr>
      <w:bookmarkStart w:name="八、与上年度财务报告相比，合并报表范围发生变化的情况说明" w:id="75"/>
      <w:bookmarkEnd w:id="75"/>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1243"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本公司</w:t>
      </w:r>
      <w:r>
        <w:rPr>
          <w:rFonts w:ascii="Times New Roman" w:hAnsi="Times New Roman" w:cs="Times New Roman" w:eastAsia="Times New Roman" w:hint="default"/>
        </w:rPr>
        <w:t>2017</w:t>
      </w:r>
      <w:r>
        <w:rPr/>
        <w:t>年度纳入合并范围的子公司共</w:t>
      </w:r>
      <w:r>
        <w:rPr>
          <w:rFonts w:ascii="Times New Roman" w:hAnsi="Times New Roman" w:cs="Times New Roman" w:eastAsia="Times New Roman" w:hint="default"/>
        </w:rPr>
        <w:t>18</w:t>
      </w:r>
      <w:r>
        <w:rPr/>
        <w:t>家，与上年度相比，本公司本年度合并范围增加</w:t>
      </w:r>
      <w:r>
        <w:rPr>
          <w:rFonts w:ascii="Times New Roman" w:hAnsi="Times New Roman" w:cs="Times New Roman" w:eastAsia="Times New Roman" w:hint="default"/>
        </w:rPr>
        <w:t>3</w:t>
      </w:r>
      <w:r>
        <w:rPr/>
        <w:t>家</w:t>
      </w:r>
      <w:r>
        <w:rPr>
          <w:rFonts w:ascii="Times New Roman" w:hAnsi="Times New Roman" w:cs="Times New Roman" w:eastAsia="Times New Roman" w:hint="default"/>
        </w:rPr>
        <w:t>(</w:t>
      </w:r>
      <w:r>
        <w:rPr/>
        <w:t>其中新增</w:t>
      </w:r>
      <w:r>
        <w:rPr>
          <w:rFonts w:ascii="Times New Roman" w:hAnsi="Times New Roman" w:cs="Times New Roman" w:eastAsia="Times New Roman" w:hint="default"/>
        </w:rPr>
        <w:t>7</w:t>
      </w:r>
      <w:r>
        <w:rPr/>
        <w:t>家，处置</w:t>
      </w:r>
      <w:r>
        <w:rPr>
          <w:rFonts w:ascii="Times New Roman" w:hAnsi="Times New Roman" w:cs="Times New Roman" w:eastAsia="Times New Roman" w:hint="default"/>
        </w:rPr>
        <w:t>3</w:t>
      </w:r>
    </w:p>
    <w:p>
      <w:pPr>
        <w:pStyle w:val="BodyText"/>
        <w:spacing w:line="230" w:lineRule="exact"/>
        <w:ind w:right="0"/>
        <w:jc w:val="both"/>
      </w:pPr>
      <w:r>
        <w:rPr/>
        <w:t>家，注销</w:t>
      </w:r>
      <w:r>
        <w:rPr>
          <w:rFonts w:ascii="Times New Roman" w:hAnsi="Times New Roman" w:cs="Times New Roman" w:eastAsia="Times New Roman" w:hint="default"/>
        </w:rPr>
        <w:t>1</w:t>
      </w:r>
      <w:r>
        <w:rPr/>
        <w:t>家</w:t>
      </w:r>
      <w:r>
        <w:rPr>
          <w:rFonts w:ascii="Times New Roman" w:hAnsi="Times New Roman" w:cs="Times New Roman" w:eastAsia="Times New Roman" w:hint="default"/>
        </w:rPr>
        <w:t>)</w:t>
      </w:r>
      <w:r>
        <w:rPr/>
        <w:t>，具体如下：①本公司之全资子公司杭州视赚收购了北京赛鸽天地广告有限公司和北京三吉嘉喜传媒科技有限</w:t>
      </w:r>
    </w:p>
    <w:p>
      <w:pPr>
        <w:pStyle w:val="BodyText"/>
        <w:spacing w:line="314" w:lineRule="auto" w:before="63"/>
        <w:ind w:right="1131"/>
        <w:jc w:val="both"/>
      </w:pPr>
      <w:r>
        <w:rPr/>
        <w:t>公司</w:t>
      </w:r>
      <w:r>
        <w:rPr>
          <w:rFonts w:ascii="Times New Roman" w:hAnsi="Times New Roman" w:cs="Times New Roman" w:eastAsia="Times New Roman" w:hint="default"/>
        </w:rPr>
        <w:t>100%</w:t>
      </w:r>
      <w:r>
        <w:rPr/>
        <w:t>股权，上述两家公司纳入合并范围；②本公司之全资子公司青岛大通资本有限公司单独出资设立青岛大通佳合资 </w:t>
      </w:r>
      <w:r>
        <w:rPr>
          <w:spacing w:val="-2"/>
        </w:rPr>
        <w:t>产管理有限公司，纳入合并范围；③本公司单独出资设立深圳大通信息科技有限公司，纳入合并范围；④本公司单独出资设</w:t>
      </w:r>
      <w:r>
        <w:rPr>
          <w:spacing w:val="-66"/>
        </w:rPr>
        <w:t> </w:t>
      </w:r>
      <w:r>
        <w:rPr>
          <w:spacing w:val="-66"/>
        </w:rPr>
      </w:r>
      <w:r>
        <w:rPr>
          <w:spacing w:val="-2"/>
        </w:rPr>
        <w:t>立深圳大通致远供应链管理有限公司，纳入合并范围；⑤本公司之全资子公司冉十科技单独出资设立霍尔果斯聚交信息科技</w:t>
      </w:r>
      <w:r>
        <w:rPr>
          <w:spacing w:val="-64"/>
        </w:rPr>
        <w:t> </w:t>
      </w:r>
      <w:r>
        <w:rPr>
          <w:spacing w:val="-64"/>
        </w:rPr>
      </w:r>
      <w:r>
        <w:rPr>
          <w:spacing w:val="-2"/>
        </w:rPr>
        <w:t>有限公司，纳入合并范围；⑥本公司之全资子公司杭州视赚和北京赛鸽天地共同出资设立浙江视赚赛鸽科技有限公司，纳入</w:t>
      </w:r>
      <w:r>
        <w:rPr>
          <w:spacing w:val="-66"/>
        </w:rPr>
        <w:t> </w:t>
      </w:r>
      <w:r>
        <w:rPr>
          <w:spacing w:val="-66"/>
        </w:rPr>
      </w:r>
      <w:r>
        <w:rPr>
          <w:spacing w:val="-2"/>
        </w:rPr>
        <w:t>合并范围；⑦公司剥离房地产业务，济宁海情置业有限公司、青岛广顺房地产有限公司和泗水海情置业有限公司不再纳入合</w:t>
      </w:r>
      <w:r>
        <w:rPr>
          <w:spacing w:val="-66"/>
        </w:rPr>
        <w:t> </w:t>
      </w:r>
      <w:r>
        <w:rPr>
          <w:spacing w:val="-66"/>
        </w:rPr>
      </w:r>
      <w:r>
        <w:rPr/>
        <w:t>并范围；⑧本公司之全资子公司冉十科技的全资子公司美国冉十科技于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日办妥注销手续，不再纳入合并范围。</w:t>
      </w:r>
    </w:p>
    <w:p>
      <w:pPr>
        <w:spacing w:line="240" w:lineRule="auto" w:before="5"/>
        <w:rPr>
          <w:rFonts w:ascii="宋体" w:hAnsi="宋体" w:cs="宋体" w:eastAsia="宋体" w:hint="default"/>
          <w:sz w:val="19"/>
          <w:szCs w:val="19"/>
        </w:rPr>
      </w:pPr>
    </w:p>
    <w:p>
      <w:pPr>
        <w:pStyle w:val="Heading2"/>
        <w:spacing w:line="240" w:lineRule="auto"/>
        <w:ind w:right="0"/>
        <w:jc w:val="both"/>
        <w:rPr>
          <w:b w:val="0"/>
          <w:bCs w:val="0"/>
        </w:rPr>
      </w:pPr>
      <w:bookmarkStart w:name="九、聘任、解聘会计师事务所情况" w:id="76"/>
      <w:bookmarkEnd w:id="76"/>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86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王甫荣、章归鸿</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0"/>
        <w:jc w:val="left"/>
      </w:pPr>
      <w:r>
        <w:rPr/>
        <w:t>当期是否改聘会计师事务所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19"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公司聘任中汇会计师事务所</w:t>
      </w:r>
      <w:r>
        <w:rPr>
          <w:rFonts w:ascii="Times New Roman" w:hAnsi="Times New Roman" w:cs="Times New Roman" w:eastAsia="Times New Roman" w:hint="default"/>
          <w:spacing w:val="-1"/>
        </w:rPr>
        <w:t>(</w:t>
      </w:r>
      <w:r>
        <w:rPr>
          <w:spacing w:val="-1"/>
        </w:rPr>
        <w:t>特殊普通合伙</w:t>
      </w:r>
      <w:r>
        <w:rPr>
          <w:rFonts w:ascii="Times New Roman" w:hAnsi="Times New Roman" w:cs="Times New Roman" w:eastAsia="Times New Roman" w:hint="default"/>
          <w:spacing w:val="-1"/>
        </w:rPr>
        <w:t>)</w:t>
      </w:r>
      <w:r>
        <w:rPr>
          <w:spacing w:val="-1"/>
        </w:rPr>
        <w:t>为公司</w:t>
      </w:r>
      <w:r>
        <w:rPr>
          <w:rFonts w:ascii="Times New Roman" w:hAnsi="Times New Roman" w:cs="Times New Roman" w:eastAsia="Times New Roman" w:hint="default"/>
          <w:spacing w:val="-1"/>
        </w:rPr>
        <w:t>2017</w:t>
      </w:r>
      <w:r>
        <w:rPr>
          <w:spacing w:val="-1"/>
        </w:rPr>
        <w:t>年内控审计会计师事务所。公司因在</w:t>
      </w:r>
      <w:r>
        <w:rPr>
          <w:rFonts w:ascii="Times New Roman" w:hAnsi="Times New Roman" w:cs="Times New Roman" w:eastAsia="Times New Roman" w:hint="default"/>
          <w:spacing w:val="-1"/>
        </w:rPr>
        <w:t>2015</w:t>
      </w:r>
      <w:r>
        <w:rPr>
          <w:spacing w:val="-1"/>
        </w:rPr>
        <w:t>年进行了重大资产重组，聘</w:t>
      </w:r>
      <w:r>
        <w:rPr>
          <w:spacing w:val="-53"/>
        </w:rPr>
        <w:t> </w:t>
      </w:r>
      <w:r>
        <w:rPr>
          <w:spacing w:val="-53"/>
        </w:rPr>
      </w:r>
      <w:r>
        <w:rPr/>
        <w:t>请广州证券股份有限公司为公司财务顾问，</w:t>
      </w:r>
      <w:r>
        <w:rPr>
          <w:rFonts w:ascii="Times New Roman" w:hAnsi="Times New Roman" w:cs="Times New Roman" w:eastAsia="Times New Roman" w:hint="default"/>
        </w:rPr>
        <w:t>2017</w:t>
      </w:r>
      <w:r>
        <w:rPr/>
        <w:t>年属于持续督导期。</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bookmarkStart w:name="十、年度报告披露后面临暂停上市和终止上市情况" w:id="77"/>
      <w:bookmarkEnd w:id="77"/>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一、破产重整相关事项" w:id="78"/>
      <w:bookmarkEnd w:id="78"/>
      <w:r>
        <w:rPr>
          <w:b w:val="0"/>
          <w:bCs w:val="0"/>
        </w:rPr>
      </w:r>
      <w:r>
        <w:rPr/>
        <w:t>十一、破产重整相关事项</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二、重大诉讼、仲裁事项" w:id="79"/>
      <w:bookmarkEnd w:id="79"/>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80"/>
      <w:bookmarkEnd w:id="80"/>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81"/>
      <w:bookmarkEnd w:id="81"/>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报告期内公司及实际控制人诚信状况良好，不存在未履行法院生效判决、较大到期未清偿债务等情况。</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十五、公司股权激励计划、员工持股计划或其他员工激励措施的实施情况" w:id="82"/>
      <w:bookmarkEnd w:id="82"/>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1129"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3"/>
        </w:rPr>
        <w:t>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29</w:t>
      </w:r>
      <w:r>
        <w:rPr>
          <w:spacing w:val="-3"/>
        </w:rPr>
        <w:t>日召开第九届董事会第十九次会议、</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16</w:t>
      </w:r>
      <w:r>
        <w:rPr>
          <w:spacing w:val="-3"/>
        </w:rPr>
        <w:t>日召开</w:t>
      </w:r>
      <w:r>
        <w:rPr>
          <w:rFonts w:ascii="Times New Roman" w:hAnsi="Times New Roman" w:cs="Times New Roman" w:eastAsia="Times New Roman" w:hint="default"/>
          <w:spacing w:val="-3"/>
        </w:rPr>
        <w:t>2017</w:t>
      </w:r>
      <w:r>
        <w:rPr>
          <w:spacing w:val="-3"/>
        </w:rPr>
        <w:t>年第五次临时股东大会审议通过了《关</w:t>
      </w:r>
    </w:p>
    <w:p>
      <w:pPr>
        <w:pStyle w:val="BodyText"/>
        <w:spacing w:line="217" w:lineRule="exact"/>
        <w:ind w:right="0"/>
        <w:jc w:val="left"/>
      </w:pPr>
      <w:r>
        <w:rPr/>
        <w:t>于员工持股计划（草案）及摘要的议案》及相关议案。本期员工持股计划设立后委托信托公司成立集合资金信托计划予以实</w:t>
      </w:r>
    </w:p>
    <w:p>
      <w:pPr>
        <w:pStyle w:val="BodyText"/>
        <w:spacing w:line="300" w:lineRule="auto" w:before="76"/>
        <w:ind w:right="1033"/>
        <w:jc w:val="left"/>
      </w:pPr>
      <w:r>
        <w:rPr/>
        <w:t>施。集合资金信托计划份额规模为</w:t>
      </w:r>
      <w:r>
        <w:rPr>
          <w:rFonts w:ascii="Times New Roman" w:hAnsi="Times New Roman" w:cs="Times New Roman" w:eastAsia="Times New Roman" w:hint="default"/>
        </w:rPr>
        <w:t>12,500</w:t>
      </w:r>
      <w:r>
        <w:rPr/>
        <w:t>万份，每份</w:t>
      </w:r>
      <w:r>
        <w:rPr>
          <w:rFonts w:ascii="Times New Roman" w:hAnsi="Times New Roman" w:cs="Times New Roman" w:eastAsia="Times New Roman" w:hint="default"/>
        </w:rPr>
        <w:t>1</w:t>
      </w:r>
      <w:r>
        <w:rPr/>
        <w:t>元，按照</w:t>
      </w:r>
      <w:r>
        <w:rPr>
          <w:rFonts w:ascii="Times New Roman" w:hAnsi="Times New Roman" w:cs="Times New Roman" w:eastAsia="Times New Roman" w:hint="default"/>
        </w:rPr>
        <w:t>1.5:1</w:t>
      </w:r>
      <w:r>
        <w:rPr/>
        <w:t>设立优先级份额和劣后级份额，本期员工持股计划筹集 资金全额认购集合资金信托计划的劣后级份额。截止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日，员工持股计划已完成设立，但尚未买入深大通股票。</w:t>
      </w:r>
    </w:p>
    <w:p>
      <w:pPr>
        <w:pStyle w:val="BodyText"/>
        <w:spacing w:line="240" w:lineRule="auto" w:before="13"/>
        <w:ind w:left="516"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日公司在巨潮资讯网披露的《第一期员工持股计划》；</w:t>
      </w:r>
    </w:p>
    <w:p>
      <w:pPr>
        <w:pStyle w:val="BodyText"/>
        <w:spacing w:line="240" w:lineRule="auto" w:before="63"/>
        <w:ind w:left="516"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日公司在巨潮资讯网披露的《关于员工持股计划进展的公告》（</w:t>
      </w:r>
      <w:r>
        <w:rPr>
          <w:rFonts w:ascii="Times New Roman" w:hAnsi="Times New Roman" w:cs="Times New Roman" w:eastAsia="Times New Roman" w:hint="default"/>
        </w:rPr>
        <w:t>2017-153</w:t>
      </w:r>
      <w:r>
        <w:rPr/>
        <w:t>）；</w:t>
      </w:r>
    </w:p>
    <w:p>
      <w:pPr>
        <w:pStyle w:val="BodyText"/>
        <w:spacing w:line="240" w:lineRule="auto" w:before="63"/>
        <w:ind w:left="516"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日公司在巨潮资讯网披露的《关于员工持股计划进展的公告》（</w:t>
      </w:r>
      <w:r>
        <w:rPr>
          <w:rFonts w:ascii="Times New Roman" w:hAnsi="Times New Roman" w:cs="Times New Roman" w:eastAsia="Times New Roman" w:hint="default"/>
        </w:rPr>
        <w:t>2017-155</w:t>
      </w:r>
      <w:r>
        <w:rPr/>
        <w:t>）。</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六、重大关联交易" w:id="83"/>
      <w:bookmarkEnd w:id="83"/>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4"/>
      <w:bookmarkEnd w:id="84"/>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5"/>
      <w:bookmarkEnd w:id="85"/>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6"/>
        <w:gridCol w:w="805"/>
        <w:gridCol w:w="796"/>
        <w:gridCol w:w="800"/>
        <w:gridCol w:w="796"/>
        <w:gridCol w:w="798"/>
        <w:gridCol w:w="700"/>
        <w:gridCol w:w="709"/>
        <w:gridCol w:w="850"/>
        <w:gridCol w:w="924"/>
      </w:tblGrid>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5"/>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7" w:right="36"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2" w:right="3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3"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1" w:firstLine="9"/>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8"/>
                <w:sz w:val="18"/>
                <w:szCs w:val="18"/>
              </w:rPr>
              <w:t>值（万元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4" w:right="75"/>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9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45"/>
              <w:jc w:val="both"/>
              <w:rPr>
                <w:rFonts w:ascii="宋体" w:hAnsi="宋体" w:cs="宋体" w:eastAsia="宋体" w:hint="default"/>
                <w:sz w:val="18"/>
                <w:szCs w:val="18"/>
              </w:rPr>
            </w:pPr>
            <w:r>
              <w:rPr>
                <w:rFonts w:ascii="宋体" w:hAnsi="宋体" w:cs="宋体" w:eastAsia="宋体" w:hint="default"/>
                <w:sz w:val="18"/>
                <w:szCs w:val="18"/>
              </w:rPr>
              <w:t>青岛亚星 实业有限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控股股东</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出售股权</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深大通出 售持有的 青岛广顺 房地产有</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按照经评 估且不低 于审计后 净资产的</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14,501.04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17,374.4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17,374.6</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2,169.27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91"/>
              <w:ind w:left="22" w:right="29"/>
              <w:jc w:val="both"/>
              <w:rPr>
                <w:rFonts w:ascii="宋体" w:hAnsi="宋体" w:cs="宋体" w:eastAsia="宋体" w:hint="default"/>
                <w:sz w:val="18"/>
                <w:szCs w:val="18"/>
              </w:rPr>
            </w:pPr>
            <w:hyperlink r:id="rId12">
              <w:r>
                <w:rPr>
                  <w:rFonts w:ascii="Times New Roman" w:hAnsi="Times New Roman" w:cs="Times New Roman" w:eastAsia="Times New Roman" w:hint="default"/>
                  <w:sz w:val="18"/>
                  <w:szCs w:val="18"/>
                </w:rPr>
                <w:t>http://www.</w:t>
              </w:r>
            </w:hyperlink>
            <w:r>
              <w:rPr>
                <w:rFonts w:ascii="Times New Roman" w:hAnsi="Times New Roman" w:cs="Times New Roman" w:eastAsia="Times New Roman" w:hint="default"/>
                <w:sz w:val="18"/>
                <w:szCs w:val="18"/>
              </w:rPr>
              <w:t> cninfo.com. cn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巨潮资</w:t>
            </w:r>
          </w:p>
          <w:p>
            <w:pPr>
              <w:pStyle w:val="TableParagraph"/>
              <w:spacing w:line="217" w:lineRule="exact"/>
              <w:ind w:left="22" w:right="0"/>
              <w:jc w:val="both"/>
              <w:rPr>
                <w:rFonts w:ascii="宋体" w:hAnsi="宋体" w:cs="宋体" w:eastAsia="宋体" w:hint="default"/>
                <w:sz w:val="18"/>
                <w:szCs w:val="18"/>
              </w:rPr>
            </w:pPr>
            <w:r>
              <w:rPr>
                <w:rFonts w:ascii="宋体" w:hAnsi="宋体" w:cs="宋体" w:eastAsia="宋体" w:hint="default"/>
                <w:sz w:val="18"/>
                <w:szCs w:val="18"/>
              </w:rPr>
              <w:t>讯网</w:t>
            </w:r>
          </w:p>
        </w:tc>
      </w:tr>
    </w:tbl>
    <w:p>
      <w:pPr>
        <w:spacing w:after="0" w:line="217" w:lineRule="exact"/>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6"/>
        <w:gridCol w:w="805"/>
        <w:gridCol w:w="796"/>
        <w:gridCol w:w="800"/>
        <w:gridCol w:w="796"/>
        <w:gridCol w:w="798"/>
        <w:gridCol w:w="700"/>
        <w:gridCol w:w="709"/>
        <w:gridCol w:w="850"/>
        <w:gridCol w:w="924"/>
      </w:tblGrid>
      <w:tr>
        <w:trPr>
          <w:trHeight w:val="1923"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限公司 </w:t>
            </w:r>
            <w:r>
              <w:rPr>
                <w:rFonts w:ascii="Times New Roman" w:hAnsi="Times New Roman" w:cs="Times New Roman" w:eastAsia="Times New Roman" w:hint="default"/>
                <w:sz w:val="18"/>
                <w:szCs w:val="18"/>
              </w:rPr>
              <w:t>83%</w:t>
            </w:r>
            <w:r>
              <w:rPr>
                <w:rFonts w:ascii="宋体" w:hAnsi="宋体" w:cs="宋体" w:eastAsia="宋体" w:hint="default"/>
                <w:sz w:val="18"/>
                <w:szCs w:val="18"/>
              </w:rPr>
              <w:t>股权 及济宁海 情置业有 限公司 </w:t>
            </w:r>
            <w:r>
              <w:rPr>
                <w:rFonts w:ascii="Times New Roman" w:hAnsi="Times New Roman" w:cs="Times New Roman" w:eastAsia="Times New Roman" w:hint="default"/>
                <w:sz w:val="18"/>
                <w:szCs w:val="18"/>
              </w:rPr>
              <w:t>90%</w:t>
            </w:r>
            <w:r>
              <w:rPr>
                <w:rFonts w:ascii="宋体" w:hAnsi="宋体" w:cs="宋体" w:eastAsia="宋体" w:hint="default"/>
                <w:sz w:val="18"/>
                <w:szCs w:val="18"/>
              </w:rPr>
              <w:t>股权</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价格基础 为依据确 定转让价 格</w:t>
            </w:r>
          </w:p>
        </w:tc>
        <w:tc>
          <w:tcPr>
            <w:tcW w:w="80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2017-090</w:t>
            </w:r>
          </w:p>
        </w:tc>
      </w:tr>
      <w:tr>
        <w:trPr>
          <w:trHeight w:val="714"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50"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3"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8"/>
              <w:jc w:val="both"/>
              <w:rPr>
                <w:rFonts w:ascii="宋体" w:hAnsi="宋体" w:cs="宋体" w:eastAsia="宋体" w:hint="default"/>
                <w:sz w:val="18"/>
                <w:szCs w:val="18"/>
              </w:rPr>
            </w:pPr>
            <w:r>
              <w:rPr>
                <w:rFonts w:ascii="宋体" w:hAnsi="宋体" w:cs="宋体" w:eastAsia="宋体" w:hint="default"/>
                <w:sz w:val="18"/>
                <w:szCs w:val="18"/>
              </w:rPr>
              <w:t>公司房地产业务剥离完成后，短期内将减少公司营业务收入和规模，但是对公司 净利润的影响较小；长期来看，因目前公司的土地储备不足，随着现有房地产项 目的清盘，对上市公司整体收入、净利润及现金流量均无重大影响。本次剥离地 产业务符合公司战略发展，有利于公司利用现有资源拓展公司主营业务规模，进 一步提升公司整体盈利能力。</w:t>
            </w:r>
          </w:p>
        </w:tc>
      </w:tr>
      <w:tr>
        <w:trPr>
          <w:trHeight w:val="714"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共同对外投资的关联交易" w:id="86"/>
      <w:bookmarkEnd w:id="86"/>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7"/>
      <w:bookmarkEnd w:id="87"/>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5、其他重大关联交易" w:id="88"/>
      <w:bookmarkEnd w:id="88"/>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9"/>
      <w:bookmarkEnd w:id="89"/>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90"/>
      <w:bookmarkEnd w:id="90"/>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91"/>
      <w:bookmarkEnd w:id="91"/>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2）承包情况" w:id="92"/>
      <w:bookmarkEnd w:id="92"/>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公司报告期不存在承包情况。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租赁情况" w:id="93"/>
      <w:bookmarkEnd w:id="93"/>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重大担保" w:id="94"/>
      <w:bookmarkEnd w:id="94"/>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担保情况" w:id="95"/>
      <w:bookmarkEnd w:id="95"/>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13"/>
        <w:gridCol w:w="920"/>
        <w:gridCol w:w="921"/>
        <w:gridCol w:w="1302"/>
        <w:gridCol w:w="1057"/>
        <w:gridCol w:w="1041"/>
        <w:gridCol w:w="1052"/>
        <w:gridCol w:w="786"/>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9" w:lineRule="auto" w:before="51"/>
              <w:ind w:left="95"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1"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0"/>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9"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苏州金控大通投资合 伙企业（有限合伙）</w:t>
            </w:r>
          </w:p>
        </w:tc>
        <w:tc>
          <w:tcPr>
            <w:tcW w:w="920"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37,650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37,650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杭州通贺投资合伙企 业（有限合伙）</w:t>
            </w:r>
          </w:p>
        </w:tc>
        <w:tc>
          <w:tcPr>
            <w:tcW w:w="920"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110,100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55,050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147,750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92,700</w:t>
            </w:r>
          </w:p>
        </w:tc>
      </w:tr>
      <w:tr>
        <w:trPr>
          <w:trHeight w:val="719"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211,368.5</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156,318.5</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2"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1" w:type="dxa"/>
            <w:vMerge w:val="restart"/>
            <w:tcBorders>
              <w:top w:val="single" w:sz="4" w:space="0" w:color="000000"/>
              <w:left w:val="single" w:sz="4" w:space="0" w:color="000000"/>
              <w:right w:val="single" w:sz="4" w:space="0" w:color="000000"/>
            </w:tcBorders>
            <w:shd w:val="clear" w:color="auto" w:fill="D2D2D2"/>
          </w:tcPr>
          <w:p>
            <w:pPr/>
          </w:p>
        </w:tc>
        <w:tc>
          <w:tcPr>
            <w:tcW w:w="1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vMerge w:val="restart"/>
            <w:tcBorders>
              <w:top w:val="single" w:sz="4" w:space="0" w:color="000000"/>
              <w:left w:val="single" w:sz="4" w:space="0" w:color="000000"/>
              <w:right w:val="single" w:sz="4" w:space="0" w:color="000000"/>
            </w:tcBorders>
            <w:shd w:val="clear" w:color="auto" w:fill="D2D2D2"/>
          </w:tcPr>
          <w:p>
            <w:pPr/>
          </w:p>
        </w:tc>
        <w:tc>
          <w:tcPr>
            <w:tcW w:w="1052"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1" w:type="dxa"/>
            <w:vMerge/>
            <w:tcBorders>
              <w:left w:val="single" w:sz="4" w:space="0" w:color="000000"/>
              <w:bottom w:val="nil" w:sz="6" w:space="0" w:color="auto"/>
              <w:right w:val="single" w:sz="4" w:space="0" w:color="000000"/>
            </w:tcBorders>
            <w:shd w:val="clear" w:color="auto" w:fill="D2D2D2"/>
          </w:tcPr>
          <w:p>
            <w:pPr/>
          </w:p>
        </w:tc>
        <w:tc>
          <w:tcPr>
            <w:tcW w:w="13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6"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2D2D2"/>
          </w:tcPr>
          <w:p>
            <w:pPr/>
          </w:p>
        </w:tc>
        <w:tc>
          <w:tcPr>
            <w:tcW w:w="9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vMerge/>
            <w:tcBorders>
              <w:left w:val="single" w:sz="4"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1" w:type="dxa"/>
            <w:vMerge w:val="restart"/>
            <w:tcBorders>
              <w:top w:val="nil" w:sz="6" w:space="0" w:color="auto"/>
              <w:left w:val="single" w:sz="4" w:space="0" w:color="000000"/>
              <w:right w:val="single" w:sz="4" w:space="0" w:color="000000"/>
            </w:tcBorders>
            <w:shd w:val="clear" w:color="auto" w:fill="D2D2D2"/>
          </w:tcPr>
          <w:p>
            <w:pPr/>
          </w:p>
        </w:tc>
        <w:tc>
          <w:tcPr>
            <w:tcW w:w="1302"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1041" w:type="dxa"/>
            <w:vMerge w:val="restart"/>
            <w:tcBorders>
              <w:top w:val="nil" w:sz="6" w:space="0" w:color="auto"/>
              <w:left w:val="single" w:sz="4" w:space="0" w:color="000000"/>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深圳大通致远供应链 管理有限公司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r>
      <w:tr>
        <w:trPr>
          <w:trHeight w:val="719"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r>
      <w:tr>
        <w:trPr>
          <w:trHeight w:val="39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8"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1" w:type="dxa"/>
            <w:vMerge w:val="restart"/>
            <w:tcBorders>
              <w:top w:val="single" w:sz="4" w:space="0" w:color="000000"/>
              <w:left w:val="single" w:sz="4" w:space="0" w:color="000000"/>
              <w:right w:val="single" w:sz="4" w:space="0" w:color="000000"/>
            </w:tcBorders>
            <w:shd w:val="clear" w:color="auto" w:fill="D2D2D2"/>
          </w:tcPr>
          <w:p>
            <w:pPr/>
          </w:p>
        </w:tc>
        <w:tc>
          <w:tcPr>
            <w:tcW w:w="1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vMerge w:val="restart"/>
            <w:tcBorders>
              <w:top w:val="single" w:sz="4" w:space="0" w:color="000000"/>
              <w:left w:val="single" w:sz="4" w:space="0" w:color="000000"/>
              <w:right w:val="single" w:sz="4" w:space="0" w:color="000000"/>
            </w:tcBorders>
            <w:shd w:val="clear" w:color="auto" w:fill="D2D2D2"/>
          </w:tcPr>
          <w:p>
            <w:pPr/>
          </w:p>
        </w:tc>
        <w:tc>
          <w:tcPr>
            <w:tcW w:w="1052"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1" w:type="dxa"/>
            <w:vMerge/>
            <w:tcBorders>
              <w:left w:val="single" w:sz="4" w:space="0" w:color="000000"/>
              <w:bottom w:val="nil" w:sz="6" w:space="0" w:color="auto"/>
              <w:right w:val="single" w:sz="4" w:space="0" w:color="000000"/>
            </w:tcBorders>
            <w:shd w:val="clear" w:color="auto" w:fill="D2D2D2"/>
          </w:tcPr>
          <w:p>
            <w:pPr/>
          </w:p>
        </w:tc>
        <w:tc>
          <w:tcPr>
            <w:tcW w:w="13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6" w:right="8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1"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2D2D2"/>
          </w:tcPr>
          <w:p>
            <w:pPr/>
          </w:p>
        </w:tc>
        <w:tc>
          <w:tcPr>
            <w:tcW w:w="9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vMerge/>
            <w:tcBorders>
              <w:left w:val="single" w:sz="4"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1" w:type="dxa"/>
            <w:vMerge w:val="restart"/>
            <w:tcBorders>
              <w:top w:val="nil" w:sz="6" w:space="0" w:color="auto"/>
              <w:left w:val="single" w:sz="4" w:space="0" w:color="000000"/>
              <w:right w:val="single" w:sz="4" w:space="0" w:color="000000"/>
            </w:tcBorders>
            <w:shd w:val="clear" w:color="auto" w:fill="D2D2D2"/>
          </w:tcPr>
          <w:p>
            <w:pPr/>
          </w:p>
        </w:tc>
        <w:tc>
          <w:tcPr>
            <w:tcW w:w="1302"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1041" w:type="dxa"/>
            <w:vMerge w:val="restart"/>
            <w:tcBorders>
              <w:top w:val="nil" w:sz="6" w:space="0" w:color="auto"/>
              <w:left w:val="single" w:sz="4" w:space="0" w:color="000000"/>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609"/>
        <w:gridCol w:w="2235"/>
        <w:gridCol w:w="2086"/>
        <w:gridCol w:w="2633"/>
      </w:tblGrid>
      <w:tr>
        <w:trPr>
          <w:trHeight w:val="397"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2"/>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187,750</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3"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132,700</w:t>
            </w:r>
          </w:p>
        </w:tc>
      </w:tr>
      <w:tr>
        <w:trPr>
          <w:trHeight w:val="71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251,368.5</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196,318.5</w:t>
            </w:r>
          </w:p>
        </w:tc>
      </w:tr>
      <w:tr>
        <w:trPr>
          <w:trHeight w:val="407"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36.41%</w:t>
            </w:r>
            <w:r>
              <w:rPr>
                <w:rFonts w:ascii="Times New Roman"/>
                <w:sz w:val="18"/>
              </w:rPr>
            </w:r>
          </w:p>
        </w:tc>
      </w:tr>
      <w:tr>
        <w:trPr>
          <w:trHeight w:val="392"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92,700</w:t>
            </w:r>
          </w:p>
        </w:tc>
      </w:tr>
      <w:tr>
        <w:trPr>
          <w:trHeight w:val="714"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92,700</w:t>
            </w:r>
          </w:p>
        </w:tc>
      </w:tr>
      <w:tr>
        <w:trPr>
          <w:trHeight w:val="714"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违规对外担保情况" w:id="96"/>
      <w:bookmarkEnd w:id="96"/>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7"/>
      <w:bookmarkEnd w:id="97"/>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8"/>
      <w:bookmarkEnd w:id="98"/>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59"/>
        <w:gridCol w:w="1981"/>
        <w:gridCol w:w="1910"/>
        <w:gridCol w:w="1850"/>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4"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150,605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37,400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24,100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174,705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37,400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54" w:right="0"/>
        <w:jc w:val="left"/>
      </w:pPr>
      <w:r>
        <w:rPr/>
        <w:t>单项金额重大或安全性较低、流动性较差、不保本的高风险委托理财具体情况</w:t>
      </w:r>
    </w:p>
    <w:p>
      <w:pPr>
        <w:pStyle w:val="BodyText"/>
        <w:spacing w:line="340" w:lineRule="auto" w:before="116"/>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委托贷款情况" w:id="99"/>
      <w:bookmarkEnd w:id="99"/>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100"/>
      <w:bookmarkEnd w:id="100"/>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101"/>
      <w:bookmarkEnd w:id="101"/>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102"/>
      <w:bookmarkEnd w:id="102"/>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报告期内，公司严格按照《公司法》、《证券法》、《股票上市规则》等法律法规、部门规章、规范性文件和公司《章</w:t>
      </w:r>
      <w:r>
        <w:rPr/>
        <w:t> </w:t>
      </w:r>
      <w:r>
        <w:rPr>
          <w:spacing w:val="-2"/>
        </w:rPr>
        <w:t>程》的规定，在追求经济效益的同时，注重认真履行对股东、员工、债权人、消费者等方面应尽的责任和义务。努力做到经</w:t>
      </w:r>
      <w:r>
        <w:rPr>
          <w:spacing w:val="-72"/>
        </w:rPr>
        <w:t> </w:t>
      </w:r>
      <w:r>
        <w:rPr>
          <w:spacing w:val="-72"/>
        </w:rPr>
      </w:r>
      <w:r>
        <w:rPr/>
        <w:t>济效益与社会效益、自身发展与社会发展相互协调，实现公司与社会、公司与员工的健康和谐发展。</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履行精准扶贫社会责任情况" w:id="103"/>
      <w:bookmarkEnd w:id="103"/>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bookmarkStart w:name="公司报告年度暂未开展精准扶贫工作，也暂无后续精准扶贫计划。" w:id="104"/>
      <w:bookmarkEnd w:id="104"/>
      <w:r>
        <w:rPr/>
      </w: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环境保护相关的情况" w:id="105"/>
      <w:bookmarkEnd w:id="105"/>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5712"/>
        <w:jc w:val="left"/>
      </w:pPr>
      <w:r>
        <w:rPr/>
        <w:t>上市公司及其子公司是否属于环境保护部门公布的重点排污单位 否</w:t>
      </w:r>
    </w:p>
    <w:p>
      <w:pPr>
        <w:pStyle w:val="BodyText"/>
        <w:spacing w:line="240" w:lineRule="auto" w:before="25"/>
        <w:ind w:left="154" w:right="0"/>
        <w:jc w:val="left"/>
      </w:pPr>
      <w:r>
        <w:rPr/>
        <w:t>公司及子公司不是排污单位。</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九、其他重大事项的说明" w:id="106"/>
      <w:bookmarkEnd w:id="106"/>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3" w:right="0"/>
        <w:jc w:val="left"/>
      </w:pPr>
      <w:r>
        <w:rPr>
          <w:rFonts w:ascii="Times New Roman" w:hAnsi="Times New Roman" w:cs="Times New Roman" w:eastAsia="Times New Roman" w:hint="default"/>
        </w:rPr>
        <w:t>1</w:t>
      </w:r>
      <w:r>
        <w:rPr/>
        <w:t>、关于高比例送转预案的预披露公告巨潮资讯网 </w:t>
      </w:r>
      <w:r>
        <w:rPr>
          <w:rFonts w:ascii="Times New Roman" w:hAnsi="Times New Roman" w:cs="Times New Roman" w:eastAsia="Times New Roman" w:hint="default"/>
        </w:rPr>
        <w:t>2017-005</w:t>
      </w:r>
      <w:r>
        <w:rPr>
          <w:rFonts w:ascii="Times New Roman" w:hAnsi="Times New Roman" w:cs="Times New Roman" w:eastAsia="Times New Roman" w:hint="default"/>
          <w:spacing w:val="-21"/>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w:t>
      </w:r>
    </w:p>
    <w:p>
      <w:pPr>
        <w:pStyle w:val="BodyText"/>
        <w:spacing w:line="240" w:lineRule="auto" w:before="63"/>
        <w:ind w:left="516" w:right="0"/>
        <w:jc w:val="left"/>
      </w:pPr>
      <w:r>
        <w:rPr>
          <w:rFonts w:ascii="Times New Roman" w:hAnsi="Times New Roman" w:cs="Times New Roman" w:eastAsia="Times New Roman" w:hint="default"/>
        </w:rPr>
        <w:t>2</w:t>
      </w:r>
      <w:r>
        <w:rPr/>
        <w:t>、关于增加使用部分闲置募集资金额度投资银行理财产品的公告巨潮资讯网 </w:t>
      </w:r>
      <w:r>
        <w:rPr>
          <w:rFonts w:ascii="Times New Roman" w:hAnsi="Times New Roman" w:cs="Times New Roman" w:eastAsia="Times New Roman" w:hint="default"/>
        </w:rPr>
        <w:t>2017-012 </w:t>
      </w:r>
      <w:r>
        <w:rPr>
          <w:rFonts w:ascii="Times New Roman" w:hAnsi="Times New Roman" w:cs="Times New Roman" w:eastAsia="Times New Roman" w:hint="default"/>
          <w:spacing w:val="5"/>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w:t>
      </w:r>
    </w:p>
    <w:p>
      <w:pPr>
        <w:pStyle w:val="BodyText"/>
        <w:spacing w:line="240" w:lineRule="auto" w:before="63"/>
        <w:ind w:left="516" w:right="0"/>
        <w:jc w:val="left"/>
      </w:pPr>
      <w:r>
        <w:rPr>
          <w:rFonts w:ascii="Times New Roman" w:hAnsi="Times New Roman" w:cs="Times New Roman" w:eastAsia="Times New Roman" w:hint="default"/>
        </w:rPr>
        <w:t>3</w:t>
      </w:r>
      <w:r>
        <w:rPr/>
        <w:t>、非公开发行限售股上市流通的提示性公告巨潮资讯网 </w:t>
      </w:r>
      <w:r>
        <w:rPr>
          <w:rFonts w:ascii="Times New Roman" w:hAnsi="Times New Roman" w:cs="Times New Roman" w:eastAsia="Times New Roman" w:hint="default"/>
        </w:rPr>
        <w:t>2017-014</w:t>
      </w:r>
      <w:r>
        <w:rPr>
          <w:rFonts w:ascii="Times New Roman" w:hAnsi="Times New Roman" w:cs="Times New Roman" w:eastAsia="Times New Roman" w:hint="default"/>
          <w:spacing w:val="-20"/>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w:t>
      </w:r>
    </w:p>
    <w:p>
      <w:pPr>
        <w:pStyle w:val="BodyText"/>
        <w:spacing w:line="240" w:lineRule="auto" w:before="63"/>
        <w:ind w:left="516" w:right="0"/>
        <w:jc w:val="left"/>
      </w:pPr>
      <w:r>
        <w:rPr>
          <w:rFonts w:ascii="Times New Roman" w:hAnsi="Times New Roman" w:cs="Times New Roman" w:eastAsia="Times New Roman" w:hint="default"/>
        </w:rPr>
        <w:t>4</w:t>
      </w:r>
      <w:r>
        <w:rPr/>
        <w:t>、股权分置改革限售股份解除限售提示性公告巨潮资讯网 </w:t>
      </w:r>
      <w:r>
        <w:rPr>
          <w:rFonts w:ascii="Times New Roman" w:hAnsi="Times New Roman" w:cs="Times New Roman" w:eastAsia="Times New Roman" w:hint="default"/>
        </w:rPr>
        <w:t>2017-016</w:t>
      </w:r>
      <w:r>
        <w:rPr>
          <w:rFonts w:ascii="Times New Roman" w:hAnsi="Times New Roman" w:cs="Times New Roman" w:eastAsia="Times New Roman" w:hint="default"/>
          <w:spacing w:val="-23"/>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w:t>
      </w:r>
    </w:p>
    <w:p>
      <w:pPr>
        <w:pStyle w:val="BodyText"/>
        <w:spacing w:line="240" w:lineRule="auto" w:before="63"/>
        <w:ind w:left="516" w:right="0"/>
        <w:jc w:val="left"/>
      </w:pPr>
      <w:r>
        <w:rPr>
          <w:rFonts w:ascii="Times New Roman" w:hAnsi="Times New Roman" w:cs="Times New Roman" w:eastAsia="Times New Roman" w:hint="default"/>
        </w:rPr>
        <w:t>5</w:t>
      </w:r>
      <w:r>
        <w:rPr/>
        <w:t>、关于转让杭州通育投资合伙企业（有限合伙）合伙份额的公告巨潮资讯网 </w:t>
      </w:r>
      <w:r>
        <w:rPr>
          <w:rFonts w:ascii="Times New Roman" w:hAnsi="Times New Roman" w:cs="Times New Roman" w:eastAsia="Times New Roman" w:hint="default"/>
        </w:rPr>
        <w:t>2017-023</w:t>
      </w:r>
      <w:r>
        <w:rPr>
          <w:rFonts w:ascii="Times New Roman" w:hAnsi="Times New Roman" w:cs="Times New Roman" w:eastAsia="Times New Roman" w:hint="default"/>
          <w:spacing w:val="-22"/>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w:t>
      </w:r>
    </w:p>
    <w:p>
      <w:pPr>
        <w:pStyle w:val="BodyText"/>
        <w:spacing w:line="240" w:lineRule="auto" w:before="63"/>
        <w:ind w:left="516" w:right="0"/>
        <w:jc w:val="left"/>
      </w:pPr>
      <w:r>
        <w:rPr>
          <w:rFonts w:ascii="Times New Roman" w:hAnsi="Times New Roman" w:cs="Times New Roman" w:eastAsia="Times New Roman" w:hint="default"/>
        </w:rPr>
        <w:t>6</w:t>
      </w:r>
      <w:r>
        <w:rPr/>
        <w:t>、关于</w:t>
      </w:r>
      <w:r>
        <w:rPr>
          <w:rFonts w:ascii="Times New Roman" w:hAnsi="Times New Roman" w:cs="Times New Roman" w:eastAsia="Times New Roman" w:hint="default"/>
        </w:rPr>
        <w:t>2016</w:t>
      </w:r>
      <w:r>
        <w:rPr/>
        <w:t>年利润分配及资本公积转增股本预案的公告巨潮资讯网 </w:t>
      </w:r>
      <w:r>
        <w:rPr>
          <w:rFonts w:ascii="Times New Roman" w:hAnsi="Times New Roman" w:cs="Times New Roman" w:eastAsia="Times New Roman" w:hint="default"/>
        </w:rPr>
        <w:t>2017-030</w:t>
      </w:r>
      <w:r>
        <w:rPr>
          <w:rFonts w:ascii="Times New Roman" w:hAnsi="Times New Roman" w:cs="Times New Roman" w:eastAsia="Times New Roman" w:hint="default"/>
          <w:spacing w:val="-22"/>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w:t>
      </w:r>
    </w:p>
    <w:p>
      <w:pPr>
        <w:pStyle w:val="BodyText"/>
        <w:spacing w:line="240" w:lineRule="auto" w:before="63"/>
        <w:ind w:left="516" w:right="0"/>
        <w:jc w:val="left"/>
      </w:pPr>
      <w:r>
        <w:rPr>
          <w:rFonts w:ascii="Times New Roman" w:hAnsi="Times New Roman" w:cs="Times New Roman" w:eastAsia="Times New Roman" w:hint="default"/>
        </w:rPr>
        <w:t>7</w:t>
      </w:r>
      <w:r>
        <w:rPr/>
        <w:t>、关于筹划员工持股计划的提示性公告巨潮资讯网 </w:t>
      </w:r>
      <w:r>
        <w:rPr>
          <w:rFonts w:ascii="Times New Roman" w:hAnsi="Times New Roman" w:cs="Times New Roman" w:eastAsia="Times New Roman" w:hint="default"/>
        </w:rPr>
        <w:t>2017-042</w:t>
      </w:r>
      <w:r>
        <w:rPr>
          <w:rFonts w:ascii="Times New Roman" w:hAnsi="Times New Roman" w:cs="Times New Roman" w:eastAsia="Times New Roman" w:hint="default"/>
          <w:spacing w:val="-21"/>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w:t>
      </w:r>
    </w:p>
    <w:p>
      <w:pPr>
        <w:pStyle w:val="BodyText"/>
        <w:spacing w:line="240" w:lineRule="auto" w:before="63"/>
        <w:ind w:left="516" w:right="0"/>
        <w:jc w:val="left"/>
      </w:pPr>
      <w:r>
        <w:rPr>
          <w:rFonts w:ascii="Times New Roman" w:hAnsi="Times New Roman" w:cs="Times New Roman" w:eastAsia="Times New Roman" w:hint="default"/>
        </w:rPr>
        <w:t>8</w:t>
      </w:r>
      <w:r>
        <w:rPr/>
        <w:t>、非公开发行限售股上市流通的提示性公告巨潮资讯网 </w:t>
      </w:r>
      <w:r>
        <w:rPr>
          <w:rFonts w:ascii="Times New Roman" w:hAnsi="Times New Roman" w:cs="Times New Roman" w:eastAsia="Times New Roman" w:hint="default"/>
        </w:rPr>
        <w:t>2017-041</w:t>
      </w:r>
      <w:r>
        <w:rPr>
          <w:rFonts w:ascii="Times New Roman" w:hAnsi="Times New Roman" w:cs="Times New Roman" w:eastAsia="Times New Roman" w:hint="default"/>
          <w:spacing w:val="-20"/>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w:t>
      </w:r>
    </w:p>
    <w:p>
      <w:pPr>
        <w:pStyle w:val="BodyText"/>
        <w:spacing w:line="240" w:lineRule="auto" w:before="63"/>
        <w:ind w:left="516" w:right="0"/>
        <w:jc w:val="left"/>
      </w:pPr>
      <w:r>
        <w:rPr>
          <w:rFonts w:ascii="Times New Roman" w:hAnsi="Times New Roman" w:cs="Times New Roman" w:eastAsia="Times New Roman" w:hint="default"/>
        </w:rPr>
        <w:t>9</w:t>
      </w:r>
      <w:r>
        <w:rPr/>
        <w:t>、关于筹划重大事项的进展公告巨潮资讯网 </w:t>
      </w:r>
      <w:r>
        <w:rPr>
          <w:rFonts w:ascii="Times New Roman" w:hAnsi="Times New Roman" w:cs="Times New Roman" w:eastAsia="Times New Roman" w:hint="default"/>
        </w:rPr>
        <w:t>2017-045</w:t>
      </w:r>
      <w:r>
        <w:rPr>
          <w:rFonts w:ascii="Times New Roman" w:hAnsi="Times New Roman" w:cs="Times New Roman" w:eastAsia="Times New Roman" w:hint="default"/>
          <w:spacing w:val="-23"/>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w:t>
      </w:r>
    </w:p>
    <w:p>
      <w:pPr>
        <w:pStyle w:val="BodyText"/>
        <w:spacing w:line="240" w:lineRule="auto" w:before="63"/>
        <w:ind w:left="516" w:right="0"/>
        <w:jc w:val="left"/>
      </w:pPr>
      <w:r>
        <w:rPr>
          <w:rFonts w:ascii="Times New Roman" w:hAnsi="Times New Roman" w:cs="Times New Roman" w:eastAsia="Times New Roman" w:hint="default"/>
        </w:rPr>
        <w:t>10</w:t>
      </w:r>
      <w:r>
        <w:rPr/>
        <w:t>、关于筹划重大资产重组的停牌公告巨潮资讯网 </w:t>
      </w:r>
      <w:r>
        <w:rPr>
          <w:rFonts w:ascii="Times New Roman" w:hAnsi="Times New Roman" w:cs="Times New Roman" w:eastAsia="Times New Roman" w:hint="default"/>
        </w:rPr>
        <w:t>2017-046</w:t>
      </w:r>
      <w:r>
        <w:rPr>
          <w:rFonts w:ascii="Times New Roman" w:hAnsi="Times New Roman" w:cs="Times New Roman" w:eastAsia="Times New Roman" w:hint="default"/>
          <w:spacing w:val="-21"/>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w:t>
      </w:r>
    </w:p>
    <w:p>
      <w:pPr>
        <w:pStyle w:val="BodyText"/>
        <w:spacing w:line="240" w:lineRule="auto" w:before="63"/>
        <w:ind w:left="516" w:right="0"/>
        <w:jc w:val="left"/>
      </w:pPr>
      <w:r>
        <w:rPr>
          <w:rFonts w:ascii="Times New Roman" w:hAnsi="Times New Roman" w:cs="Times New Roman" w:eastAsia="Times New Roman" w:hint="default"/>
        </w:rPr>
        <w:t>11</w:t>
      </w:r>
      <w:r>
        <w:rPr/>
        <w:t>、关于变更营业范围并修订公司章程的公告巨潮资讯网 </w:t>
      </w:r>
      <w:r>
        <w:rPr>
          <w:rFonts w:ascii="Times New Roman" w:hAnsi="Times New Roman" w:cs="Times New Roman" w:eastAsia="Times New Roman" w:hint="default"/>
        </w:rPr>
        <w:t>2017-056</w:t>
      </w:r>
      <w:r>
        <w:rPr>
          <w:rFonts w:ascii="Times New Roman" w:hAnsi="Times New Roman" w:cs="Times New Roman" w:eastAsia="Times New Roman" w:hint="default"/>
          <w:spacing w:val="-24"/>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w:t>
      </w:r>
    </w:p>
    <w:p>
      <w:pPr>
        <w:pStyle w:val="BodyText"/>
        <w:spacing w:line="240" w:lineRule="auto" w:before="63"/>
        <w:ind w:left="516" w:right="0"/>
        <w:jc w:val="left"/>
      </w:pPr>
      <w:r>
        <w:rPr>
          <w:rFonts w:ascii="Times New Roman" w:hAnsi="Times New Roman" w:cs="Times New Roman" w:eastAsia="Times New Roman" w:hint="default"/>
        </w:rPr>
        <w:t>12</w:t>
      </w:r>
      <w:r>
        <w:rPr/>
        <w:t>、关于为苏州金控大通投资合伙企业（有限合伙）提供差额补足增信的公告巨潮资讯网 </w:t>
      </w:r>
      <w:r>
        <w:rPr>
          <w:rFonts w:ascii="Times New Roman" w:hAnsi="Times New Roman" w:cs="Times New Roman" w:eastAsia="Times New Roman" w:hint="default"/>
        </w:rPr>
        <w:t>2017-062</w:t>
      </w:r>
      <w:r>
        <w:rPr>
          <w:rFonts w:ascii="Times New Roman" w:hAnsi="Times New Roman" w:cs="Times New Roman" w:eastAsia="Times New Roman" w:hint="default"/>
          <w:spacing w:val="-22"/>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w:t>
      </w:r>
    </w:p>
    <w:p>
      <w:pPr>
        <w:pStyle w:val="BodyText"/>
        <w:spacing w:line="240" w:lineRule="auto" w:before="63"/>
        <w:ind w:left="516" w:right="0"/>
        <w:jc w:val="left"/>
      </w:pPr>
      <w:r>
        <w:rPr>
          <w:rFonts w:ascii="Times New Roman" w:hAnsi="Times New Roman" w:cs="Times New Roman" w:eastAsia="Times New Roman" w:hint="default"/>
        </w:rPr>
        <w:t>13</w:t>
      </w:r>
      <w:r>
        <w:rPr/>
        <w:t>、关于</w:t>
      </w:r>
      <w:r>
        <w:rPr>
          <w:rFonts w:ascii="Times New Roman" w:hAnsi="Times New Roman" w:cs="Times New Roman" w:eastAsia="Times New Roman" w:hint="default"/>
        </w:rPr>
        <w:t>2016</w:t>
      </w:r>
      <w:r>
        <w:rPr/>
        <w:t>年利润分配及资本公积转增股本实施公告巨潮资讯网 </w:t>
      </w:r>
      <w:r>
        <w:rPr>
          <w:rFonts w:ascii="Times New Roman" w:hAnsi="Times New Roman" w:cs="Times New Roman" w:eastAsia="Times New Roman" w:hint="default"/>
        </w:rPr>
        <w:t>2017-065</w:t>
      </w:r>
      <w:r>
        <w:rPr>
          <w:rFonts w:ascii="Times New Roman" w:hAnsi="Times New Roman" w:cs="Times New Roman" w:eastAsia="Times New Roman" w:hint="default"/>
          <w:spacing w:val="-21"/>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0"/>
          <w:szCs w:val="20"/>
        </w:rPr>
      </w:pPr>
    </w:p>
    <w:p>
      <w:pPr>
        <w:pStyle w:val="BodyText"/>
        <w:spacing w:line="240" w:lineRule="auto"/>
        <w:ind w:left="154" w:right="-20"/>
        <w:jc w:val="left"/>
      </w:pPr>
      <w:r>
        <w:rPr>
          <w:rFonts w:ascii="Times New Roman" w:hAnsi="Times New Roman" w:cs="Times New Roman" w:eastAsia="Times New Roman" w:hint="default"/>
        </w:rPr>
        <w:t>18</w:t>
      </w:r>
      <w:r>
        <w:rPr/>
        <w:t>日</w:t>
      </w:r>
    </w:p>
    <w:p>
      <w:pPr>
        <w:pStyle w:val="BodyText"/>
        <w:spacing w:line="240" w:lineRule="auto" w:before="44"/>
        <w:ind w:left="-38" w:right="0"/>
        <w:jc w:val="left"/>
      </w:pPr>
      <w:r>
        <w:rPr/>
        <w:br w:type="column"/>
      </w:r>
      <w:r>
        <w:rPr>
          <w:rFonts w:ascii="Times New Roman" w:hAnsi="Times New Roman" w:cs="Times New Roman" w:eastAsia="Times New Roman" w:hint="default"/>
        </w:rPr>
        <w:t>14</w:t>
      </w:r>
      <w:r>
        <w:rPr/>
        <w:t>、关于债权转让暨关联交易的公告巨潮资讯网 </w:t>
      </w:r>
      <w:r>
        <w:rPr>
          <w:rFonts w:ascii="Times New Roman" w:hAnsi="Times New Roman" w:cs="Times New Roman" w:eastAsia="Times New Roman" w:hint="default"/>
        </w:rPr>
        <w:t>2017-078</w:t>
      </w:r>
      <w:r>
        <w:rPr>
          <w:rFonts w:ascii="Times New Roman" w:hAnsi="Times New Roman" w:cs="Times New Roman" w:eastAsia="Times New Roman" w:hint="default"/>
          <w:spacing w:val="-23"/>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w:t>
      </w:r>
    </w:p>
    <w:p>
      <w:pPr>
        <w:pStyle w:val="BodyText"/>
        <w:spacing w:line="240" w:lineRule="auto" w:before="63"/>
        <w:ind w:left="-38" w:right="0"/>
        <w:jc w:val="left"/>
      </w:pPr>
      <w:r>
        <w:rPr>
          <w:rFonts w:ascii="Times New Roman" w:hAnsi="Times New Roman" w:cs="Times New Roman" w:eastAsia="Times New Roman" w:hint="default"/>
        </w:rPr>
        <w:t>15</w:t>
      </w:r>
      <w:r>
        <w:rPr/>
        <w:t>、关于剥离房地产业务暨关联交易的公告巨潮资讯网 </w:t>
      </w:r>
      <w:r>
        <w:rPr>
          <w:rFonts w:ascii="Times New Roman" w:hAnsi="Times New Roman" w:cs="Times New Roman" w:eastAsia="Times New Roman" w:hint="default"/>
        </w:rPr>
        <w:t>2017-090</w:t>
      </w:r>
      <w:r>
        <w:rPr>
          <w:rFonts w:ascii="Times New Roman" w:hAnsi="Times New Roman" w:cs="Times New Roman" w:eastAsia="Times New Roman" w:hint="default"/>
          <w:spacing w:val="-21"/>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w:t>
      </w:r>
    </w:p>
    <w:p>
      <w:pPr>
        <w:pStyle w:val="BodyText"/>
        <w:spacing w:line="240" w:lineRule="auto" w:before="63"/>
        <w:ind w:left="-38" w:right="0"/>
        <w:jc w:val="left"/>
      </w:pPr>
      <w:r>
        <w:rPr>
          <w:rFonts w:ascii="Times New Roman" w:hAnsi="Times New Roman" w:cs="Times New Roman" w:eastAsia="Times New Roman" w:hint="default"/>
        </w:rPr>
        <w:t>16</w:t>
      </w:r>
      <w:r>
        <w:rPr/>
        <w:t>、关于取消为西藏鑫大通提供的担保额度公告巨潮资讯网 </w:t>
      </w:r>
      <w:r>
        <w:rPr>
          <w:rFonts w:ascii="Times New Roman" w:hAnsi="Times New Roman" w:cs="Times New Roman" w:eastAsia="Times New Roman" w:hint="default"/>
        </w:rPr>
        <w:t>2017-093</w:t>
      </w:r>
      <w:r>
        <w:rPr>
          <w:rFonts w:ascii="Times New Roman" w:hAnsi="Times New Roman" w:cs="Times New Roman" w:eastAsia="Times New Roman" w:hint="default"/>
          <w:spacing w:val="-24"/>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w:t>
      </w:r>
    </w:p>
    <w:p>
      <w:pPr>
        <w:pStyle w:val="BodyText"/>
        <w:spacing w:line="240" w:lineRule="auto" w:before="63"/>
        <w:ind w:left="-38" w:right="0"/>
        <w:jc w:val="left"/>
      </w:pPr>
      <w:r>
        <w:rPr>
          <w:rFonts w:ascii="Times New Roman" w:hAnsi="Times New Roman" w:cs="Times New Roman" w:eastAsia="Times New Roman" w:hint="default"/>
        </w:rPr>
        <w:t>17</w:t>
      </w:r>
      <w:r>
        <w:rPr/>
        <w:t>、关于为杭州通贺投资合伙企业（有限合伙）提供回购及差额补足增信的公告巨潮资讯网 </w:t>
      </w:r>
      <w:r>
        <w:rPr>
          <w:rFonts w:ascii="Times New Roman" w:hAnsi="Times New Roman" w:cs="Times New Roman" w:eastAsia="Times New Roman" w:hint="default"/>
        </w:rPr>
        <w:t>2017-097</w:t>
      </w:r>
      <w:r>
        <w:rPr>
          <w:rFonts w:ascii="Times New Roman" w:hAnsi="Times New Roman" w:cs="Times New Roman" w:eastAsia="Times New Roman" w:hint="default"/>
          <w:spacing w:val="-21"/>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w:t>
      </w:r>
    </w:p>
    <w:p>
      <w:pPr>
        <w:pStyle w:val="BodyText"/>
        <w:spacing w:line="240" w:lineRule="auto" w:before="63"/>
        <w:ind w:left="-38" w:right="0"/>
        <w:jc w:val="left"/>
      </w:pPr>
      <w:r>
        <w:rPr>
          <w:rFonts w:ascii="Times New Roman" w:hAnsi="Times New Roman" w:cs="Times New Roman" w:eastAsia="Times New Roman" w:hint="default"/>
        </w:rPr>
        <w:t>18</w:t>
      </w:r>
      <w:r>
        <w:rPr/>
        <w:t>、关于持股</w:t>
      </w:r>
      <w:r>
        <w:rPr>
          <w:rFonts w:ascii="Times New Roman" w:hAnsi="Times New Roman" w:cs="Times New Roman" w:eastAsia="Times New Roman" w:hint="default"/>
        </w:rPr>
        <w:t>5%</w:t>
      </w:r>
      <w:r>
        <w:rPr/>
        <w:t>以上股东减持股份预披露公告巨潮资讯网 </w:t>
      </w:r>
      <w:r>
        <w:rPr>
          <w:rFonts w:ascii="Times New Roman" w:hAnsi="Times New Roman" w:cs="Times New Roman" w:eastAsia="Times New Roman" w:hint="default"/>
        </w:rPr>
        <w:t>2017-117</w:t>
      </w:r>
      <w:r>
        <w:rPr>
          <w:rFonts w:ascii="Times New Roman" w:hAnsi="Times New Roman" w:cs="Times New Roman" w:eastAsia="Times New Roman" w:hint="default"/>
          <w:spacing w:val="-24"/>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w:t>
      </w:r>
    </w:p>
    <w:p>
      <w:pPr>
        <w:pStyle w:val="BodyText"/>
        <w:spacing w:line="240" w:lineRule="auto" w:before="63"/>
        <w:ind w:left="-38" w:right="0"/>
        <w:jc w:val="left"/>
      </w:pPr>
      <w:r>
        <w:rPr>
          <w:rFonts w:ascii="Times New Roman" w:hAnsi="Times New Roman" w:cs="Times New Roman" w:eastAsia="Times New Roman" w:hint="default"/>
        </w:rPr>
        <w:t>19</w:t>
      </w:r>
      <w:r>
        <w:rPr/>
        <w:t>、第一期员工持股计划（草案）巨潮资讯网</w:t>
      </w:r>
      <w:r>
        <w:rPr>
          <w:spacing w:val="-21"/>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w:t>
      </w:r>
    </w:p>
    <w:p>
      <w:pPr>
        <w:pStyle w:val="BodyText"/>
        <w:spacing w:line="240" w:lineRule="auto" w:before="63"/>
        <w:ind w:left="-38" w:right="0"/>
        <w:jc w:val="left"/>
      </w:pPr>
      <w:r>
        <w:rPr>
          <w:rFonts w:ascii="Times New Roman" w:hAnsi="Times New Roman" w:cs="Times New Roman" w:eastAsia="Times New Roman" w:hint="default"/>
        </w:rPr>
        <w:t>20</w:t>
      </w:r>
      <w:r>
        <w:rPr/>
        <w:t>、关于和浙商银行股份有限公司开展资产池业务的公告巨潮资讯网 </w:t>
      </w:r>
      <w:r>
        <w:rPr>
          <w:rFonts w:ascii="Times New Roman" w:hAnsi="Times New Roman" w:cs="Times New Roman" w:eastAsia="Times New Roman" w:hint="default"/>
        </w:rPr>
        <w:t>2017-128</w:t>
      </w:r>
      <w:r>
        <w:rPr>
          <w:rFonts w:ascii="Times New Roman" w:hAnsi="Times New Roman" w:cs="Times New Roman" w:eastAsia="Times New Roman" w:hint="default"/>
          <w:spacing w:val="-21"/>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w:t>
      </w:r>
    </w:p>
    <w:p>
      <w:pPr>
        <w:pStyle w:val="BodyText"/>
        <w:spacing w:line="240" w:lineRule="auto" w:before="63"/>
        <w:ind w:left="-38" w:right="0"/>
        <w:jc w:val="left"/>
      </w:pPr>
      <w:r>
        <w:rPr>
          <w:rFonts w:ascii="Times New Roman" w:hAnsi="Times New Roman" w:cs="Times New Roman" w:eastAsia="Times New Roman" w:hint="default"/>
        </w:rPr>
        <w:t>21</w:t>
      </w:r>
      <w:r>
        <w:rPr/>
        <w:t>、关于终止重大资产重组事项的公告巨潮资讯网 </w:t>
      </w:r>
      <w:r>
        <w:rPr>
          <w:rFonts w:ascii="Times New Roman" w:hAnsi="Times New Roman" w:cs="Times New Roman" w:eastAsia="Times New Roman" w:hint="default"/>
        </w:rPr>
        <w:t>2017-135</w:t>
      </w:r>
      <w:r>
        <w:rPr>
          <w:rFonts w:ascii="Times New Roman" w:hAnsi="Times New Roman" w:cs="Times New Roman" w:eastAsia="Times New Roman" w:hint="default"/>
          <w:spacing w:val="-21"/>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w:t>
      </w:r>
    </w:p>
    <w:p>
      <w:pPr>
        <w:pStyle w:val="BodyText"/>
        <w:spacing w:line="240" w:lineRule="auto" w:before="63"/>
        <w:ind w:left="-38" w:right="0"/>
        <w:jc w:val="left"/>
      </w:pPr>
      <w:r>
        <w:rPr>
          <w:rFonts w:ascii="Times New Roman" w:hAnsi="Times New Roman" w:cs="Times New Roman" w:eastAsia="Times New Roman" w:hint="default"/>
        </w:rPr>
        <w:t>22</w:t>
      </w:r>
      <w:r>
        <w:rPr/>
        <w:t>、关于终止及调减部分募投项目并将相关募集资金用于永久性补充流动资金的公告巨潮资讯网 </w:t>
      </w:r>
      <w:r>
        <w:rPr>
          <w:rFonts w:ascii="Times New Roman" w:hAnsi="Times New Roman" w:cs="Times New Roman" w:eastAsia="Times New Roman" w:hint="default"/>
        </w:rPr>
        <w:t>2017-140</w:t>
      </w:r>
      <w:r>
        <w:rPr>
          <w:rFonts w:ascii="Times New Roman" w:hAnsi="Times New Roman" w:cs="Times New Roman" w:eastAsia="Times New Roman" w:hint="default"/>
          <w:spacing w:val="-20"/>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p>
    <w:p>
      <w:pPr>
        <w:spacing w:after="0" w:line="240" w:lineRule="auto"/>
        <w:jc w:val="left"/>
        <w:sectPr>
          <w:type w:val="continuous"/>
          <w:pgSz w:w="11910" w:h="16840"/>
          <w:pgMar w:top="1060" w:bottom="1160" w:left="980" w:right="0"/>
          <w:cols w:num="2" w:equalWidth="0">
            <w:col w:w="515" w:space="40"/>
            <w:col w:w="10375"/>
          </w:cols>
        </w:sectPr>
      </w:pPr>
    </w:p>
    <w:p>
      <w:pPr>
        <w:spacing w:line="240" w:lineRule="auto" w:before="2"/>
        <w:rPr>
          <w:rFonts w:ascii="宋体" w:hAnsi="宋体" w:cs="宋体" w:eastAsia="宋体" w:hint="default"/>
          <w:sz w:val="22"/>
          <w:szCs w:val="22"/>
        </w:rPr>
      </w:pPr>
    </w:p>
    <w:p>
      <w:pPr>
        <w:pStyle w:val="Heading2"/>
        <w:spacing w:line="240" w:lineRule="auto" w:before="26"/>
        <w:ind w:left="154" w:right="0"/>
        <w:jc w:val="left"/>
        <w:rPr>
          <w:b w:val="0"/>
          <w:bCs w:val="0"/>
        </w:rPr>
      </w:pPr>
      <w:bookmarkStart w:name="二十、公司子公司重大事项" w:id="107"/>
      <w:bookmarkEnd w:id="107"/>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46" w:right="0"/>
        <w:jc w:val="left"/>
        <w:rPr>
          <w:b w:val="0"/>
          <w:bCs w:val="0"/>
        </w:rPr>
      </w:pPr>
      <w:bookmarkStart w:name="第六节股份变动及股东情况" w:id="108"/>
      <w:bookmarkEnd w:id="108"/>
      <w:r>
        <w:rPr>
          <w:b w:val="0"/>
          <w:bCs w:val="0"/>
        </w:rPr>
      </w:r>
      <w:bookmarkStart w:name="_bookmark5" w:id="109"/>
      <w:bookmarkEnd w:id="109"/>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10"/>
      <w:bookmarkEnd w:id="110"/>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11"/>
      <w:bookmarkEnd w:id="11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04"/>
        <w:gridCol w:w="1046"/>
        <w:gridCol w:w="612"/>
        <w:gridCol w:w="522"/>
        <w:gridCol w:w="425"/>
        <w:gridCol w:w="991"/>
        <w:gridCol w:w="992"/>
        <w:gridCol w:w="994"/>
        <w:gridCol w:w="1134"/>
        <w:gridCol w:w="641"/>
      </w:tblGrid>
      <w:tr>
        <w:trPr>
          <w:trHeight w:val="402"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2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1046" w:type="dxa"/>
            <w:tcBorders>
              <w:top w:val="single" w:sz="4" w:space="0" w:color="000000"/>
              <w:left w:val="single" w:sz="4" w:space="0" w:color="000000"/>
              <w:bottom w:val="nil" w:sz="6" w:space="0" w:color="auto"/>
              <w:right w:val="single" w:sz="4" w:space="0" w:color="000000"/>
            </w:tcBorders>
            <w:shd w:val="clear" w:color="auto" w:fill="D2D2D2"/>
          </w:tcPr>
          <w:p>
            <w:pPr/>
          </w:p>
        </w:tc>
        <w:tc>
          <w:tcPr>
            <w:tcW w:w="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5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5" w:right="7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04"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22" w:type="dxa"/>
            <w:vMerge/>
            <w:tcBorders>
              <w:left w:val="single" w:sz="4" w:space="0" w:color="000000"/>
              <w:right w:val="single" w:sz="4" w:space="0" w:color="000000"/>
            </w:tcBorders>
            <w:shd w:val="clear" w:color="auto" w:fill="D2D2D2"/>
          </w:tcPr>
          <w:p>
            <w:pPr/>
          </w:p>
        </w:tc>
        <w:tc>
          <w:tcPr>
            <w:tcW w:w="4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612" w:type="dxa"/>
            <w:vMerge/>
            <w:tcBorders>
              <w:left w:val="single" w:sz="4" w:space="0" w:color="000000"/>
              <w:bottom w:val="nil" w:sz="6" w:space="0" w:color="auto"/>
              <w:right w:val="single" w:sz="4" w:space="0" w:color="000000"/>
            </w:tcBorders>
            <w:shd w:val="clear" w:color="auto" w:fill="D2D2D2"/>
          </w:tcPr>
          <w:p>
            <w:pPr/>
          </w:p>
        </w:tc>
        <w:tc>
          <w:tcPr>
            <w:tcW w:w="522" w:type="dxa"/>
            <w:vMerge/>
            <w:tcBorders>
              <w:left w:val="single" w:sz="4" w:space="0" w:color="000000"/>
              <w:right w:val="single" w:sz="4" w:space="0" w:color="000000"/>
            </w:tcBorders>
            <w:shd w:val="clear" w:color="auto" w:fill="D2D2D2"/>
          </w:tcPr>
          <w:p>
            <w:pPr/>
          </w:p>
        </w:tc>
        <w:tc>
          <w:tcPr>
            <w:tcW w:w="425"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04" w:type="dxa"/>
            <w:vMerge/>
            <w:tcBorders>
              <w:left w:val="single" w:sz="4" w:space="0" w:color="000000"/>
              <w:bottom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single" w:sz="4" w:space="0" w:color="000000"/>
              <w:right w:val="single" w:sz="4" w:space="0" w:color="000000"/>
            </w:tcBorders>
            <w:shd w:val="clear" w:color="auto" w:fill="D2D2D2"/>
          </w:tcPr>
          <w:p>
            <w:pPr/>
          </w:p>
        </w:tc>
        <w:tc>
          <w:tcPr>
            <w:tcW w:w="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522"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289,004,647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88.45%</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166,473,896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-11,548,153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154,925,743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443,930,390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84.92%</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289,004,647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88.45%</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166,473,896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-11,548,153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154,925,743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443,930,390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84.92%</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73,131,716</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22.38%</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42,324,489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-2,590,900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39,733,589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112,865,305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21.59%</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215,872,931</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66.07%</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124,149,407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-8,957,253</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115,192,154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331,065,085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63.33%</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37,731,240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11.55%</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29,567,636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11,548,153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center"/>
              <w:rPr>
                <w:rFonts w:ascii="Times New Roman" w:hAnsi="Times New Roman" w:cs="Times New Roman" w:eastAsia="Times New Roman" w:hint="default"/>
                <w:sz w:val="18"/>
                <w:szCs w:val="18"/>
              </w:rPr>
            </w:pPr>
            <w:r>
              <w:rPr>
                <w:rFonts w:ascii="Times New Roman"/>
                <w:sz w:val="18"/>
              </w:rPr>
              <w:t>41,115,789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78,847,029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15.08%</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37,731,240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11.55%</w:t>
            </w:r>
          </w:p>
        </w:tc>
        <w:tc>
          <w:tcPr>
            <w:tcW w:w="52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29,567,636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11,548,153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center"/>
              <w:rPr>
                <w:rFonts w:ascii="Times New Roman" w:hAnsi="Times New Roman" w:cs="Times New Roman" w:eastAsia="Times New Roman" w:hint="default"/>
                <w:sz w:val="18"/>
                <w:szCs w:val="18"/>
              </w:rPr>
            </w:pPr>
            <w:r>
              <w:rPr>
                <w:rFonts w:ascii="Times New Roman"/>
                <w:sz w:val="18"/>
              </w:rPr>
              <w:t>41,115,789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78,847,029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15.08%</w:t>
            </w:r>
          </w:p>
        </w:tc>
      </w:tr>
      <w:tr>
        <w:trPr>
          <w:trHeight w:val="161"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326,735,887</w:t>
            </w:r>
          </w:p>
        </w:tc>
        <w:tc>
          <w:tcPr>
            <w:tcW w:w="61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2"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196,041,532</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196,041,532</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522,777,419</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3" w:hRule="exact"/>
        </w:trPr>
        <w:tc>
          <w:tcPr>
            <w:tcW w:w="2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46" w:type="dxa"/>
            <w:vMerge/>
            <w:tcBorders>
              <w:left w:val="single" w:sz="10" w:space="0" w:color="D2D2D2"/>
              <w:right w:val="single" w:sz="4" w:space="0" w:color="000000"/>
            </w:tcBorders>
          </w:tcPr>
          <w:p>
            <w:pPr/>
          </w:p>
        </w:tc>
        <w:tc>
          <w:tcPr>
            <w:tcW w:w="612" w:type="dxa"/>
            <w:vMerge/>
            <w:tcBorders>
              <w:left w:val="single" w:sz="4" w:space="0" w:color="000000"/>
              <w:right w:val="single" w:sz="4" w:space="0" w:color="000000"/>
            </w:tcBorders>
          </w:tcPr>
          <w:p>
            <w:pPr/>
          </w:p>
        </w:tc>
        <w:tc>
          <w:tcPr>
            <w:tcW w:w="522"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61" w:hRule="exact"/>
        </w:trPr>
        <w:tc>
          <w:tcPr>
            <w:tcW w:w="2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10" w:space="0" w:color="D2D2D2"/>
              <w:bottom w:val="single" w:sz="4" w:space="0" w:color="000000"/>
              <w:right w:val="single" w:sz="4" w:space="0" w:color="000000"/>
            </w:tcBorders>
          </w:tcPr>
          <w:p>
            <w:pPr/>
          </w:p>
        </w:tc>
        <w:tc>
          <w:tcPr>
            <w:tcW w:w="612" w:type="dxa"/>
            <w:vMerge/>
            <w:tcBorders>
              <w:left w:val="single" w:sz="4" w:space="0" w:color="000000"/>
              <w:bottom w:val="single" w:sz="4" w:space="0" w:color="000000"/>
              <w:right w:val="single" w:sz="4" w:space="0" w:color="000000"/>
            </w:tcBorders>
          </w:tcPr>
          <w:p>
            <w:pPr/>
          </w:p>
        </w:tc>
        <w:tc>
          <w:tcPr>
            <w:tcW w:w="522"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338" w:lineRule="auto" w:before="117"/>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报告期内公司办理了部分股东解除限售手续，合计</w:t>
      </w:r>
      <w:r>
        <w:rPr>
          <w:rFonts w:ascii="Times New Roman" w:hAnsi="Times New Roman" w:cs="Times New Roman" w:eastAsia="Times New Roman" w:hint="default"/>
          <w:spacing w:val="-2"/>
        </w:rPr>
        <w:t>11,547,953</w:t>
      </w:r>
      <w:r>
        <w:rPr>
          <w:spacing w:val="-2"/>
        </w:rPr>
        <w:t>股，原高管王立平持有的</w:t>
      </w:r>
      <w:r>
        <w:rPr>
          <w:rFonts w:ascii="Times New Roman" w:hAnsi="Times New Roman" w:cs="Times New Roman" w:eastAsia="Times New Roman" w:hint="default"/>
          <w:spacing w:val="-2"/>
        </w:rPr>
        <w:t>200</w:t>
      </w:r>
      <w:r>
        <w:rPr>
          <w:spacing w:val="-2"/>
        </w:rPr>
        <w:t>股自动解除锁定。上述原因合</w:t>
      </w:r>
    </w:p>
    <w:p>
      <w:pPr>
        <w:pStyle w:val="BodyText"/>
        <w:spacing w:line="230" w:lineRule="exact"/>
        <w:ind w:right="0"/>
        <w:jc w:val="left"/>
      </w:pPr>
      <w:r>
        <w:rPr/>
        <w:t>计减少有限售条件股份</w:t>
      </w:r>
      <w:r>
        <w:rPr>
          <w:rFonts w:ascii="Times New Roman" w:hAnsi="Times New Roman" w:cs="Times New Roman" w:eastAsia="Times New Roman" w:hint="default"/>
        </w:rPr>
        <w:t>11,548,153</w:t>
      </w:r>
      <w:r>
        <w:rPr/>
        <w:t>股。</w:t>
      </w:r>
    </w:p>
    <w:p>
      <w:pPr>
        <w:pStyle w:val="BodyText"/>
        <w:spacing w:line="300" w:lineRule="auto" w:before="63"/>
        <w:ind w:right="1130" w:firstLine="360"/>
        <w:jc w:val="both"/>
      </w:pPr>
      <w:r>
        <w:rPr>
          <w:spacing w:val="-2"/>
        </w:rPr>
        <w:t>报告期内公司实施了</w:t>
      </w:r>
      <w:r>
        <w:rPr>
          <w:rFonts w:ascii="Times New Roman" w:hAnsi="Times New Roman" w:cs="Times New Roman" w:eastAsia="Times New Roman" w:hint="default"/>
          <w:spacing w:val="-2"/>
        </w:rPr>
        <w:t>2016</w:t>
      </w:r>
      <w:r>
        <w:rPr>
          <w:spacing w:val="-2"/>
        </w:rPr>
        <w:t>年利润分配及资本公积转增股本方案，以</w:t>
      </w:r>
      <w:r>
        <w:rPr>
          <w:rFonts w:ascii="Times New Roman" w:hAnsi="Times New Roman" w:cs="Times New Roman" w:eastAsia="Times New Roman" w:hint="default"/>
          <w:spacing w:val="-2"/>
        </w:rPr>
        <w:t>2016</w:t>
      </w:r>
      <w:r>
        <w:rPr>
          <w:spacing w:val="-2"/>
        </w:rPr>
        <w:t>年末股份总额</w:t>
      </w:r>
      <w:r>
        <w:rPr>
          <w:rFonts w:ascii="Times New Roman" w:hAnsi="Times New Roman" w:cs="Times New Roman" w:eastAsia="Times New Roman" w:hint="default"/>
          <w:spacing w:val="-2"/>
        </w:rPr>
        <w:t>326,735,887</w:t>
      </w:r>
      <w:r>
        <w:rPr>
          <w:spacing w:val="-2"/>
        </w:rPr>
        <w:t>股为基数，以资本公积</w:t>
      </w:r>
      <w:r>
        <w:rPr/>
        <w:t> 金（股本溢价部分）向全体股东每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日实施后，公司股本增加</w:t>
      </w:r>
      <w:r>
        <w:rPr>
          <w:rFonts w:ascii="Times New Roman" w:hAnsi="Times New Roman" w:cs="Times New Roman" w:eastAsia="Times New Roman" w:hint="default"/>
        </w:rPr>
        <w:t>196,041,532</w:t>
      </w:r>
      <w:r>
        <w:rPr/>
        <w:t>股，其中有限售条件股份 增加</w:t>
      </w:r>
      <w:r>
        <w:rPr>
          <w:rFonts w:ascii="Times New Roman" w:hAnsi="Times New Roman" w:cs="Times New Roman" w:eastAsia="Times New Roman" w:hint="default"/>
        </w:rPr>
        <w:t>166,473,896</w:t>
      </w:r>
      <w:r>
        <w:rPr/>
        <w:t>股，无限售条件股份增加</w:t>
      </w:r>
      <w:r>
        <w:rPr>
          <w:rFonts w:ascii="Times New Roman" w:hAnsi="Times New Roman" w:cs="Times New Roman" w:eastAsia="Times New Roman" w:hint="default"/>
        </w:rPr>
        <w:t>29,567,636</w:t>
      </w:r>
      <w:r>
        <w:rPr/>
        <w:t>，总股本由</w:t>
      </w:r>
      <w:r>
        <w:rPr>
          <w:rFonts w:ascii="Times New Roman" w:hAnsi="Times New Roman" w:cs="Times New Roman" w:eastAsia="Times New Roman" w:hint="default"/>
        </w:rPr>
        <w:t>326,735,887</w:t>
      </w:r>
      <w:r>
        <w:rPr/>
        <w:t>股变更为</w:t>
      </w:r>
      <w:r>
        <w:rPr>
          <w:rFonts w:ascii="Times New Roman" w:hAnsi="Times New Roman" w:cs="Times New Roman" w:eastAsia="Times New Roman" w:hint="default"/>
        </w:rPr>
        <w:t>522,777,419</w:t>
      </w:r>
      <w:r>
        <w:rPr/>
        <w:t>股。</w:t>
      </w:r>
    </w:p>
    <w:p>
      <w:pPr>
        <w:pStyle w:val="BodyText"/>
        <w:spacing w:line="240" w:lineRule="auto" w:before="53"/>
        <w:ind w:right="0"/>
        <w:jc w:val="left"/>
      </w:pPr>
      <w:r>
        <w:rPr/>
        <w:t>股份变动的批准情况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1" w:firstLine="362"/>
        <w:jc w:val="left"/>
      </w:pPr>
      <w:r>
        <w:rPr>
          <w:rFonts w:ascii="Times New Roman" w:hAnsi="Times New Roman" w:cs="Times New Roman" w:eastAsia="Times New Roman" w:hint="default"/>
        </w:rPr>
        <w:t>2016</w:t>
      </w:r>
      <w:r>
        <w:rPr/>
        <w:t>年利润分配及资本公积转增股本方案经公司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日召开的第九届董事会第九次会议、第九届监事会第五次 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2016</w:t>
      </w:r>
      <w:r>
        <w:rPr/>
        <w:t>年年度股东大会审议通过。</w:t>
      </w:r>
    </w:p>
    <w:p>
      <w:pPr>
        <w:pStyle w:val="BodyText"/>
        <w:spacing w:line="240" w:lineRule="auto" w:before="53"/>
        <w:ind w:left="154" w:right="0"/>
        <w:jc w:val="left"/>
      </w:pPr>
      <w:r>
        <w:rPr/>
        <w:t>股份变动的过户情况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9" w:lineRule="auto" w:before="101"/>
        <w:ind w:right="0" w:firstLine="362"/>
        <w:jc w:val="left"/>
      </w:pPr>
      <w:r>
        <w:rPr>
          <w:rFonts w:ascii="Times New Roman" w:hAnsi="Times New Roman" w:cs="Times New Roman" w:eastAsia="Times New Roman" w:hint="default"/>
          <w:spacing w:val="-2"/>
        </w:rPr>
        <w:t>2016</w:t>
      </w:r>
      <w:r>
        <w:rPr>
          <w:spacing w:val="-2"/>
        </w:rPr>
        <w:t>年利润分配及资本公积转增股本分派对象为：截止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日下午深圳证券交易所收市后，在中国证券登记结算</w:t>
      </w:r>
      <w:r>
        <w:rPr/>
        <w:t> 有限责任公司深圳分公司登记在册的本公司全体股东。本次所转增的股份于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日直接记入股东证券账户。 股份变动对最近一年和最近一期基本每股收益和稀释每股收益、归属于公司普通股股东的每股净资产等财务指标的影响</w:t>
      </w:r>
    </w:p>
    <w:p>
      <w:pPr>
        <w:pStyle w:val="BodyText"/>
        <w:spacing w:line="338" w:lineRule="auto" w:before="58"/>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报告期内，公司实施了资本公积金转增股本，实施后公司总股本增加了</w:t>
      </w:r>
      <w:r>
        <w:rPr>
          <w:rFonts w:ascii="Times New Roman" w:hAnsi="Times New Roman" w:cs="Times New Roman" w:eastAsia="Times New Roman" w:hint="default"/>
          <w:spacing w:val="-2"/>
        </w:rPr>
        <w:t>196,041,532</w:t>
      </w:r>
      <w:r>
        <w:rPr>
          <w:spacing w:val="-2"/>
        </w:rPr>
        <w:t>股，此次变动致使公司</w:t>
      </w:r>
      <w:r>
        <w:rPr>
          <w:rFonts w:ascii="Times New Roman" w:hAnsi="Times New Roman" w:cs="Times New Roman" w:eastAsia="Times New Roman" w:hint="default"/>
          <w:spacing w:val="-2"/>
        </w:rPr>
        <w:t>2016</w:t>
      </w:r>
      <w:r>
        <w:rPr>
          <w:spacing w:val="-2"/>
        </w:rPr>
        <w:t>年度的每</w:t>
      </w:r>
    </w:p>
    <w:p>
      <w:pPr>
        <w:pStyle w:val="BodyText"/>
        <w:spacing w:line="230" w:lineRule="exact"/>
        <w:ind w:right="0"/>
        <w:jc w:val="left"/>
      </w:pPr>
      <w:r>
        <w:rPr/>
        <w:t>股收益及每股净资产等指标被摊薄，按照变动后的新股本</w:t>
      </w:r>
      <w:r>
        <w:rPr>
          <w:rFonts w:ascii="Times New Roman" w:hAnsi="Times New Roman" w:cs="Times New Roman" w:eastAsia="Times New Roman" w:hint="default"/>
        </w:rPr>
        <w:t>522,777,419</w:t>
      </w:r>
      <w:r>
        <w:rPr/>
        <w:t>股计算，</w:t>
      </w:r>
      <w:r>
        <w:rPr>
          <w:spacing w:val="-20"/>
        </w:rPr>
        <w:t> </w:t>
      </w:r>
      <w:r>
        <w:rPr>
          <w:rFonts w:ascii="Times New Roman" w:hAnsi="Times New Roman" w:cs="Times New Roman" w:eastAsia="Times New Roman" w:hint="default"/>
        </w:rPr>
        <w:t>2016</w:t>
      </w:r>
      <w:r>
        <w:rPr/>
        <w:t>年度每股收益、归属公司普通股东的每</w:t>
      </w:r>
    </w:p>
    <w:p>
      <w:pPr>
        <w:pStyle w:val="BodyText"/>
        <w:spacing w:line="240" w:lineRule="auto" w:before="63"/>
        <w:ind w:left="154" w:right="0"/>
        <w:jc w:val="left"/>
      </w:pPr>
      <w:r>
        <w:rPr/>
        <w:t>股净资产分别为</w:t>
      </w:r>
      <w:r>
        <w:rPr>
          <w:rFonts w:ascii="Times New Roman" w:hAnsi="Times New Roman" w:cs="Times New Roman" w:eastAsia="Times New Roman" w:hint="default"/>
        </w:rPr>
        <w:t>0.5213</w:t>
      </w:r>
      <w:r>
        <w:rPr/>
        <w:t>元、</w:t>
      </w:r>
      <w:r>
        <w:rPr>
          <w:rFonts w:ascii="Times New Roman" w:hAnsi="Times New Roman" w:cs="Times New Roman" w:eastAsia="Times New Roman" w:hint="default"/>
        </w:rPr>
        <w:t>9.69</w:t>
      </w:r>
      <w:r>
        <w:rPr/>
        <w:t>元，</w:t>
      </w:r>
      <w:r>
        <w:rPr>
          <w:spacing w:val="-22"/>
        </w:rPr>
        <w:t> </w:t>
      </w:r>
      <w:r>
        <w:rPr>
          <w:rFonts w:ascii="Times New Roman" w:hAnsi="Times New Roman" w:cs="Times New Roman" w:eastAsia="Times New Roman" w:hint="default"/>
        </w:rPr>
        <w:t>2017</w:t>
      </w:r>
      <w:r>
        <w:rPr/>
        <w:t>年每股收益、归属公司普通股东的每股净资产分别为</w:t>
      </w:r>
      <w:r>
        <w:rPr>
          <w:rFonts w:ascii="Times New Roman" w:hAnsi="Times New Roman" w:cs="Times New Roman" w:eastAsia="Times New Roman" w:hint="default"/>
        </w:rPr>
        <w:t>0.6706</w:t>
      </w:r>
      <w:r>
        <w:rPr/>
        <w:t>元、</w:t>
      </w:r>
      <w:r>
        <w:rPr>
          <w:rFonts w:ascii="Times New Roman" w:hAnsi="Times New Roman" w:cs="Times New Roman" w:eastAsia="Times New Roman" w:hint="default"/>
        </w:rPr>
        <w:t>10.30</w:t>
      </w:r>
      <w:r>
        <w:rPr/>
        <w:t>元。</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公司认为必要或证券监管机构要求披露的其他内容</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12"/>
      <w:bookmarkEnd w:id="11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991"/>
        <w:gridCol w:w="1277"/>
        <w:gridCol w:w="1276"/>
        <w:gridCol w:w="1418"/>
        <w:gridCol w:w="2056"/>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0" w:right="3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3" w:right="93" w:hanging="361"/>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日可解除</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112,000,000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r>
      <w:tr>
        <w:trPr>
          <w:trHeight w:val="196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朱兰英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64,378,061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38,626,837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103,004,898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日可解除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23,443,683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日可解除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73,700,294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日可解除</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5,860,921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青岛亚星实业 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43,101,098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27,854,647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70,955,745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股改限售股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日可解除</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70,955,745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258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曹林芳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32,394,711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6,478,942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15,549,461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41,465,230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日已解除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6,478,942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日可解除</w:t>
            </w:r>
          </w:p>
          <w:p>
            <w:pPr>
              <w:pStyle w:val="TableParagraph"/>
              <w:spacing w:line="240" w:lineRule="auto" w:before="63"/>
              <w:ind w:left="22" w:right="-3"/>
              <w:jc w:val="left"/>
              <w:rPr>
                <w:rFonts w:ascii="宋体" w:hAnsi="宋体" w:cs="宋体" w:eastAsia="宋体" w:hint="default"/>
                <w:sz w:val="18"/>
                <w:szCs w:val="18"/>
              </w:rPr>
            </w:pPr>
            <w:r>
              <w:rPr>
                <w:rFonts w:ascii="宋体" w:hAnsi="宋体" w:cs="宋体" w:eastAsia="宋体" w:hint="default"/>
                <w:sz w:val="18"/>
                <w:szCs w:val="18"/>
              </w:rPr>
              <w:t>限售股份 </w:t>
            </w:r>
            <w:r>
              <w:rPr>
                <w:rFonts w:ascii="Times New Roman" w:hAnsi="Times New Roman" w:cs="Times New Roman" w:eastAsia="Times New Roman" w:hint="default"/>
                <w:sz w:val="18"/>
                <w:szCs w:val="18"/>
              </w:rPr>
              <w:t>15,549,461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日可解除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15,549,461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日可解除</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限售股份 </w:t>
            </w:r>
            <w:r>
              <w:rPr>
                <w:rFonts w:ascii="Times New Roman" w:hAnsi="Times New Roman" w:cs="Times New Roman" w:eastAsia="Times New Roman" w:hint="default"/>
                <w:sz w:val="18"/>
                <w:szCs w:val="18"/>
              </w:rPr>
              <w:t>10,366,308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258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夏东明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24,205,435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5,647,600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20,170,861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38,728,696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4"/>
              <w:ind w:left="22"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非公开发行股份 </w:t>
            </w:r>
            <w:r>
              <w:rPr>
                <w:rFonts w:ascii="Times New Roman" w:hAnsi="Times New Roman" w:cs="Times New Roman" w:eastAsia="Times New Roman" w:hint="default"/>
                <w:sz w:val="18"/>
                <w:szCs w:val="18"/>
              </w:rPr>
              <w:t>29,692,535+</w:t>
            </w:r>
            <w:r>
              <w:rPr>
                <w:rFonts w:ascii="宋体" w:hAnsi="宋体" w:cs="宋体" w:eastAsia="宋体" w:hint="default"/>
                <w:sz w:val="18"/>
                <w:szCs w:val="18"/>
              </w:rPr>
              <w:t>高管</w:t>
            </w:r>
            <w:r>
              <w:rPr>
                <w:rFonts w:ascii="宋体" w:hAnsi="宋体" w:cs="宋体" w:eastAsia="宋体" w:hint="default"/>
                <w:spacing w:val="-2"/>
                <w:sz w:val="18"/>
                <w:szCs w:val="18"/>
              </w:rPr>
              <w:t> </w:t>
            </w:r>
            <w:r>
              <w:rPr>
                <w:rFonts w:ascii="宋体" w:hAnsi="宋体" w:cs="宋体" w:eastAsia="宋体" w:hint="default"/>
                <w:sz w:val="18"/>
                <w:szCs w:val="18"/>
              </w:rPr>
              <w:t>锁定股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9,036,160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日已解除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5,647,600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日可解除</w:t>
            </w:r>
          </w:p>
          <w:p>
            <w:pPr>
              <w:pStyle w:val="TableParagraph"/>
              <w:spacing w:line="240" w:lineRule="auto" w:before="63"/>
              <w:ind w:left="22" w:right="-3"/>
              <w:jc w:val="left"/>
              <w:rPr>
                <w:rFonts w:ascii="宋体" w:hAnsi="宋体" w:cs="宋体" w:eastAsia="宋体" w:hint="default"/>
                <w:sz w:val="18"/>
                <w:szCs w:val="18"/>
              </w:rPr>
            </w:pPr>
            <w:r>
              <w:rPr>
                <w:rFonts w:ascii="宋体" w:hAnsi="宋体" w:cs="宋体" w:eastAsia="宋体" w:hint="default"/>
                <w:sz w:val="18"/>
                <w:szCs w:val="18"/>
              </w:rPr>
              <w:t>限售股份 </w:t>
            </w:r>
            <w:r>
              <w:rPr>
                <w:rFonts w:ascii="Times New Roman" w:hAnsi="Times New Roman" w:cs="Times New Roman" w:eastAsia="Times New Roman" w:hint="default"/>
                <w:sz w:val="18"/>
                <w:szCs w:val="18"/>
              </w:rPr>
              <w:t>12,264,622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日可解除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限售股份 </w:t>
            </w:r>
            <w:r>
              <w:rPr>
                <w:rFonts w:ascii="Times New Roman" w:hAnsi="Times New Roman" w:cs="Times New Roman" w:eastAsia="Times New Roman" w:hint="default"/>
                <w:sz w:val="18"/>
                <w:szCs w:val="18"/>
              </w:rPr>
              <w:t>9,682,174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日可解除</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7,745,740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方正延中传媒 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7,762,150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4,657,290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12,419,440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股改限售股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全部股份已可办理解除限 售手续，股东尚未提交相 关资料</w:t>
            </w:r>
          </w:p>
        </w:tc>
      </w:tr>
      <w:tr>
        <w:trPr>
          <w:trHeight w:val="129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北京科希盟科 技集团有限公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4,994,220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1,747,977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-3,246,243</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股改限售股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日已办理解</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除限售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1,747,977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300" w:lineRule="auto" w:before="63"/>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3,246,243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股作为股改对 价转让给青岛亚星实业有</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991"/>
        <w:gridCol w:w="1277"/>
        <w:gridCol w:w="1276"/>
        <w:gridCol w:w="1418"/>
        <w:gridCol w:w="2056"/>
      </w:tblGrid>
      <w:tr>
        <w:trPr>
          <w:trHeight w:val="362" w:hRule="exact"/>
        </w:trPr>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邓建宇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4,897,159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2,938,295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7,835,454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日可解除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7,835,454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孝昌和泰兴业 </w:t>
            </w:r>
            <w:r>
              <w:rPr>
                <w:rFonts w:ascii="宋体" w:hAnsi="宋体" w:cs="宋体" w:eastAsia="宋体" w:hint="default"/>
                <w:spacing w:val="-6"/>
                <w:sz w:val="18"/>
                <w:szCs w:val="18"/>
              </w:rPr>
              <w:t>投资中心（有限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4,897,159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2,938,295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7,835,454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日可解除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7,835,454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258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罗承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4,046,033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1,011,508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1,820,715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4,855,240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日已解除</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1,011,508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日可解除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限售股份 </w:t>
            </w:r>
            <w:r>
              <w:rPr>
                <w:rFonts w:ascii="Times New Roman" w:hAnsi="Times New Roman" w:cs="Times New Roman" w:eastAsia="Times New Roman" w:hint="default"/>
                <w:sz w:val="18"/>
                <w:szCs w:val="18"/>
              </w:rPr>
              <w:t>1,942,096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日可解除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限售股份 </w:t>
            </w:r>
            <w:r>
              <w:rPr>
                <w:rFonts w:ascii="Times New Roman" w:hAnsi="Times New Roman" w:cs="Times New Roman" w:eastAsia="Times New Roman" w:hint="default"/>
                <w:sz w:val="18"/>
                <w:szCs w:val="18"/>
              </w:rPr>
              <w:t>1,618,413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日可解除</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1,294,731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修涞贵</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3,746,327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2,247,796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5,994,123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日可解除</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限售股份 </w:t>
            </w:r>
            <w:r>
              <w:rPr>
                <w:rFonts w:ascii="Times New Roman" w:hAnsi="Times New Roman" w:cs="Times New Roman" w:eastAsia="Times New Roman" w:hint="default"/>
                <w:sz w:val="18"/>
                <w:szCs w:val="18"/>
              </w:rPr>
              <w:t>4,795,298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日可解除</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限售股份 </w:t>
            </w:r>
            <w:r>
              <w:rPr>
                <w:rFonts w:ascii="Times New Roman" w:hAnsi="Times New Roman" w:cs="Times New Roman" w:eastAsia="Times New Roman" w:hint="default"/>
                <w:sz w:val="18"/>
                <w:szCs w:val="18"/>
              </w:rPr>
              <w:t>1,198,825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华安未来资管</w:t>
            </w:r>
          </w:p>
          <w:p>
            <w:pPr>
              <w:pStyle w:val="TableParagraph"/>
              <w:spacing w:line="309" w:lineRule="auto" w:before="75"/>
              <w:ind w:left="22" w:right="20"/>
              <w:jc w:val="left"/>
              <w:rPr>
                <w:rFonts w:ascii="宋体" w:hAnsi="宋体" w:cs="宋体" w:eastAsia="宋体" w:hint="default"/>
                <w:sz w:val="18"/>
                <w:szCs w:val="18"/>
              </w:rPr>
            </w:pPr>
            <w:r>
              <w:rPr>
                <w:rFonts w:ascii="宋体" w:hAnsi="宋体" w:cs="宋体" w:eastAsia="宋体" w:hint="default"/>
                <w:sz w:val="18"/>
                <w:szCs w:val="18"/>
              </w:rPr>
              <w:t>－宁波银行－ 深大通</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号资产 管理计划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3,428,011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2,056,807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5,484,818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日可解除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5,484,818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196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蒋纪平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3,371,694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2,023,017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5,394,711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日可解除</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限售股份 </w:t>
            </w:r>
            <w:r>
              <w:rPr>
                <w:rFonts w:ascii="Times New Roman" w:hAnsi="Times New Roman" w:cs="Times New Roman" w:eastAsia="Times New Roman" w:hint="default"/>
                <w:sz w:val="18"/>
                <w:szCs w:val="18"/>
              </w:rPr>
              <w:t>2,967,091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日可解除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限售股份 </w:t>
            </w:r>
            <w:r>
              <w:rPr>
                <w:rFonts w:ascii="Times New Roman" w:hAnsi="Times New Roman" w:cs="Times New Roman" w:eastAsia="Times New Roman" w:hint="default"/>
                <w:sz w:val="18"/>
                <w:szCs w:val="18"/>
              </w:rPr>
              <w:t>1,348,678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日可解除</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限售股份 </w:t>
            </w:r>
            <w:r>
              <w:rPr>
                <w:rFonts w:ascii="Times New Roman" w:hAnsi="Times New Roman" w:cs="Times New Roman" w:eastAsia="Times New Roman" w:hint="default"/>
                <w:sz w:val="18"/>
                <w:szCs w:val="18"/>
              </w:rPr>
              <w:t>1,078,942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258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宁波华夏嘉源 管理咨询有限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3,371,694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842,923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1,517,263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4,046,034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日已解除</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842,923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2018</w:t>
            </w:r>
          </w:p>
          <w:p>
            <w:pPr>
              <w:pStyle w:val="TableParagraph"/>
              <w:spacing w:line="300"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日可解除限售股 份 </w:t>
            </w:r>
            <w:r>
              <w:rPr>
                <w:rFonts w:ascii="Times New Roman" w:hAnsi="Times New Roman" w:cs="Times New Roman" w:eastAsia="Times New Roman" w:hint="default"/>
                <w:sz w:val="18"/>
                <w:szCs w:val="18"/>
              </w:rPr>
              <w:t>1,618,413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日可解除限售股份</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1,348,678  </w:t>
            </w:r>
            <w:r>
              <w:rPr>
                <w:rFonts w:ascii="宋体" w:hAnsi="宋体" w:cs="宋体" w:eastAsia="宋体" w:hint="default"/>
                <w:sz w:val="18"/>
                <w:szCs w:val="18"/>
              </w:rPr>
              <w:t>股，</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日可解除限售股份</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1,078,942  </w:t>
            </w:r>
            <w:r>
              <w:rPr>
                <w:rFonts w:ascii="宋体" w:hAnsi="宋体" w:cs="宋体" w:eastAsia="宋体" w:hint="default"/>
                <w:sz w:val="18"/>
                <w:szCs w:val="18"/>
              </w:rPr>
              <w:t>股</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张锦军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2,448,579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1,469,147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3,917,726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日可解除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3,917,726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深圳市立信创 展投资有限公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2,140,380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1,284,228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3,424,608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股改限售股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全部股份已可办理解除限 售手续，股东尚未提交相 关资料</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991"/>
        <w:gridCol w:w="1277"/>
        <w:gridCol w:w="1276"/>
        <w:gridCol w:w="1418"/>
        <w:gridCol w:w="2056"/>
      </w:tblGrid>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深圳市益田集 团股份有限公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股改限售股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日可解除</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258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黄艳红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2,107,309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526,827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948,289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2,528,771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日已解除</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526,827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2018</w:t>
            </w:r>
          </w:p>
          <w:p>
            <w:pPr>
              <w:pStyle w:val="TableParagraph"/>
              <w:spacing w:line="300"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日可解除限售股 份 </w:t>
            </w:r>
            <w:r>
              <w:rPr>
                <w:rFonts w:ascii="Times New Roman" w:hAnsi="Times New Roman" w:cs="Times New Roman" w:eastAsia="Times New Roman" w:hint="default"/>
                <w:sz w:val="18"/>
                <w:szCs w:val="18"/>
              </w:rPr>
              <w:t>1,011,508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日可解除限售股份</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842,924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日可解除限售股份</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674,339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258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龚莉蓉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1,685,847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421,461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758,632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2,023,018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日已解除</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421,461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日可解除限售股</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809,207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日可解除限售股份</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674,339 </w:t>
            </w:r>
            <w:r>
              <w:rPr>
                <w:rFonts w:ascii="宋体" w:hAnsi="宋体" w:cs="宋体" w:eastAsia="宋体" w:hint="default"/>
                <w:sz w:val="18"/>
                <w:szCs w:val="18"/>
              </w:rPr>
              <w:t>股，</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日可解除限售股份</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539,472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258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1,542,605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308,521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740,451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1,974,535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日已解除</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308,521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日可解除限售股</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740,450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日可解除限售股份</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740,451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日可解除限售股份</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493,634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华安未来资管</w:t>
            </w:r>
          </w:p>
          <w:p>
            <w:pPr>
              <w:pStyle w:val="TableParagraph"/>
              <w:spacing w:line="309" w:lineRule="auto" w:before="76"/>
              <w:ind w:left="22" w:right="20"/>
              <w:jc w:val="left"/>
              <w:rPr>
                <w:rFonts w:ascii="宋体" w:hAnsi="宋体" w:cs="宋体" w:eastAsia="宋体" w:hint="default"/>
                <w:sz w:val="18"/>
                <w:szCs w:val="18"/>
              </w:rPr>
            </w:pPr>
            <w:r>
              <w:rPr>
                <w:rFonts w:ascii="宋体" w:hAnsi="宋体" w:cs="宋体" w:eastAsia="宋体" w:hint="default"/>
                <w:sz w:val="18"/>
                <w:szCs w:val="18"/>
              </w:rPr>
              <w:t>－宁波银行－ 深大通</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号资产 管理计划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1,469,147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881,488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2,350,635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日可解除</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2,350,635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华安未来资管</w:t>
            </w:r>
          </w:p>
          <w:p>
            <w:pPr>
              <w:pStyle w:val="TableParagraph"/>
              <w:spacing w:line="309" w:lineRule="auto" w:before="76"/>
              <w:ind w:left="22" w:right="20"/>
              <w:jc w:val="left"/>
              <w:rPr>
                <w:rFonts w:ascii="宋体" w:hAnsi="宋体" w:cs="宋体" w:eastAsia="宋体" w:hint="default"/>
                <w:sz w:val="18"/>
                <w:szCs w:val="18"/>
              </w:rPr>
            </w:pPr>
            <w:r>
              <w:rPr>
                <w:rFonts w:ascii="宋体" w:hAnsi="宋体" w:cs="宋体" w:eastAsia="宋体" w:hint="default"/>
                <w:sz w:val="18"/>
                <w:szCs w:val="18"/>
              </w:rPr>
              <w:t>－宁波银行－ 深大通</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号资产 管理计划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1,469,147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881,488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2,350,635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日可解除</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2,350,635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2235"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莫清雅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1,048,971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209,794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503,506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1,342,683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日已解除</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限售股份</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209,794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日可解除限售股</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503,506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日可解除限售股份</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503,506 </w:t>
            </w:r>
            <w:r>
              <w:rPr>
                <w:rFonts w:ascii="宋体" w:hAnsi="宋体" w:cs="宋体" w:eastAsia="宋体" w:hint="default"/>
                <w:sz w:val="18"/>
                <w:szCs w:val="18"/>
              </w:rPr>
              <w:t>股，</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日可解除限售股份</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991"/>
        <w:gridCol w:w="1277"/>
        <w:gridCol w:w="1276"/>
        <w:gridCol w:w="1418"/>
        <w:gridCol w:w="2056"/>
      </w:tblGrid>
      <w:tr>
        <w:trPr>
          <w:trHeight w:val="362" w:hRule="exact"/>
        </w:trPr>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335,671  </w:t>
            </w:r>
            <w:r>
              <w:rPr>
                <w:rFonts w:ascii="宋体" w:hAnsi="宋体" w:cs="宋体" w:eastAsia="宋体" w:hint="default"/>
                <w:sz w:val="18"/>
                <w:szCs w:val="18"/>
              </w:rPr>
              <w:t>股</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广东华侨信托 投资公司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263,420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158,052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421,472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股改限售股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全部股份已可办理解除限 售手续，股东尚未提交相 关资料</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深圳新通阳电 子元件工业有 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235,290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141,174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376,464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股改限售股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全部股份已可办理解除限 售手续，股东尚未提交相 关资料</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王立平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日解除锁 定</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289,004,647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17,195,753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172,121,496</w:t>
            </w:r>
          </w:p>
        </w:tc>
        <w:tc>
          <w:tcPr>
            <w:tcW w:w="127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443,930,390</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二、证券发行与上市情况" w:id="113"/>
      <w:bookmarkEnd w:id="113"/>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4"/>
      <w:bookmarkEnd w:id="11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15"/>
      <w:bookmarkEnd w:id="11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报告期内公司实施了</w:t>
      </w:r>
      <w:r>
        <w:rPr>
          <w:rFonts w:ascii="Times New Roman" w:hAnsi="Times New Roman" w:cs="Times New Roman" w:eastAsia="Times New Roman" w:hint="default"/>
          <w:spacing w:val="-2"/>
        </w:rPr>
        <w:t>2016</w:t>
      </w:r>
      <w:r>
        <w:rPr>
          <w:spacing w:val="-2"/>
        </w:rPr>
        <w:t>年利润分配及资本公积转增股本方案，总股本由</w:t>
      </w:r>
      <w:r>
        <w:rPr>
          <w:rFonts w:ascii="Times New Roman" w:hAnsi="Times New Roman" w:cs="Times New Roman" w:eastAsia="Times New Roman" w:hint="default"/>
          <w:spacing w:val="-2"/>
        </w:rPr>
        <w:t>326,735,887</w:t>
      </w:r>
      <w:r>
        <w:rPr>
          <w:spacing w:val="-2"/>
        </w:rPr>
        <w:t>股变更为</w:t>
      </w:r>
      <w:r>
        <w:rPr>
          <w:rFonts w:ascii="Times New Roman" w:hAnsi="Times New Roman" w:cs="Times New Roman" w:eastAsia="Times New Roman" w:hint="default"/>
          <w:spacing w:val="-2"/>
        </w:rPr>
        <w:t>522,777,419</w:t>
      </w:r>
      <w:r>
        <w:rPr>
          <w:spacing w:val="-2"/>
        </w:rPr>
        <w:t>股，公司总股</w:t>
      </w:r>
    </w:p>
    <w:p>
      <w:pPr>
        <w:pStyle w:val="BodyText"/>
        <w:spacing w:line="231" w:lineRule="exact"/>
        <w:ind w:right="0"/>
        <w:jc w:val="left"/>
      </w:pPr>
      <w:r>
        <w:rPr/>
        <w:t>本增加</w:t>
      </w:r>
      <w:r>
        <w:rPr>
          <w:rFonts w:ascii="Times New Roman" w:hAnsi="Times New Roman" w:cs="Times New Roman" w:eastAsia="Times New Roman" w:hint="default"/>
        </w:rPr>
        <w:t>196,041,532</w:t>
      </w:r>
      <w:r>
        <w:rPr/>
        <w:t>股，其中有限售条件股份增加</w:t>
      </w:r>
      <w:r>
        <w:rPr>
          <w:rFonts w:ascii="Times New Roman" w:hAnsi="Times New Roman" w:cs="Times New Roman" w:eastAsia="Times New Roman" w:hint="default"/>
        </w:rPr>
        <w:t>166,473,896</w:t>
      </w:r>
      <w:r>
        <w:rPr/>
        <w:t>股，无限售条件股份增加</w:t>
      </w:r>
      <w:r>
        <w:rPr>
          <w:rFonts w:ascii="Times New Roman" w:hAnsi="Times New Roman" w:cs="Times New Roman" w:eastAsia="Times New Roman" w:hint="default"/>
        </w:rPr>
        <w:t>29,567,636</w:t>
      </w:r>
      <w:r>
        <w:rPr/>
        <w:t>。鉴于是资本公积金转增股</w:t>
      </w:r>
    </w:p>
    <w:p>
      <w:pPr>
        <w:pStyle w:val="BodyText"/>
        <w:spacing w:line="240" w:lineRule="auto" w:before="63"/>
        <w:ind w:right="0"/>
        <w:jc w:val="left"/>
      </w:pPr>
      <w:r>
        <w:rPr/>
        <w:t>本，因此公司资产和负债结构没有由此发生变化。</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现存的内部职工股情况" w:id="116"/>
      <w:bookmarkEnd w:id="11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7"/>
      <w:bookmarkEnd w:id="117"/>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8"/>
      <w:bookmarkEnd w:id="11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pict>
          <v:shape style="position:absolute;margin-left:455.937012pt;margin-top:68.291710pt;width:79pt;height:31.2pt;mso-position-horizontal-relative:page;mso-position-vertical-relative:paragraph;z-index:-859696"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9.119995pt;margin-top:68.291710pt;width:45.8pt;height:31.2pt;mso-position-horizontal-relative:page;mso-position-vertical-relative:paragraph;z-index:-859672" coordorigin="9782,1366" coordsize="916,624">
            <v:shape style="position:absolute;left:9782;top:1366;width:916;height:624" coordorigin="9782,1366" coordsize="916,624" path="m9782,1990l10698,1990,10698,1366,9782,1366,9782,1990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90"/>
        <w:gridCol w:w="268"/>
        <w:gridCol w:w="940"/>
        <w:gridCol w:w="472"/>
        <w:gridCol w:w="816"/>
        <w:gridCol w:w="981"/>
        <w:gridCol w:w="121"/>
        <w:gridCol w:w="871"/>
        <w:gridCol w:w="568"/>
        <w:gridCol w:w="425"/>
        <w:gridCol w:w="662"/>
        <w:gridCol w:w="188"/>
        <w:gridCol w:w="695"/>
        <w:gridCol w:w="423"/>
        <w:gridCol w:w="446"/>
        <w:gridCol w:w="491"/>
      </w:tblGrid>
      <w:tr>
        <w:trPr>
          <w:trHeight w:val="161" w:hRule="exact"/>
        </w:trPr>
        <w:tc>
          <w:tcPr>
            <w:tcW w:w="1190"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20,387</w:t>
            </w:r>
          </w:p>
        </w:tc>
        <w:tc>
          <w:tcPr>
            <w:tcW w:w="1288" w:type="dxa"/>
            <w:gridSpan w:val="2"/>
            <w:vMerge w:val="restart"/>
            <w:tcBorders>
              <w:top w:val="single" w:sz="4" w:space="0" w:color="000000"/>
              <w:left w:val="single" w:sz="4" w:space="0" w:color="000000"/>
              <w:right w:val="single" w:sz="4" w:space="0" w:color="000000"/>
            </w:tcBorders>
            <w:shd w:val="clear" w:color="auto" w:fill="D2D2D2"/>
          </w:tcPr>
          <w:p>
            <w:pPr/>
          </w:p>
        </w:tc>
        <w:tc>
          <w:tcPr>
            <w:tcW w:w="1103"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56" w:right="0"/>
              <w:jc w:val="left"/>
              <w:rPr>
                <w:rFonts w:ascii="Times New Roman" w:hAnsi="Times New Roman" w:cs="Times New Roman" w:eastAsia="Times New Roman" w:hint="default"/>
                <w:sz w:val="18"/>
                <w:szCs w:val="18"/>
              </w:rPr>
            </w:pPr>
            <w:r>
              <w:rPr>
                <w:rFonts w:ascii="Times New Roman"/>
                <w:sz w:val="18"/>
              </w:rPr>
              <w:t>17,412</w:t>
            </w:r>
          </w:p>
        </w:tc>
        <w:tc>
          <w:tcPr>
            <w:tcW w:w="14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30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46" w:type="dxa"/>
            <w:tcBorders>
              <w:top w:val="single" w:sz="4" w:space="0" w:color="000000"/>
              <w:left w:val="single" w:sz="13" w:space="0" w:color="D2D2D2"/>
              <w:bottom w:val="nil" w:sz="6" w:space="0" w:color="auto"/>
              <w:right w:val="nil" w:sz="6" w:space="0" w:color="auto"/>
            </w:tcBorders>
          </w:tcPr>
          <w:p>
            <w:pPr/>
          </w:p>
        </w:tc>
        <w:tc>
          <w:tcPr>
            <w:tcW w:w="491"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190"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8" w:type="dxa"/>
            <w:gridSpan w:val="2"/>
            <w:vMerge/>
            <w:tcBorders>
              <w:left w:val="single" w:sz="4" w:space="0" w:color="000000"/>
              <w:bottom w:val="nil" w:sz="6" w:space="0" w:color="auto"/>
              <w:right w:val="single" w:sz="4" w:space="0" w:color="000000"/>
            </w:tcBorders>
            <w:shd w:val="clear" w:color="auto" w:fill="D2D2D2"/>
          </w:tcPr>
          <w:p>
            <w:pPr/>
          </w:p>
        </w:tc>
        <w:tc>
          <w:tcPr>
            <w:tcW w:w="1103" w:type="dxa"/>
            <w:gridSpan w:val="2"/>
            <w:vMerge/>
            <w:tcBorders>
              <w:left w:val="single" w:sz="9" w:space="0" w:color="D2D2D2"/>
              <w:right w:val="single" w:sz="9" w:space="0" w:color="D2D2D2"/>
            </w:tcBorders>
          </w:tcPr>
          <w:p>
            <w:pPr/>
          </w:p>
        </w:tc>
        <w:tc>
          <w:tcPr>
            <w:tcW w:w="143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4"/>
                <w:sz w:val="18"/>
                <w:szCs w:val="18"/>
              </w:rPr>
              <w:t>东总数（如有）（参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86" w:type="dxa"/>
            <w:gridSpan w:val="2"/>
            <w:vMerge/>
            <w:tcBorders>
              <w:left w:val="single" w:sz="9" w:space="0" w:color="D2D2D2"/>
              <w:right w:val="single" w:sz="9" w:space="0" w:color="D2D2D2"/>
            </w:tcBorders>
          </w:tcPr>
          <w:p>
            <w:pPr/>
          </w:p>
        </w:tc>
        <w:tc>
          <w:tcPr>
            <w:tcW w:w="1306" w:type="dxa"/>
            <w:gridSpan w:val="3"/>
            <w:vMerge/>
            <w:tcBorders>
              <w:left w:val="single" w:sz="4" w:space="0" w:color="000000"/>
              <w:right w:val="single" w:sz="4" w:space="0" w:color="000000"/>
            </w:tcBorders>
            <w:shd w:val="clear" w:color="auto" w:fill="D2D2D2"/>
          </w:tcPr>
          <w:p>
            <w:pPr/>
          </w:p>
        </w:tc>
        <w:tc>
          <w:tcPr>
            <w:tcW w:w="446" w:type="dxa"/>
            <w:vMerge w:val="restart"/>
            <w:tcBorders>
              <w:top w:val="nil" w:sz="6" w:space="0" w:color="auto"/>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190"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03" w:type="dxa"/>
            <w:gridSpan w:val="2"/>
            <w:vMerge/>
            <w:tcBorders>
              <w:left w:val="single" w:sz="9" w:space="0" w:color="D2D2D2"/>
              <w:right w:val="single" w:sz="9" w:space="0" w:color="D2D2D2"/>
            </w:tcBorders>
          </w:tcPr>
          <w:p>
            <w:pPr/>
          </w:p>
        </w:tc>
        <w:tc>
          <w:tcPr>
            <w:tcW w:w="1439"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3"/>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87"/>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288" w:type="dxa"/>
            <w:gridSpan w:val="2"/>
            <w:vMerge/>
            <w:tcBorders>
              <w:left w:val="single" w:sz="4" w:space="0" w:color="000000"/>
              <w:right w:val="single" w:sz="4" w:space="0" w:color="000000"/>
            </w:tcBorders>
            <w:shd w:val="clear" w:color="auto" w:fill="D2D2D2"/>
          </w:tcPr>
          <w:p>
            <w:pPr/>
          </w:p>
        </w:tc>
        <w:tc>
          <w:tcPr>
            <w:tcW w:w="1103" w:type="dxa"/>
            <w:gridSpan w:val="2"/>
            <w:vMerge/>
            <w:tcBorders>
              <w:left w:val="single" w:sz="9" w:space="0" w:color="D2D2D2"/>
              <w:right w:val="single" w:sz="9" w:space="0" w:color="D2D2D2"/>
            </w:tcBorders>
          </w:tcPr>
          <w:p>
            <w:pPr/>
          </w:p>
        </w:tc>
        <w:tc>
          <w:tcPr>
            <w:tcW w:w="1439"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3"/>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0"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8" w:type="dxa"/>
            <w:gridSpan w:val="2"/>
            <w:vMerge/>
            <w:tcBorders>
              <w:left w:val="single" w:sz="4" w:space="0" w:color="000000"/>
              <w:bottom w:val="nil" w:sz="6" w:space="0" w:color="auto"/>
              <w:right w:val="single" w:sz="4" w:space="0" w:color="000000"/>
            </w:tcBorders>
            <w:shd w:val="clear" w:color="auto" w:fill="D2D2D2"/>
          </w:tcPr>
          <w:p>
            <w:pPr/>
          </w:p>
        </w:tc>
        <w:tc>
          <w:tcPr>
            <w:tcW w:w="1103" w:type="dxa"/>
            <w:gridSpan w:val="2"/>
            <w:vMerge/>
            <w:tcBorders>
              <w:left w:val="single" w:sz="9" w:space="0" w:color="D2D2D2"/>
              <w:right w:val="single" w:sz="9" w:space="0" w:color="D2D2D2"/>
            </w:tcBorders>
          </w:tcPr>
          <w:p>
            <w:pPr/>
          </w:p>
        </w:tc>
        <w:tc>
          <w:tcPr>
            <w:tcW w:w="1439"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3"/>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190"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8" w:type="dxa"/>
            <w:gridSpan w:val="2"/>
            <w:vMerge w:val="restart"/>
            <w:tcBorders>
              <w:top w:val="nil" w:sz="6" w:space="0" w:color="auto"/>
              <w:left w:val="single" w:sz="4" w:space="0" w:color="000000"/>
              <w:right w:val="single" w:sz="4" w:space="0" w:color="000000"/>
            </w:tcBorders>
            <w:shd w:val="clear" w:color="auto" w:fill="D2D2D2"/>
          </w:tcPr>
          <w:p>
            <w:pPr/>
          </w:p>
        </w:tc>
        <w:tc>
          <w:tcPr>
            <w:tcW w:w="1103" w:type="dxa"/>
            <w:gridSpan w:val="2"/>
            <w:vMerge/>
            <w:tcBorders>
              <w:left w:val="single" w:sz="9" w:space="0" w:color="D2D2D2"/>
              <w:right w:val="single" w:sz="9" w:space="0" w:color="D2D2D2"/>
            </w:tcBorders>
          </w:tcPr>
          <w:p>
            <w:pPr/>
          </w:p>
        </w:tc>
        <w:tc>
          <w:tcPr>
            <w:tcW w:w="1439" w:type="dxa"/>
            <w:gridSpan w:val="2"/>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3"/>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190"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288" w:type="dxa"/>
            <w:gridSpan w:val="2"/>
            <w:vMerge/>
            <w:tcBorders>
              <w:left w:val="single" w:sz="4" w:space="0" w:color="000000"/>
              <w:bottom w:val="single" w:sz="4" w:space="0" w:color="000000"/>
              <w:right w:val="single" w:sz="4" w:space="0" w:color="000000"/>
            </w:tcBorders>
            <w:shd w:val="clear" w:color="auto" w:fill="D2D2D2"/>
          </w:tcPr>
          <w:p>
            <w:pPr/>
          </w:p>
        </w:tc>
        <w:tc>
          <w:tcPr>
            <w:tcW w:w="1103" w:type="dxa"/>
            <w:gridSpan w:val="2"/>
            <w:vMerge/>
            <w:tcBorders>
              <w:left w:val="single" w:sz="9" w:space="0" w:color="D2D2D2"/>
              <w:bottom w:val="single" w:sz="4" w:space="0" w:color="000000"/>
              <w:right w:val="single" w:sz="9" w:space="0" w:color="D2D2D2"/>
            </w:tcBorders>
          </w:tcPr>
          <w:p>
            <w:pPr/>
          </w:p>
        </w:tc>
        <w:tc>
          <w:tcPr>
            <w:tcW w:w="14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9" w:space="0" w:color="D2D2D2"/>
              <w:bottom w:val="single" w:sz="4" w:space="0" w:color="000000"/>
              <w:right w:val="single" w:sz="9" w:space="0" w:color="D2D2D2"/>
            </w:tcBorders>
          </w:tcPr>
          <w:p>
            <w:pPr/>
          </w:p>
        </w:tc>
        <w:tc>
          <w:tcPr>
            <w:tcW w:w="1306" w:type="dxa"/>
            <w:gridSpan w:val="3"/>
            <w:vMerge/>
            <w:tcBorders>
              <w:left w:val="single" w:sz="4" w:space="0" w:color="000000"/>
              <w:bottom w:val="single" w:sz="4" w:space="0" w:color="000000"/>
              <w:right w:val="single" w:sz="4" w:space="0" w:color="000000"/>
            </w:tcBorders>
            <w:shd w:val="clear" w:color="auto" w:fill="D2D2D2"/>
          </w:tcPr>
          <w:p>
            <w:pPr/>
          </w:p>
        </w:tc>
        <w:tc>
          <w:tcPr>
            <w:tcW w:w="446" w:type="dxa"/>
            <w:vMerge/>
            <w:tcBorders>
              <w:left w:val="single" w:sz="13" w:space="0" w:color="D2D2D2"/>
              <w:bottom w:val="single" w:sz="4" w:space="0" w:color="000000"/>
              <w:right w:val="nil" w:sz="6" w:space="0" w:color="auto"/>
            </w:tcBorders>
          </w:tcPr>
          <w:p>
            <w:pPr/>
          </w:p>
        </w:tc>
        <w:tc>
          <w:tcPr>
            <w:tcW w:w="491" w:type="dxa"/>
            <w:tcBorders>
              <w:top w:val="nil" w:sz="6" w:space="0" w:color="auto"/>
              <w:left w:val="nil" w:sz="6" w:space="0" w:color="auto"/>
              <w:bottom w:val="single" w:sz="4" w:space="0" w:color="000000"/>
              <w:right w:val="single" w:sz="4" w:space="0" w:color="000000"/>
            </w:tcBorders>
          </w:tcPr>
          <w:p>
            <w:pPr/>
          </w:p>
        </w:tc>
      </w:tr>
      <w:tr>
        <w:trPr>
          <w:trHeight w:val="393" w:hRule="exact"/>
        </w:trPr>
        <w:tc>
          <w:tcPr>
            <w:tcW w:w="9557"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458"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816" w:type="dxa"/>
            <w:vMerge w:val="restart"/>
            <w:tcBorders>
              <w:top w:val="single" w:sz="4" w:space="0" w:color="000000"/>
              <w:left w:val="single" w:sz="4" w:space="0" w:color="000000"/>
              <w:right w:val="single" w:sz="4" w:space="0" w:color="000000"/>
            </w:tcBorders>
            <w:shd w:val="clear" w:color="auto" w:fill="D2D2D2"/>
          </w:tcPr>
          <w:p>
            <w:pPr/>
          </w:p>
        </w:tc>
        <w:tc>
          <w:tcPr>
            <w:tcW w:w="98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0" w:right="4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60" w:right="57"/>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055"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6"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c>
          <w:tcPr>
            <w:tcW w:w="9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1" w:right="48"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1"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3"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2055" w:type="dxa"/>
            <w:gridSpan w:val="4"/>
            <w:vMerge/>
            <w:tcBorders>
              <w:left w:val="single" w:sz="4" w:space="0" w:color="000000"/>
              <w:bottom w:val="single" w:sz="4" w:space="0" w:color="000000"/>
              <w:right w:val="single" w:sz="4" w:space="0" w:color="000000"/>
            </w:tcBorders>
            <w:shd w:val="clear" w:color="auto" w:fill="D2D2D2"/>
          </w:tcPr>
          <w:p>
            <w:pPr/>
          </w:p>
        </w:tc>
      </w:tr>
      <w:tr>
        <w:trPr>
          <w:trHeight w:val="181"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3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81"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6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258" w:right="64"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1360" w:type="dxa"/>
            <w:gridSpan w:val="3"/>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c>
          <w:tcPr>
            <w:tcW w:w="981"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695" w:type="dxa"/>
            <w:vMerge/>
            <w:tcBorders>
              <w:left w:val="single" w:sz="4" w:space="0" w:color="000000"/>
              <w:right w:val="single" w:sz="4" w:space="0" w:color="000000"/>
            </w:tcBorders>
            <w:shd w:val="clear" w:color="auto" w:fill="D2D2D2"/>
          </w:tcPr>
          <w:p>
            <w:pPr/>
          </w:p>
        </w:tc>
        <w:tc>
          <w:tcPr>
            <w:tcW w:w="1360"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78"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816" w:type="dxa"/>
            <w:vMerge w:val="restart"/>
            <w:tcBorders>
              <w:top w:val="nil" w:sz="6" w:space="0" w:color="auto"/>
              <w:left w:val="single" w:sz="4" w:space="0" w:color="000000"/>
              <w:right w:val="single" w:sz="4" w:space="0" w:color="000000"/>
            </w:tcBorders>
            <w:shd w:val="clear" w:color="auto" w:fill="D2D2D2"/>
          </w:tcPr>
          <w:p>
            <w:pPr/>
          </w:p>
        </w:tc>
        <w:tc>
          <w:tcPr>
            <w:tcW w:w="981" w:type="dxa"/>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695" w:type="dxa"/>
            <w:vMerge/>
            <w:tcBorders>
              <w:left w:val="single" w:sz="4" w:space="0" w:color="000000"/>
              <w:right w:val="single" w:sz="4" w:space="0" w:color="000000"/>
            </w:tcBorders>
            <w:shd w:val="clear" w:color="auto" w:fill="D2D2D2"/>
          </w:tcPr>
          <w:p>
            <w:pPr/>
          </w:p>
        </w:tc>
        <w:tc>
          <w:tcPr>
            <w:tcW w:w="1360" w:type="dxa"/>
            <w:gridSpan w:val="3"/>
            <w:vMerge/>
            <w:tcBorders>
              <w:left w:val="single" w:sz="4" w:space="0" w:color="000000"/>
              <w:bottom w:val="nil" w:sz="6" w:space="0" w:color="auto"/>
              <w:right w:val="single" w:sz="4" w:space="0" w:color="000000"/>
            </w:tcBorders>
            <w:shd w:val="clear" w:color="auto" w:fill="D2D2D2"/>
          </w:tcPr>
          <w:p>
            <w:pPr/>
          </w:p>
        </w:tc>
      </w:tr>
      <w:tr>
        <w:trPr>
          <w:trHeight w:val="183" w:hRule="exact"/>
        </w:trPr>
        <w:tc>
          <w:tcPr>
            <w:tcW w:w="1458"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816" w:type="dxa"/>
            <w:vMerge/>
            <w:tcBorders>
              <w:left w:val="single" w:sz="4" w:space="0" w:color="000000"/>
              <w:bottom w:val="single" w:sz="4" w:space="0" w:color="000000"/>
              <w:right w:val="single" w:sz="4" w:space="0" w:color="000000"/>
            </w:tcBorders>
            <w:shd w:val="clear" w:color="auto" w:fill="D2D2D2"/>
          </w:tcPr>
          <w:p>
            <w:pPr/>
          </w:p>
        </w:tc>
        <w:tc>
          <w:tcPr>
            <w:tcW w:w="98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gridSpan w:val="2"/>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695" w:type="dxa"/>
            <w:vMerge/>
            <w:tcBorders>
              <w:left w:val="single" w:sz="4" w:space="0" w:color="000000"/>
              <w:bottom w:val="single" w:sz="4" w:space="0" w:color="000000"/>
              <w:right w:val="single" w:sz="4" w:space="0" w:color="000000"/>
            </w:tcBorders>
            <w:shd w:val="clear" w:color="auto" w:fill="D2D2D2"/>
          </w:tcPr>
          <w:p>
            <w:pPr/>
          </w:p>
        </w:tc>
        <w:tc>
          <w:tcPr>
            <w:tcW w:w="1360" w:type="dxa"/>
            <w:gridSpan w:val="3"/>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1008"/>
        <w:gridCol w:w="992"/>
        <w:gridCol w:w="994"/>
        <w:gridCol w:w="206"/>
        <w:gridCol w:w="644"/>
        <w:gridCol w:w="706"/>
        <w:gridCol w:w="1349"/>
      </w:tblGrid>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112,000,000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42,000,000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112,000,000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111,872,000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朱兰英</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103,004,898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38,626,837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103,004,898</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101,263,999</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青岛亚星实业有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70,955,745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27,854,647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70,955,745</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65,760,000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曹林芳</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46,271,796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13,877,085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41,465,230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4,806,566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40,581,076</w:t>
            </w:r>
          </w:p>
        </w:tc>
      </w:tr>
      <w:tr>
        <w:trPr>
          <w:trHeight w:val="402" w:hRule="exact"/>
        </w:trPr>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夏东明</w:t>
            </w:r>
          </w:p>
        </w:tc>
        <w:tc>
          <w:tcPr>
            <w:tcW w:w="141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7.41%</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38,728,696</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14,523,261</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38,728,696</w:t>
            </w:r>
          </w:p>
        </w:tc>
        <w:tc>
          <w:tcPr>
            <w:tcW w:w="850"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23,307,859</w:t>
            </w:r>
          </w:p>
        </w:tc>
      </w:tr>
      <w:tr>
        <w:trPr>
          <w:trHeight w:val="402" w:hRule="exact"/>
        </w:trPr>
        <w:tc>
          <w:tcPr>
            <w:tcW w:w="1469" w:type="dxa"/>
            <w:vMerge/>
            <w:tcBorders>
              <w:left w:val="single" w:sz="4" w:space="0" w:color="000000"/>
              <w:bottom w:val="single" w:sz="4" w:space="0" w:color="000000"/>
              <w:right w:val="single" w:sz="4" w:space="0" w:color="000000"/>
            </w:tcBorders>
          </w:tcPr>
          <w:p>
            <w:pPr/>
          </w:p>
        </w:tc>
        <w:tc>
          <w:tcPr>
            <w:tcW w:w="1412"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0" w:type="dxa"/>
            <w:gridSpan w:val="2"/>
            <w:vMerge/>
            <w:tcBorders>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30,673,797</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方正延中传媒有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center"/>
              <w:rPr>
                <w:rFonts w:ascii="Times New Roman" w:hAnsi="Times New Roman" w:cs="Times New Roman" w:eastAsia="Times New Roman" w:hint="default"/>
                <w:sz w:val="18"/>
                <w:szCs w:val="18"/>
              </w:rPr>
            </w:pPr>
            <w:r>
              <w:rPr>
                <w:rFonts w:ascii="Times New Roman"/>
                <w:sz w:val="18"/>
              </w:rPr>
              <w:t>12,419,440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4,657,290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12,419,440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12,419,440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邓建宇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3" w:right="0"/>
              <w:jc w:val="center"/>
              <w:rPr>
                <w:rFonts w:ascii="Times New Roman" w:hAnsi="Times New Roman" w:cs="Times New Roman" w:eastAsia="Times New Roman" w:hint="default"/>
                <w:sz w:val="18"/>
                <w:szCs w:val="18"/>
              </w:rPr>
            </w:pPr>
            <w:r>
              <w:rPr>
                <w:rFonts w:ascii="Times New Roman"/>
                <w:sz w:val="18"/>
              </w:rPr>
              <w:t>7,835,454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2,938,295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7,835,454</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7,830,635</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孝昌和泰兴业投 资中心（有限合 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3" w:right="0"/>
              <w:jc w:val="center"/>
              <w:rPr>
                <w:rFonts w:ascii="Times New Roman" w:hAnsi="Times New Roman" w:cs="Times New Roman" w:eastAsia="Times New Roman" w:hint="default"/>
                <w:sz w:val="18"/>
                <w:szCs w:val="18"/>
              </w:rPr>
            </w:pPr>
            <w:r>
              <w:rPr>
                <w:rFonts w:ascii="Times New Roman"/>
                <w:sz w:val="18"/>
              </w:rPr>
              <w:t>7,835,454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2,938,295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7,835,454</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7,835,454</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上海毓慧实业发 展有限公司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3" w:right="0"/>
              <w:jc w:val="center"/>
              <w:rPr>
                <w:rFonts w:ascii="Times New Roman" w:hAnsi="Times New Roman" w:cs="Times New Roman" w:eastAsia="Times New Roman" w:hint="default"/>
                <w:sz w:val="18"/>
                <w:szCs w:val="18"/>
              </w:rPr>
            </w:pPr>
            <w:r>
              <w:rPr>
                <w:rFonts w:ascii="Times New Roman"/>
                <w:sz w:val="18"/>
              </w:rPr>
              <w:t>7,519,107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2,819,665</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7,519,107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7,519,107</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罗承</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3" w:right="0"/>
              <w:jc w:val="center"/>
              <w:rPr>
                <w:rFonts w:ascii="Times New Roman" w:hAnsi="Times New Roman" w:cs="Times New Roman" w:eastAsia="Times New Roman" w:hint="default"/>
                <w:sz w:val="18"/>
                <w:szCs w:val="18"/>
              </w:rPr>
            </w:pPr>
            <w:r>
              <w:rPr>
                <w:rFonts w:ascii="Times New Roman"/>
                <w:sz w:val="18"/>
              </w:rPr>
              <w:t>6,455,253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2,409,220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4,855,240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1,600,013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3,236,827</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8"/>
            <w:vMerge w:val="restart"/>
            <w:tcBorders>
              <w:top w:val="single" w:sz="4" w:space="0" w:color="000000"/>
              <w:left w:val="single" w:sz="10" w:space="0" w:color="D2D2D2"/>
              <w:right w:val="single" w:sz="4" w:space="0" w:color="000000"/>
            </w:tcBorders>
          </w:tcPr>
          <w:p>
            <w:pPr>
              <w:pStyle w:val="TableParagraph"/>
              <w:spacing w:line="319" w:lineRule="auto" w:before="51"/>
              <w:ind w:left="15" w:right="21"/>
              <w:jc w:val="both"/>
              <w:rPr>
                <w:rFonts w:ascii="宋体" w:hAnsi="宋体" w:cs="宋体" w:eastAsia="宋体" w:hint="default"/>
                <w:sz w:val="18"/>
                <w:szCs w:val="18"/>
              </w:rPr>
            </w:pPr>
            <w:r>
              <w:rPr>
                <w:rFonts w:ascii="宋体" w:hAnsi="宋体" w:cs="宋体" w:eastAsia="宋体" w:hint="default"/>
                <w:spacing w:val="-1"/>
                <w:sz w:val="18"/>
                <w:szCs w:val="18"/>
              </w:rPr>
              <w:t>青岛亚星实业有限公司、姜剑、朱兰英系一致行动人，未知其他股东是否存在关联关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系，也未知是否属于《上市公司持股变动情况信息披露管理办法》中规定的一致行动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w:t>
            </w:r>
          </w:p>
        </w:tc>
      </w:tr>
      <w:tr>
        <w:trPr>
          <w:trHeight w:val="704"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8"/>
            <w:vMerge/>
            <w:tcBorders>
              <w:left w:val="single" w:sz="10" w:space="0" w:color="D2D2D2"/>
              <w:right w:val="single" w:sz="4" w:space="0" w:color="000000"/>
            </w:tcBorders>
          </w:tcPr>
          <w:p>
            <w:pPr/>
          </w:p>
        </w:tc>
      </w:tr>
      <w:tr>
        <w:trPr>
          <w:trHeight w:val="161"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8"/>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上海毓慧实业发展有限公司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7,519,107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7,519,107</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曹林芳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4,806,566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4,806,566</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北京科希盟科技集团有限公司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2,746,763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2,746,763</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罗承</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1,600,013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1,600,013</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蒋阳俊</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1,355,757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1,355,757</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曾建平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577,373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577,373</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黄艳红</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421,460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421,460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346,200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346,200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彭少侠</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332,530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332,530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龚莉蓉</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322,788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322,788</w:t>
            </w:r>
          </w:p>
        </w:tc>
      </w:tr>
      <w:tr>
        <w:trPr>
          <w:trHeight w:val="67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tc>
        <w:tc>
          <w:tcPr>
            <w:tcW w:w="6687"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pacing w:val="-1"/>
                <w:sz w:val="18"/>
                <w:szCs w:val="18"/>
              </w:rPr>
              <w:t>公司未知上述股东是否存在关联关系，也未知是否属于《上市公司持股变动情况信息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70"/>
        <w:gridCol w:w="6699"/>
      </w:tblGrid>
      <w:tr>
        <w:trPr>
          <w:trHeight w:val="674"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35"/>
              <w:jc w:val="left"/>
              <w:rPr>
                <w:rFonts w:ascii="宋体" w:hAnsi="宋体" w:cs="宋体" w:eastAsia="宋体" w:hint="default"/>
                <w:sz w:val="18"/>
                <w:szCs w:val="18"/>
              </w:rPr>
            </w:pPr>
            <w:r>
              <w:rPr>
                <w:rFonts w:ascii="宋体" w:hAnsi="宋体" w:cs="宋体" w:eastAsia="宋体" w:hint="default"/>
                <w:sz w:val="18"/>
                <w:szCs w:val="18"/>
              </w:rPr>
              <w:t>名股东之间关联关系或一致行动的 说明</w:t>
            </w:r>
          </w:p>
        </w:tc>
        <w:tc>
          <w:tcPr>
            <w:tcW w:w="66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披露管理办法》中规定的一致行动人。</w:t>
            </w:r>
          </w:p>
        </w:tc>
      </w:tr>
      <w:tr>
        <w:trPr>
          <w:trHeight w:val="714"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9"/>
      <w:bookmarkEnd w:id="11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2265"/>
        <w:gridCol w:w="1616"/>
        <w:gridCol w:w="1722"/>
        <w:gridCol w:w="1880"/>
        <w:gridCol w:w="2087"/>
      </w:tblGrid>
      <w:tr>
        <w:trPr>
          <w:trHeight w:val="714"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621" w:right="57"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姜剑</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91370200264591326A</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房地产开发、经营。</w:t>
            </w:r>
          </w:p>
        </w:tc>
      </w:tr>
      <w:tr>
        <w:trPr>
          <w:trHeight w:val="1026"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20"/>
      <w:bookmarkEnd w:id="120"/>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328"/>
        <w:gridCol w:w="1994"/>
        <w:gridCol w:w="4247"/>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年至今担任青岛亚星实业有限公司董事长，青岛市第十三届人大代表，最 近五年内职业：企业投资、经营、管理。</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p>
      <w:pPr>
        <w:spacing w:line="4275" w:lineRule="exact"/>
        <w:ind w:left="1358"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591050" cy="27146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4591050" cy="2714625"/>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7"/>
        <w:rPr>
          <w:rFonts w:ascii="宋体" w:hAnsi="宋体" w:cs="宋体" w:eastAsia="宋体" w:hint="default"/>
          <w:sz w:val="14"/>
          <w:szCs w:val="14"/>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21"/>
      <w:bookmarkEnd w:id="121"/>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22"/>
      <w:bookmarkEnd w:id="12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366" w:right="0"/>
        <w:jc w:val="left"/>
        <w:rPr>
          <w:b w:val="0"/>
          <w:bCs w:val="0"/>
        </w:rPr>
      </w:pPr>
      <w:bookmarkStart w:name="第七节优先股相关情况" w:id="123"/>
      <w:bookmarkEnd w:id="123"/>
      <w:r>
        <w:rPr>
          <w:b w:val="0"/>
          <w:bCs w:val="0"/>
        </w:rPr>
      </w:r>
      <w:bookmarkStart w:name="_bookmark6" w:id="124"/>
      <w:bookmarkEnd w:id="124"/>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761" w:right="0"/>
        <w:jc w:val="left"/>
        <w:rPr>
          <w:b w:val="0"/>
          <w:bCs w:val="0"/>
        </w:rPr>
      </w:pPr>
      <w:bookmarkStart w:name="第八节董事、监事、高级管理人员和员工情况" w:id="125"/>
      <w:bookmarkEnd w:id="125"/>
      <w:r>
        <w:rPr>
          <w:b w:val="0"/>
          <w:bCs w:val="0"/>
        </w:rPr>
      </w:r>
      <w:bookmarkStart w:name="_bookmark7" w:id="126"/>
      <w:bookmarkEnd w:id="126"/>
      <w:r>
        <w:rPr>
          <w:b w:val="0"/>
          <w:bCs w:val="0"/>
        </w:rPr>
      </w:r>
      <w:r>
        <w:rPr/>
        <w:t>第八节董事、监事、高级管理人员和员工情况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7"/>
      <w:bookmarkEnd w:id="12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586"/>
        <w:gridCol w:w="566"/>
        <w:gridCol w:w="1241"/>
        <w:gridCol w:w="1027"/>
        <w:gridCol w:w="852"/>
        <w:gridCol w:w="515"/>
        <w:gridCol w:w="798"/>
        <w:gridCol w:w="798"/>
        <w:gridCol w:w="798"/>
      </w:tblGrid>
      <w:tr>
        <w:trPr>
          <w:trHeight w:val="1649"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418" w:right="56"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61" w:right="5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1"/>
              <w:jc w:val="both"/>
              <w:rPr>
                <w:rFonts w:ascii="宋体" w:hAnsi="宋体" w:cs="宋体" w:eastAsia="宋体" w:hint="default"/>
                <w:sz w:val="18"/>
                <w:szCs w:val="18"/>
              </w:rPr>
            </w:pPr>
            <w:r>
              <w:rPr>
                <w:rFonts w:ascii="宋体" w:hAnsi="宋体" w:cs="宋体" w:eastAsia="宋体" w:hint="default"/>
                <w:sz w:val="18"/>
                <w:szCs w:val="18"/>
              </w:rPr>
              <w:t>本期 增持 股份 数量</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76"/>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郝亮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郝亮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曹建发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曹建发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夏东明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24,205,43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14,523,26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38,728,69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于秀庆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1,420,175</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852,105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2,272,280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王大永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王大永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张世兴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皇甫晓涛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缪鹏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牛超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董国平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586"/>
        <w:gridCol w:w="566"/>
        <w:gridCol w:w="1241"/>
        <w:gridCol w:w="1027"/>
        <w:gridCol w:w="852"/>
        <w:gridCol w:w="515"/>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李建立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黄卫华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48,972</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29,383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78,355</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陈学同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1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25,674,58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15,404,74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41,079,33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8"/>
      <w:bookmarkEnd w:id="128"/>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黄卫华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辞去职务。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辞去职务。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赵垲</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辞去职务。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陈学同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辞去职务。</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任职情况" w:id="129"/>
      <w:bookmarkEnd w:id="129"/>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0" w:lineRule="auto" w:before="115"/>
        <w:ind w:right="1130" w:firstLine="360"/>
        <w:jc w:val="both"/>
      </w:pPr>
      <w:r>
        <w:rPr>
          <w:rFonts w:ascii="Times New Roman" w:hAnsi="Times New Roman" w:cs="Times New Roman" w:eastAsia="Times New Roman" w:hint="default"/>
        </w:rPr>
        <w:t>1</w:t>
      </w:r>
      <w:r>
        <w:rPr/>
        <w:t>、郝亮，男，</w:t>
      </w:r>
      <w:r>
        <w:rPr>
          <w:rFonts w:ascii="Times New Roman" w:hAnsi="Times New Roman" w:cs="Times New Roman" w:eastAsia="Times New Roman" w:hint="default"/>
        </w:rPr>
        <w:t>1971</w:t>
      </w:r>
      <w:r>
        <w:rPr/>
        <w:t>年生，研究生学历，具有律师资格、心理咨询师资格。曾任中国建设银行青岛市分行市北区支行副 行长、分行办公室副主任，青岛市住房公积金管理中心（青岛市住房资金管理中心）副主任</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深圳大通实业股份有限公司董 事会秘书。现任本公司董事长。</w:t>
      </w:r>
    </w:p>
    <w:p>
      <w:pPr>
        <w:pStyle w:val="BodyText"/>
        <w:spacing w:line="300" w:lineRule="auto" w:before="31"/>
        <w:ind w:right="1175" w:firstLine="362"/>
        <w:jc w:val="both"/>
      </w:pPr>
      <w:r>
        <w:rPr>
          <w:rFonts w:ascii="Times New Roman" w:hAnsi="Times New Roman" w:cs="Times New Roman" w:eastAsia="Times New Roman" w:hint="default"/>
        </w:rPr>
        <w:t>2</w:t>
      </w:r>
      <w:r>
        <w:rPr/>
        <w:t>、李雪燕，女，</w:t>
      </w:r>
      <w:r>
        <w:rPr>
          <w:rFonts w:ascii="Times New Roman" w:hAnsi="Times New Roman" w:cs="Times New Roman" w:eastAsia="Times New Roman" w:hint="default"/>
        </w:rPr>
        <w:t>1974</w:t>
      </w:r>
      <w:r>
        <w:rPr/>
        <w:t>年生，研究生学历，西安交通大学</w:t>
      </w:r>
      <w:r>
        <w:rPr>
          <w:spacing w:val="-20"/>
        </w:rPr>
        <w:t> </w:t>
      </w:r>
      <w:r>
        <w:rPr>
          <w:rFonts w:ascii="Times New Roman" w:hAnsi="Times New Roman" w:cs="Times New Roman" w:eastAsia="Times New Roman" w:hint="default"/>
        </w:rPr>
        <w:t>MBA</w:t>
      </w:r>
      <w:r>
        <w:rPr/>
        <w:t>，高级会计师，注册会计师。曾任烟台市信托投资公司 证券部业务主管、上交所证券交易员，青岛市崂山区信访局副局长（挂职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年），青岛市住房公积金管理中心（青岛市住 房资金管理中心）综合计划处处长，办公室主任，党组成员、副主任。现任本公司副董事长、董事会秘书。</w:t>
      </w:r>
    </w:p>
    <w:p>
      <w:pPr>
        <w:pStyle w:val="BodyText"/>
        <w:spacing w:line="300" w:lineRule="auto" w:before="31"/>
        <w:ind w:left="154" w:right="1138" w:firstLine="362"/>
        <w:jc w:val="both"/>
      </w:pPr>
      <w:r>
        <w:rPr>
          <w:rFonts w:ascii="Times New Roman" w:hAnsi="Times New Roman" w:cs="Times New Roman" w:eastAsia="Times New Roman" w:hint="default"/>
        </w:rPr>
        <w:t>3</w:t>
      </w:r>
      <w:r>
        <w:rPr/>
        <w:t>、夏东明，男，</w:t>
      </w:r>
      <w:r>
        <w:rPr>
          <w:rFonts w:ascii="Times New Roman" w:hAnsi="Times New Roman" w:cs="Times New Roman" w:eastAsia="Times New Roman" w:hint="default"/>
        </w:rPr>
        <w:t>1966</w:t>
      </w:r>
      <w:r>
        <w:rPr/>
        <w:t>年生，本科学历。曾任杭州哈特电子有限公司副总经理，杭州北冰洋音箱电器有限公司总经理， 杭州新联智能科技发展有限公司总经理。现任本公司董事，浙江视科文化传播有限公司董事长。</w:t>
      </w:r>
    </w:p>
    <w:p>
      <w:pPr>
        <w:pStyle w:val="BodyText"/>
        <w:spacing w:line="240" w:lineRule="auto" w:before="31"/>
        <w:ind w:left="516" w:right="0"/>
        <w:jc w:val="left"/>
      </w:pPr>
      <w:r>
        <w:rPr>
          <w:rFonts w:ascii="Times New Roman" w:hAnsi="Times New Roman" w:cs="Times New Roman" w:eastAsia="Times New Roman" w:hint="default"/>
        </w:rPr>
        <w:t>4</w:t>
      </w:r>
      <w:r>
        <w:rPr/>
        <w:t>、曹建发，男，</w:t>
      </w:r>
      <w:r>
        <w:rPr>
          <w:rFonts w:ascii="Times New Roman" w:hAnsi="Times New Roman" w:cs="Times New Roman" w:eastAsia="Times New Roman" w:hint="default"/>
        </w:rPr>
        <w:t>1975</w:t>
      </w:r>
      <w:r>
        <w:rPr/>
        <w:t>年生。曾任北京山河在线广告有限公司销售总监，北京晓春在线广告有限公司总经理，冉十科技</w:t>
      </w:r>
    </w:p>
    <w:p>
      <w:pPr>
        <w:pStyle w:val="BodyText"/>
        <w:spacing w:line="240" w:lineRule="auto" w:before="63"/>
        <w:ind w:left="154" w:right="0"/>
        <w:jc w:val="left"/>
      </w:pPr>
      <w:r>
        <w:rPr/>
        <w:t>（北京）有限公司总经理，深圳大通实业股份有限公司副总经理。现任本公司董事，冉十科技（北京）有限公司执行董事。</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154" w:right="1032" w:firstLine="362"/>
        <w:jc w:val="left"/>
      </w:pPr>
      <w:r>
        <w:rPr>
          <w:rFonts w:ascii="Times New Roman" w:hAnsi="Times New Roman" w:cs="Times New Roman" w:eastAsia="Times New Roman" w:hint="default"/>
        </w:rPr>
        <w:t>5</w:t>
      </w:r>
      <w:r>
        <w:rPr/>
        <w:t>、于秀庆，男，</w:t>
      </w:r>
      <w:r>
        <w:rPr>
          <w:rFonts w:ascii="Times New Roman" w:hAnsi="Times New Roman" w:cs="Times New Roman" w:eastAsia="Times New Roman" w:hint="default"/>
        </w:rPr>
        <w:t>1977</w:t>
      </w:r>
      <w:r>
        <w:rPr/>
        <w:t>年生，本科学历。曾任青岛国风大药房连锁有限公司部门主管，青岛亚星置业有限公司综合管理 部主管、副经理，济宁海情置业有限公司副总经理，青岛亚星实业有限公司董事会办公室行政人事经理。现任本公司董事，</w:t>
      </w:r>
      <w:r>
        <w:rPr>
          <w:spacing w:val="-85"/>
        </w:rPr>
        <w:t> </w:t>
      </w:r>
      <w:r>
        <w:rPr>
          <w:spacing w:val="-85"/>
        </w:rPr>
      </w:r>
      <w:r>
        <w:rPr/>
        <w:t>浙江视科文化传播有限公司副总经理。</w:t>
      </w:r>
    </w:p>
    <w:p>
      <w:pPr>
        <w:pStyle w:val="BodyText"/>
        <w:spacing w:line="300" w:lineRule="auto" w:before="24"/>
        <w:ind w:left="154" w:right="1138" w:firstLine="362"/>
        <w:jc w:val="both"/>
      </w:pPr>
      <w:r>
        <w:rPr>
          <w:rFonts w:ascii="Times New Roman" w:hAnsi="Times New Roman" w:cs="Times New Roman" w:eastAsia="Times New Roman" w:hint="default"/>
        </w:rPr>
        <w:t>6</w:t>
      </w:r>
      <w:r>
        <w:rPr/>
        <w:t>、王大永，男，</w:t>
      </w:r>
      <w:r>
        <w:rPr>
          <w:rFonts w:ascii="Times New Roman" w:hAnsi="Times New Roman" w:cs="Times New Roman" w:eastAsia="Times New Roman" w:hint="default"/>
        </w:rPr>
        <w:t>1975</w:t>
      </w:r>
      <w:r>
        <w:rPr/>
        <w:t>年生，本科学历。曾任山东恩马实业集团有限公司人力行政总监，青岛亚星置业有限公司人力行 政总监，冉十科技（北京）有限公司副总经理。现任本公司董事、副总经理。</w:t>
      </w:r>
    </w:p>
    <w:p>
      <w:pPr>
        <w:pStyle w:val="BodyText"/>
        <w:spacing w:line="300" w:lineRule="auto" w:before="31"/>
        <w:ind w:left="154" w:right="1138" w:firstLine="362"/>
        <w:jc w:val="both"/>
      </w:pPr>
      <w:r>
        <w:rPr>
          <w:rFonts w:ascii="Times New Roman" w:hAnsi="Times New Roman" w:cs="Times New Roman" w:eastAsia="Times New Roman" w:hint="default"/>
        </w:rPr>
        <w:t>7</w:t>
      </w:r>
      <w:r>
        <w:rPr/>
        <w:t>、皇甫晓涛，男，</w:t>
      </w:r>
      <w:r>
        <w:rPr>
          <w:rFonts w:ascii="Times New Roman" w:hAnsi="Times New Roman" w:cs="Times New Roman" w:eastAsia="Times New Roman" w:hint="default"/>
        </w:rPr>
        <w:t>1959</w:t>
      </w:r>
      <w:r>
        <w:rPr/>
        <w:t>年生，文化产业博士后学位。曾任东北之窗杂志社副主编，中南大学教授。现任本公司独立董 事，北京交通大学教授、博士生导师。</w:t>
      </w:r>
    </w:p>
    <w:p>
      <w:pPr>
        <w:pStyle w:val="BodyText"/>
        <w:spacing w:line="309" w:lineRule="auto" w:before="31"/>
        <w:ind w:left="154" w:right="1131" w:firstLine="360"/>
        <w:jc w:val="both"/>
      </w:pPr>
      <w:r>
        <w:rPr>
          <w:rFonts w:ascii="Times New Roman" w:hAnsi="Times New Roman" w:cs="Times New Roman" w:eastAsia="Times New Roman" w:hint="default"/>
        </w:rPr>
        <w:t>8</w:t>
      </w:r>
      <w:r>
        <w:rPr/>
        <w:t>、张世兴，男，</w:t>
      </w:r>
      <w:r>
        <w:rPr>
          <w:rFonts w:ascii="Times New Roman" w:hAnsi="Times New Roman" w:cs="Times New Roman" w:eastAsia="Times New Roman" w:hint="default"/>
        </w:rPr>
        <w:t>1961</w:t>
      </w:r>
      <w:r>
        <w:rPr/>
        <w:t>年生，教授、博士生导师，中国注册会计师非执业会员，山东省会计学会理事，青岛市国资委招 </w:t>
      </w:r>
      <w:r>
        <w:rPr>
          <w:spacing w:val="-2"/>
        </w:rPr>
        <w:t>标评审专家，青岛市财贸专家咨询团成员。现任本公司独立董事，中国海洋大学会计专业硕士教育中心副主任，中国海洋大</w:t>
      </w:r>
      <w:r>
        <w:rPr>
          <w:spacing w:val="-66"/>
        </w:rPr>
        <w:t> </w:t>
      </w:r>
      <w:r>
        <w:rPr>
          <w:spacing w:val="-66"/>
        </w:rPr>
      </w:r>
      <w:r>
        <w:rPr/>
        <w:t>学教授、博士生导师。</w:t>
      </w:r>
    </w:p>
    <w:p>
      <w:pPr>
        <w:pStyle w:val="BodyText"/>
        <w:spacing w:line="300" w:lineRule="auto" w:before="24"/>
        <w:ind w:left="154" w:right="1043" w:firstLine="362"/>
        <w:jc w:val="both"/>
      </w:pPr>
      <w:r>
        <w:rPr>
          <w:rFonts w:ascii="Times New Roman" w:hAnsi="Times New Roman" w:cs="Times New Roman" w:eastAsia="Times New Roman" w:hint="default"/>
        </w:rPr>
        <w:t>9</w:t>
      </w:r>
      <w:r>
        <w:rPr/>
        <w:t>、赵息，女，</w:t>
      </w:r>
      <w:r>
        <w:rPr>
          <w:rFonts w:ascii="Times New Roman" w:hAnsi="Times New Roman" w:cs="Times New Roman" w:eastAsia="Times New Roman" w:hint="default"/>
        </w:rPr>
        <w:t>1955</w:t>
      </w:r>
      <w:r>
        <w:rPr/>
        <w:t>年生，教授、博士生导师。长期从事财务管理、会计、审计等教学与科研工作，主要研究方向包括 企业成本管理、全面预算管理、企业内部控制制度及公司绩效评价等。现任本公司独立董事，天津大学教授、博士生导师。</w:t>
      </w:r>
    </w:p>
    <w:p>
      <w:pPr>
        <w:pStyle w:val="BodyText"/>
        <w:spacing w:line="300" w:lineRule="auto" w:before="31"/>
        <w:ind w:left="154" w:right="1132" w:firstLine="362"/>
        <w:jc w:val="both"/>
      </w:pPr>
      <w:r>
        <w:rPr>
          <w:rFonts w:ascii="Times New Roman" w:hAnsi="Times New Roman" w:cs="Times New Roman" w:eastAsia="Times New Roman" w:hint="default"/>
          <w:spacing w:val="-2"/>
        </w:rPr>
        <w:t>10</w:t>
      </w:r>
      <w:r>
        <w:rPr>
          <w:spacing w:val="-2"/>
        </w:rPr>
        <w:t>、缪鹏，男，</w:t>
      </w:r>
      <w:r>
        <w:rPr>
          <w:rFonts w:ascii="Times New Roman" w:hAnsi="Times New Roman" w:cs="Times New Roman" w:eastAsia="Times New Roman" w:hint="default"/>
          <w:spacing w:val="-2"/>
        </w:rPr>
        <w:t>1972</w:t>
      </w:r>
      <w:r>
        <w:rPr>
          <w:spacing w:val="-2"/>
        </w:rPr>
        <w:t>年生，本科学历。曾任包头明天科技股份有限公司财务总监助理、财务总监、董事，青岛伟东集团</w:t>
      </w:r>
      <w:r>
        <w:rPr/>
        <w:t> 财务总监。现任本公司监事长，青岛亚星实业有限公司副总裁。</w:t>
      </w:r>
    </w:p>
    <w:p>
      <w:pPr>
        <w:pStyle w:val="BodyText"/>
        <w:spacing w:line="300" w:lineRule="auto" w:before="31"/>
        <w:ind w:left="154" w:right="1043" w:firstLine="362"/>
        <w:jc w:val="both"/>
      </w:pPr>
      <w:r>
        <w:rPr>
          <w:rFonts w:ascii="Times New Roman" w:hAnsi="Times New Roman" w:cs="Times New Roman" w:eastAsia="Times New Roman" w:hint="default"/>
        </w:rPr>
        <w:t>11</w:t>
      </w:r>
      <w:r>
        <w:rPr/>
        <w:t>、牛超，男，</w:t>
      </w:r>
      <w:r>
        <w:rPr>
          <w:rFonts w:ascii="Times New Roman" w:hAnsi="Times New Roman" w:cs="Times New Roman" w:eastAsia="Times New Roman" w:hint="default"/>
        </w:rPr>
        <w:t>1982</w:t>
      </w:r>
      <w:r>
        <w:rPr/>
        <w:t>年生，研究生学历。曾任青岛亚星实业有限公司计划运营部经理，泗水海情置业有限公司总经理。 现任本公司职工代表监事，深圳大通致远供应链管理有限公司董事长。</w:t>
      </w:r>
    </w:p>
    <w:p>
      <w:pPr>
        <w:pStyle w:val="BodyText"/>
        <w:spacing w:line="309" w:lineRule="auto" w:before="31"/>
        <w:ind w:left="154" w:right="1132" w:firstLine="362"/>
        <w:jc w:val="both"/>
      </w:pPr>
      <w:r>
        <w:rPr>
          <w:rFonts w:ascii="Times New Roman" w:hAnsi="Times New Roman" w:cs="Times New Roman" w:eastAsia="Times New Roman" w:hint="default"/>
          <w:spacing w:val="-2"/>
        </w:rPr>
        <w:t>12</w:t>
      </w:r>
      <w:r>
        <w:rPr>
          <w:spacing w:val="-2"/>
        </w:rPr>
        <w:t>、董国平，男，</w:t>
      </w:r>
      <w:r>
        <w:rPr>
          <w:rFonts w:ascii="Times New Roman" w:hAnsi="Times New Roman" w:cs="Times New Roman" w:eastAsia="Times New Roman" w:hint="default"/>
          <w:spacing w:val="-2"/>
        </w:rPr>
        <w:t>1979</w:t>
      </w:r>
      <w:r>
        <w:rPr>
          <w:spacing w:val="-2"/>
        </w:rPr>
        <w:t>年生，研究生学历。曾任久银投资基金管理（北京）有限公司江苏子公司负责人，盈科创新投资</w:t>
      </w:r>
      <w:r>
        <w:rPr/>
        <w:t> </w:t>
      </w:r>
      <w:r>
        <w:rPr>
          <w:spacing w:val="-2"/>
        </w:rPr>
        <w:t>管理有限公司高级合伙人副总裁，江苏洛德股权投资基金管理有限公司副总经理。现任本公司监事，深圳鑫大通资本有限公</w:t>
      </w:r>
      <w:r>
        <w:rPr>
          <w:spacing w:val="-66"/>
        </w:rPr>
        <w:t> </w:t>
      </w:r>
      <w:r>
        <w:rPr>
          <w:spacing w:val="-66"/>
        </w:rPr>
      </w:r>
      <w:r>
        <w:rPr/>
        <w:t>司总经理。</w:t>
      </w:r>
    </w:p>
    <w:p>
      <w:pPr>
        <w:pStyle w:val="BodyText"/>
        <w:spacing w:line="300" w:lineRule="auto" w:before="24"/>
        <w:ind w:right="1133" w:firstLine="362"/>
        <w:jc w:val="both"/>
      </w:pPr>
      <w:r>
        <w:rPr>
          <w:rFonts w:ascii="Times New Roman" w:hAnsi="Times New Roman" w:cs="Times New Roman" w:eastAsia="Times New Roman" w:hint="default"/>
          <w:spacing w:val="-2"/>
        </w:rPr>
        <w:t>13</w:t>
      </w:r>
      <w:r>
        <w:rPr>
          <w:spacing w:val="-2"/>
        </w:rPr>
        <w:t>、马炬，男，</w:t>
      </w:r>
      <w:r>
        <w:rPr>
          <w:rFonts w:ascii="Times New Roman" w:hAnsi="Times New Roman" w:cs="Times New Roman" w:eastAsia="Times New Roman" w:hint="default"/>
          <w:spacing w:val="-2"/>
        </w:rPr>
        <w:t>1968</w:t>
      </w:r>
      <w:r>
        <w:rPr>
          <w:spacing w:val="-2"/>
        </w:rPr>
        <w:t>年生，研究生学历。曾任广播科学研究院院长、中央人民广播电台副总工程师、世纪互联集团公司</w:t>
      </w:r>
      <w:r>
        <w:rPr/>
        <w:t> 光载无限事业合伙人。现任本公司总经理。</w:t>
      </w:r>
    </w:p>
    <w:p>
      <w:pPr>
        <w:pStyle w:val="BodyText"/>
        <w:spacing w:line="309" w:lineRule="auto" w:before="31"/>
        <w:ind w:right="1133" w:firstLine="362"/>
        <w:jc w:val="both"/>
      </w:pPr>
      <w:r>
        <w:rPr>
          <w:rFonts w:ascii="Times New Roman" w:hAnsi="Times New Roman" w:cs="Times New Roman" w:eastAsia="Times New Roman" w:hint="default"/>
        </w:rPr>
        <w:t>14</w:t>
      </w:r>
      <w:r>
        <w:rPr/>
        <w:t>、黄卫华，男，</w:t>
      </w:r>
      <w:r>
        <w:rPr>
          <w:rFonts w:ascii="Times New Roman" w:hAnsi="Times New Roman" w:cs="Times New Roman" w:eastAsia="Times New Roman" w:hint="default"/>
        </w:rPr>
        <w:t>1975</w:t>
      </w:r>
      <w:r>
        <w:rPr/>
        <w:t>年生，西安交通大学</w:t>
      </w:r>
      <w:r>
        <w:rPr>
          <w:rFonts w:ascii="Times New Roman" w:hAnsi="Times New Roman" w:cs="Times New Roman" w:eastAsia="Times New Roman" w:hint="default"/>
        </w:rPr>
        <w:t>MBA</w:t>
      </w:r>
      <w:r>
        <w:rPr/>
        <w:t>，高级经济师，高级会计师。曾任颐中集团信息中心主管，青岛特宝 </w:t>
      </w:r>
      <w:r>
        <w:rPr>
          <w:spacing w:val="-2"/>
        </w:rPr>
        <w:t>科计算机开发有限公司总经理，青岛柏高建设集团有限公司总经理，深圳大通实业股份有限公司总经理，青岛亚星实业有限</w:t>
      </w:r>
      <w:r>
        <w:rPr>
          <w:spacing w:val="-66"/>
        </w:rPr>
        <w:t> </w:t>
      </w:r>
      <w:r>
        <w:rPr>
          <w:spacing w:val="-66"/>
        </w:rPr>
      </w:r>
      <w:r>
        <w:rPr/>
        <w:t>公司执行总裁。现任本公司执行总经理。</w:t>
      </w:r>
    </w:p>
    <w:p>
      <w:pPr>
        <w:pStyle w:val="BodyText"/>
        <w:spacing w:line="300" w:lineRule="auto" w:before="24"/>
        <w:ind w:right="1133" w:firstLine="362"/>
        <w:jc w:val="both"/>
      </w:pPr>
      <w:r>
        <w:rPr>
          <w:rFonts w:ascii="Times New Roman" w:hAnsi="Times New Roman" w:cs="Times New Roman" w:eastAsia="Times New Roman" w:hint="default"/>
          <w:spacing w:val="-2"/>
        </w:rPr>
        <w:t>15</w:t>
      </w:r>
      <w:r>
        <w:rPr>
          <w:spacing w:val="-2"/>
        </w:rPr>
        <w:t>、陶源，男，</w:t>
      </w:r>
      <w:r>
        <w:rPr>
          <w:rFonts w:ascii="Times New Roman" w:hAnsi="Times New Roman" w:cs="Times New Roman" w:eastAsia="Times New Roman" w:hint="default"/>
          <w:spacing w:val="-2"/>
        </w:rPr>
        <w:t>1978</w:t>
      </w:r>
      <w:r>
        <w:rPr>
          <w:spacing w:val="-2"/>
        </w:rPr>
        <w:t>年生，本科学历。曾任北京力美广告有限公司副总裁，全天通集团副总经理，浙江每日互动网络科</w:t>
      </w:r>
      <w:r>
        <w:rPr/>
        <w:t> 技股份有限公司副总裁。现任本公司副总经理。</w:t>
      </w:r>
    </w:p>
    <w:p>
      <w:pPr>
        <w:pStyle w:val="BodyText"/>
        <w:spacing w:line="309" w:lineRule="auto" w:before="31"/>
        <w:ind w:right="1131" w:firstLine="362"/>
        <w:jc w:val="both"/>
      </w:pPr>
      <w:r>
        <w:rPr>
          <w:rFonts w:ascii="Times New Roman" w:hAnsi="Times New Roman" w:cs="Times New Roman" w:eastAsia="Times New Roman" w:hint="default"/>
          <w:spacing w:val="-1"/>
        </w:rPr>
        <w:t>16</w:t>
      </w:r>
      <w:r>
        <w:rPr>
          <w:spacing w:val="-1"/>
        </w:rPr>
        <w:t>、李建立，男，</w:t>
      </w:r>
      <w:r>
        <w:rPr>
          <w:rFonts w:ascii="Times New Roman" w:hAnsi="Times New Roman" w:cs="Times New Roman" w:eastAsia="Times New Roman" w:hint="default"/>
          <w:spacing w:val="-1"/>
        </w:rPr>
        <w:t>1982</w:t>
      </w:r>
      <w:r>
        <w:rPr>
          <w:spacing w:val="-1"/>
        </w:rPr>
        <w:t>年生，研究生学历，会计师，国际高级财务管理师（</w:t>
      </w:r>
      <w:r>
        <w:rPr>
          <w:rFonts w:ascii="Times New Roman" w:hAnsi="Times New Roman" w:cs="Times New Roman" w:eastAsia="Times New Roman" w:hint="default"/>
          <w:spacing w:val="-1"/>
        </w:rPr>
        <w:t>SIFM</w:t>
      </w:r>
      <w:r>
        <w:rPr>
          <w:spacing w:val="-1"/>
        </w:rPr>
        <w:t>），注册财务管理师（</w:t>
      </w:r>
      <w:r>
        <w:rPr>
          <w:rFonts w:ascii="Times New Roman" w:hAnsi="Times New Roman" w:cs="Times New Roman" w:eastAsia="Times New Roman" w:hint="default"/>
          <w:spacing w:val="-1"/>
        </w:rPr>
        <w:t>CMA</w:t>
      </w:r>
      <w:r>
        <w:rPr>
          <w:spacing w:val="-1"/>
        </w:rPr>
        <w:t>）。曾任</w:t>
      </w:r>
      <w:r>
        <w:rPr/>
        <w:t> </w:t>
      </w:r>
      <w:r>
        <w:rPr>
          <w:spacing w:val="-2"/>
        </w:rPr>
        <w:t>海尔集团洗衣机本部成本主管、财务经理、海尔集团洗碗机本部财务总监、海尔集团泰国工厂财务总监、海尔集团欧美大区</w:t>
      </w:r>
      <w:r>
        <w:rPr>
          <w:spacing w:val="-66"/>
        </w:rPr>
        <w:t> </w:t>
      </w:r>
      <w:r>
        <w:rPr>
          <w:spacing w:val="-66"/>
        </w:rPr>
      </w:r>
      <w:r>
        <w:rPr/>
        <w:t>财务总监、海尔消费金融有限公司财务总监。现任本公司财务总监。</w:t>
      </w:r>
    </w:p>
    <w:p>
      <w:pPr>
        <w:pStyle w:val="BodyText"/>
        <w:spacing w:line="240" w:lineRule="auto" w:before="65"/>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缪鹏</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董国平</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深圳鑫大通资本有限公司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0"/>
        <w:jc w:val="left"/>
      </w:pPr>
      <w:r>
        <w:rPr/>
        <w:t>在其他单位任职情况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皇甫晓涛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北京交通大学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博士生导师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张世兴</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中国海洋大学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博士生导师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赵息</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博士生导师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0"/>
        <w:jc w:val="both"/>
      </w:pPr>
      <w:r>
        <w:rPr/>
        <w:t>公司现任及报告期内离任董事、监事和高级管理人员近三年证券监管机构处罚的情况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董事、监事、高级管理人员报酬情况" w:id="130"/>
      <w:bookmarkEnd w:id="130"/>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0" w:hanging="360"/>
        <w:jc w:val="left"/>
      </w:pPr>
      <w:r>
        <w:rPr/>
        <w:t>董事、监事、高级管理人员报酬的决策程序、确定依据、实际支付情况 </w:t>
      </w:r>
      <w:r>
        <w:rPr>
          <w:spacing w:val="-2"/>
        </w:rPr>
        <w:t>公司针对高级管理人员建立了一套绩效考评制度和薪酬制度。</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7</w:t>
      </w:r>
      <w:r>
        <w:rPr>
          <w:spacing w:val="-2"/>
        </w:rPr>
        <w:t>日公司第七届第十四次董事会审议通过了《深</w:t>
      </w:r>
    </w:p>
    <w:p>
      <w:pPr>
        <w:pStyle w:val="BodyText"/>
        <w:spacing w:line="214" w:lineRule="exact"/>
        <w:ind w:left="154" w:right="0"/>
        <w:jc w:val="both"/>
      </w:pPr>
      <w:r>
        <w:rPr/>
        <w:t>圳大通实业股份有限公司绩效考核制度》；</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日公司第七届第十五次董事会审议通过了《深圳大通实业股份有限</w:t>
      </w:r>
    </w:p>
    <w:p>
      <w:pPr>
        <w:pStyle w:val="BodyText"/>
        <w:spacing w:line="316" w:lineRule="auto" w:before="63"/>
        <w:ind w:left="154" w:right="1131"/>
        <w:jc w:val="both"/>
      </w:pPr>
      <w:r>
        <w:rPr>
          <w:spacing w:val="-2"/>
        </w:rPr>
        <w:t>公司董事会薪酬与考核委员会工作细则》。薪酬委员会是董事会设立的专门工作机构，主要负责制定公司董事、监事及高级</w:t>
      </w:r>
      <w:r>
        <w:rPr>
          <w:spacing w:val="-66"/>
        </w:rPr>
        <w:t> </w:t>
      </w:r>
      <w:r>
        <w:rPr>
          <w:spacing w:val="-66"/>
        </w:rPr>
      </w:r>
      <w:r>
        <w:rPr>
          <w:spacing w:val="-2"/>
        </w:rPr>
        <w:t>管理人员的考核标准，负责制定、审查公司董事及高级管理人员的薪酬政策与方案，对董事会负责。董事、监事和高级管理</w:t>
      </w:r>
      <w:r>
        <w:rPr>
          <w:spacing w:val="-66"/>
        </w:rPr>
        <w:t> </w:t>
      </w:r>
      <w:r>
        <w:rPr>
          <w:spacing w:val="-66"/>
        </w:rPr>
      </w:r>
      <w:r>
        <w:rPr/>
        <w:t>人员报酬如期按实支付。</w:t>
      </w:r>
    </w:p>
    <w:p>
      <w:pPr>
        <w:pStyle w:val="BodyText"/>
        <w:spacing w:line="316" w:lineRule="auto" w:before="19"/>
        <w:ind w:left="154" w:right="1132" w:firstLine="360"/>
        <w:jc w:val="both"/>
      </w:pPr>
      <w:r>
        <w:rPr>
          <w:spacing w:val="-2"/>
        </w:rPr>
        <w:t>高级管理人员绩效考核实行直接上级考核制，考核者为被考核者的直接上级。考核的内容为公司确定的指标。关键业绩</w:t>
      </w:r>
      <w:r>
        <w:rPr/>
        <w:t> </w:t>
      </w:r>
      <w:r>
        <w:rPr>
          <w:spacing w:val="-2"/>
        </w:rPr>
        <w:t>指标来自公司年度目标的层层分解，能够反映公司重点经营活动情况。考核分为月度和年度考核。月度考核结果用于月度浮</w:t>
      </w:r>
      <w:r>
        <w:rPr>
          <w:spacing w:val="-66"/>
        </w:rPr>
        <w:t> </w:t>
      </w:r>
      <w:r>
        <w:rPr>
          <w:spacing w:val="-66"/>
        </w:rPr>
      </w:r>
      <w:r>
        <w:rPr/>
        <w:t>动绩效工资的发放。年度考核结果应用于高级管理人员年薪预留部分的考核兑现。</w:t>
      </w:r>
    </w:p>
    <w:p>
      <w:pPr>
        <w:pStyle w:val="BodyText"/>
        <w:spacing w:line="240" w:lineRule="auto" w:before="59"/>
        <w:ind w:left="154" w:right="0"/>
        <w:jc w:val="both"/>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郝亮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曹建发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夏东明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王大永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张世兴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皇甫晓涛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缪鹏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牛超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董国平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李建立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黄卫华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陈学同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327.55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公司董事、高级管理人员报告期内被授予的股权激励情况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31"/>
      <w:bookmarkEnd w:id="131"/>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32"/>
      <w:bookmarkEnd w:id="13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38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206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244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244</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pacing w:val="-3"/>
                <w:sz w:val="18"/>
              </w:rPr>
              <w:t>117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22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49</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244</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研究生</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pacing w:val="-3"/>
                <w:sz w:val="18"/>
              </w:rPr>
              <w:t>113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87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34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244</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薪酬政策" w:id="133"/>
      <w:bookmarkEnd w:id="13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4" w:right="0"/>
        <w:jc w:val="left"/>
      </w:pPr>
      <w:r>
        <w:rPr>
          <w:spacing w:val="-2"/>
        </w:rPr>
        <w:t>公司为员工提供在行业和地区内具有一定竞争力的薪酬福利待遇，同时在公司内部实施具有公平性、激励性、竞争性、规范</w:t>
      </w:r>
      <w:r>
        <w:rPr>
          <w:spacing w:val="-66"/>
        </w:rPr>
        <w:t> </w:t>
      </w:r>
      <w:r>
        <w:rPr>
          <w:spacing w:val="-66"/>
        </w:rPr>
      </w:r>
      <w:r>
        <w:rPr/>
        <w:t>化的薪酬管理制度，以实现公司与员工的共赢。</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培训计划" w:id="134"/>
      <w:bookmarkEnd w:id="13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公司会定期组织与员工进行技术知识、税务政策、法律知识等多层次培训。</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劳务外包情况" w:id="135"/>
      <w:bookmarkEnd w:id="13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3"/>
        <w:jc w:val="center"/>
        <w:rPr>
          <w:b w:val="0"/>
          <w:bCs w:val="0"/>
        </w:rPr>
      </w:pPr>
      <w:bookmarkStart w:name="第九节公司治理" w:id="136"/>
      <w:bookmarkEnd w:id="136"/>
      <w:r>
        <w:rPr>
          <w:b w:val="0"/>
          <w:bCs w:val="0"/>
        </w:rPr>
      </w:r>
      <w:bookmarkStart w:name="_bookmark8" w:id="137"/>
      <w:bookmarkEnd w:id="137"/>
      <w:r>
        <w:rPr>
          <w:b w:val="0"/>
          <w:bCs w:val="0"/>
        </w:rPr>
      </w:r>
      <w:r>
        <w:rPr/>
        <w:t>第九节公司治理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8"/>
      <w:bookmarkEnd w:id="138"/>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60"/>
        <w:jc w:val="both"/>
      </w:pPr>
      <w:r>
        <w:rPr>
          <w:spacing w:val="-2"/>
        </w:rPr>
        <w:t>报告期内，公司严格按照《公司法》、《证券法》、《上市公司治理准则》等法律法规、规范性文件的要求，规范公司</w:t>
      </w:r>
      <w:r>
        <w:rPr/>
        <w:t> 运作，不断健全和完善公司治理结构和治理制度，建立了较为完善的法人治理结构。</w:t>
      </w:r>
    </w:p>
    <w:p>
      <w:pPr>
        <w:pStyle w:val="BodyText"/>
        <w:spacing w:line="316" w:lineRule="auto" w:before="19"/>
        <w:ind w:right="1043" w:firstLine="360"/>
        <w:jc w:val="both"/>
      </w:pPr>
      <w:r>
        <w:rPr>
          <w:spacing w:val="-2"/>
        </w:rPr>
        <w:t>公司股东大会、董事会、监事会运作规范，按照法律法规和公司章程的规定履行职权。公司股东大会、董事会、监事会</w:t>
      </w:r>
      <w:r>
        <w:rPr/>
        <w:t> </w:t>
      </w:r>
      <w:r>
        <w:rPr>
          <w:spacing w:val="-2"/>
        </w:rPr>
        <w:t>历次会议通知、决议、会议程序及信息披露工作均符合法定程序要求。公司一贯重视信息披露工作，真实、准确、完整、及</w:t>
      </w:r>
      <w:r>
        <w:rPr>
          <w:spacing w:val="-71"/>
        </w:rPr>
        <w:t> </w:t>
      </w:r>
      <w:r>
        <w:rPr>
          <w:spacing w:val="-71"/>
        </w:rPr>
      </w:r>
      <w:r>
        <w:rPr>
          <w:spacing w:val="-4"/>
        </w:rPr>
        <w:t>时、公平的信息披露确保了全体股东享有平等地位，保证了全体股东尤其是中小股东对公司重大事项享有的知情权和参与权。</w:t>
      </w:r>
    </w:p>
    <w:p>
      <w:pPr>
        <w:pStyle w:val="BodyText"/>
        <w:spacing w:line="240" w:lineRule="auto" w:before="59"/>
        <w:ind w:right="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9"/>
      <w:bookmarkEnd w:id="139"/>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公司与控股股东在业务、人员、资产、机构、财务等方面严格分开，公司具有独立完整的业务和自主经营能力。</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三、同业竞争情况" w:id="140"/>
      <w:bookmarkEnd w:id="140"/>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064"/>
        <w:gridCol w:w="1702"/>
        <w:gridCol w:w="2018"/>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问题类型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5" w:hanging="360"/>
              <w:jc w:val="left"/>
              <w:rPr>
                <w:rFonts w:ascii="宋体" w:hAnsi="宋体" w:cs="宋体" w:eastAsia="宋体" w:hint="default"/>
                <w:sz w:val="18"/>
                <w:szCs w:val="18"/>
              </w:rPr>
            </w:pPr>
            <w:r>
              <w:rPr>
                <w:rFonts w:ascii="宋体" w:hAnsi="宋体" w:cs="宋体" w:eastAsia="宋体" w:hint="default"/>
                <w:sz w:val="18"/>
                <w:szCs w:val="18"/>
              </w:rPr>
              <w:t>控股股东性 质</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问题成因</w:t>
            </w:r>
          </w:p>
        </w:tc>
        <w:tc>
          <w:tcPr>
            <w:tcW w:w="2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解决措施</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1" w:right="71" w:hanging="630"/>
              <w:jc w:val="left"/>
              <w:rPr>
                <w:rFonts w:ascii="宋体" w:hAnsi="宋体" w:cs="宋体" w:eastAsia="宋体" w:hint="default"/>
                <w:sz w:val="18"/>
                <w:szCs w:val="18"/>
              </w:rPr>
            </w:pPr>
            <w:r>
              <w:rPr>
                <w:rFonts w:ascii="宋体" w:hAnsi="宋体" w:cs="宋体" w:eastAsia="宋体" w:hint="default"/>
                <w:sz w:val="18"/>
                <w:szCs w:val="18"/>
              </w:rPr>
              <w:t>工作进度及后续计 划</w:t>
            </w:r>
          </w:p>
        </w:tc>
      </w:tr>
      <w:tr>
        <w:trPr>
          <w:trHeight w:val="477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青岛亚星实业有限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因股改历史原因存在 的同业竞争问题</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鉴于房地产业务发展情 形发生变化，上市公司正 在进行战略转型，原承诺 中房地产业务注入事项 已不宜继续履行。青岛亚 星实业有限公司承诺：自 公司股东大会批准修改 相关承诺之日起两年内， 如深大通仍有地产项目 尚未销售完成或剥离完 成，亚星实业将按照经评 估且不低于净资产的价 格无条件购买上市公司 房地产资产和业务，从而 彻底解决同业竞争问题。</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深大通持有的济宁 海情置业有限公司 及青岛广顺房地产 有限公司等相关股 权已变更给青岛亚 </w:t>
            </w:r>
            <w:r>
              <w:rPr>
                <w:rFonts w:ascii="宋体" w:hAnsi="宋体" w:cs="宋体" w:eastAsia="宋体" w:hint="default"/>
                <w:spacing w:val="-9"/>
                <w:sz w:val="18"/>
                <w:szCs w:val="18"/>
              </w:rPr>
              <w:t>星实业有限公司，青</w:t>
            </w:r>
            <w:r>
              <w:rPr>
                <w:rFonts w:ascii="宋体" w:hAnsi="宋体" w:cs="宋体" w:eastAsia="宋体" w:hint="default"/>
                <w:sz w:val="18"/>
                <w:szCs w:val="18"/>
              </w:rPr>
              <w:t> 岛亚星实业有限公 司已按照协议约定 支付款项。公司于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 开第九届董事会第 十六次会议审议通 过剥离房地产业务 事宜。</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报告期内召开的年度股东大会和临时股东大会的有关情况" w:id="141"/>
      <w:bookmarkEnd w:id="141"/>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42"/>
      <w:bookmarkEnd w:id="14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2017-015 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p>
            <w:pPr>
              <w:pStyle w:val="TableParagraph"/>
              <w:spacing w:line="319" w:lineRule="auto" w:before="63"/>
              <w:ind w:left="23" w:right="119"/>
              <w:jc w:val="both"/>
              <w:rPr>
                <w:rFonts w:ascii="宋体" w:hAnsi="宋体" w:cs="宋体" w:eastAsia="宋体" w:hint="default"/>
                <w:sz w:val="18"/>
                <w:szCs w:val="18"/>
              </w:rPr>
            </w:pPr>
            <w:r>
              <w:rPr>
                <w:rFonts w:ascii="宋体" w:hAnsi="宋体" w:cs="宋体" w:eastAsia="宋体" w:hint="default"/>
                <w:sz w:val="18"/>
                <w:szCs w:val="18"/>
              </w:rPr>
              <w:t>一次临时股东大会 决议公告巨潮资讯 网</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2017-044 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w:t>
            </w:r>
          </w:p>
          <w:p>
            <w:pPr>
              <w:pStyle w:val="TableParagraph"/>
              <w:spacing w:line="319" w:lineRule="auto" w:before="63"/>
              <w:ind w:left="23" w:right="119"/>
              <w:jc w:val="left"/>
              <w:rPr>
                <w:rFonts w:ascii="宋体" w:hAnsi="宋体" w:cs="宋体" w:eastAsia="宋体" w:hint="default"/>
                <w:sz w:val="18"/>
                <w:szCs w:val="18"/>
              </w:rPr>
            </w:pPr>
            <w:r>
              <w:rPr>
                <w:rFonts w:ascii="宋体" w:hAnsi="宋体" w:cs="宋体" w:eastAsia="宋体" w:hint="default"/>
                <w:sz w:val="18"/>
                <w:szCs w:val="18"/>
              </w:rPr>
              <w:t>度股东大会决议公 告巨潮资讯网</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2017-067 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p>
            <w:pPr>
              <w:pStyle w:val="TableParagraph"/>
              <w:spacing w:line="319" w:lineRule="auto" w:before="63"/>
              <w:ind w:left="23" w:right="119"/>
              <w:jc w:val="both"/>
              <w:rPr>
                <w:rFonts w:ascii="宋体" w:hAnsi="宋体" w:cs="宋体" w:eastAsia="宋体" w:hint="default"/>
                <w:sz w:val="18"/>
                <w:szCs w:val="18"/>
              </w:rPr>
            </w:pPr>
            <w:r>
              <w:rPr>
                <w:rFonts w:ascii="宋体" w:hAnsi="宋体" w:cs="宋体" w:eastAsia="宋体" w:hint="default"/>
                <w:sz w:val="18"/>
                <w:szCs w:val="18"/>
              </w:rPr>
              <w:t>二次临时股东大会 决议公告巨潮资讯 网</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2017-087 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p>
            <w:pPr>
              <w:pStyle w:val="TableParagraph"/>
              <w:spacing w:line="319" w:lineRule="auto" w:before="63"/>
              <w:ind w:left="23" w:right="119"/>
              <w:jc w:val="both"/>
              <w:rPr>
                <w:rFonts w:ascii="宋体" w:hAnsi="宋体" w:cs="宋体" w:eastAsia="宋体" w:hint="default"/>
                <w:sz w:val="18"/>
                <w:szCs w:val="18"/>
              </w:rPr>
            </w:pPr>
            <w:r>
              <w:rPr>
                <w:rFonts w:ascii="宋体" w:hAnsi="宋体" w:cs="宋体" w:eastAsia="宋体" w:hint="default"/>
                <w:sz w:val="18"/>
                <w:szCs w:val="18"/>
              </w:rPr>
              <w:t>三次临时股东大会 决议公告巨潮资讯 网</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2017-106 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p>
            <w:pPr>
              <w:pStyle w:val="TableParagraph"/>
              <w:spacing w:line="319" w:lineRule="auto" w:before="63"/>
              <w:ind w:left="23" w:right="119"/>
              <w:jc w:val="both"/>
              <w:rPr>
                <w:rFonts w:ascii="宋体" w:hAnsi="宋体" w:cs="宋体" w:eastAsia="宋体" w:hint="default"/>
                <w:sz w:val="18"/>
                <w:szCs w:val="18"/>
              </w:rPr>
            </w:pPr>
            <w:r>
              <w:rPr>
                <w:rFonts w:ascii="宋体" w:hAnsi="宋体" w:cs="宋体" w:eastAsia="宋体" w:hint="default"/>
                <w:sz w:val="18"/>
                <w:szCs w:val="18"/>
              </w:rPr>
              <w:t>四次临时股东大会 决议公告巨潮资讯 网</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2017-126 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p>
            <w:pPr>
              <w:pStyle w:val="TableParagraph"/>
              <w:spacing w:line="319" w:lineRule="auto" w:before="63"/>
              <w:ind w:left="23" w:right="119"/>
              <w:jc w:val="both"/>
              <w:rPr>
                <w:rFonts w:ascii="宋体" w:hAnsi="宋体" w:cs="宋体" w:eastAsia="宋体" w:hint="default"/>
                <w:sz w:val="18"/>
                <w:szCs w:val="18"/>
              </w:rPr>
            </w:pPr>
            <w:r>
              <w:rPr>
                <w:rFonts w:ascii="宋体" w:hAnsi="宋体" w:cs="宋体" w:eastAsia="宋体" w:hint="default"/>
                <w:sz w:val="18"/>
                <w:szCs w:val="18"/>
              </w:rPr>
              <w:t>五次临时股东大会 决议公告巨潮资讯 网</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2017-150 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p>
            <w:pPr>
              <w:pStyle w:val="TableParagraph"/>
              <w:spacing w:line="319" w:lineRule="auto" w:before="63"/>
              <w:ind w:left="23" w:right="119"/>
              <w:jc w:val="both"/>
              <w:rPr>
                <w:rFonts w:ascii="宋体" w:hAnsi="宋体" w:cs="宋体" w:eastAsia="宋体" w:hint="default"/>
                <w:sz w:val="18"/>
                <w:szCs w:val="18"/>
              </w:rPr>
            </w:pPr>
            <w:r>
              <w:rPr>
                <w:rFonts w:ascii="宋体" w:hAnsi="宋体" w:cs="宋体" w:eastAsia="宋体" w:hint="default"/>
                <w:sz w:val="18"/>
                <w:szCs w:val="18"/>
              </w:rPr>
              <w:t>六次临时股东大会 决议公告巨潮资讯 网</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表决权恢复的优先股股东请求召开临时股东大会" w:id="143"/>
      <w:bookmarkEnd w:id="14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4"/>
      <w:bookmarkEnd w:id="144"/>
      <w:r>
        <w:rPr>
          <w:b w:val="0"/>
          <w:bCs w:val="0"/>
        </w:rPr>
      </w:r>
      <w:r>
        <w:rPr/>
        <w:t>五、报告期内独立董事履行职责的情况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5"/>
      <w:bookmarkEnd w:id="14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4"/>
        <w:rPr>
          <w:rFonts w:ascii="宋体" w:hAnsi="宋体" w:cs="宋体" w:eastAsia="宋体" w:hint="default"/>
          <w:b/>
          <w:bCs/>
          <w:sz w:val="25"/>
          <w:szCs w:val="25"/>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pt;mso-position-horizontal-relative:char;mso-position-vertical-relative:line" coordorigin="0,0" coordsize="9581,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d2d2d2">
                <v:path arrowok="t"/>
              </v:shape>
            </v:group>
            <v:group style="position:absolute;left:32;top:14;width:9516;height:393" coordorigin="32,14" coordsize="9516,393">
              <v:shape style="position:absolute;left:32;top:14;width:9516;height:393" coordorigin="32,14" coordsize="9516,393" path="m32,407l9548,407,9548,14,32,14,32,407xe" filled="true" fillcolor="#d2d2d2" stroked="false">
                <v:path arrowok="t"/>
                <v:fill type="solid"/>
              </v:shape>
            </v:group>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9562;height:2" coordorigin="10,412" coordsize="9562,2">
              <v:shape style="position:absolute;left:10;top:412;width:9562;height:2" coordorigin="10,412" coordsize="9562,0" path="m10,412l9571,412e" filled="false" stroked="true" strokeweight=".48pt" strokecolor="#000000">
                <v:path arrowok="t"/>
              </v:shape>
            </v:group>
            <v:group style="position:absolute;left:9576;top:5;width:2;height:412" coordorigin="9576,5" coordsize="2,412">
              <v:shape style="position:absolute;left:9576;top:5;width:2;height:412" coordorigin="9576,5" coordsize="0,412" path="m9576,5l9576,416e" filled="false" stroked="true" strokeweight=".48pt" strokecolor="#000000">
                <v:path arrowok="t"/>
              </v:shape>
              <v:shape style="position:absolute;left:5;top:10;width:9560;height:402" type="#_x0000_t202" filled="false" stroked="false">
                <v:textbox inset="0,0,0,0">
                  <w:txbxContent>
                    <w:p>
                      <w:pPr>
                        <w:spacing w:before="56"/>
                        <w:ind w:left="9" w:right="0" w:firstLine="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皇甫晓涛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张世兴</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51"/>
        <w:ind w:left="154" w:right="8052"/>
        <w:jc w:val="left"/>
      </w:pPr>
      <w:r>
        <w:rPr/>
        <w:t>连续两次未亲自出席董事会的说明 不适用。</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2、独立董事对公司有关事项提出异议的情况" w:id="146"/>
      <w:bookmarkEnd w:id="14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独立董事履行职责的其他说明" w:id="147"/>
      <w:bookmarkEnd w:id="14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2" w:lineRule="auto" w:before="42"/>
        <w:ind w:right="1130" w:firstLine="362"/>
        <w:jc w:val="both"/>
      </w:pPr>
      <w:r>
        <w:rPr>
          <w:rFonts w:ascii="Times New Roman" w:hAnsi="Times New Roman" w:cs="Times New Roman" w:eastAsia="Times New Roman" w:hint="default"/>
          <w:spacing w:val="-2"/>
        </w:rPr>
        <w:t>2017</w:t>
      </w:r>
      <w:r>
        <w:rPr>
          <w:spacing w:val="-2"/>
        </w:rPr>
        <w:t>年度，公司独立董事利用参加股东大会等现场会议的时间到公司进行现场调查和了解，并与公司董事、总经理、董</w:t>
      </w:r>
      <w:r>
        <w:rPr/>
        <w:t> </w:t>
      </w:r>
      <w:r>
        <w:rPr>
          <w:spacing w:val="-2"/>
        </w:rPr>
        <w:t>事会秘书、财务总监及其他相关工作人员保持经常联系，了解公司日常生产经营情况。同时，积极关注报刊、网络等媒体有</w:t>
      </w:r>
      <w:r>
        <w:rPr>
          <w:spacing w:val="-66"/>
        </w:rPr>
        <w:t> </w:t>
      </w:r>
      <w:r>
        <w:rPr>
          <w:spacing w:val="-66"/>
        </w:rPr>
      </w:r>
      <w:r>
        <w:rPr>
          <w:spacing w:val="-2"/>
        </w:rPr>
        <w:t>关公司的宣传和报道，及时获悉公司的最新动态。对独立董事在会议及其他时间提出的意见和建议，公司都及时予以回复和</w:t>
      </w:r>
      <w:r>
        <w:rPr>
          <w:spacing w:val="-66"/>
        </w:rPr>
        <w:t> </w:t>
      </w:r>
      <w:r>
        <w:rPr>
          <w:spacing w:val="-66"/>
        </w:rPr>
      </w:r>
      <w:r>
        <w:rPr/>
        <w:t>落实。</w:t>
      </w:r>
    </w:p>
    <w:p>
      <w:pPr>
        <w:spacing w:line="240" w:lineRule="auto" w:before="0"/>
        <w:rPr>
          <w:rFonts w:ascii="宋体" w:hAnsi="宋体" w:cs="宋体" w:eastAsia="宋体" w:hint="default"/>
          <w:sz w:val="21"/>
          <w:szCs w:val="21"/>
        </w:rPr>
      </w:pPr>
    </w:p>
    <w:p>
      <w:pPr>
        <w:pStyle w:val="Heading2"/>
        <w:spacing w:line="240" w:lineRule="auto"/>
        <w:ind w:right="0"/>
        <w:jc w:val="left"/>
        <w:rPr>
          <w:b w:val="0"/>
          <w:bCs w:val="0"/>
        </w:rPr>
      </w:pPr>
      <w:bookmarkStart w:name="六、董事会下设专门委员会在报告期内履行职责情况" w:id="148"/>
      <w:bookmarkEnd w:id="148"/>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513" w:right="3913" w:firstLine="2"/>
        <w:jc w:val="left"/>
      </w:pPr>
      <w:r>
        <w:rPr>
          <w:rFonts w:ascii="Times New Roman" w:hAnsi="Times New Roman" w:cs="Times New Roman" w:eastAsia="Times New Roman" w:hint="default"/>
        </w:rPr>
        <w:t>1</w:t>
      </w:r>
      <w:r>
        <w:rPr/>
        <w:t>、战略委员会履职情况 报告期内，战略委员会制定了公司战略，与管理层保持及时沟通，督促战略实施。 </w:t>
      </w:r>
      <w:r>
        <w:rPr>
          <w:rFonts w:ascii="Times New Roman" w:hAnsi="Times New Roman" w:cs="Times New Roman" w:eastAsia="Times New Roman" w:hint="default"/>
        </w:rPr>
        <w:t>2</w:t>
      </w:r>
      <w:r>
        <w:rPr/>
        <w:t>、薪酬与考核委员会履职情况</w:t>
      </w:r>
    </w:p>
    <w:p>
      <w:pPr>
        <w:pStyle w:val="BodyText"/>
        <w:spacing w:line="307" w:lineRule="auto" w:before="5"/>
        <w:ind w:left="513" w:right="1128"/>
        <w:jc w:val="left"/>
      </w:pPr>
      <w:r>
        <w:rPr/>
        <w:t>报告期内，薪酬与考核委员会认真履行职责，保持与管理层的顺畅沟通，就有关方面多次与管理层进行了沟通。 </w:t>
      </w:r>
      <w:r>
        <w:rPr>
          <w:rFonts w:ascii="Times New Roman" w:hAnsi="Times New Roman" w:cs="Times New Roman" w:eastAsia="Times New Roman" w:hint="default"/>
        </w:rPr>
        <w:t>3</w:t>
      </w:r>
      <w:r>
        <w:rPr/>
        <w:t>、审计委员会履职情况 </w:t>
      </w:r>
      <w:r>
        <w:rPr>
          <w:spacing w:val="-5"/>
        </w:rPr>
        <w:t>报告期内，审计委员会听取会计师、财务人员等汇报工作情况，董事会审计委员会就公司</w:t>
      </w:r>
      <w:r>
        <w:rPr>
          <w:rFonts w:ascii="Times New Roman" w:hAnsi="Times New Roman" w:cs="Times New Roman" w:eastAsia="Times New Roman" w:hint="default"/>
          <w:spacing w:val="-5"/>
        </w:rPr>
        <w:t>2017</w:t>
      </w:r>
      <w:r>
        <w:rPr>
          <w:spacing w:val="-5"/>
        </w:rPr>
        <w:t>年度财务报表发表了意见。</w:t>
      </w:r>
      <w:r>
        <w:rPr>
          <w:spacing w:val="-78"/>
        </w:rPr>
        <w:t> </w:t>
      </w:r>
      <w:r>
        <w:rPr>
          <w:rFonts w:ascii="Times New Roman" w:hAnsi="Times New Roman" w:cs="Times New Roman" w:eastAsia="Times New Roman" w:hint="default"/>
        </w:rPr>
        <w:t>4</w:t>
      </w:r>
      <w:r>
        <w:rPr/>
        <w:t>、提名委员会履职情况</w:t>
      </w:r>
    </w:p>
    <w:p>
      <w:pPr>
        <w:pStyle w:val="BodyText"/>
        <w:spacing w:line="240" w:lineRule="auto" w:before="7"/>
        <w:ind w:left="513" w:right="0"/>
        <w:jc w:val="left"/>
      </w:pPr>
      <w:r>
        <w:rPr/>
        <w:t>报告期内，提名委员会认真履行职责，对公司的董事和经理人员的选任提出建议。</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七、监事会工作情况" w:id="149"/>
      <w:bookmarkEnd w:id="149"/>
      <w:r>
        <w:rPr>
          <w:b w:val="0"/>
          <w:bCs w:val="0"/>
        </w:rPr>
      </w:r>
      <w:r>
        <w:rPr/>
        <w:t>七、监事会工作情况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高级管理人员的考评及激励情况" w:id="150"/>
      <w:bookmarkEnd w:id="150"/>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29" w:firstLine="360"/>
        <w:jc w:val="both"/>
      </w:pPr>
      <w:r>
        <w:rPr>
          <w:spacing w:val="-2"/>
        </w:rPr>
        <w:t>公司针对高级管理人员建立了一套绩效考评制度和薪酬制度。</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7</w:t>
      </w:r>
      <w:r>
        <w:rPr>
          <w:spacing w:val="-2"/>
        </w:rPr>
        <w:t>日公司第七届第十四次董事会审议通过了《深</w:t>
      </w:r>
      <w:r>
        <w:rPr/>
        <w:t> 圳大通实业股份有限公司绩效考核制度》；</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日公司第七届第十五次董事会审议通过了《深圳大通实业股份有限 </w:t>
      </w:r>
      <w:r>
        <w:rPr>
          <w:spacing w:val="-2"/>
        </w:rPr>
        <w:t>公司董事会薪酬与考核委员会工作细则》。薪酬委员会是董事会设立的专门工作机构，主要负责制定公司董事及高级管理人</w:t>
      </w:r>
      <w:r>
        <w:rPr>
          <w:spacing w:val="-66"/>
        </w:rPr>
        <w:t> </w:t>
      </w:r>
      <w:r>
        <w:rPr>
          <w:spacing w:val="-66"/>
        </w:rPr>
      </w:r>
      <w:r>
        <w:rPr>
          <w:spacing w:val="-2"/>
        </w:rPr>
        <w:t>员的考核标准并进行考核，负责制定、审查公司董事、监事及高级管理人员的薪酬政策与方案，对董事会负责。董事、监事</w:t>
      </w:r>
      <w:r>
        <w:rPr>
          <w:spacing w:val="-66"/>
        </w:rPr>
        <w:t> </w:t>
      </w:r>
      <w:r>
        <w:rPr>
          <w:spacing w:val="-66"/>
        </w:rPr>
      </w:r>
      <w:r>
        <w:rPr/>
        <w:t>和高级管理人员报酬如期按实支付。</w:t>
      </w:r>
    </w:p>
    <w:p>
      <w:pPr>
        <w:pStyle w:val="BodyText"/>
        <w:spacing w:line="307" w:lineRule="auto" w:before="24"/>
        <w:ind w:right="1033" w:firstLine="360"/>
        <w:jc w:val="left"/>
      </w:pPr>
      <w:r>
        <w:rPr>
          <w:spacing w:val="-3"/>
        </w:rPr>
        <w:t>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29</w:t>
      </w:r>
      <w:r>
        <w:rPr>
          <w:spacing w:val="-3"/>
        </w:rPr>
        <w:t>日召开第九届董事会第十九次会议、</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16</w:t>
      </w:r>
      <w:r>
        <w:rPr>
          <w:spacing w:val="-3"/>
        </w:rPr>
        <w:t>日召开</w:t>
      </w:r>
      <w:r>
        <w:rPr>
          <w:rFonts w:ascii="Times New Roman" w:hAnsi="Times New Roman" w:cs="Times New Roman" w:eastAsia="Times New Roman" w:hint="default"/>
          <w:spacing w:val="-3"/>
        </w:rPr>
        <w:t>2017</w:t>
      </w:r>
      <w:r>
        <w:rPr>
          <w:spacing w:val="-3"/>
        </w:rPr>
        <w:t>年第五次临时股东大会审议通过了《关</w:t>
      </w:r>
      <w:r>
        <w:rPr/>
        <w:t> </w:t>
      </w:r>
      <w:r>
        <w:rPr>
          <w:spacing w:val="-2"/>
        </w:rPr>
        <w:t>于员工持股计划（草案）及摘要的议案》及相关议案。本期员工持股计划设立后委托信托公司成立集合资金信托计划予以实</w:t>
      </w:r>
      <w:r>
        <w:rPr>
          <w:spacing w:val="-66"/>
        </w:rPr>
        <w:t> </w:t>
      </w:r>
      <w:r>
        <w:rPr>
          <w:spacing w:val="-66"/>
        </w:rPr>
      </w:r>
      <w:r>
        <w:rPr/>
        <w:t>施。集合资金信托计划份额规模为</w:t>
      </w:r>
      <w:r>
        <w:rPr>
          <w:rFonts w:ascii="Times New Roman" w:hAnsi="Times New Roman" w:cs="Times New Roman" w:eastAsia="Times New Roman" w:hint="default"/>
        </w:rPr>
        <w:t>12,500</w:t>
      </w:r>
      <w:r>
        <w:rPr/>
        <w:t>万份，每份</w:t>
      </w:r>
      <w:r>
        <w:rPr>
          <w:rFonts w:ascii="Times New Roman" w:hAnsi="Times New Roman" w:cs="Times New Roman" w:eastAsia="Times New Roman" w:hint="default"/>
        </w:rPr>
        <w:t>1</w:t>
      </w:r>
      <w:r>
        <w:rPr/>
        <w:t>元，按照</w:t>
      </w:r>
      <w:r>
        <w:rPr>
          <w:rFonts w:ascii="Times New Roman" w:hAnsi="Times New Roman" w:cs="Times New Roman" w:eastAsia="Times New Roman" w:hint="default"/>
        </w:rPr>
        <w:t>1.5:1</w:t>
      </w:r>
      <w:r>
        <w:rPr/>
        <w:t>设立优先级份额和劣后级份额，本期员工持股计划筹集 资金全额认购集合资金信托计划的劣后级份额。截止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日，员工持股计划已完成设立，但尚未买入深大通股票。</w:t>
      </w:r>
    </w:p>
    <w:p>
      <w:pPr>
        <w:spacing w:line="240" w:lineRule="auto" w:before="11"/>
        <w:rPr>
          <w:rFonts w:ascii="宋体" w:hAnsi="宋体" w:cs="宋体" w:eastAsia="宋体" w:hint="default"/>
          <w:sz w:val="19"/>
          <w:szCs w:val="19"/>
        </w:rPr>
      </w:pPr>
    </w:p>
    <w:p>
      <w:pPr>
        <w:pStyle w:val="Heading2"/>
        <w:spacing w:line="240" w:lineRule="auto"/>
        <w:ind w:left="154" w:right="0"/>
        <w:jc w:val="left"/>
        <w:rPr>
          <w:b w:val="0"/>
          <w:bCs w:val="0"/>
        </w:rPr>
      </w:pPr>
      <w:bookmarkStart w:name="九、内部控制情况" w:id="151"/>
      <w:bookmarkEnd w:id="151"/>
      <w:r>
        <w:rPr>
          <w:b w:val="0"/>
          <w:bCs w:val="0"/>
        </w:rPr>
      </w:r>
      <w:r>
        <w:rPr/>
        <w:t>九、内部控制情况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报告期内发现的内部控制重大缺陷的具体情况" w:id="152"/>
      <w:bookmarkEnd w:id="15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53"/>
      <w:bookmarkEnd w:id="15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2"/>
          <w:szCs w:val="12"/>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pStyle w:val="BodyText"/>
        <w:spacing w:line="240" w:lineRule="auto" w:before="44"/>
        <w:ind w:left="0" w:right="1139"/>
        <w:jc w:val="right"/>
      </w:pPr>
      <w:r>
        <w:rPr/>
        <w:pict>
          <v:shape style="position:absolute;margin-left:56.459999pt;margin-top:-324.288269pt;width:479.2pt;height:375.3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41"/>
                    <w:gridCol w:w="303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日深大通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年内部控制评价报告巨潮资讯网</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034"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312" w:lineRule="auto" w:before="52"/>
                          <w:ind w:left="22" w:right="-28"/>
                          <w:jc w:val="left"/>
                          <w:rPr>
                            <w:rFonts w:ascii="宋体" w:hAnsi="宋体" w:cs="宋体" w:eastAsia="宋体" w:hint="default"/>
                            <w:sz w:val="18"/>
                            <w:szCs w:val="18"/>
                          </w:rPr>
                        </w:pPr>
                        <w:r>
                          <w:rPr>
                            <w:rFonts w:ascii="宋体" w:hAnsi="宋体" w:cs="宋体" w:eastAsia="宋体" w:hint="default"/>
                            <w:sz w:val="18"/>
                            <w:szCs w:val="18"/>
                          </w:rPr>
                          <w:t>重大缺陷可能存在的迹象：公司董事、监 事和高级管理人员存在舞弊行为，给公司 形象带来负面影响；重述以前公布的财务 报表，以更正由于舞弊或错报导致的重大 错报；外部审计师发现当期财务报表存在 重大错报，而公司内部控制在运行过程中 未能发现该错报；重大偏离年度预算。除 重大缺陷以外，根据缺陷重要程度划分为 </w:t>
                        </w:r>
                        <w:r>
                          <w:rPr>
                            <w:rFonts w:ascii="宋体" w:hAnsi="宋体" w:cs="宋体" w:eastAsia="宋体" w:hint="default"/>
                            <w:spacing w:val="-10"/>
                            <w:sz w:val="18"/>
                            <w:szCs w:val="18"/>
                          </w:rPr>
                          <w:t>重要缺陷和一般缺陷，考虑以下因素：（</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w:t>
                        </w:r>
                        <w:r>
                          <w:rPr>
                            <w:rFonts w:ascii="宋体" w:hAnsi="宋体" w:cs="宋体" w:eastAsia="宋体" w:hint="default"/>
                            <w:spacing w:val="-79"/>
                            <w:sz w:val="18"/>
                            <w:szCs w:val="18"/>
                          </w:rPr>
                          <w:t> </w:t>
                        </w:r>
                        <w:r>
                          <w:rPr>
                            <w:rFonts w:ascii="宋体" w:hAnsi="宋体" w:cs="宋体" w:eastAsia="宋体" w:hint="default"/>
                            <w:spacing w:val="-5"/>
                            <w:sz w:val="18"/>
                            <w:szCs w:val="18"/>
                          </w:rPr>
                          <w:t>是否涉及任何舞弊行为；（</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）是否存在会</w:t>
                        </w:r>
                        <w:r>
                          <w:rPr>
                            <w:rFonts w:ascii="宋体" w:hAnsi="宋体" w:cs="宋体" w:eastAsia="宋体" w:hint="default"/>
                            <w:spacing w:val="-85"/>
                            <w:sz w:val="18"/>
                            <w:szCs w:val="18"/>
                          </w:rPr>
                          <w:t> </w:t>
                        </w:r>
                        <w:r>
                          <w:rPr>
                            <w:rFonts w:ascii="宋体" w:hAnsi="宋体" w:cs="宋体" w:eastAsia="宋体" w:hint="default"/>
                            <w:spacing w:val="-5"/>
                            <w:sz w:val="18"/>
                            <w:szCs w:val="18"/>
                          </w:rPr>
                          <w:t>计基础缺陷；（</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）确定缺陷所引起相关金</w:t>
                        </w:r>
                        <w:r>
                          <w:rPr>
                            <w:rFonts w:ascii="宋体" w:hAnsi="宋体" w:cs="宋体" w:eastAsia="宋体" w:hint="default"/>
                            <w:spacing w:val="-85"/>
                            <w:sz w:val="18"/>
                            <w:szCs w:val="18"/>
                          </w:rPr>
                          <w:t> </w:t>
                        </w:r>
                        <w:r>
                          <w:rPr>
                            <w:rFonts w:ascii="宋体" w:hAnsi="宋体" w:cs="宋体" w:eastAsia="宋体" w:hint="default"/>
                            <w:sz w:val="18"/>
                            <w:szCs w:val="18"/>
                          </w:rPr>
                          <w:t>额时所需判断的主观程度、复杂程度和范 </w:t>
                        </w:r>
                        <w:r>
                          <w:rPr>
                            <w:rFonts w:ascii="宋体" w:hAnsi="宋体" w:cs="宋体" w:eastAsia="宋体" w:hint="default"/>
                            <w:spacing w:val="-9"/>
                            <w:sz w:val="18"/>
                            <w:szCs w:val="18"/>
                          </w:rPr>
                          <w:t>围；（</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）控制缺陷之间的相互作用；（</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w:t>
                        </w:r>
                        <w:r>
                          <w:rPr>
                            <w:rFonts w:ascii="宋体" w:hAnsi="宋体" w:cs="宋体" w:eastAsia="宋体" w:hint="default"/>
                            <w:sz w:val="18"/>
                            <w:szCs w:val="18"/>
                          </w:rPr>
                          <w:t> 控制缺陷在未来可能产生的影响等。</w:t>
                        </w:r>
                      </w:p>
                    </w:tc>
                    <w:tc>
                      <w:tcPr>
                        <w:tcW w:w="3039" w:type="dxa"/>
                        <w:vMerge w:val="restart"/>
                        <w:tcBorders>
                          <w:top w:val="single" w:sz="4" w:space="0" w:color="000000"/>
                          <w:left w:val="single" w:sz="9" w:space="0" w:color="FFFFFF"/>
                          <w:right w:val="single" w:sz="4" w:space="0" w:color="000000"/>
                        </w:tcBorders>
                      </w:tcPr>
                      <w:p>
                        <w:pPr>
                          <w:pStyle w:val="TableParagraph"/>
                          <w:spacing w:line="312" w:lineRule="auto" w:before="52"/>
                          <w:ind w:left="4" w:right="-42"/>
                          <w:jc w:val="left"/>
                          <w:rPr>
                            <w:rFonts w:ascii="宋体" w:hAnsi="宋体" w:cs="宋体" w:eastAsia="宋体" w:hint="default"/>
                            <w:sz w:val="18"/>
                            <w:szCs w:val="18"/>
                          </w:rPr>
                        </w:pPr>
                        <w:r>
                          <w:rPr>
                            <w:rFonts w:ascii="宋体" w:hAnsi="宋体" w:cs="宋体" w:eastAsia="宋体" w:hint="default"/>
                            <w:sz w:val="18"/>
                            <w:szCs w:val="18"/>
                          </w:rPr>
                          <w:t>重大缺陷可能存在的迹象：受到证监 会、国资委等主要政府监管部门的处 罚，并对公司形象造成重大负面影响； </w:t>
                        </w:r>
                        <w:r>
                          <w:rPr>
                            <w:rFonts w:ascii="Times New Roman" w:hAnsi="Times New Roman" w:cs="Times New Roman" w:eastAsia="Times New Roman" w:hint="default"/>
                            <w:sz w:val="18"/>
                            <w:szCs w:val="18"/>
                          </w:rPr>
                          <w:t>“</w:t>
                        </w:r>
                        <w:r>
                          <w:rPr>
                            <w:rFonts w:ascii="宋体" w:hAnsi="宋体" w:cs="宋体" w:eastAsia="宋体" w:hint="default"/>
                            <w:sz w:val="18"/>
                            <w:szCs w:val="18"/>
                          </w:rPr>
                          <w:t>三重一大</w:t>
                        </w:r>
                        <w:r>
                          <w:rPr>
                            <w:rFonts w:ascii="Times New Roman" w:hAnsi="Times New Roman" w:cs="Times New Roman" w:eastAsia="Times New Roman" w:hint="default"/>
                            <w:sz w:val="18"/>
                            <w:szCs w:val="18"/>
                          </w:rPr>
                          <w:t>”</w:t>
                        </w:r>
                        <w:r>
                          <w:rPr>
                            <w:rFonts w:ascii="宋体" w:hAnsi="宋体" w:cs="宋体" w:eastAsia="宋体" w:hint="default"/>
                            <w:sz w:val="18"/>
                            <w:szCs w:val="18"/>
                          </w:rPr>
                          <w:t>事项未经过集体决策程序； 某个业务领域频繁地发生相似的重大 </w:t>
                        </w:r>
                        <w:r>
                          <w:rPr>
                            <w:rFonts w:ascii="宋体" w:hAnsi="宋体" w:cs="宋体" w:eastAsia="宋体" w:hint="default"/>
                            <w:spacing w:val="-4"/>
                            <w:sz w:val="18"/>
                            <w:szCs w:val="18"/>
                          </w:rPr>
                          <w:t>诉讼案件；企业发生重大损失，持续经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营受到挑战等。除重大缺陷以外，根据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缺陷重要程度划分为重要缺陷和一般 </w:t>
                        </w:r>
                        <w:r>
                          <w:rPr>
                            <w:rFonts w:ascii="宋体" w:hAnsi="宋体" w:cs="宋体" w:eastAsia="宋体" w:hint="default"/>
                            <w:spacing w:val="-9"/>
                            <w:sz w:val="18"/>
                            <w:szCs w:val="18"/>
                          </w:rPr>
                          <w:t>缺陷，考虑以下因素：（</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）是否涉及任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何舞弊行为；（</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）确定缺陷所引起相关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金额时所需判断的主观程度、复杂程度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和范围；（</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）控制缺陷之间的相互作用</w:t>
                        </w:r>
                      </w:p>
                      <w:p>
                        <w:pPr>
                          <w:pStyle w:val="TableParagraph"/>
                          <w:spacing w:line="302" w:lineRule="auto" w:before="3"/>
                          <w:ind w:left="4"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）控制缺陷在未来可能产生的影响 等。</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2034"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line="624" w:lineRule="exact"/>
        <w:ind w:left="6699"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53.75pt;height:31.2pt;mso-position-horizontal-relative:char;mso-position-vertical-relative:line" coordorigin="0,0" coordsize="3075,624">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style="position:absolute;left:0;top:312;width:2996;height:312" coordorigin="0,312" coordsize="2996,312">
              <v:shape style="position:absolute;left:0;top:312;width:2996;height:312" coordorigin="0,312" coordsize="2996,312" path="m0,624l2996,624,2996,312,0,312,0,624xe" filled="true" fillcolor="#ffffff" stroked="false">
                <v:path arrowok="t"/>
                <v:fill type="solid"/>
              </v:shape>
              <v:shape style="position:absolute;left:2895;top:6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11"/>
          <w:sz w:val="20"/>
          <w:szCs w:val="20"/>
        </w:rPr>
      </w:r>
    </w:p>
    <w:p>
      <w:pPr>
        <w:spacing w:line="240" w:lineRule="auto" w:before="5"/>
        <w:rPr>
          <w:rFonts w:ascii="宋体" w:hAnsi="宋体" w:cs="宋体" w:eastAsia="宋体" w:hint="default"/>
          <w:sz w:val="21"/>
          <w:szCs w:val="21"/>
        </w:rPr>
      </w:pPr>
    </w:p>
    <w:p>
      <w:pPr>
        <w:pStyle w:val="BodyText"/>
        <w:spacing w:line="240" w:lineRule="auto" w:before="44"/>
        <w:ind w:left="0" w:right="1139"/>
        <w:jc w:val="right"/>
      </w:pPr>
      <w:r>
        <w:rPr/>
        <w:pict>
          <v:shape style="position:absolute;margin-left:56.459999pt;margin-top:-71.128265pt;width:479.2pt;height:179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35"/>
                    <w:gridCol w:w="3039"/>
                  </w:tblGrid>
                  <w:tr>
                    <w:trPr>
                      <w:trHeight w:val="19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4" w:space="0" w:color="000000"/>
                          <w:bottom w:val="single" w:sz="4" w:space="0" w:color="000000"/>
                          <w:right w:val="single" w:sz="9" w:space="0" w:color="FFFFFF"/>
                        </w:tcBorders>
                      </w:tcPr>
                      <w:p>
                        <w:pPr>
                          <w:pStyle w:val="TableParagraph"/>
                          <w:spacing w:line="307" w:lineRule="auto" w:before="51"/>
                          <w:ind w:left="23" w:right="26"/>
                          <w:jc w:val="left"/>
                          <w:rPr>
                            <w:rFonts w:ascii="宋体" w:hAnsi="宋体" w:cs="宋体" w:eastAsia="宋体" w:hint="default"/>
                            <w:sz w:val="18"/>
                            <w:szCs w:val="18"/>
                          </w:rPr>
                        </w:pPr>
                        <w:r>
                          <w:rPr>
                            <w:rFonts w:ascii="宋体" w:hAnsi="宋体" w:cs="宋体" w:eastAsia="宋体" w:hint="default"/>
                            <w:sz w:val="18"/>
                            <w:szCs w:val="18"/>
                          </w:rPr>
                          <w:t>根据内控缺陷对财务报表错报影响金额， 与公司上一年度合并财务报表净利润相 </w:t>
                        </w:r>
                        <w:r>
                          <w:rPr>
                            <w:rFonts w:ascii="宋体" w:hAnsi="宋体" w:cs="宋体" w:eastAsia="宋体" w:hint="default"/>
                            <w:spacing w:val="-6"/>
                            <w:sz w:val="18"/>
                            <w:szCs w:val="18"/>
                          </w:rPr>
                          <w:t>比：缺陷影响金额超过合并净利润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w:t>
                        </w:r>
                        <w:r>
                          <w:rPr>
                            <w:rFonts w:ascii="宋体" w:hAnsi="宋体" w:cs="宋体" w:eastAsia="宋体" w:hint="default"/>
                            <w:spacing w:val="-82"/>
                            <w:sz w:val="18"/>
                            <w:szCs w:val="18"/>
                          </w:rPr>
                          <w:t> </w:t>
                        </w:r>
                        <w:r>
                          <w:rPr>
                            <w:rFonts w:ascii="宋体" w:hAnsi="宋体" w:cs="宋体" w:eastAsia="宋体" w:hint="default"/>
                            <w:spacing w:val="-5"/>
                            <w:sz w:val="18"/>
                            <w:szCs w:val="18"/>
                          </w:rPr>
                          <w:t>为重大缺陷；介于合并净利润</w:t>
                        </w:r>
                        <w:r>
                          <w:rPr>
                            <w:rFonts w:ascii="宋体" w:hAnsi="宋体" w:cs="宋体" w:eastAsia="宋体" w:hint="default"/>
                            <w:spacing w:val="-38"/>
                            <w:sz w:val="18"/>
                            <w:szCs w:val="18"/>
                          </w:rPr>
                          <w:t> </w:t>
                        </w:r>
                        <w:r>
                          <w:rPr>
                            <w:rFonts w:ascii="Times New Roman" w:hAnsi="Times New Roman" w:cs="Times New Roman" w:eastAsia="Times New Roman" w:hint="default"/>
                            <w:spacing w:val="-7"/>
                            <w:sz w:val="18"/>
                            <w:szCs w:val="18"/>
                          </w:rPr>
                          <w:t>5%-10%</w:t>
                        </w:r>
                        <w:r>
                          <w:rPr>
                            <w:rFonts w:ascii="宋体" w:hAnsi="宋体" w:cs="宋体" w:eastAsia="宋体" w:hint="default"/>
                            <w:spacing w:val="-7"/>
                            <w:sz w:val="18"/>
                            <w:szCs w:val="18"/>
                          </w:rPr>
                          <w:t>（含</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）之间的，为重要缺陷；小于或等于 合并净利润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的，为一般缺陷。</w:t>
                        </w:r>
                      </w:p>
                    </w:tc>
                    <w:tc>
                      <w:tcPr>
                        <w:tcW w:w="3039" w:type="dxa"/>
                        <w:tcBorders>
                          <w:top w:val="single" w:sz="4" w:space="0" w:color="000000"/>
                          <w:left w:val="single" w:sz="9" w:space="0" w:color="FFFFFF"/>
                          <w:bottom w:val="single" w:sz="4" w:space="0" w:color="000000"/>
                          <w:right w:val="single" w:sz="4" w:space="0" w:color="000000"/>
                        </w:tcBorders>
                      </w:tcPr>
                      <w:p>
                        <w:pPr>
                          <w:pStyle w:val="TableParagraph"/>
                          <w:spacing w:line="320" w:lineRule="atLeast" w:before="123"/>
                          <w:ind w:left="4" w:right="121"/>
                          <w:jc w:val="left"/>
                          <w:rPr>
                            <w:rFonts w:ascii="宋体" w:hAnsi="宋体" w:cs="宋体" w:eastAsia="宋体" w:hint="default"/>
                            <w:sz w:val="18"/>
                            <w:szCs w:val="18"/>
                          </w:rPr>
                        </w:pPr>
                        <w:r>
                          <w:rPr>
                            <w:rFonts w:ascii="宋体" w:hAnsi="宋体" w:cs="宋体" w:eastAsia="宋体" w:hint="default"/>
                            <w:sz w:val="18"/>
                            <w:szCs w:val="18"/>
                          </w:rPr>
                          <w:t>根据内部控制缺陷导致的损失金额衡 量：损失金额超过合并净利润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w:t>
                        </w:r>
                      </w:p>
                      <w:p>
                        <w:pPr>
                          <w:pStyle w:val="TableParagraph"/>
                          <w:spacing w:line="103"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为重大缺陷；介于合并净利润</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5%-10%</w:t>
                        </w:r>
                      </w:p>
                      <w:p>
                        <w:pPr>
                          <w:pStyle w:val="TableParagraph"/>
                          <w:spacing w:line="302" w:lineRule="auto" w:before="63"/>
                          <w:ind w:left="4" w:right="20"/>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37"/>
                            <w:sz w:val="18"/>
                            <w:szCs w:val="18"/>
                          </w:rPr>
                          <w:t> </w:t>
                        </w:r>
                        <w:r>
                          <w:rPr>
                            <w:rFonts w:ascii="Times New Roman" w:hAnsi="Times New Roman" w:cs="Times New Roman" w:eastAsia="Times New Roman" w:hint="default"/>
                            <w:spacing w:val="-6"/>
                            <w:sz w:val="18"/>
                            <w:szCs w:val="18"/>
                          </w:rPr>
                          <w:t>10%</w:t>
                        </w:r>
                        <w:r>
                          <w:rPr>
                            <w:rFonts w:ascii="宋体" w:hAnsi="宋体" w:cs="宋体" w:eastAsia="宋体" w:hint="default"/>
                            <w:spacing w:val="-6"/>
                            <w:sz w:val="18"/>
                            <w:szCs w:val="18"/>
                          </w:rPr>
                          <w:t>）之间的，为重要缺陷；小于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或等于合并净利润</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的，为一般缺陷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2"/>
        <w:spacing w:line="240" w:lineRule="auto" w:before="26"/>
        <w:ind w:left="154" w:right="0"/>
        <w:jc w:val="left"/>
        <w:rPr>
          <w:b w:val="0"/>
          <w:bCs w:val="0"/>
        </w:rPr>
      </w:pPr>
      <w:bookmarkStart w:name="十、内部控制审计报告" w:id="154"/>
      <w:bookmarkEnd w:id="154"/>
      <w:r>
        <w:rPr>
          <w:b w:val="0"/>
          <w:bCs w:val="0"/>
        </w:rPr>
      </w:r>
      <w:r>
        <w:rPr/>
        <w:t>十、内部控制审计报告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我们认为，深大通公司于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 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日内控审计报告巨潮资讯网</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会计师事务所是否出具非标准意见的内部控制审计报告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07" w:right="0"/>
        <w:jc w:val="left"/>
        <w:rPr>
          <w:b w:val="0"/>
          <w:bCs w:val="0"/>
        </w:rPr>
      </w:pPr>
      <w:bookmarkStart w:name="第十节公司债券相关情况" w:id="155"/>
      <w:bookmarkEnd w:id="155"/>
      <w:r>
        <w:rPr>
          <w:b w:val="0"/>
          <w:bCs w:val="0"/>
        </w:rPr>
      </w:r>
      <w:bookmarkStart w:name="_bookmark9" w:id="156"/>
      <w:bookmarkEnd w:id="156"/>
      <w:r>
        <w:rPr>
          <w:b w:val="0"/>
          <w:bCs w:val="0"/>
        </w:rPr>
      </w:r>
      <w:r>
        <w:rPr/>
        <w:t>第十节公司债券相关情况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3"/>
        <w:jc w:val="center"/>
        <w:rPr>
          <w:b w:val="0"/>
          <w:bCs w:val="0"/>
        </w:rPr>
      </w:pPr>
      <w:bookmarkStart w:name="第十一节财务报告" w:id="157"/>
      <w:bookmarkEnd w:id="157"/>
      <w:r>
        <w:rPr>
          <w:b w:val="0"/>
          <w:bCs w:val="0"/>
        </w:rPr>
      </w:r>
      <w:bookmarkStart w:name="_bookmark10" w:id="158"/>
      <w:bookmarkEnd w:id="158"/>
      <w:r>
        <w:rPr>
          <w:b w:val="0"/>
          <w:bCs w:val="0"/>
        </w:rPr>
      </w:r>
      <w:r>
        <w:rPr/>
        <w:t>第十一节财务报告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9"/>
      <w:bookmarkEnd w:id="15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中汇会计师事务所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中汇会审</w:t>
            </w:r>
            <w:r>
              <w:rPr>
                <w:rFonts w:ascii="Times New Roman" w:hAnsi="Times New Roman" w:cs="Times New Roman" w:eastAsia="Times New Roman" w:hint="default"/>
                <w:sz w:val="18"/>
                <w:szCs w:val="18"/>
              </w:rPr>
              <w:t>[2018]1962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王甫荣、章归鸿</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pStyle w:val="BodyText"/>
        <w:spacing w:line="316" w:lineRule="auto"/>
        <w:ind w:left="513" w:right="-19" w:hanging="360"/>
        <w:jc w:val="left"/>
      </w:pPr>
      <w:r>
        <w:rPr/>
        <w:t>深圳大通实业股份有限公司全体股东： 一、审计意见</w:t>
      </w:r>
    </w:p>
    <w:p>
      <w:pPr>
        <w:pStyle w:val="BodyText"/>
        <w:spacing w:line="240" w:lineRule="auto" w:before="51"/>
        <w:ind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215" w:space="1065"/>
            <w:col w:w="6650"/>
          </w:cols>
        </w:sectPr>
      </w:pPr>
    </w:p>
    <w:p>
      <w:pPr>
        <w:pStyle w:val="BodyText"/>
        <w:spacing w:line="300" w:lineRule="auto" w:before="19"/>
        <w:ind w:right="1130" w:firstLine="360"/>
        <w:jc w:val="both"/>
      </w:pPr>
      <w:r>
        <w:rPr>
          <w:spacing w:val="-1"/>
        </w:rPr>
        <w:t>我们审计了深圳大通实业股份有限公司</w:t>
      </w:r>
      <w:r>
        <w:rPr>
          <w:rFonts w:ascii="Times New Roman" w:hAnsi="Times New Roman" w:cs="Times New Roman" w:eastAsia="Times New Roman" w:hint="default"/>
          <w:spacing w:val="-1"/>
        </w:rPr>
        <w:t>(</w:t>
      </w:r>
      <w:r>
        <w:rPr>
          <w:spacing w:val="-1"/>
        </w:rPr>
        <w:t>以下简称深大通公司</w:t>
      </w:r>
      <w:r>
        <w:rPr>
          <w:rFonts w:ascii="Times New Roman" w:hAnsi="Times New Roman" w:cs="Times New Roman" w:eastAsia="Times New Roman" w:hint="default"/>
          <w:spacing w:val="-1"/>
        </w:rPr>
        <w:t>)</w:t>
      </w:r>
      <w:r>
        <w:rPr>
          <w:spacing w:val="-1"/>
        </w:rPr>
        <w:t>财务报表，包括</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日的合并及母公司资产负债</w:t>
      </w:r>
      <w:r>
        <w:rPr/>
        <w:t> </w:t>
      </w:r>
      <w:r>
        <w:rPr>
          <w:spacing w:val="-2"/>
        </w:rPr>
        <w:t>表，</w:t>
      </w:r>
      <w:r>
        <w:rPr>
          <w:rFonts w:ascii="Times New Roman" w:hAnsi="Times New Roman" w:cs="Times New Roman" w:eastAsia="Times New Roman" w:hint="default"/>
          <w:spacing w:val="-2"/>
        </w:rPr>
        <w:t>2017</w:t>
      </w:r>
      <w:r>
        <w:rPr>
          <w:spacing w:val="-2"/>
        </w:rPr>
        <w:t>年度的合并及母公司利润表、合并及母公司现金流量表、合并及母公司所有者权益变动表以及财务报表附注。我们</w:t>
      </w:r>
      <w:r>
        <w:rPr>
          <w:spacing w:val="-62"/>
        </w:rPr>
        <w:t> </w:t>
      </w:r>
      <w:r>
        <w:rPr>
          <w:spacing w:val="-62"/>
        </w:rPr>
      </w:r>
      <w:r>
        <w:rPr>
          <w:spacing w:val="-2"/>
        </w:rPr>
        <w:t>认为，后附的财务报表在所有重大方面按照企业会计准则的规定编制，公允反映了深大通公司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w:t>
      </w:r>
      <w:r>
        <w:rPr>
          <w:spacing w:val="-55"/>
        </w:rPr>
        <w:t> </w:t>
      </w:r>
      <w:r>
        <w:rPr/>
        <w:t>司财务状况以及</w:t>
      </w:r>
      <w:r>
        <w:rPr>
          <w:rFonts w:ascii="Times New Roman" w:hAnsi="Times New Roman" w:cs="Times New Roman" w:eastAsia="Times New Roman" w:hint="default"/>
        </w:rPr>
        <w:t>2017</w:t>
      </w:r>
      <w:r>
        <w:rPr/>
        <w:t>年度的合并及母公司经营成果和现金流量。</w:t>
      </w:r>
    </w:p>
    <w:p>
      <w:pPr>
        <w:pStyle w:val="BodyText"/>
        <w:spacing w:line="316" w:lineRule="auto" w:before="13"/>
        <w:ind w:left="514" w:right="0"/>
        <w:jc w:val="left"/>
      </w:pPr>
      <w:r>
        <w:rPr/>
        <w:t>二、形成审计意见的基础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left="154" w:right="0"/>
        <w:jc w:val="left"/>
      </w:pPr>
      <w:r>
        <w:rPr>
          <w:spacing w:val="-2"/>
        </w:rPr>
        <w:t>阐述了我们在这些准则下的责任。按照中国注册会计师职业道德守则，我们独立于深大通公司，并履行了职业道德方面的其</w:t>
      </w:r>
      <w:r>
        <w:rPr>
          <w:spacing w:val="-66"/>
        </w:rPr>
        <w:t> </w:t>
      </w:r>
      <w:r>
        <w:rPr>
          <w:spacing w:val="-66"/>
        </w:rPr>
      </w:r>
      <w:r>
        <w:rPr/>
        <w:t>他责任。我们相信，我们获取的审计证据是充分、适当的，为发表审计意见提供了基础。</w:t>
      </w:r>
    </w:p>
    <w:p>
      <w:pPr>
        <w:pStyle w:val="BodyText"/>
        <w:spacing w:line="316" w:lineRule="auto" w:before="19"/>
        <w:ind w:left="514" w:right="0"/>
        <w:jc w:val="left"/>
      </w:pPr>
      <w:r>
        <w:rPr/>
        <w:t>三、关键审计事项 </w:t>
      </w:r>
      <w:r>
        <w:rPr>
          <w:spacing w:val="-2"/>
        </w:rPr>
        <w:t>关键审计事项是我们根据职业判断，认为对本期财务报表审计最为重要的事项。这些事项的应对以对财务报表整体进行</w:t>
      </w:r>
    </w:p>
    <w:p>
      <w:pPr>
        <w:pStyle w:val="BodyText"/>
        <w:spacing w:line="240" w:lineRule="auto" w:before="19"/>
        <w:ind w:left="154" w:right="0"/>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pStyle w:val="BodyText"/>
        <w:spacing w:line="240" w:lineRule="auto" w:before="76"/>
        <w:ind w:left="516"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广告传媒业务收入确认</w:t>
      </w:r>
    </w:p>
    <w:p>
      <w:pPr>
        <w:pStyle w:val="BodyText"/>
        <w:spacing w:line="240" w:lineRule="auto" w:before="63"/>
        <w:ind w:left="516" w:right="0"/>
        <w:jc w:val="left"/>
      </w:pPr>
      <w:r>
        <w:rPr>
          <w:rFonts w:ascii="Times New Roman" w:hAnsi="Times New Roman" w:cs="Times New Roman" w:eastAsia="Times New Roman" w:hint="default"/>
        </w:rPr>
        <w:t>1</w:t>
      </w:r>
      <w:r>
        <w:rPr/>
        <w:t>．事项描述</w:t>
      </w:r>
    </w:p>
    <w:p>
      <w:pPr>
        <w:pStyle w:val="BodyText"/>
        <w:spacing w:line="304" w:lineRule="auto" w:before="63"/>
        <w:ind w:right="0" w:firstLine="362"/>
        <w:jc w:val="left"/>
      </w:pPr>
      <w:r>
        <w:rPr>
          <w:rFonts w:ascii="Times New Roman" w:hAnsi="Times New Roman" w:cs="Times New Roman" w:eastAsia="Times New Roman" w:hint="default"/>
        </w:rPr>
        <w:t>2016</w:t>
      </w:r>
      <w:r>
        <w:rPr/>
        <w:t>年度，深大通公司完成了对冉十科技</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有限公司、浙江视科文化传播有限公司</w:t>
      </w:r>
      <w:r>
        <w:rPr>
          <w:rFonts w:ascii="Times New Roman" w:hAnsi="Times New Roman" w:cs="Times New Roman" w:eastAsia="Times New Roman" w:hint="default"/>
        </w:rPr>
        <w:t>(</w:t>
      </w:r>
      <w:r>
        <w:rPr/>
        <w:t>以下合称标的公司</w:t>
      </w:r>
      <w:r>
        <w:rPr>
          <w:rFonts w:ascii="Times New Roman" w:hAnsi="Times New Roman" w:cs="Times New Roman" w:eastAsia="Times New Roman" w:hint="default"/>
        </w:rPr>
        <w:t>)</w:t>
      </w:r>
      <w:r>
        <w:rPr/>
        <w:t>重大资产重 组，主要业务由房地产开发转型为新媒体传媒运营、广告发布。如财务报表附注五</w:t>
      </w:r>
      <w:r>
        <w:rPr>
          <w:rFonts w:ascii="Times New Roman" w:hAnsi="Times New Roman" w:cs="Times New Roman" w:eastAsia="Times New Roman" w:hint="default"/>
        </w:rPr>
        <w:t>(</w:t>
      </w:r>
      <w:r>
        <w:rPr/>
        <w:t>三十二</w:t>
      </w:r>
      <w:r>
        <w:rPr>
          <w:rFonts w:ascii="Times New Roman" w:hAnsi="Times New Roman" w:cs="Times New Roman" w:eastAsia="Times New Roman" w:hint="default"/>
        </w:rPr>
        <w:t>)</w:t>
      </w:r>
      <w:r>
        <w:rPr/>
        <w:t>所述，深大通公司</w:t>
      </w:r>
      <w:r>
        <w:rPr>
          <w:rFonts w:ascii="Times New Roman" w:hAnsi="Times New Roman" w:cs="Times New Roman" w:eastAsia="Times New Roman" w:hint="default"/>
        </w:rPr>
        <w:t>2017</w:t>
      </w:r>
      <w:r>
        <w:rPr/>
        <w:t>年度广告 传媒业务实现收入</w:t>
      </w:r>
      <w:r>
        <w:rPr>
          <w:rFonts w:ascii="Times New Roman" w:hAnsi="Times New Roman" w:cs="Times New Roman" w:eastAsia="Times New Roman" w:hint="default"/>
        </w:rPr>
        <w:t>103,104.45</w:t>
      </w:r>
      <w:r>
        <w:rPr/>
        <w:t>万元，占全部营业收入的比例为</w:t>
      </w:r>
      <w:r>
        <w:rPr>
          <w:rFonts w:ascii="Times New Roman" w:hAnsi="Times New Roman" w:cs="Times New Roman" w:eastAsia="Times New Roman" w:hint="default"/>
        </w:rPr>
        <w:t>68.26%</w:t>
      </w:r>
      <w:r>
        <w:rPr/>
        <w:t>。鉴于广告传媒业务收入是标的公司利润的主要来源，</w:t>
      </w:r>
      <w:r>
        <w:rPr>
          <w:spacing w:val="-24"/>
        </w:rPr>
        <w:t> </w:t>
      </w:r>
      <w:r>
        <w:rPr>
          <w:spacing w:val="-24"/>
        </w:rPr>
      </w:r>
      <w:r>
        <w:rPr>
          <w:spacing w:val="-2"/>
        </w:rPr>
        <w:t>并且影响关键业绩指标，从而存在标的公司管理层为了完成业绩承诺而操纵收入确认的重大风险，因此我们将广告传媒业务</w:t>
      </w:r>
      <w:r>
        <w:rPr>
          <w:spacing w:val="-64"/>
        </w:rPr>
        <w:t> </w:t>
      </w:r>
      <w:r>
        <w:rPr>
          <w:spacing w:val="-64"/>
        </w:rPr>
      </w:r>
      <w:r>
        <w:rPr/>
        <w:t>收入确认作为关键审计事项。</w:t>
      </w:r>
    </w:p>
    <w:p>
      <w:pPr>
        <w:pStyle w:val="BodyText"/>
        <w:spacing w:line="304" w:lineRule="auto" w:before="28"/>
        <w:ind w:left="513" w:right="3883" w:firstLine="2"/>
        <w:jc w:val="left"/>
      </w:pPr>
      <w:r>
        <w:rPr>
          <w:rFonts w:ascii="Times New Roman" w:hAnsi="Times New Roman" w:cs="Times New Roman" w:eastAsia="Times New Roman" w:hint="default"/>
        </w:rPr>
        <w:t>2</w:t>
      </w:r>
      <w:r>
        <w:rPr/>
        <w:t>．审计应对 我们针对深大通公司广告传媒业务收入确认所实施的主要审计程序如下： </w:t>
      </w:r>
      <w:r>
        <w:rPr>
          <w:rFonts w:ascii="Times New Roman" w:hAnsi="Times New Roman" w:cs="Times New Roman" w:eastAsia="Times New Roman" w:hint="default"/>
        </w:rPr>
        <w:t>(1)</w:t>
      </w:r>
      <w:r>
        <w:rPr/>
        <w:t>了解、评价和测试与收入确认相关的内部控制设计和运行的有效性； </w:t>
      </w:r>
      <w:r>
        <w:rPr>
          <w:rFonts w:ascii="Times New Roman" w:hAnsi="Times New Roman" w:cs="Times New Roman" w:eastAsia="Times New Roman" w:hint="default"/>
        </w:rPr>
        <w:t>(2)</w:t>
      </w:r>
      <w:r>
        <w:rPr/>
        <w:t>了解广告传媒业务收入的具体确认标准，评价其是否符合企业会计准则的要求； </w:t>
      </w:r>
      <w:r>
        <w:rPr>
          <w:rFonts w:ascii="Times New Roman" w:hAnsi="Times New Roman" w:cs="Times New Roman" w:eastAsia="Times New Roman" w:hint="default"/>
        </w:rPr>
        <w:t>(3)</w:t>
      </w:r>
      <w:r>
        <w:rPr/>
        <w:t>执行分析性复核程序，分析营业收入及毛利率变动的合理性；</w:t>
      </w:r>
    </w:p>
    <w:p>
      <w:pPr>
        <w:pStyle w:val="BodyText"/>
        <w:spacing w:line="300" w:lineRule="auto" w:before="9"/>
        <w:ind w:right="0" w:firstLine="360"/>
        <w:jc w:val="left"/>
      </w:pPr>
      <w:r>
        <w:rPr>
          <w:rFonts w:ascii="Times New Roman" w:hAnsi="Times New Roman" w:cs="Times New Roman" w:eastAsia="Times New Roman" w:hint="default"/>
          <w:spacing w:val="-3"/>
        </w:rPr>
        <w:t>(4)</w:t>
      </w:r>
      <w:r>
        <w:rPr>
          <w:spacing w:val="-3"/>
        </w:rPr>
        <w:t>从收入明细表中选取样本，核对销售合同或订单、销售发票、广告排期表、投放证明、结算单据和银行回单等资料，</w:t>
      </w:r>
      <w:r>
        <w:rPr>
          <w:w w:val="99"/>
        </w:rPr>
        <w:t> </w:t>
      </w:r>
      <w:r>
        <w:rPr/>
        <w:t>以评价收入确认的真实性和准确性；</w:t>
      </w:r>
    </w:p>
    <w:p>
      <w:pPr>
        <w:pStyle w:val="BodyText"/>
        <w:spacing w:line="300" w:lineRule="auto" w:before="31"/>
        <w:ind w:left="513" w:right="1183"/>
        <w:jc w:val="left"/>
      </w:pPr>
      <w:r>
        <w:rPr>
          <w:rFonts w:ascii="Times New Roman" w:hAnsi="Times New Roman" w:cs="Times New Roman" w:eastAsia="Times New Roman" w:hint="default"/>
        </w:rPr>
        <w:t>(5)</w:t>
      </w:r>
      <w:r>
        <w:rPr/>
        <w:t>向重要客户实施函证程序，询证本期收入发生额及往来款项余额，确认收入的真实性、完整性；</w:t>
      </w:r>
      <w:r>
        <w:rPr>
          <w:w w:val="99"/>
        </w:rPr>
        <w:t> </w:t>
      </w:r>
      <w:r>
        <w:rPr>
          <w:rFonts w:ascii="Times New Roman" w:hAnsi="Times New Roman" w:cs="Times New Roman" w:eastAsia="Times New Roman" w:hint="default"/>
        </w:rPr>
        <w:t>(6)</w:t>
      </w:r>
      <w:r>
        <w:rPr/>
        <w:t>对重要客户实施实地访谈程序，了解客户的经营范围和业务规模，询问客户本期与标的公司的业务往来情况及是否</w:t>
      </w:r>
    </w:p>
    <w:p>
      <w:pPr>
        <w:pStyle w:val="BodyText"/>
        <w:spacing w:line="240" w:lineRule="auto" w:before="13"/>
        <w:ind w:right="0"/>
        <w:jc w:val="left"/>
      </w:pPr>
      <w:r>
        <w:rPr/>
        <w:t>存在关联关系等，核实收入的真实性；</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6" w:right="2620"/>
        <w:jc w:val="left"/>
      </w:pPr>
      <w:r>
        <w:rPr>
          <w:rFonts w:ascii="Times New Roman" w:hAnsi="Times New Roman" w:cs="Times New Roman" w:eastAsia="Times New Roman" w:hint="default"/>
        </w:rPr>
        <w:t>(7)</w:t>
      </w:r>
      <w:r>
        <w:rPr/>
        <w:t>对资产负债表日前后记录的收入交易进行截止测试，以评价收入是否被记录于恰当的会计期间。</w:t>
      </w:r>
      <w:r>
        <w:rPr>
          <w:w w:val="99"/>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应收账款减值</w:t>
      </w:r>
    </w:p>
    <w:p>
      <w:pPr>
        <w:pStyle w:val="BodyText"/>
        <w:spacing w:line="300" w:lineRule="auto" w:before="13"/>
        <w:ind w:left="514" w:right="1118" w:firstLine="2"/>
        <w:jc w:val="left"/>
      </w:pPr>
      <w:r>
        <w:rPr>
          <w:rFonts w:ascii="Times New Roman" w:hAnsi="Times New Roman" w:cs="Times New Roman" w:eastAsia="Times New Roman" w:hint="default"/>
        </w:rPr>
        <w:t>1</w:t>
      </w:r>
      <w:r>
        <w:rPr/>
        <w:t>．事项描述 </w:t>
      </w:r>
      <w:r>
        <w:rPr>
          <w:spacing w:val="-1"/>
        </w:rPr>
        <w:t>如财务报表附注五</w:t>
      </w:r>
      <w:r>
        <w:rPr>
          <w:rFonts w:ascii="Times New Roman" w:hAnsi="Times New Roman" w:cs="Times New Roman" w:eastAsia="Times New Roman" w:hint="default"/>
          <w:spacing w:val="-1"/>
        </w:rPr>
        <w:t>(</w:t>
      </w:r>
      <w:r>
        <w:rPr>
          <w:spacing w:val="-1"/>
        </w:rPr>
        <w:t>三</w:t>
      </w:r>
      <w:r>
        <w:rPr>
          <w:rFonts w:ascii="Times New Roman" w:hAnsi="Times New Roman" w:cs="Times New Roman" w:eastAsia="Times New Roman" w:hint="default"/>
          <w:spacing w:val="-1"/>
        </w:rPr>
        <w:t>)</w:t>
      </w:r>
      <w:r>
        <w:rPr>
          <w:spacing w:val="-1"/>
        </w:rPr>
        <w:t>所述，于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日，深大通公司合并财务报表应收账款账面余额为</w:t>
      </w:r>
      <w:r>
        <w:rPr>
          <w:rFonts w:ascii="Times New Roman" w:hAnsi="Times New Roman" w:cs="Times New Roman" w:eastAsia="Times New Roman" w:hint="default"/>
          <w:spacing w:val="-1"/>
        </w:rPr>
        <w:t>71,260.65</w:t>
      </w:r>
      <w:r>
        <w:rPr>
          <w:spacing w:val="-1"/>
        </w:rPr>
        <w:t>万元，计提的</w:t>
      </w:r>
    </w:p>
    <w:p>
      <w:pPr>
        <w:pStyle w:val="BodyText"/>
        <w:spacing w:line="309" w:lineRule="auto" w:before="13"/>
        <w:ind w:right="0"/>
        <w:jc w:val="left"/>
      </w:pPr>
      <w:r>
        <w:rPr/>
        <w:t>坏账准备为</w:t>
      </w:r>
      <w:r>
        <w:rPr>
          <w:rFonts w:ascii="Times New Roman" w:hAnsi="Times New Roman" w:cs="Times New Roman" w:eastAsia="Times New Roman" w:hint="default"/>
        </w:rPr>
        <w:t>3,302.30</w:t>
      </w:r>
      <w:r>
        <w:rPr/>
        <w:t>万元。由于在确定应收账款预计可收回金额时需要深大通公司管理层</w:t>
      </w:r>
      <w:r>
        <w:rPr>
          <w:rFonts w:ascii="Times New Roman" w:hAnsi="Times New Roman" w:cs="Times New Roman" w:eastAsia="Times New Roman" w:hint="default"/>
        </w:rPr>
        <w:t>(</w:t>
      </w:r>
      <w:r>
        <w:rPr/>
        <w:t>以下简称管理层</w:t>
      </w:r>
      <w:r>
        <w:rPr>
          <w:rFonts w:ascii="Times New Roman" w:hAnsi="Times New Roman" w:cs="Times New Roman" w:eastAsia="Times New Roman" w:hint="default"/>
        </w:rPr>
        <w:t>)</w:t>
      </w:r>
      <w:r>
        <w:rPr/>
        <w:t>运用重要会计估 </w:t>
      </w:r>
      <w:r>
        <w:rPr>
          <w:spacing w:val="-2"/>
        </w:rPr>
        <w:t>计和判断，且若这些应收账款不能按期收回或者无法收回而发生坏账对财务报表的影响较为重大，因此我们将应收账款减值</w:t>
      </w:r>
      <w:r>
        <w:rPr>
          <w:spacing w:val="-64"/>
        </w:rPr>
        <w:t> </w:t>
      </w:r>
      <w:r>
        <w:rPr>
          <w:spacing w:val="-64"/>
        </w:rPr>
      </w:r>
      <w:r>
        <w:rPr/>
        <w:t>确定为关键审计事项。</w:t>
      </w:r>
    </w:p>
    <w:p>
      <w:pPr>
        <w:pStyle w:val="BodyText"/>
        <w:spacing w:line="309" w:lineRule="auto" w:before="24"/>
        <w:ind w:left="514" w:right="4962" w:firstLine="2"/>
        <w:jc w:val="left"/>
      </w:pPr>
      <w:r>
        <w:rPr>
          <w:rFonts w:ascii="Times New Roman" w:hAnsi="Times New Roman" w:cs="Times New Roman" w:eastAsia="Times New Roman" w:hint="default"/>
        </w:rPr>
        <w:t>2</w:t>
      </w:r>
      <w:r>
        <w:rPr/>
        <w:t>．审计应对 我们针对深大通公司应收账款减值所实施的主要审计程序如下： </w:t>
      </w:r>
      <w:r>
        <w:rPr>
          <w:rFonts w:ascii="Times New Roman" w:hAnsi="Times New Roman" w:cs="Times New Roman" w:eastAsia="Times New Roman" w:hint="default"/>
        </w:rPr>
        <w:t>(1)</w:t>
      </w:r>
      <w:r>
        <w:rPr/>
        <w:t>评价和测试与应收账款减值相关的内部控制设计和运行的有效性；</w:t>
      </w:r>
    </w:p>
    <w:p>
      <w:pPr>
        <w:pStyle w:val="BodyText"/>
        <w:spacing w:line="300" w:lineRule="auto" w:before="5"/>
        <w:ind w:right="1181" w:firstLine="362"/>
        <w:jc w:val="left"/>
      </w:pPr>
      <w:r>
        <w:rPr>
          <w:rFonts w:ascii="Times New Roman" w:hAnsi="Times New Roman" w:cs="Times New Roman" w:eastAsia="Times New Roman" w:hint="default"/>
        </w:rPr>
        <w:t>(2)</w:t>
      </w:r>
      <w:r>
        <w:rPr/>
        <w:t>分析深大通公司应收账款坏账准备会计估计的合理性，包括确定应收账款组合的依据、金额重大的判断、单项计提</w:t>
      </w:r>
      <w:r>
        <w:rPr>
          <w:w w:val="99"/>
        </w:rPr>
        <w:t> </w:t>
      </w:r>
      <w:r>
        <w:rPr/>
        <w:t>坏账准备的判断等；</w:t>
      </w:r>
    </w:p>
    <w:p>
      <w:pPr>
        <w:pStyle w:val="BodyText"/>
        <w:spacing w:line="300" w:lineRule="auto" w:before="31"/>
        <w:ind w:right="1181" w:firstLine="362"/>
        <w:jc w:val="left"/>
      </w:pPr>
      <w:r>
        <w:rPr>
          <w:rFonts w:ascii="Times New Roman" w:hAnsi="Times New Roman" w:cs="Times New Roman" w:eastAsia="Times New Roman" w:hint="default"/>
        </w:rPr>
        <w:t>(3)</w:t>
      </w:r>
      <w:r>
        <w:rPr/>
        <w:t>分析计算深大通公司资产负债表日坏账准备金额与应收账款余额之间的比率，比较前期坏账准备计提数和实际发生</w:t>
      </w:r>
      <w:r>
        <w:rPr>
          <w:w w:val="99"/>
        </w:rPr>
        <w:t> </w:t>
      </w:r>
      <w:r>
        <w:rPr/>
        <w:t>数，分析应收账款坏账准备计提是否充分；</w:t>
      </w:r>
    </w:p>
    <w:p>
      <w:pPr>
        <w:pStyle w:val="BodyText"/>
        <w:spacing w:line="300" w:lineRule="auto" w:before="31"/>
        <w:ind w:left="516" w:right="1720"/>
        <w:jc w:val="left"/>
      </w:pPr>
      <w:r>
        <w:rPr>
          <w:rFonts w:ascii="Times New Roman" w:hAnsi="Times New Roman" w:cs="Times New Roman" w:eastAsia="Times New Roman" w:hint="default"/>
        </w:rPr>
        <w:t>(4)</w:t>
      </w:r>
      <w:r>
        <w:rPr/>
        <w:t>分析应收账款的账龄并执行应收账款函证程序及检查期后回款情况，评价应收账款坏账准备计提的合理性；</w:t>
      </w:r>
      <w:r>
        <w:rPr>
          <w:w w:val="99"/>
        </w:rPr>
        <w:t> </w:t>
      </w:r>
      <w:r>
        <w:rPr>
          <w:rFonts w:ascii="Times New Roman" w:hAnsi="Times New Roman" w:cs="Times New Roman" w:eastAsia="Times New Roman" w:hint="default"/>
        </w:rPr>
        <w:t>(5)</w:t>
      </w:r>
      <w:r>
        <w:rPr/>
        <w:t>获取坏账准备计算表，复核应收账款坏账准备的计提过程，检查坏账准备计提金额是否正确。</w:t>
      </w:r>
    </w:p>
    <w:p>
      <w:pPr>
        <w:pStyle w:val="BodyText"/>
        <w:spacing w:line="240" w:lineRule="auto" w:before="13"/>
        <w:ind w:left="516"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商誉减值</w:t>
      </w:r>
    </w:p>
    <w:p>
      <w:pPr>
        <w:pStyle w:val="BodyText"/>
        <w:spacing w:line="300" w:lineRule="auto" w:before="63"/>
        <w:ind w:left="514" w:right="1182" w:firstLine="2"/>
        <w:jc w:val="left"/>
      </w:pPr>
      <w:r>
        <w:rPr>
          <w:rFonts w:ascii="Times New Roman" w:hAnsi="Times New Roman" w:cs="Times New Roman" w:eastAsia="Times New Roman" w:hint="default"/>
        </w:rPr>
        <w:t>1</w:t>
      </w:r>
      <w:r>
        <w:rPr/>
        <w:t>．事项描述 如财务报表附注五</w:t>
      </w: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t>所述，于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日，深大通公司因企业合并形成的商誉账面余额为</w:t>
      </w:r>
      <w:r>
        <w:rPr>
          <w:rFonts w:ascii="Times New Roman" w:hAnsi="Times New Roman" w:cs="Times New Roman" w:eastAsia="Times New Roman" w:hint="default"/>
        </w:rPr>
        <w:t>230,867.36</w:t>
      </w:r>
      <w:r>
        <w:rPr/>
        <w:t>万元，未</w:t>
      </w:r>
    </w:p>
    <w:p>
      <w:pPr>
        <w:pStyle w:val="BodyText"/>
        <w:spacing w:line="319" w:lineRule="auto" w:before="13"/>
        <w:ind w:right="1131"/>
        <w:jc w:val="both"/>
      </w:pPr>
      <w:r>
        <w:rPr>
          <w:spacing w:val="-2"/>
        </w:rPr>
        <w:t>计提减值准备。根据企业会计准则，管理层对商誉至少在每年年度终了进行减值测试，以确定是否需要确认减值损失。减值</w:t>
      </w:r>
      <w:r>
        <w:rPr>
          <w:spacing w:val="-66"/>
        </w:rPr>
        <w:t> </w:t>
      </w:r>
      <w:r>
        <w:rPr>
          <w:spacing w:val="-66"/>
        </w:rPr>
      </w:r>
      <w:r>
        <w:rPr>
          <w:spacing w:val="-2"/>
        </w:rPr>
        <w:t>测试要求估计包含商誉的相关资产组的可收回金额，即相关资产组的公允价值减去处置费用后的净额与相关资产组预计未来</w:t>
      </w:r>
      <w:r>
        <w:rPr>
          <w:spacing w:val="-64"/>
        </w:rPr>
        <w:t> </w:t>
      </w:r>
      <w:r>
        <w:rPr>
          <w:spacing w:val="-64"/>
        </w:rPr>
      </w:r>
      <w:r>
        <w:rPr>
          <w:spacing w:val="-2"/>
        </w:rPr>
        <w:t>现金流量的现值两者之中的较高者。商誉减值测试的结果很大程度上依赖于管理层所做的估计和采用的假设，例如对资产组</w:t>
      </w:r>
      <w:r>
        <w:rPr>
          <w:spacing w:val="-64"/>
        </w:rPr>
        <w:t> </w:t>
      </w:r>
      <w:r>
        <w:rPr>
          <w:spacing w:val="-64"/>
        </w:rPr>
      </w:r>
      <w:r>
        <w:rPr>
          <w:spacing w:val="-2"/>
        </w:rPr>
        <w:t>预计未来可产生现金流量和折现率的估计等。由于商誉金额重大，且管理层在确定商誉是否减值时所采用的主观判断以及估</w:t>
      </w:r>
      <w:r>
        <w:rPr>
          <w:spacing w:val="-64"/>
        </w:rPr>
        <w:t> </w:t>
      </w:r>
      <w:r>
        <w:rPr>
          <w:spacing w:val="-64"/>
        </w:rPr>
      </w:r>
      <w:r>
        <w:rPr/>
        <w:t>计未来现金流量的固有不确定性，我们将商誉减值作为关键审计事项。</w:t>
      </w:r>
    </w:p>
    <w:p>
      <w:pPr>
        <w:pStyle w:val="BodyText"/>
        <w:spacing w:line="300" w:lineRule="auto" w:before="17"/>
        <w:ind w:left="514" w:right="5712" w:firstLine="2"/>
        <w:jc w:val="left"/>
      </w:pPr>
      <w:r>
        <w:rPr>
          <w:rFonts w:ascii="Times New Roman" w:hAnsi="Times New Roman" w:cs="Times New Roman" w:eastAsia="Times New Roman" w:hint="default"/>
        </w:rPr>
        <w:t>2</w:t>
      </w:r>
      <w:r>
        <w:rPr/>
        <w:t>．审计应对 我们针对深大通公司商誉减值所实施的主要审计程序如下：</w:t>
      </w:r>
    </w:p>
    <w:p>
      <w:pPr>
        <w:pStyle w:val="BodyText"/>
        <w:spacing w:line="300" w:lineRule="auto" w:before="31"/>
        <w:ind w:left="516" w:right="1180"/>
        <w:jc w:val="left"/>
      </w:pPr>
      <w:r>
        <w:rPr>
          <w:rFonts w:ascii="Times New Roman" w:hAnsi="Times New Roman" w:cs="Times New Roman" w:eastAsia="Times New Roman" w:hint="default"/>
        </w:rPr>
        <w:t>(1)</w:t>
      </w:r>
      <w:r>
        <w:rPr/>
        <w:t>了解深大通公司内部控制环境、测试与商誉减值相关的关键内部控制运行的有效性；</w:t>
      </w:r>
      <w:r>
        <w:rPr>
          <w:w w:val="99"/>
        </w:rPr>
        <w:t> </w:t>
      </w:r>
      <w:r>
        <w:rPr>
          <w:rFonts w:ascii="Times New Roman" w:hAnsi="Times New Roman" w:cs="Times New Roman" w:eastAsia="Times New Roman" w:hint="default"/>
        </w:rPr>
        <w:t>(2)</w:t>
      </w:r>
      <w:r>
        <w:rPr/>
        <w:t>关注标的公司的业绩完成情况，并与收购时评估报告里预测的业绩进行对比分析，判断商誉是否存在明显的减值迹</w:t>
      </w:r>
    </w:p>
    <w:p>
      <w:pPr>
        <w:pStyle w:val="BodyText"/>
        <w:spacing w:line="240" w:lineRule="auto" w:before="13"/>
        <w:ind w:left="154" w:right="0"/>
        <w:jc w:val="left"/>
      </w:pPr>
      <w:r>
        <w:rPr/>
        <w:t>象；</w:t>
      </w:r>
    </w:p>
    <w:p>
      <w:pPr>
        <w:pStyle w:val="BodyText"/>
        <w:spacing w:line="240" w:lineRule="auto" w:before="76"/>
        <w:ind w:left="516" w:right="0"/>
        <w:jc w:val="left"/>
      </w:pPr>
      <w:r>
        <w:rPr>
          <w:rFonts w:ascii="Times New Roman" w:hAnsi="Times New Roman" w:cs="Times New Roman" w:eastAsia="Times New Roman" w:hint="default"/>
        </w:rPr>
        <w:t>(3)</w:t>
      </w:r>
      <w:r>
        <w:rPr/>
        <w:t>利用评估专家的工作，了解和评价其独立性，评价其根据《以财务报告为目的的评估指南》</w:t>
      </w:r>
      <w:r>
        <w:rPr>
          <w:rFonts w:ascii="Times New Roman" w:hAnsi="Times New Roman" w:cs="Times New Roman" w:eastAsia="Times New Roman" w:hint="default"/>
        </w:rPr>
        <w:t>(</w:t>
      </w:r>
      <w:r>
        <w:rPr/>
        <w:t>中评协</w:t>
      </w:r>
      <w:r>
        <w:rPr>
          <w:rFonts w:ascii="Times New Roman" w:hAnsi="Times New Roman" w:cs="Times New Roman" w:eastAsia="Times New Roman" w:hint="default"/>
        </w:rPr>
        <w:t>[2017]45</w:t>
      </w:r>
      <w:r>
        <w:rPr/>
        <w:t>号</w:t>
      </w:r>
      <w:r>
        <w:rPr>
          <w:rFonts w:ascii="Times New Roman" w:hAnsi="Times New Roman" w:cs="Times New Roman" w:eastAsia="Times New Roman" w:hint="default"/>
        </w:rPr>
        <w:t>)</w:t>
      </w:r>
      <w:r>
        <w:rPr/>
        <w:t>的规</w:t>
      </w:r>
    </w:p>
    <w:p>
      <w:pPr>
        <w:pStyle w:val="BodyText"/>
        <w:spacing w:line="316" w:lineRule="auto" w:before="63"/>
        <w:ind w:right="0"/>
        <w:jc w:val="left"/>
      </w:pPr>
      <w:r>
        <w:rPr>
          <w:spacing w:val="-4"/>
        </w:rPr>
        <w:t>定对含商誉资产组的减值测试所选用的评估方法的合理性、评估程序实施过程的独立性、评估假设和限制条件判断的合理性，</w:t>
      </w:r>
      <w:r>
        <w:rPr>
          <w:spacing w:val="-43"/>
        </w:rPr>
        <w:t> </w:t>
      </w:r>
      <w:r>
        <w:rPr>
          <w:spacing w:val="-43"/>
        </w:rPr>
      </w:r>
      <w:r>
        <w:rPr/>
        <w:t>评价其评估结果的合理性。</w:t>
      </w:r>
    </w:p>
    <w:p>
      <w:pPr>
        <w:pStyle w:val="BodyText"/>
        <w:spacing w:line="300" w:lineRule="auto" w:before="19"/>
        <w:ind w:left="513" w:right="3701" w:firstLine="2"/>
        <w:jc w:val="left"/>
      </w:pPr>
      <w:r>
        <w:rPr>
          <w:rFonts w:ascii="Times New Roman" w:hAnsi="Times New Roman" w:cs="Times New Roman" w:eastAsia="Times New Roman" w:hint="default"/>
        </w:rPr>
        <w:t>(4)</w:t>
      </w:r>
      <w:r>
        <w:rPr/>
        <w:t>检查深大通公司根据减值测试结果作出的会计处理的准确性、审批程序的合理性。</w:t>
      </w:r>
      <w:r>
        <w:rPr>
          <w:w w:val="99"/>
        </w:rPr>
        <w:t> </w:t>
      </w:r>
      <w:r>
        <w:rPr/>
        <w:t>四、其他信息</w:t>
      </w:r>
    </w:p>
    <w:p>
      <w:pPr>
        <w:pStyle w:val="BodyText"/>
        <w:spacing w:line="309" w:lineRule="auto" w:before="31"/>
        <w:ind w:left="513" w:right="0"/>
        <w:jc w:val="left"/>
      </w:pPr>
      <w:r>
        <w:rPr/>
        <w:t>管理层对其他信息负责。其他信息包括</w:t>
      </w:r>
      <w:r>
        <w:rPr>
          <w:rFonts w:ascii="Times New Roman" w:hAnsi="Times New Roman" w:cs="Times New Roman" w:eastAsia="Times New Roman" w:hint="default"/>
        </w:rPr>
        <w:t>2017</w:t>
      </w:r>
      <w:r>
        <w:rPr/>
        <w:t>年年度报告中涵盖的信息，但不包括财务报表和我们的审计报告。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24"/>
        <w:ind w:left="514"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left="154" w:right="0"/>
        <w:jc w:val="left"/>
      </w:pPr>
      <w:r>
        <w:rPr/>
        <w:t>报告。</w:t>
      </w:r>
    </w:p>
    <w:p>
      <w:pPr>
        <w:pStyle w:val="BodyText"/>
        <w:spacing w:line="316" w:lineRule="auto" w:before="77"/>
        <w:ind w:left="514" w:right="0"/>
        <w:jc w:val="left"/>
      </w:pPr>
      <w:r>
        <w:rPr/>
        <w:t>五、管理层和治理层对财务报表的责任 </w:t>
      </w:r>
      <w:r>
        <w:rPr>
          <w:spacing w:val="-2"/>
        </w:rPr>
        <w:t>管理层负责按照企业会计准则的规定编制财务报表，使其实现公允反映，并设计、执行和维护必要的内部控制，以使财</w:t>
      </w:r>
    </w:p>
    <w:p>
      <w:pPr>
        <w:pStyle w:val="BodyText"/>
        <w:spacing w:line="316" w:lineRule="auto" w:before="19"/>
        <w:ind w:left="514" w:right="0" w:hanging="360"/>
        <w:jc w:val="left"/>
      </w:pPr>
      <w:r>
        <w:rPr/>
        <w:t>务报表不存在由于舞弊或错误导致的重大错报。 </w:t>
      </w:r>
      <w:r>
        <w:rPr>
          <w:spacing w:val="-1"/>
        </w:rPr>
        <w:t>在编制财务报表时，管理层负责评估深大通公司的持续经营能力，披露与持续经营相关的事项</w:t>
      </w:r>
      <w:r>
        <w:rPr>
          <w:rFonts w:ascii="Times New Roman" w:hAnsi="Times New Roman" w:cs="Times New Roman" w:eastAsia="Times New Roman" w:hint="default"/>
          <w:spacing w:val="-1"/>
        </w:rPr>
        <w:t>(</w:t>
      </w:r>
      <w:r>
        <w:rPr>
          <w:spacing w:val="-1"/>
        </w:rPr>
        <w:t>如适用</w:t>
      </w:r>
      <w:r>
        <w:rPr>
          <w:rFonts w:ascii="Times New Roman" w:hAnsi="Times New Roman" w:cs="Times New Roman" w:eastAsia="Times New Roman" w:hint="default"/>
          <w:spacing w:val="-1"/>
        </w:rPr>
        <w:t>)</w:t>
      </w:r>
      <w:r>
        <w:rPr>
          <w:spacing w:val="-1"/>
        </w:rPr>
        <w:t>，并运用持续经</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513" w:right="4513" w:hanging="360"/>
        <w:jc w:val="left"/>
      </w:pPr>
      <w:r>
        <w:rPr/>
        <w:t>营假设，除非管理层计划清算深大通公司、终止运营或别无其他现实的选择。 深大通公司治理层</w:t>
      </w:r>
      <w:r>
        <w:rPr>
          <w:rFonts w:ascii="Times New Roman" w:hAnsi="Times New Roman" w:cs="Times New Roman" w:eastAsia="Times New Roman" w:hint="default"/>
        </w:rPr>
        <w:t>(</w:t>
      </w:r>
      <w:r>
        <w:rPr/>
        <w:t>以下简称治理层</w:t>
      </w:r>
      <w:r>
        <w:rPr>
          <w:rFonts w:ascii="Times New Roman" w:hAnsi="Times New Roman" w:cs="Times New Roman" w:eastAsia="Times New Roman" w:hint="default"/>
        </w:rPr>
        <w:t>)</w:t>
      </w:r>
      <w:r>
        <w:rPr/>
        <w:t>负责监督深大通公司的财务报告过程。 六、注册会计师对财务报表审计的责任</w:t>
      </w:r>
    </w:p>
    <w:p>
      <w:pPr>
        <w:pStyle w:val="BodyText"/>
        <w:spacing w:line="319" w:lineRule="auto" w:before="24"/>
        <w:ind w:right="113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7"/>
        <w:ind w:left="514" w:right="0"/>
        <w:jc w:val="left"/>
      </w:pPr>
      <w:r>
        <w:rPr/>
        <w:t>在按照审计准则执行审计工作的过程中，我们运用职业判断，并保持职业怀疑。同时，我们也执行以下工作：</w:t>
      </w:r>
    </w:p>
    <w:p>
      <w:pPr>
        <w:pStyle w:val="BodyText"/>
        <w:spacing w:line="309" w:lineRule="auto" w:before="76"/>
        <w:ind w:right="1033" w:firstLine="36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识别和评估由于舞弊或错误导致的财务报表重大错报风险，设计和实施审计程序以应对这些风险，并获取充分、</w:t>
      </w:r>
      <w:r>
        <w:rPr>
          <w:w w:val="99"/>
        </w:rPr>
        <w:t> </w:t>
      </w:r>
      <w:r>
        <w:rPr/>
        <w:t>适当的审计证据，作为发表审计意见的基础。由于舞弊可能涉及串通、伪造、故意遗漏、虚假陈述或凌驾于内部控制之上，</w:t>
      </w:r>
      <w:r>
        <w:rPr>
          <w:spacing w:val="-85"/>
        </w:rPr>
        <w:t> </w:t>
      </w:r>
      <w:r>
        <w:rPr>
          <w:spacing w:val="-85"/>
        </w:rPr>
      </w:r>
      <w:r>
        <w:rPr/>
        <w:t>未能发现由于舞弊导致的重大错报的风险高于未能发现由于错误导致的重大错报的风险。</w:t>
      </w:r>
    </w:p>
    <w:p>
      <w:pPr>
        <w:pStyle w:val="BodyText"/>
        <w:spacing w:line="240" w:lineRule="auto" w:before="24"/>
        <w:ind w:left="516"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了解与审计相关的内部控制，以设计恰当的审计程序。</w:t>
      </w:r>
    </w:p>
    <w:p>
      <w:pPr>
        <w:pStyle w:val="BodyText"/>
        <w:spacing w:line="240" w:lineRule="auto" w:before="63"/>
        <w:ind w:left="516"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评价管理层选用会计政策的恰当性和作出会计估计及相关披露的合理性。</w:t>
      </w:r>
    </w:p>
    <w:p>
      <w:pPr>
        <w:pStyle w:val="BodyText"/>
        <w:spacing w:line="312" w:lineRule="auto" w:before="63"/>
        <w:ind w:right="0" w:firstLine="362"/>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对管理层使用持续经营假设的恰当性得出结论。同时，根据获取的审计证据，就可能导致对深大通公司持续经营</w:t>
      </w:r>
      <w:r>
        <w:rPr>
          <w:w w:val="99"/>
        </w:rPr>
        <w:t> </w:t>
      </w:r>
      <w:r>
        <w:rPr>
          <w:spacing w:val="-2"/>
        </w:rPr>
        <w:t>能力产生重大疑虑的事项或情况是否存在重大不确定性得出结论。如果我们得出结论认为存在重大不确定性，审计准则要求</w:t>
      </w:r>
      <w:r>
        <w:rPr>
          <w:spacing w:val="-65"/>
        </w:rPr>
        <w:t> </w:t>
      </w:r>
      <w:r>
        <w:rPr>
          <w:spacing w:val="-65"/>
        </w:rPr>
      </w:r>
      <w:r>
        <w:rPr>
          <w:spacing w:val="-2"/>
        </w:rPr>
        <w:t>我们在审计报告中提请报表使用者注意财务报表中的相关披露；如果披露不充分，我们应当发表非无保留意见。我们的结论</w:t>
      </w:r>
      <w:r>
        <w:rPr>
          <w:spacing w:val="-67"/>
        </w:rPr>
        <w:t> </w:t>
      </w:r>
      <w:r>
        <w:rPr>
          <w:spacing w:val="-67"/>
        </w:rPr>
      </w:r>
      <w:r>
        <w:rPr/>
        <w:t>基于截至审计报告日可获得的信息。然而，未来的事项或情况可能导致深大通公司不能持续经营。</w:t>
      </w:r>
    </w:p>
    <w:p>
      <w:pPr>
        <w:pStyle w:val="BodyText"/>
        <w:spacing w:line="240" w:lineRule="auto" w:before="22"/>
        <w:ind w:left="516"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评价财务报表的总体列报、结构和内容</w:t>
      </w:r>
      <w:r>
        <w:rPr>
          <w:rFonts w:ascii="Times New Roman" w:hAnsi="Times New Roman" w:cs="Times New Roman" w:eastAsia="Times New Roman" w:hint="default"/>
        </w:rPr>
        <w:t>(</w:t>
      </w:r>
      <w:r>
        <w:rPr/>
        <w:t>包括披露</w:t>
      </w:r>
      <w:r>
        <w:rPr>
          <w:rFonts w:ascii="Times New Roman" w:hAnsi="Times New Roman" w:cs="Times New Roman" w:eastAsia="Times New Roman" w:hint="default"/>
        </w:rPr>
        <w:t>)</w:t>
      </w:r>
      <w:r>
        <w:rPr/>
        <w:t>，并评价财务报表是否公允反映相关交易和事项。</w:t>
      </w:r>
    </w:p>
    <w:p>
      <w:pPr>
        <w:pStyle w:val="BodyText"/>
        <w:spacing w:line="300" w:lineRule="auto" w:before="63"/>
        <w:ind w:right="1201" w:firstLine="362"/>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就深大通公司中实体或业务活动的财务信息获取充分、适当的审计证据，以对财务报表发表审计意见。我们负责</w:t>
      </w:r>
      <w:r>
        <w:rPr>
          <w:w w:val="99"/>
        </w:rPr>
        <w:t> </w:t>
      </w:r>
      <w:r>
        <w:rPr/>
        <w:t>指导、监督和执行集团审计，并对审计意见承担全部责任。</w:t>
      </w:r>
    </w:p>
    <w:p>
      <w:pPr>
        <w:pStyle w:val="BodyText"/>
        <w:spacing w:line="316" w:lineRule="auto" w:before="31"/>
        <w:ind w:right="0" w:firstLine="360"/>
        <w:jc w:val="left"/>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0" w:firstLine="360"/>
        <w:jc w:val="left"/>
      </w:pPr>
      <w:r>
        <w:rPr>
          <w:spacing w:val="-2"/>
        </w:rPr>
        <w:t>我们还就已遵守与独立性相关的职业道德要求向治理层提供声明，并与治理层沟通可能被合理认为影响我们独立性的所</w:t>
      </w:r>
      <w:r>
        <w:rPr/>
        <w:t> 有关系和其他事项，以及相关的防范措施</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w:t>
      </w:r>
    </w:p>
    <w:p>
      <w:pPr>
        <w:pStyle w:val="BodyText"/>
        <w:spacing w:line="316" w:lineRule="auto"/>
        <w:ind w:left="154" w:right="1132"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BodyText"/>
        <w:tabs>
          <w:tab w:pos="4238" w:val="left" w:leader="none"/>
        </w:tabs>
        <w:spacing w:line="240" w:lineRule="auto"/>
        <w:ind w:right="0"/>
        <w:jc w:val="left"/>
      </w:pPr>
      <w:r>
        <w:rPr/>
        <w:t>中汇会计师事务所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tab/>
      </w:r>
      <w:r>
        <w:rPr/>
        <w:t>中国注册会计师：</w:t>
      </w:r>
    </w:p>
    <w:p>
      <w:pPr>
        <w:pStyle w:val="BodyText"/>
        <w:spacing w:line="240" w:lineRule="auto" w:before="63"/>
        <w:ind w:left="4267" w:right="3763"/>
        <w:jc w:val="center"/>
        <w:rPr>
          <w:rFonts w:ascii="Times New Roman" w:hAnsi="Times New Roman" w:cs="Times New Roman" w:eastAsia="Times New Roman" w:hint="default"/>
        </w:rPr>
      </w:pPr>
      <w:r>
        <w:rPr>
          <w:rFonts w:ascii="Times New Roman" w:hAnsi="Times New Roman" w:cs="Times New Roman" w:eastAsia="Times New Roman" w:hint="default"/>
        </w:rPr>
        <w:t>(</w:t>
      </w:r>
      <w:r>
        <w:rPr/>
        <w:t>项目合伙人</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4"/>
          <w:szCs w:val="14"/>
        </w:rPr>
      </w:pPr>
    </w:p>
    <w:p>
      <w:pPr>
        <w:pStyle w:val="BodyText"/>
        <w:spacing w:line="600" w:lineRule="auto"/>
        <w:ind w:left="154" w:right="8529"/>
        <w:jc w:val="left"/>
      </w:pPr>
      <w:r>
        <w:rPr/>
        <w:t>中国</w:t>
      </w:r>
      <w:r>
        <w:rPr>
          <w:rFonts w:ascii="Times New Roman" w:hAnsi="Times New Roman" w:cs="Times New Roman" w:eastAsia="Times New Roman" w:hint="default"/>
        </w:rPr>
        <w:t>•</w:t>
      </w:r>
      <w:r>
        <w:rPr/>
        <w:t>杭州中国注册会计师： 报告日期：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w:t>
      </w:r>
    </w:p>
    <w:p>
      <w:pPr>
        <w:pStyle w:val="Heading2"/>
        <w:spacing w:line="240" w:lineRule="auto" w:before="16"/>
        <w:ind w:left="154" w:right="0"/>
        <w:jc w:val="left"/>
        <w:rPr>
          <w:b w:val="0"/>
          <w:bCs w:val="0"/>
        </w:rPr>
      </w:pPr>
      <w:bookmarkStart w:name="二、财务报表" w:id="160"/>
      <w:bookmarkEnd w:id="16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61"/>
      <w:bookmarkEnd w:id="16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编制单位：深圳大通实业股份有限公司</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34" w:right="1111"/>
        <w:jc w:val="center"/>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1,900,892,199.51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2,146,393,123.76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17,934,364.00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679,583,478.09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454,882,150.54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104,915,039.50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16,945,113.08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171,956,520.47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47,099,352.42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81,615.10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595,967,058.71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382,499,477.89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274,229,217.18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3,257,862,694.56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3,535,516,015.69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236,143,988.54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9,565,997.00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9,414,872.78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108,110,436.03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146,178,746.60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22,740,600.88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64,971,937.64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57,906,464.47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2,308,673,645.81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2,284,288,771.74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1,940,993.94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1,738,805.44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13,831,047.17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21,700,926.49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6,971,562.28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77,994,366.81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2,514,065,619.87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2,858,107,543.75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5,771,928,314.43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6,393,623,559.44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97,699,112.35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368,387,801.01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34,298,700.90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445,879,923.41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8,810,046.25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6,552,935.20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61,987,143.47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81,966,311.38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206,029.02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206,029.02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33,214,428.65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41,583,984.90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114,362,187.50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183,086,562.50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350,577,648.14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1,127,663,547.42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114,362,187.50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4,515,907.65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7,504,157.88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6,607,162.52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6,605,528.21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9,433,942.45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13,360,626.51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14,134,941.54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24,483,696.68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152,040,757.58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375,061,344.82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1,279,704,305.00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522,777,419.00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326,735,887.00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4,313,368,234.61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4,509,994,225.44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37,390,480.30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26,091,477.00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518,309,784.10</w:t>
            </w:r>
            <w:r>
              <w:rPr>
                <w:rFonts w:ascii="Times New Roman"/>
                <w:spacing w:val="-1"/>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204,352,243.73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b/>
                <w:spacing w:val="-1"/>
                <w:sz w:val="18"/>
              </w:rPr>
              <w:t>5,391,845,918.01</w:t>
            </w:r>
            <w:r>
              <w:rPr>
                <w:rFonts w:ascii="Times New Roman"/>
                <w:spacing w:val="-1"/>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5,067,173,833.17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5,021,051.60</w:t>
            </w:r>
            <w:r>
              <w:rPr>
                <w:rFonts w:ascii="Times New Roman"/>
                <w:spacing w:val="-1"/>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46,745,421.27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5,396,866,969.61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5,113,919,254.44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5,771,928,314.43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6,393,623,559.44</w:t>
            </w:r>
          </w:p>
        </w:tc>
      </w:tr>
    </w:tbl>
    <w:p>
      <w:pPr>
        <w:spacing w:line="240" w:lineRule="auto" w:before="3"/>
        <w:rPr>
          <w:rFonts w:ascii="Times New Roman" w:hAnsi="Times New Roman" w:cs="Times New Roman" w:eastAsia="Times New Roman" w:hint="default"/>
          <w:sz w:val="23"/>
          <w:szCs w:val="23"/>
        </w:rPr>
      </w:pPr>
    </w:p>
    <w:p>
      <w:pPr>
        <w:pStyle w:val="BodyText"/>
        <w:spacing w:line="240" w:lineRule="auto" w:before="44"/>
        <w:ind w:left="154" w:right="0"/>
        <w:jc w:val="left"/>
      </w:pPr>
      <w:r>
        <w:rPr/>
        <w:t>法定代表人：郝亮主管会计工作负责人：李建立会计机构负责人：郑正东</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母公司资产负债表" w:id="162"/>
      <w:bookmarkEnd w:id="16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1,734,355,494.77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1,718,747,532.64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157,432.00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179,061.00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1,381,468.16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229,245.00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355,533,178.41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203,442,898.60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374,662,659.99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219,284,780.00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2,466,090,233.33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2,141,883,517.24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2,835,986,027.63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3,291,692,253.17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808,036.76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301,750.97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1,167,337.50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165,200.00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2,837,961,401.89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3,292,918,704.14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5,304,051,635.22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5,434,802,221.38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10,025,559.52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8,595,972.45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1,581,960.00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13,435,237.12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11,419,757.45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206,029.02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206,029.02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40,047,405.66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73,054,900.36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114,362,187.50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183,086,562.50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179,658,378.82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276,363,221.78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114,362,187.50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114,362,187.50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179,658,378.82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390,725,409.28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522,777,419.00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326,735,887.00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4,313,368,234.61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4,509,409,766.61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37,390,480.30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26,091,477.00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250,857,122.49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181,839,681.49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5,124,393,256.40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5,044,076,812.10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5,304,051,635.22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5,434,802,221.38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合并利润表" w:id="163"/>
      <w:bookmarkEnd w:id="16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1,510,366,505.51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1,029,196,295.74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1,510,366,505.51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1,029,196,295.74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1,115,462,886.90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761,314,978.34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1,000,051,067.73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616,716,272.37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38,528,701.87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44,945,098.41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259.999969pt;width:157.7pt;height:19.650pt;mso-position-horizontal-relative:page;mso-position-vertical-relative:page;z-index:-859480" coordorigin="4242,5200" coordsize="3154,393">
            <v:shape style="position:absolute;left:4242;top:5200;width:3154;height:393" coordorigin="4242,5200" coordsize="3154,393" path="m4242,5592l7396,5592,7396,5200,4242,5200,4242,5592xe" filled="true" fillcolor="#ffffff" stroked="false">
              <v:path arrowok="t"/>
              <v:fill type="solid"/>
            </v:shape>
            <w10:wrap type="none"/>
          </v:group>
        </w:pict>
      </w:r>
      <w:r>
        <w:rPr/>
        <w:pict>
          <v:group style="position:absolute;margin-left:212.119995pt;margin-top:396.199982pt;width:157.7pt;height:19.650pt;mso-position-horizontal-relative:page;mso-position-vertical-relative:page;z-index:-859456" coordorigin="4242,7924" coordsize="3154,393">
            <v:shape style="position:absolute;left:4242;top:7924;width:3154;height:393" coordorigin="4242,7924" coordsize="3154,393" path="m4242,8316l7396,8316,7396,7924,4242,7924,4242,831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19,791,160.46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20,411,426.91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65,718,019.88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70,247,079.36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-37,850,494.66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-7,279,217.83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29,224,431.62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16,274,319.12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51,677,678.75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3,569,573.98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-324,256.67</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446,581,297.36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271,126,634.71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2,001,909.26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37,914,730.55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192,662.60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1,684,728.79</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448,390,544.02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307,356,636.47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90,012,411.19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66,880,108.41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358,378,132.83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240,476,528.06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331,045,824.43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240,694,298.28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27,332,308.40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-217,770.22</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53" w:right="0"/>
              <w:jc w:val="left"/>
              <w:rPr>
                <w:rFonts w:ascii="Times New Roman" w:hAnsi="Times New Roman" w:cs="Times New Roman" w:eastAsia="Times New Roman" w:hint="default"/>
                <w:sz w:val="18"/>
                <w:szCs w:val="18"/>
              </w:rPr>
            </w:pPr>
            <w:r>
              <w:rPr>
                <w:rFonts w:ascii="Times New Roman"/>
                <w:b/>
                <w:sz w:val="18"/>
              </w:rPr>
              <w:t>357,930,132.37</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233,254,396.14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448,000.46</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7,222,131.92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1"/>
              <w:jc w:val="righ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358,378,132.83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240,476,528.06</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b/>
                <w:spacing w:val="-1"/>
                <w:sz w:val="18"/>
              </w:rPr>
              <w:t>357,930,132.37</w:t>
            </w:r>
            <w:r>
              <w:rPr>
                <w:rFonts w:ascii="Times New Roman"/>
                <w:spacing w:val="-1"/>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233,254,396.14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448,000.46</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7,222,131.92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0.6847</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0.5213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0.6847</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0.5213</w:t>
            </w:r>
          </w:p>
        </w:tc>
      </w:tr>
    </w:tbl>
    <w:p>
      <w:pPr>
        <w:pStyle w:val="BodyText"/>
        <w:spacing w:line="590" w:lineRule="auto" w:before="51"/>
        <w:ind w:right="1215"/>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法定代表人：郝亮主管会计工作负责人：李建立会计机构负责人：郑正东</w:t>
      </w:r>
    </w:p>
    <w:p>
      <w:pPr>
        <w:pStyle w:val="Heading3"/>
        <w:spacing w:line="240" w:lineRule="auto" w:before="88"/>
        <w:ind w:right="0"/>
        <w:jc w:val="left"/>
        <w:rPr>
          <w:b w:val="0"/>
          <w:bCs w:val="0"/>
        </w:rPr>
      </w:pPr>
      <w:bookmarkStart w:name="4、母公司利润表" w:id="164"/>
      <w:bookmarkEnd w:id="16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421,056.11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2,344,220.20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29,544,557.68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23,364,123.74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-42,333,450.15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-7,310,786.97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633,885.97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-1,376.84</w:t>
            </w:r>
            <w:r>
              <w:rPr>
                <w:rFonts w:ascii="Times New Roman"/>
                <w:sz w:val="18"/>
              </w:rPr>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99,671,617.43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264,985,779.70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111,405,567.82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246,589,599.57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1,650,610.60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66,145.42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112,990,033.00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246,590,101.22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112,990,033.00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246,590,101.22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112,990,033.00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246,590,101.22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112,990,033.00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246,590,101.22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5、合并现金流量表" w:id="165"/>
      <w:bookmarkEnd w:id="16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1,096,221,608.03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1,063,943,248.31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2,984,628.55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53,811,398.26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81,622,306.96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1,153,017,634.84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1,145,565,555.27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984,153,427.78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574,089,162.79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49,730,541.79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42,011,277.04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148,515,459.53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119,115,158.57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44,531,468.09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54,432,193.92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1,226,930,897.19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789,647,792.32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-73,913,262.35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355,917,762.95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3,860,125,000.00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30,876,682.85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4,696,471.25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3,895,881,682.85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1,176,719,971.25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4,302,980.34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88,130,638.59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3,771,000,000.00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1,675,400,000.00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183,085,277.81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430,814,626.70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70,123,422.47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4,028,511,680.62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2,194,345,265.29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-132,629,997.77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-1,017,625,294.04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2,719,949,913.02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1,098,525.34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2,482,394.84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1,098,525.34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2,722,432,307.86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32,673,588.70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3,975,080.26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23,252,522.01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36,648,668.96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23,252,522.01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-35,550,143.62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2,699,179,785.85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-81,121.35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44,099.99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-242,174,525.09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2,037,516,354.75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2,143,066,724.60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105,550,369.85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1,900,892,199.51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2,143,066,724.60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6、母公司现金流量表" w:id="166"/>
      <w:bookmarkEnd w:id="16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38,712,573.42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6,418,038.31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38,712,573.42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6,418,038.31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502,986.86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9,257,918.10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4,644,562.54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162,945.43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3,716,896.60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8,627,580.94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10,837,427.04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18,551,431.33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19,200,686.18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20,161,142.09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-12,782,647.87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3,820,260,000.00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28,953,733.55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245,005,498.63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3,849,213,733.55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1,387,005,498.63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1,647,478.78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504,332.80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3,915,086,562.50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2,116,580,000.00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247,091,750.56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3,916,734,041.28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2,364,176,083.36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-67,520,307.73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-977,170,584.73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2,719,949,913.02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2,930,223.26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145,912,517.24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145,912,517.24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2,722,880,136.28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32,673,588.70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50,271,800.77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14,213,404.50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82,945,389.47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14,213,404.50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62,967,127.77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2,708,666,731.78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15,607,962.13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1,718,713,499.18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1,718,747,532.64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34,033.46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1,734,355,494.77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1,718,747,532.64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7、合并所有者权益变动表" w:id="167"/>
      <w:bookmarkEnd w:id="16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0"/>
        <w:gridCol w:w="551"/>
        <w:gridCol w:w="530"/>
        <w:gridCol w:w="532"/>
        <w:gridCol w:w="530"/>
        <w:gridCol w:w="665"/>
        <w:gridCol w:w="665"/>
        <w:gridCol w:w="665"/>
        <w:gridCol w:w="665"/>
        <w:gridCol w:w="664"/>
        <w:gridCol w:w="666"/>
        <w:gridCol w:w="665"/>
        <w:gridCol w:w="665"/>
        <w:gridCol w:w="659"/>
      </w:tblGrid>
      <w:tr>
        <w:trPr>
          <w:trHeight w:val="402" w:hRule="exact"/>
        </w:trPr>
        <w:tc>
          <w:tcPr>
            <w:tcW w:w="1450"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50" w:type="dxa"/>
            <w:vMerge/>
            <w:tcBorders>
              <w:left w:val="single" w:sz="4" w:space="0" w:color="000000"/>
              <w:right w:val="single" w:sz="4" w:space="0" w:color="000000"/>
            </w:tcBorders>
            <w:shd w:val="clear" w:color="auto" w:fill="D2D2D2"/>
          </w:tcPr>
          <w:p>
            <w:pPr/>
          </w:p>
        </w:tc>
        <w:tc>
          <w:tcPr>
            <w:tcW w:w="679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6798"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51"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50" w:type="dxa"/>
            <w:vMerge/>
            <w:tcBorders>
              <w:left w:val="single" w:sz="4" w:space="0" w:color="000000"/>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50" w:type="dxa"/>
            <w:vMerge/>
            <w:tcBorders>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55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1" w:type="dxa"/>
            <w:vMerge w:val="restart"/>
            <w:tcBorders>
              <w:top w:val="single" w:sz="4" w:space="0" w:color="000000"/>
              <w:left w:val="single" w:sz="9" w:space="0" w:color="D2D2D2"/>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326,73</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5,887.</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4,509,9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94,225.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26,091,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477.00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204,352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,243.73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46,745,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421.27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19,254.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r>
      <w:tr>
        <w:trPr>
          <w:trHeight w:val="392" w:hRule="exact"/>
        </w:trPr>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1"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1"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326,73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5,887.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4,509,9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94,225.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26,091,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477.00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204,352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,243.73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46,745,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421.27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19,254.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196,04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1,532.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5,990.8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11,299,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003.30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b/>
                <w:sz w:val="18"/>
              </w:rPr>
              <w:t>313,957</w:t>
            </w:r>
            <w:r>
              <w:rPr>
                <w:rFonts w:ascii="Times New Roman"/>
                <w:sz w:val="18"/>
              </w:rPr>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b/>
                <w:sz w:val="18"/>
              </w:rPr>
              <w:t>,540.37</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b/>
                <w:sz w:val="18"/>
              </w:rPr>
              <w:t>-41,724,</w:t>
            </w:r>
            <w:r>
              <w:rPr>
                <w:rFonts w:ascii="Times New Roman"/>
                <w:sz w:val="18"/>
              </w:rPr>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b/>
                <w:sz w:val="18"/>
              </w:rPr>
              <w:t>369.67</w:t>
            </w:r>
            <w:r>
              <w:rPr>
                <w:rFonts w:ascii="Times New Roman"/>
                <w:sz w:val="18"/>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282,947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,715.17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6" w:right="0"/>
              <w:jc w:val="left"/>
              <w:rPr>
                <w:rFonts w:ascii="Times New Roman" w:hAnsi="Times New Roman" w:cs="Times New Roman" w:eastAsia="Times New Roman" w:hint="default"/>
                <w:sz w:val="18"/>
                <w:szCs w:val="18"/>
              </w:rPr>
            </w:pPr>
            <w:r>
              <w:rPr>
                <w:rFonts w:ascii="Times New Roman"/>
                <w:b/>
                <w:sz w:val="18"/>
              </w:rPr>
              <w:t>357,930</w:t>
            </w:r>
            <w:r>
              <w:rPr>
                <w:rFonts w:ascii="Times New Roman"/>
                <w:sz w:val="18"/>
              </w:rPr>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b/>
                <w:sz w:val="18"/>
              </w:rPr>
              <w:t>,132.37</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6" w:right="0"/>
              <w:jc w:val="left"/>
              <w:rPr>
                <w:rFonts w:ascii="Times New Roman" w:hAnsi="Times New Roman" w:cs="Times New Roman" w:eastAsia="Times New Roman" w:hint="default"/>
                <w:sz w:val="18"/>
                <w:szCs w:val="18"/>
              </w:rPr>
            </w:pPr>
            <w:r>
              <w:rPr>
                <w:rFonts w:ascii="Times New Roman"/>
                <w:b/>
                <w:sz w:val="18"/>
              </w:rPr>
              <w:t>448,000</w:t>
            </w:r>
            <w:r>
              <w:rPr>
                <w:rFonts w:ascii="Times New Roman"/>
                <w:sz w:val="18"/>
              </w:rPr>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b/>
                <w:sz w:val="18"/>
              </w:rPr>
              <w:t>.46</w:t>
            </w:r>
            <w:r>
              <w:rPr>
                <w:rFonts w:ascii="Times New Roman"/>
                <w:sz w:val="18"/>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358,378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,132.83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-584,45</w:t>
            </w:r>
          </w:p>
          <w:p>
            <w:pPr>
              <w:pStyle w:val="TableParagraph"/>
              <w:spacing w:line="240" w:lineRule="auto" w:before="106"/>
              <w:ind w:left="317" w:right="0"/>
              <w:jc w:val="left"/>
              <w:rPr>
                <w:rFonts w:ascii="Times New Roman" w:hAnsi="Times New Roman" w:cs="Times New Roman" w:eastAsia="Times New Roman" w:hint="default"/>
                <w:sz w:val="18"/>
                <w:szCs w:val="18"/>
              </w:rPr>
            </w:pPr>
            <w:r>
              <w:rPr>
                <w:rFonts w:ascii="Times New Roman"/>
                <w:sz w:val="18"/>
              </w:rPr>
              <w:t>8.83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-34,822,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370.13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-35,406,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828.96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-584,45</w:t>
            </w:r>
          </w:p>
          <w:p>
            <w:pPr>
              <w:pStyle w:val="TableParagraph"/>
              <w:spacing w:line="240" w:lineRule="auto" w:before="106"/>
              <w:ind w:left="317" w:right="0"/>
              <w:jc w:val="left"/>
              <w:rPr>
                <w:rFonts w:ascii="Times New Roman" w:hAnsi="Times New Roman" w:cs="Times New Roman" w:eastAsia="Times New Roman" w:hint="default"/>
                <w:sz w:val="18"/>
                <w:szCs w:val="18"/>
              </w:rPr>
            </w:pPr>
            <w:r>
              <w:rPr>
                <w:rFonts w:ascii="Times New Roman"/>
                <w:sz w:val="18"/>
              </w:rPr>
              <w:t>8.83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-34,822,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370.13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-35,406,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828.96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11,299,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003.30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-43,972,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592.00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-7,350,0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-40,023,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588.70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11,299,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003.30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-11,299,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003.30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-32,673,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588.70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-7,350,0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-40,023,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588.70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196,04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1,532.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1,532.0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196,04</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-196,04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 w:right="0"/>
              <w:jc w:val="left"/>
              <w:rPr>
                <w:rFonts w:ascii="Times New Roman" w:hAnsi="Times New Roman" w:cs="Times New Roman" w:eastAsia="Times New Roman" w:hint="default"/>
                <w:sz w:val="18"/>
                <w:szCs w:val="18"/>
              </w:rPr>
            </w:pPr>
            <w:r>
              <w:rPr>
                <w:rFonts w:ascii="Times New Roman"/>
                <w:sz w:val="18"/>
              </w:rPr>
              <w:t>1,532.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1,532.0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522,77</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7,419.</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4,313,3</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68,234.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37,390,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480.30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b/>
                <w:sz w:val="18"/>
              </w:rPr>
              <w:t>518,309</w:t>
            </w:r>
            <w:r>
              <w:rPr>
                <w:rFonts w:ascii="Times New Roman"/>
                <w:sz w:val="18"/>
              </w:rPr>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b/>
                <w:sz w:val="18"/>
              </w:rPr>
              <w:t>,784.10</w:t>
            </w:r>
            <w:r>
              <w:rPr>
                <w:rFonts w:ascii="Times New Roman"/>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b/>
                <w:sz w:val="18"/>
              </w:rPr>
              <w:t>5,021,0</w:t>
            </w:r>
            <w:r>
              <w:rPr>
                <w:rFonts w:ascii="Times New Roman"/>
                <w:sz w:val="18"/>
              </w:rPr>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b/>
                <w:sz w:val="18"/>
              </w:rPr>
              <w:t>51.60</w:t>
            </w:r>
            <w:r>
              <w:rPr>
                <w:rFonts w:ascii="Times New Roman"/>
                <w:sz w:val="18"/>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5,396,8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66,969.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22,348,</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223.79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67.95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-8,697,7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43.36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39,086,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187.48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154,851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,733.86</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22,348,</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223.79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67.95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-8,697,7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43.36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39,086,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187.48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154,851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,733.86</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230,50</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7,889.</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46,001.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20,204,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409.05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213,049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,987.09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7,659,2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33.79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67,520.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8"/>
                <w:sz w:val="18"/>
                <w:szCs w:val="18"/>
              </w:rPr>
              <w:t>（一）综合收益总</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233,254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7,222,1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 w:right="0"/>
              <w:jc w:val="left"/>
              <w:rPr>
                <w:rFonts w:ascii="Times New Roman" w:hAnsi="Times New Roman" w:cs="Times New Roman" w:eastAsia="Times New Roman" w:hint="default"/>
                <w:sz w:val="18"/>
                <w:szCs w:val="18"/>
              </w:rPr>
            </w:pPr>
            <w:r>
              <w:rPr>
                <w:rFonts w:ascii="Times New Roman"/>
                <w:sz w:val="18"/>
              </w:rPr>
              <w:t>240,476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,396.14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4" w:right="0"/>
              <w:jc w:val="left"/>
              <w:rPr>
                <w:rFonts w:ascii="Times New Roman" w:hAnsi="Times New Roman" w:cs="Times New Roman" w:eastAsia="Times New Roman" w:hint="default"/>
                <w:sz w:val="18"/>
                <w:szCs w:val="18"/>
              </w:rPr>
            </w:pPr>
            <w:r>
              <w:rPr>
                <w:rFonts w:ascii="Times New Roman"/>
                <w:sz w:val="18"/>
              </w:rPr>
              <w:t>31.92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sz w:val="18"/>
              </w:rPr>
              <w:t>,528.06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230,50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7,889.</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4,487,6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46,001.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437,101</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.87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4,718,5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90,992.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230,50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7,889.</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4,487,6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46,001.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4,718,1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53,890.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20,204,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409.05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-20,204,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409.05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20,204,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409.05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-20,204,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409.05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326,73</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5,887.</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4,509,9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94,225.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26,091,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477.00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204,352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,243.73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46,745,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421.27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5,113,9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19,254.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8、母公司所有者权益变动表" w:id="168"/>
      <w:bookmarkEnd w:id="16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326,735,</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887.00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4,509,409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,766.61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26,091,47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7.00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181,839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,681.49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5,044,076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,812.10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326,735,</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887.00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4,509,409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,766.61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26,091,47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7.00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181,839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,681.49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5,044,076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,812.10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196,041,</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532.00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-196,041,</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532.00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11,299,00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3.30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69,017,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441.00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80,316,44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4.30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112,990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,033.00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112,990,0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33.00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11,299,00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3.30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-43,972,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592.00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-32,673,5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88.70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11,299,00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3.30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-11,299,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003.30</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-32,673,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588.70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-32,673,5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88.70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196,041,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-196,041,</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532.00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196,041,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-196,041,</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532.00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522,777,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4,313,368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,234.61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37,390,48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0.30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250,857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,122.49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5,124,393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,256.40</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96,227,9</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98.00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21,763,76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4.96</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5,887,067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20" w:right="0"/>
              <w:jc w:val="center"/>
              <w:rPr>
                <w:rFonts w:ascii="Times New Roman" w:hAnsi="Times New Roman" w:cs="Times New Roman" w:eastAsia="Times New Roman" w:hint="default"/>
                <w:sz w:val="18"/>
                <w:szCs w:val="18"/>
              </w:rPr>
            </w:pPr>
            <w:r>
              <w:rPr>
                <w:rFonts w:ascii="Times New Roman"/>
                <w:sz w:val="18"/>
              </w:rPr>
              <w:t>-44,546,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010.68</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79,332,82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0.23</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96,227,9</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98.00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21,763,76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4.96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5,887,067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-44,546,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010.68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79,332,82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0.23</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230,507,</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889.00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4,487,646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,001.65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20,204,40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226,385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,692.17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4,964,743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,991.87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246,590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,101.22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246,590,1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01.22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230,507,</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889.00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4,487,646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,001.65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4,718,153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,890.65</w:t>
            </w:r>
          </w:p>
        </w:tc>
      </w:tr>
      <w:tr>
        <w:trPr>
          <w:trHeight w:val="40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1"/>
              <w:ind w:left="20" w:right="0"/>
              <w:jc w:val="left"/>
              <w:rPr>
                <w:rFonts w:ascii="Times New Roman" w:hAnsi="Times New Roman" w:cs="Times New Roman" w:eastAsia="Times New Roman" w:hint="default"/>
                <w:sz w:val="18"/>
                <w:szCs w:val="18"/>
              </w:rPr>
            </w:pPr>
            <w:r>
              <w:rPr>
                <w:rFonts w:ascii="Times New Roman"/>
                <w:sz w:val="18"/>
              </w:rPr>
              <w:t>230,507,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4,487,646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4,718,153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889.00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Times New Roman" w:hAnsi="Times New Roman" w:cs="Times New Roman" w:eastAsia="Times New Roman" w:hint="default"/>
                <w:sz w:val="18"/>
                <w:szCs w:val="18"/>
              </w:rPr>
            </w:pPr>
            <w:r>
              <w:rPr>
                <w:rFonts w:ascii="Times New Roman"/>
                <w:sz w:val="18"/>
              </w:rPr>
              <w:t>,001.65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,890.65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20,204,40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-20,204,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409.05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20,204,40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-20,204,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409.05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326,735,</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887.00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4,509,409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,766.61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26,091,47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181,839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,681.49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5,044,076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,812.10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69"/>
      <w:bookmarkEnd w:id="169"/>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513" w:right="5153"/>
        <w:jc w:val="left"/>
      </w:pPr>
      <w:r>
        <w:rPr/>
        <w:t>公司名称：深圳大通实业股份有限公司 注册地址：深圳市南山区沙河街道恩平街华侨城东部工业区东</w:t>
      </w:r>
      <w:r>
        <w:rPr>
          <w:rFonts w:ascii="Times New Roman" w:hAnsi="Times New Roman" w:cs="Times New Roman" w:eastAsia="Times New Roman" w:hint="default"/>
        </w:rPr>
        <w:t>E4</w:t>
      </w:r>
      <w:r>
        <w:rPr/>
        <w:t>栋 注册资本：</w:t>
      </w:r>
      <w:r>
        <w:rPr>
          <w:rFonts w:ascii="Times New Roman" w:hAnsi="Times New Roman" w:cs="Times New Roman" w:eastAsia="Times New Roman" w:hint="default"/>
        </w:rPr>
        <w:t>522,777,419.00</w:t>
      </w:r>
      <w:r>
        <w:rPr/>
        <w:t>元</w:t>
      </w:r>
    </w:p>
    <w:p>
      <w:pPr>
        <w:pStyle w:val="BodyText"/>
        <w:spacing w:line="240" w:lineRule="auto" w:before="5"/>
        <w:ind w:left="514" w:right="0"/>
        <w:jc w:val="left"/>
      </w:pPr>
      <w:r>
        <w:rPr/>
        <w:t>股本：</w:t>
      </w:r>
      <w:r>
        <w:rPr>
          <w:rFonts w:ascii="Times New Roman" w:hAnsi="Times New Roman" w:cs="Times New Roman" w:eastAsia="Times New Roman" w:hint="default"/>
        </w:rPr>
        <w:t>522,777,419.00</w:t>
      </w:r>
      <w:r>
        <w:rPr/>
        <w:t>元</w:t>
      </w:r>
    </w:p>
    <w:p>
      <w:pPr>
        <w:pStyle w:val="BodyText"/>
        <w:spacing w:line="300" w:lineRule="auto" w:before="63"/>
        <w:ind w:left="514" w:right="7142"/>
        <w:jc w:val="left"/>
      </w:pPr>
      <w:r>
        <w:rPr/>
        <w:t>统一社会信用代码：</w:t>
      </w:r>
      <w:r>
        <w:rPr>
          <w:rFonts w:ascii="Times New Roman" w:hAnsi="Times New Roman" w:cs="Times New Roman" w:eastAsia="Times New Roman" w:hint="default"/>
        </w:rPr>
        <w:t>91440300618850293F </w:t>
      </w:r>
      <w:r>
        <w:rPr/>
        <w:t>法定代表人：郝亮</w:t>
      </w:r>
    </w:p>
    <w:p>
      <w:pPr>
        <w:pStyle w:val="BodyText"/>
        <w:spacing w:line="240" w:lineRule="auto" w:before="31"/>
        <w:ind w:left="514" w:right="0"/>
        <w:jc w:val="left"/>
      </w:pPr>
      <w:r>
        <w:rPr/>
        <w:t>经营范围：房地产开发、经营；国内贸易</w:t>
      </w:r>
      <w:r>
        <w:rPr>
          <w:rFonts w:ascii="Times New Roman" w:hAnsi="Times New Roman" w:cs="Times New Roman" w:eastAsia="Times New Roman" w:hint="default"/>
        </w:rPr>
        <w:t>(</w:t>
      </w:r>
      <w:r>
        <w:rPr/>
        <w:t>不含专营、专控、专卖商品</w:t>
      </w:r>
      <w:r>
        <w:rPr>
          <w:rFonts w:ascii="Times New Roman" w:hAnsi="Times New Roman" w:cs="Times New Roman" w:eastAsia="Times New Roman" w:hint="default"/>
        </w:rPr>
        <w:t>)</w:t>
      </w:r>
      <w:r>
        <w:rPr/>
        <w:t>；兴办实业</w:t>
      </w:r>
      <w:r>
        <w:rPr>
          <w:rFonts w:ascii="Times New Roman" w:hAnsi="Times New Roman" w:cs="Times New Roman" w:eastAsia="Times New Roman" w:hint="default"/>
        </w:rPr>
        <w:t>(</w:t>
      </w:r>
      <w:r>
        <w:rPr/>
        <w:t>具体项目另行申报</w:t>
      </w:r>
      <w:r>
        <w:rPr>
          <w:rFonts w:ascii="Times New Roman" w:hAnsi="Times New Roman" w:cs="Times New Roman" w:eastAsia="Times New Roman" w:hint="default"/>
        </w:rPr>
        <w:t>)</w:t>
      </w:r>
      <w:r>
        <w:rPr/>
        <w:t>，计算机领域的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0"/>
        <w:jc w:val="both"/>
      </w:pPr>
      <w:r>
        <w:rPr>
          <w:spacing w:val="-4"/>
        </w:rPr>
        <w:t>技术开发、技术转让、技术咨询和技术服务，计算机软硬件开发及销售；经营进出口业务</w:t>
      </w:r>
      <w:r>
        <w:rPr>
          <w:rFonts w:ascii="Times New Roman" w:hAnsi="Times New Roman" w:cs="Times New Roman" w:eastAsia="Times New Roman" w:hint="default"/>
          <w:spacing w:val="-4"/>
        </w:rPr>
        <w:t>(</w:t>
      </w:r>
      <w:r>
        <w:rPr>
          <w:spacing w:val="-4"/>
        </w:rPr>
        <w:t>具体按照深贸管准证字第</w:t>
      </w:r>
      <w:r>
        <w:rPr>
          <w:rFonts w:ascii="Times New Roman" w:hAnsi="Times New Roman" w:cs="Times New Roman" w:eastAsia="Times New Roman" w:hint="default"/>
          <w:spacing w:val="-4"/>
        </w:rPr>
        <w:t>2003-3670</w:t>
      </w:r>
      <w:r>
        <w:rPr>
          <w:rFonts w:ascii="Times New Roman" w:hAnsi="Times New Roman" w:cs="Times New Roman" w:eastAsia="Times New Roman" w:hint="default"/>
          <w:spacing w:val="-9"/>
        </w:rPr>
        <w:t> </w:t>
      </w:r>
      <w:r>
        <w:rPr/>
        <w:t>号资格证书办理</w:t>
      </w:r>
      <w:r>
        <w:rPr>
          <w:rFonts w:ascii="Times New Roman" w:hAnsi="Times New Roman" w:cs="Times New Roman" w:eastAsia="Times New Roman" w:hint="default"/>
        </w:rPr>
        <w:t>)</w:t>
      </w:r>
      <w:r>
        <w:rPr/>
        <w:t>；设计、制作、代理、发布各类广告，电脑图文设计制作，影视策划，企业形象策划，市场营销策划；展 </w:t>
      </w:r>
      <w:r>
        <w:rPr>
          <w:spacing w:val="-3"/>
        </w:rPr>
        <w:t>览展示设计服务，会务服务；文化产业园区的投资</w:t>
      </w:r>
      <w:r>
        <w:rPr>
          <w:rFonts w:ascii="Times New Roman" w:hAnsi="Times New Roman" w:cs="Times New Roman" w:eastAsia="Times New Roman" w:hint="default"/>
          <w:spacing w:val="-3"/>
        </w:rPr>
        <w:t>(</w:t>
      </w:r>
      <w:r>
        <w:rPr>
          <w:spacing w:val="-3"/>
        </w:rPr>
        <w:t>具体项目另行申报</w:t>
      </w:r>
      <w:r>
        <w:rPr>
          <w:rFonts w:ascii="Times New Roman" w:hAnsi="Times New Roman" w:cs="Times New Roman" w:eastAsia="Times New Roman" w:hint="default"/>
          <w:spacing w:val="-3"/>
        </w:rPr>
        <w:t>)</w:t>
      </w:r>
      <w:r>
        <w:rPr>
          <w:spacing w:val="-3"/>
        </w:rPr>
        <w:t>，文化旅游项目的投资</w:t>
      </w:r>
      <w:r>
        <w:rPr>
          <w:rFonts w:ascii="Times New Roman" w:hAnsi="Times New Roman" w:cs="Times New Roman" w:eastAsia="Times New Roman" w:hint="default"/>
          <w:spacing w:val="-3"/>
        </w:rPr>
        <w:t>(</w:t>
      </w:r>
      <w:r>
        <w:rPr>
          <w:spacing w:val="-3"/>
        </w:rPr>
        <w:t>具体项目另行申报</w:t>
      </w:r>
      <w:r>
        <w:rPr>
          <w:rFonts w:ascii="Times New Roman" w:hAnsi="Times New Roman" w:cs="Times New Roman" w:eastAsia="Times New Roman" w:hint="default"/>
          <w:spacing w:val="-3"/>
        </w:rPr>
        <w:t>)</w:t>
      </w:r>
      <w:r>
        <w:rPr>
          <w:spacing w:val="-3"/>
        </w:rPr>
        <w:t>；物联网、</w:t>
      </w:r>
      <w:r>
        <w:rPr>
          <w:spacing w:val="-62"/>
        </w:rPr>
        <w:t> </w:t>
      </w:r>
      <w:r>
        <w:rPr>
          <w:spacing w:val="-62"/>
        </w:rPr>
      </w:r>
      <w:r>
        <w:rPr>
          <w:spacing w:val="-1"/>
        </w:rPr>
        <w:t>人工智能的技术研发。</w:t>
      </w:r>
      <w:r>
        <w:rPr>
          <w:rFonts w:ascii="Times New Roman" w:hAnsi="Times New Roman" w:cs="Times New Roman" w:eastAsia="Times New Roman" w:hint="default"/>
          <w:spacing w:val="-1"/>
        </w:rPr>
        <w:t>(</w:t>
      </w:r>
      <w:r>
        <w:rPr>
          <w:spacing w:val="-1"/>
        </w:rPr>
        <w:t>以上项目法律、行政法规、国务院决定禁止的项目除外，限制的项目须取得许可后方可经营</w:t>
      </w:r>
      <w:r>
        <w:rPr>
          <w:rFonts w:ascii="Times New Roman" w:hAnsi="Times New Roman" w:cs="Times New Roman" w:eastAsia="Times New Roman" w:hint="default"/>
          <w:spacing w:val="-1"/>
        </w:rPr>
        <w:t>)</w:t>
      </w:r>
      <w:r>
        <w:rPr>
          <w:spacing w:val="-1"/>
        </w:rPr>
        <w:t>。房地</w:t>
      </w:r>
      <w:r>
        <w:rPr>
          <w:spacing w:val="-58"/>
        </w:rPr>
        <w:t> </w:t>
      </w:r>
      <w:r>
        <w:rPr>
          <w:spacing w:val="-58"/>
        </w:rPr>
      </w:r>
      <w:r>
        <w:rPr/>
        <w:t>产开发，经营；国内贸易</w:t>
      </w:r>
      <w:r>
        <w:rPr>
          <w:rFonts w:ascii="Times New Roman" w:hAnsi="Times New Roman" w:cs="Times New Roman" w:eastAsia="Times New Roman" w:hint="default"/>
        </w:rPr>
        <w:t>(</w:t>
      </w:r>
      <w:r>
        <w:rPr/>
        <w:t>不含专营、专控、专卖商品</w:t>
      </w:r>
      <w:r>
        <w:rPr>
          <w:rFonts w:ascii="Times New Roman" w:hAnsi="Times New Roman" w:cs="Times New Roman" w:eastAsia="Times New Roman" w:hint="default"/>
        </w:rPr>
        <w:t>)</w:t>
      </w:r>
      <w:r>
        <w:rPr/>
        <w:t>；兴办实业</w:t>
      </w:r>
      <w:r>
        <w:rPr>
          <w:rFonts w:ascii="Times New Roman" w:hAnsi="Times New Roman" w:cs="Times New Roman" w:eastAsia="Times New Roman" w:hint="default"/>
        </w:rPr>
        <w:t>(</w:t>
      </w:r>
      <w:r>
        <w:rPr/>
        <w:t>具体项目另行申报</w:t>
      </w:r>
      <w:r>
        <w:rPr>
          <w:rFonts w:ascii="Times New Roman" w:hAnsi="Times New Roman" w:cs="Times New Roman" w:eastAsia="Times New Roman" w:hint="default"/>
        </w:rPr>
        <w:t>)</w:t>
      </w:r>
      <w:r>
        <w:rPr/>
        <w:t>，计算机软硬件开发及销售；经营进 出口业务</w:t>
      </w:r>
      <w:r>
        <w:rPr>
          <w:rFonts w:ascii="Times New Roman" w:hAnsi="Times New Roman" w:cs="Times New Roman" w:eastAsia="Times New Roman" w:hint="default"/>
        </w:rPr>
        <w:t>(</w:t>
      </w:r>
      <w:r>
        <w:rPr/>
        <w:t>具体按照深贸管准证字第</w:t>
      </w:r>
      <w:r>
        <w:rPr>
          <w:rFonts w:ascii="Times New Roman" w:hAnsi="Times New Roman" w:cs="Times New Roman" w:eastAsia="Times New Roman" w:hint="default"/>
        </w:rPr>
        <w:t>2003-3670</w:t>
      </w:r>
      <w:r>
        <w:rPr/>
        <w:t>号资格证书办理</w:t>
      </w:r>
      <w:r>
        <w:rPr>
          <w:rFonts w:ascii="Times New Roman" w:hAnsi="Times New Roman" w:cs="Times New Roman" w:eastAsia="Times New Roman" w:hint="default"/>
        </w:rPr>
        <w:t>)</w:t>
      </w:r>
      <w:r>
        <w:rPr/>
        <w:t>。</w:t>
      </w:r>
    </w:p>
    <w:p>
      <w:pPr>
        <w:pStyle w:val="BodyText"/>
        <w:spacing w:line="240" w:lineRule="auto" w:before="13"/>
        <w:ind w:left="514" w:right="0"/>
        <w:jc w:val="left"/>
      </w:pPr>
      <w:r>
        <w:rPr/>
        <w:t>深圳大通实业股份有限公司</w:t>
      </w:r>
      <w:r>
        <w:rPr>
          <w:rFonts w:ascii="Times New Roman" w:hAnsi="Times New Roman" w:cs="Times New Roman" w:eastAsia="Times New Roman" w:hint="default"/>
        </w:rPr>
        <w:t>(</w:t>
      </w:r>
      <w:r>
        <w:rPr/>
        <w:t>以下简称本公司或公司</w:t>
      </w:r>
      <w:r>
        <w:rPr>
          <w:rFonts w:ascii="Times New Roman" w:hAnsi="Times New Roman" w:cs="Times New Roman" w:eastAsia="Times New Roman" w:hint="default"/>
        </w:rPr>
        <w:t>)</w:t>
      </w:r>
      <w:r>
        <w:rPr/>
        <w:t>前身为大通实业</w:t>
      </w:r>
      <w:r>
        <w:rPr>
          <w:rFonts w:ascii="Times New Roman" w:hAnsi="Times New Roman" w:cs="Times New Roman" w:eastAsia="Times New Roman" w:hint="default"/>
        </w:rPr>
        <w:t>(</w:t>
      </w:r>
      <w:r>
        <w:rPr/>
        <w:t>深圳</w:t>
      </w:r>
      <w:r>
        <w:rPr>
          <w:rFonts w:ascii="Times New Roman" w:hAnsi="Times New Roman" w:cs="Times New Roman" w:eastAsia="Times New Roman" w:hint="default"/>
        </w:rPr>
        <w:t>)</w:t>
      </w:r>
      <w:r>
        <w:rPr/>
        <w:t>有限公司，系经深圳市人民政府深府外复</w:t>
      </w:r>
    </w:p>
    <w:p>
      <w:pPr>
        <w:pStyle w:val="BodyText"/>
        <w:spacing w:line="300" w:lineRule="auto" w:before="63"/>
        <w:ind w:left="516" w:right="1150" w:hanging="363"/>
        <w:jc w:val="left"/>
      </w:pPr>
      <w:r>
        <w:rPr>
          <w:rFonts w:ascii="Times New Roman" w:hAnsi="Times New Roman" w:cs="Times New Roman" w:eastAsia="Times New Roman" w:hint="default"/>
        </w:rPr>
        <w:t>(1987)97</w:t>
      </w:r>
      <w:r>
        <w:rPr/>
        <w:t>号文批准，于</w:t>
      </w:r>
      <w:r>
        <w:rPr>
          <w:rFonts w:ascii="Times New Roman" w:hAnsi="Times New Roman" w:cs="Times New Roman" w:eastAsia="Times New Roman" w:hint="default"/>
        </w:rPr>
        <w:t>1987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日由香港益通电子有限公司投资兴办的外商独资企业，注册资本为</w:t>
      </w:r>
      <w:r>
        <w:rPr>
          <w:rFonts w:ascii="Times New Roman" w:hAnsi="Times New Roman" w:cs="Times New Roman" w:eastAsia="Times New Roman" w:hint="default"/>
        </w:rPr>
        <w:t>250</w:t>
      </w:r>
      <w:r>
        <w:rPr/>
        <w:t>万美元。</w:t>
      </w:r>
      <w:r>
        <w:rPr>
          <w:w w:val="99"/>
        </w:rPr>
        <w:t> </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日，经深圳市人民政府外复</w:t>
      </w:r>
      <w:r>
        <w:rPr>
          <w:rFonts w:ascii="Times New Roman" w:hAnsi="Times New Roman" w:cs="Times New Roman" w:eastAsia="Times New Roman" w:hint="default"/>
        </w:rPr>
        <w:t>(1990)686</w:t>
      </w:r>
      <w:r>
        <w:rPr/>
        <w:t>号文批准，原大通实业</w:t>
      </w:r>
      <w:r>
        <w:rPr>
          <w:rFonts w:ascii="Times New Roman" w:hAnsi="Times New Roman" w:cs="Times New Roman" w:eastAsia="Times New Roman" w:hint="default"/>
        </w:rPr>
        <w:t>(</w:t>
      </w:r>
      <w:r>
        <w:rPr/>
        <w:t>深圳</w:t>
      </w:r>
      <w:r>
        <w:rPr>
          <w:rFonts w:ascii="Times New Roman" w:hAnsi="Times New Roman" w:cs="Times New Roman" w:eastAsia="Times New Roman" w:hint="default"/>
        </w:rPr>
        <w:t>)</w:t>
      </w:r>
      <w:r>
        <w:rPr/>
        <w:t>有限公司进行股份制改组，由广东华侨</w:t>
      </w:r>
    </w:p>
    <w:p>
      <w:pPr>
        <w:pStyle w:val="BodyText"/>
        <w:spacing w:line="300" w:lineRule="auto" w:before="13"/>
        <w:ind w:right="1132"/>
        <w:jc w:val="both"/>
      </w:pPr>
      <w:r>
        <w:rPr>
          <w:spacing w:val="-1"/>
        </w:rPr>
        <w:t>投资公司、香港益通电子有限公司、深圳新通阳电子元件工业有限公司、运通电子</w:t>
      </w:r>
      <w:r>
        <w:rPr>
          <w:rFonts w:ascii="Times New Roman" w:hAnsi="Times New Roman" w:cs="Times New Roman" w:eastAsia="Times New Roman" w:hint="default"/>
          <w:spacing w:val="-1"/>
        </w:rPr>
        <w:t>(</w:t>
      </w:r>
      <w:r>
        <w:rPr>
          <w:spacing w:val="-1"/>
        </w:rPr>
        <w:t>深圳</w:t>
      </w:r>
      <w:r>
        <w:rPr>
          <w:rFonts w:ascii="Times New Roman" w:hAnsi="Times New Roman" w:cs="Times New Roman" w:eastAsia="Times New Roman" w:hint="default"/>
          <w:spacing w:val="-1"/>
        </w:rPr>
        <w:t>)</w:t>
      </w:r>
      <w:r>
        <w:rPr>
          <w:spacing w:val="-1"/>
        </w:rPr>
        <w:t>实业有限公司、香港威利马电器有</w:t>
      </w:r>
      <w:r>
        <w:rPr>
          <w:spacing w:val="-58"/>
        </w:rPr>
        <w:t> </w:t>
      </w:r>
      <w:r>
        <w:rPr>
          <w:spacing w:val="-58"/>
        </w:rPr>
      </w:r>
      <w:r>
        <w:rPr/>
        <w:t>限公司共同发起设立深圳大通实业股份有限公司，改组后注册资本变更为人民币</w:t>
      </w:r>
      <w:r>
        <w:rPr>
          <w:rFonts w:ascii="Times New Roman" w:hAnsi="Times New Roman" w:cs="Times New Roman" w:eastAsia="Times New Roman" w:hint="default"/>
        </w:rPr>
        <w:t>6,000</w:t>
      </w:r>
      <w:r>
        <w:rPr/>
        <w:t>万元。</w:t>
      </w:r>
    </w:p>
    <w:p>
      <w:pPr>
        <w:pStyle w:val="BodyText"/>
        <w:spacing w:line="300" w:lineRule="auto" w:before="13"/>
        <w:ind w:right="0" w:firstLine="362"/>
        <w:jc w:val="left"/>
      </w:pP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日，经深圳市人民政府深府办复</w:t>
      </w:r>
      <w:r>
        <w:rPr>
          <w:rFonts w:ascii="Times New Roman" w:hAnsi="Times New Roman" w:cs="Times New Roman" w:eastAsia="Times New Roman" w:hint="default"/>
        </w:rPr>
        <w:t>(1993)888</w:t>
      </w:r>
      <w:r>
        <w:rPr/>
        <w:t>号文批准，本公司进行公众股份公司改组，并经深圳市证管办 </w:t>
      </w:r>
      <w:r>
        <w:rPr>
          <w:spacing w:val="-2"/>
        </w:rPr>
        <w:t>深证办复</w:t>
      </w:r>
      <w:r>
        <w:rPr>
          <w:rFonts w:ascii="Times New Roman" w:hAnsi="Times New Roman" w:cs="Times New Roman" w:eastAsia="Times New Roman" w:hint="default"/>
          <w:spacing w:val="-2"/>
        </w:rPr>
        <w:t>(1993)147</w:t>
      </w:r>
      <w:r>
        <w:rPr>
          <w:spacing w:val="-2"/>
        </w:rPr>
        <w:t>号文批准，原有股东以其拥有的净资产按每股</w:t>
      </w:r>
      <w:r>
        <w:rPr>
          <w:rFonts w:ascii="Times New Roman" w:hAnsi="Times New Roman" w:cs="Times New Roman" w:eastAsia="Times New Roman" w:hint="default"/>
          <w:spacing w:val="-2"/>
        </w:rPr>
        <w:t>1.40</w:t>
      </w:r>
      <w:r>
        <w:rPr>
          <w:spacing w:val="-2"/>
        </w:rPr>
        <w:t>元的价格折合</w:t>
      </w:r>
      <w:r>
        <w:rPr>
          <w:rFonts w:ascii="Times New Roman" w:hAnsi="Times New Roman" w:cs="Times New Roman" w:eastAsia="Times New Roman" w:hint="default"/>
          <w:spacing w:val="-2"/>
        </w:rPr>
        <w:t>5,640</w:t>
      </w:r>
      <w:r>
        <w:rPr>
          <w:spacing w:val="-2"/>
        </w:rPr>
        <w:t>万股，同时以每股</w:t>
      </w:r>
      <w:r>
        <w:rPr>
          <w:rFonts w:ascii="Times New Roman" w:hAnsi="Times New Roman" w:cs="Times New Roman" w:eastAsia="Times New Roman" w:hint="default"/>
          <w:spacing w:val="-2"/>
        </w:rPr>
        <w:t>3.68</w:t>
      </w:r>
      <w:r>
        <w:rPr>
          <w:spacing w:val="-2"/>
        </w:rPr>
        <w:t>元的价格向境</w:t>
      </w:r>
      <w:r>
        <w:rPr>
          <w:spacing w:val="-31"/>
        </w:rPr>
        <w:t> </w:t>
      </w:r>
      <w:r>
        <w:rPr>
          <w:spacing w:val="-31"/>
        </w:rPr>
      </w:r>
      <w:r>
        <w:rPr>
          <w:spacing w:val="-1"/>
        </w:rPr>
        <w:t>内社会公众发行</w:t>
      </w:r>
      <w:r>
        <w:rPr>
          <w:rFonts w:ascii="Times New Roman" w:hAnsi="Times New Roman" w:cs="Times New Roman" w:eastAsia="Times New Roman" w:hint="default"/>
          <w:spacing w:val="-1"/>
        </w:rPr>
        <w:t>1,000</w:t>
      </w:r>
      <w:r>
        <w:rPr>
          <w:spacing w:val="-1"/>
        </w:rPr>
        <w:t>万股，向内部职工发行</w:t>
      </w:r>
      <w:r>
        <w:rPr>
          <w:rFonts w:ascii="Times New Roman" w:hAnsi="Times New Roman" w:cs="Times New Roman" w:eastAsia="Times New Roman" w:hint="default"/>
          <w:spacing w:val="-1"/>
        </w:rPr>
        <w:t>200</w:t>
      </w:r>
      <w:r>
        <w:rPr>
          <w:spacing w:val="-1"/>
        </w:rPr>
        <w:t>万股，总计发行面值</w:t>
      </w:r>
      <w:r>
        <w:rPr>
          <w:rFonts w:ascii="Times New Roman" w:hAnsi="Times New Roman" w:cs="Times New Roman" w:eastAsia="Times New Roman" w:hint="default"/>
          <w:spacing w:val="-1"/>
        </w:rPr>
        <w:t>1</w:t>
      </w:r>
      <w:r>
        <w:rPr>
          <w:spacing w:val="-1"/>
        </w:rPr>
        <w:t>元的人民币普通股</w:t>
      </w:r>
      <w:r>
        <w:rPr>
          <w:rFonts w:ascii="Times New Roman" w:hAnsi="Times New Roman" w:cs="Times New Roman" w:eastAsia="Times New Roman" w:hint="default"/>
          <w:spacing w:val="-1"/>
        </w:rPr>
        <w:t>6,840</w:t>
      </w:r>
      <w:r>
        <w:rPr>
          <w:spacing w:val="-1"/>
        </w:rPr>
        <w:t>万股，总股本为人民币</w:t>
      </w:r>
      <w:r>
        <w:rPr>
          <w:rFonts w:ascii="Times New Roman" w:hAnsi="Times New Roman" w:cs="Times New Roman" w:eastAsia="Times New Roman" w:hint="default"/>
          <w:spacing w:val="-1"/>
        </w:rPr>
        <w:t>6,840</w:t>
      </w:r>
      <w:r>
        <w:rPr>
          <w:spacing w:val="-1"/>
        </w:rPr>
        <w:t>万</w:t>
      </w:r>
      <w:r>
        <w:rPr>
          <w:spacing w:val="-68"/>
        </w:rPr>
        <w:t> </w:t>
      </w:r>
      <w:r>
        <w:rPr/>
        <w:t>元。公司股票于</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日在深圳证券交易所挂牌交易。</w:t>
      </w:r>
    </w:p>
    <w:p>
      <w:pPr>
        <w:pStyle w:val="BodyText"/>
        <w:spacing w:line="300" w:lineRule="auto" w:before="13"/>
        <w:ind w:right="1132" w:firstLine="362"/>
        <w:jc w:val="both"/>
      </w:pP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9</w:t>
      </w:r>
      <w:r>
        <w:rPr>
          <w:spacing w:val="-1"/>
        </w:rPr>
        <w:t>月，本公司实施配股方案，以每股</w:t>
      </w:r>
      <w:r>
        <w:rPr>
          <w:rFonts w:ascii="Times New Roman" w:hAnsi="Times New Roman" w:cs="Times New Roman" w:eastAsia="Times New Roman" w:hint="default"/>
          <w:spacing w:val="-1"/>
        </w:rPr>
        <w:t>4.50</w:t>
      </w:r>
      <w:r>
        <w:rPr>
          <w:spacing w:val="-1"/>
        </w:rPr>
        <w:t>元的价格向个人股东配售</w:t>
      </w:r>
      <w:r>
        <w:rPr>
          <w:rFonts w:ascii="Times New Roman" w:hAnsi="Times New Roman" w:cs="Times New Roman" w:eastAsia="Times New Roman" w:hint="default"/>
          <w:spacing w:val="-1"/>
        </w:rPr>
        <w:t>360</w:t>
      </w:r>
      <w:r>
        <w:rPr>
          <w:spacing w:val="-1"/>
        </w:rPr>
        <w:t>万股。此次配股后，公司总股本变更为人民</w:t>
      </w:r>
      <w:r>
        <w:rPr/>
        <w:t> 币</w:t>
      </w:r>
      <w:r>
        <w:rPr>
          <w:rFonts w:ascii="Times New Roman" w:hAnsi="Times New Roman" w:cs="Times New Roman" w:eastAsia="Times New Roman" w:hint="default"/>
        </w:rPr>
        <w:t>7,200</w:t>
      </w:r>
      <w:r>
        <w:rPr/>
        <w:t>万元。</w:t>
      </w:r>
    </w:p>
    <w:p>
      <w:pPr>
        <w:pStyle w:val="BodyText"/>
        <w:spacing w:line="300" w:lineRule="auto" w:before="13"/>
        <w:ind w:right="1130" w:firstLine="362"/>
        <w:jc w:val="right"/>
      </w:pP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10</w:t>
      </w:r>
      <w:r>
        <w:rPr>
          <w:spacing w:val="-2"/>
        </w:rPr>
        <w:t>月，本公司以</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9</w:t>
      </w:r>
      <w:r>
        <w:rPr>
          <w:spacing w:val="-2"/>
        </w:rPr>
        <w:t>月实施配股前的总股本</w:t>
      </w:r>
      <w:r>
        <w:rPr>
          <w:rFonts w:ascii="Times New Roman" w:hAnsi="Times New Roman" w:cs="Times New Roman" w:eastAsia="Times New Roman" w:hint="default"/>
          <w:spacing w:val="-2"/>
        </w:rPr>
        <w:t>6,840</w:t>
      </w:r>
      <w:r>
        <w:rPr>
          <w:spacing w:val="-2"/>
        </w:rPr>
        <w:t>万股为基数，向全体股东按每</w:t>
      </w:r>
      <w:r>
        <w:rPr>
          <w:rFonts w:ascii="Times New Roman" w:hAnsi="Times New Roman" w:cs="Times New Roman" w:eastAsia="Times New Roman" w:hint="default"/>
          <w:spacing w:val="-2"/>
        </w:rPr>
        <w:t>10</w:t>
      </w:r>
      <w:r>
        <w:rPr>
          <w:spacing w:val="-2"/>
        </w:rPr>
        <w:t>股送</w:t>
      </w:r>
      <w:r>
        <w:rPr>
          <w:rFonts w:ascii="Times New Roman" w:hAnsi="Times New Roman" w:cs="Times New Roman" w:eastAsia="Times New Roman" w:hint="default"/>
          <w:spacing w:val="-2"/>
        </w:rPr>
        <w:t>0.5</w:t>
      </w:r>
      <w:r>
        <w:rPr>
          <w:spacing w:val="-2"/>
        </w:rPr>
        <w:t>股并以资本公积每</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1"/>
        </w:rPr>
        <w:t> </w:t>
      </w:r>
      <w:r>
        <w:rPr>
          <w:spacing w:val="-5"/>
        </w:rPr>
        <w:t>股转增</w:t>
      </w:r>
      <w:r>
        <w:rPr>
          <w:rFonts w:ascii="Times New Roman" w:hAnsi="Times New Roman" w:cs="Times New Roman" w:eastAsia="Times New Roman" w:hint="default"/>
          <w:spacing w:val="-5"/>
        </w:rPr>
        <w:t>1</w:t>
      </w:r>
      <w:r>
        <w:rPr>
          <w:spacing w:val="-5"/>
        </w:rPr>
        <w:t>股，共计送红股及资本公积转增</w:t>
      </w:r>
      <w:r>
        <w:rPr>
          <w:rFonts w:ascii="Times New Roman" w:hAnsi="Times New Roman" w:cs="Times New Roman" w:eastAsia="Times New Roman" w:hint="default"/>
          <w:spacing w:val="-5"/>
        </w:rPr>
        <w:t>1,026</w:t>
      </w:r>
      <w:r>
        <w:rPr>
          <w:spacing w:val="-5"/>
        </w:rPr>
        <w:t>万股。此次送红股及资本公积转增股本后，公司总股本变更为人民币</w:t>
      </w:r>
      <w:r>
        <w:rPr>
          <w:rFonts w:ascii="Times New Roman" w:hAnsi="Times New Roman" w:cs="Times New Roman" w:eastAsia="Times New Roman" w:hint="default"/>
          <w:spacing w:val="-5"/>
        </w:rPr>
        <w:t>8,226</w:t>
      </w:r>
      <w:r>
        <w:rPr>
          <w:spacing w:val="-5"/>
        </w:rPr>
        <w:t>万元。</w:t>
      </w:r>
      <w:r>
        <w:rPr>
          <w:spacing w:val="-66"/>
        </w:rPr>
        <w:t> </w:t>
      </w:r>
      <w:r>
        <w:rPr>
          <w:spacing w:val="-66"/>
        </w:rPr>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6</w:t>
      </w:r>
      <w:r>
        <w:rPr>
          <w:spacing w:val="-1"/>
        </w:rPr>
        <w:t>月，本公司以</w:t>
      </w:r>
      <w:r>
        <w:rPr>
          <w:rFonts w:ascii="Times New Roman" w:hAnsi="Times New Roman" w:cs="Times New Roman" w:eastAsia="Times New Roman" w:hint="default"/>
          <w:spacing w:val="-1"/>
        </w:rPr>
        <w:t>1997</w:t>
      </w:r>
      <w:r>
        <w:rPr>
          <w:spacing w:val="-1"/>
        </w:rPr>
        <w:t>年末总股本</w:t>
      </w:r>
      <w:r>
        <w:rPr>
          <w:rFonts w:ascii="Times New Roman" w:hAnsi="Times New Roman" w:cs="Times New Roman" w:eastAsia="Times New Roman" w:hint="default"/>
          <w:spacing w:val="-1"/>
        </w:rPr>
        <w:t>8,226</w:t>
      </w:r>
      <w:r>
        <w:rPr>
          <w:spacing w:val="-1"/>
        </w:rPr>
        <w:t>万股为基数，向全体股东以资本公积每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w:t>
      </w:r>
      <w:r>
        <w:rPr>
          <w:spacing w:val="-1"/>
        </w:rPr>
        <w:t>股，共计转增</w:t>
      </w:r>
      <w:r>
        <w:rPr>
          <w:rFonts w:ascii="Times New Roman" w:hAnsi="Times New Roman" w:cs="Times New Roman" w:eastAsia="Times New Roman" w:hint="default"/>
          <w:spacing w:val="-1"/>
        </w:rPr>
        <w:t>822.6</w:t>
      </w:r>
      <w:r>
        <w:rPr>
          <w:spacing w:val="-1"/>
        </w:rPr>
        <w:t>万股。</w:t>
      </w:r>
    </w:p>
    <w:p>
      <w:pPr>
        <w:pStyle w:val="BodyText"/>
        <w:spacing w:line="240" w:lineRule="auto" w:before="13"/>
        <w:ind w:right="0"/>
        <w:jc w:val="left"/>
      </w:pPr>
      <w:r>
        <w:rPr/>
        <w:t>此次资本公积转增股本后，公司总股本变更为人民币</w:t>
      </w:r>
      <w:r>
        <w:rPr>
          <w:rFonts w:ascii="Times New Roman" w:hAnsi="Times New Roman" w:cs="Times New Roman" w:eastAsia="Times New Roman" w:hint="default"/>
        </w:rPr>
        <w:t>9,048.6</w:t>
      </w:r>
      <w:r>
        <w:rPr/>
        <w:t>万元。</w:t>
      </w:r>
    </w:p>
    <w:p>
      <w:pPr>
        <w:pStyle w:val="BodyText"/>
        <w:spacing w:line="300" w:lineRule="auto" w:before="63"/>
        <w:ind w:right="1130" w:firstLine="362"/>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月，根据公司</w:t>
      </w:r>
      <w:r>
        <w:rPr>
          <w:rFonts w:ascii="Times New Roman" w:hAnsi="Times New Roman" w:cs="Times New Roman" w:eastAsia="Times New Roman" w:hint="default"/>
        </w:rPr>
        <w:t>2008</w:t>
      </w:r>
      <w:r>
        <w:rPr/>
        <w:t>年第一次临时股东大会审议通过的《资产赠与、资本公积金定向转增股本暨股权分置改革方 案的议案》，公司以总股本</w:t>
      </w:r>
      <w:r>
        <w:rPr>
          <w:rFonts w:ascii="Times New Roman" w:hAnsi="Times New Roman" w:cs="Times New Roman" w:eastAsia="Times New Roman" w:hint="default"/>
        </w:rPr>
        <w:t>9,048.6</w:t>
      </w:r>
      <w:r>
        <w:rPr/>
        <w:t>万股中的</w:t>
      </w:r>
      <w:r>
        <w:rPr>
          <w:rFonts w:ascii="Times New Roman" w:hAnsi="Times New Roman" w:cs="Times New Roman" w:eastAsia="Times New Roman" w:hint="default"/>
        </w:rPr>
        <w:t>1,914</w:t>
      </w:r>
      <w:r>
        <w:rPr/>
        <w:t>万股流通股为基数，以截至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日经审计的资本公积向全体流通 </w:t>
      </w:r>
      <w:r>
        <w:rPr>
          <w:spacing w:val="-2"/>
        </w:rPr>
        <w:t>股股东按每</w:t>
      </w:r>
      <w:r>
        <w:rPr>
          <w:rFonts w:ascii="Times New Roman" w:hAnsi="Times New Roman" w:cs="Times New Roman" w:eastAsia="Times New Roman" w:hint="default"/>
          <w:spacing w:val="-2"/>
        </w:rPr>
        <w:t>10</w:t>
      </w:r>
      <w:r>
        <w:rPr>
          <w:spacing w:val="-2"/>
        </w:rPr>
        <w:t>股定向转增</w:t>
      </w:r>
      <w:r>
        <w:rPr>
          <w:rFonts w:ascii="Times New Roman" w:hAnsi="Times New Roman" w:cs="Times New Roman" w:eastAsia="Times New Roman" w:hint="default"/>
          <w:spacing w:val="-2"/>
        </w:rPr>
        <w:t>3</w:t>
      </w:r>
      <w:r>
        <w:rPr>
          <w:spacing w:val="-2"/>
        </w:rPr>
        <w:t>股，共计转增股本</w:t>
      </w:r>
      <w:r>
        <w:rPr>
          <w:rFonts w:ascii="Times New Roman" w:hAnsi="Times New Roman" w:cs="Times New Roman" w:eastAsia="Times New Roman" w:hint="default"/>
          <w:spacing w:val="-2"/>
        </w:rPr>
        <w:t>5,741,998</w:t>
      </w:r>
      <w:r>
        <w:rPr>
          <w:spacing w:val="-2"/>
        </w:rPr>
        <w:t>股。此次资本公积转增股本后，公司总股本变更为人民币</w:t>
      </w:r>
      <w:r>
        <w:rPr>
          <w:rFonts w:ascii="Times New Roman" w:hAnsi="Times New Roman" w:cs="Times New Roman" w:eastAsia="Times New Roman" w:hint="default"/>
          <w:spacing w:val="-2"/>
        </w:rPr>
        <w:t>96,227,998.00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元。</w:t>
      </w:r>
    </w:p>
    <w:p>
      <w:pPr>
        <w:pStyle w:val="BodyText"/>
        <w:spacing w:line="300" w:lineRule="auto" w:before="31"/>
        <w:ind w:right="1130" w:firstLine="360"/>
        <w:jc w:val="both"/>
      </w:pPr>
      <w:r>
        <w:rPr/>
        <w:t>经中国证券监督管理委员会</w:t>
      </w:r>
      <w:r>
        <w:rPr>
          <w:rFonts w:ascii="Times New Roman" w:hAnsi="Times New Roman" w:cs="Times New Roman" w:eastAsia="Times New Roman" w:hint="default"/>
        </w:rPr>
        <w:t>(</w:t>
      </w:r>
      <w:r>
        <w:rPr/>
        <w:t>以下简称中国证监会</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日以证监许可</w:t>
      </w:r>
      <w:r>
        <w:rPr>
          <w:rFonts w:ascii="Times New Roman" w:hAnsi="Times New Roman" w:cs="Times New Roman" w:eastAsia="Times New Roman" w:hint="default"/>
        </w:rPr>
        <w:t>[2015]2944</w:t>
      </w:r>
      <w:r>
        <w:rPr/>
        <w:t>号《关于核准深圳大通实业 </w:t>
      </w:r>
      <w:r>
        <w:rPr>
          <w:spacing w:val="-4"/>
        </w:rPr>
        <w:t>股份有限公司向曹林芳等发行股份购买资产并募集配套资金的批复》，本公司于</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w:t>
      </w:r>
      <w:r>
        <w:rPr>
          <w:spacing w:val="-4"/>
        </w:rPr>
        <w:t>月通过发行股份及支付现金的方式，</w:t>
      </w:r>
      <w:r>
        <w:rPr>
          <w:spacing w:val="-35"/>
        </w:rPr>
        <w:t> </w:t>
      </w:r>
      <w:r>
        <w:rPr>
          <w:spacing w:val="-2"/>
        </w:rPr>
        <w:t>购买曹林芳、李勇、莫清雅等</w:t>
      </w:r>
      <w:r>
        <w:rPr>
          <w:rFonts w:ascii="Times New Roman" w:hAnsi="Times New Roman" w:cs="Times New Roman" w:eastAsia="Times New Roman" w:hint="default"/>
          <w:spacing w:val="-2"/>
        </w:rPr>
        <w:t>3</w:t>
      </w:r>
      <w:r>
        <w:rPr>
          <w:spacing w:val="-2"/>
        </w:rPr>
        <w:t>名股东合计持有的冉十科技</w:t>
      </w:r>
      <w:r>
        <w:rPr>
          <w:rFonts w:ascii="Times New Roman" w:hAnsi="Times New Roman" w:cs="Times New Roman" w:eastAsia="Times New Roman" w:hint="default"/>
          <w:spacing w:val="-2"/>
        </w:rPr>
        <w:t>(</w:t>
      </w:r>
      <w:r>
        <w:rPr>
          <w:spacing w:val="-2"/>
        </w:rPr>
        <w:t>北京</w:t>
      </w:r>
      <w:r>
        <w:rPr>
          <w:rFonts w:ascii="Times New Roman" w:hAnsi="Times New Roman" w:cs="Times New Roman" w:eastAsia="Times New Roman" w:hint="default"/>
          <w:spacing w:val="-2"/>
        </w:rPr>
        <w:t>)</w:t>
      </w:r>
      <w:r>
        <w:rPr>
          <w:spacing w:val="-2"/>
        </w:rPr>
        <w:t>有限公司</w:t>
      </w:r>
      <w:r>
        <w:rPr>
          <w:rFonts w:ascii="Times New Roman" w:hAnsi="Times New Roman" w:cs="Times New Roman" w:eastAsia="Times New Roman" w:hint="default"/>
          <w:spacing w:val="-2"/>
        </w:rPr>
        <w:t>(</w:t>
      </w:r>
      <w:r>
        <w:rPr>
          <w:spacing w:val="-2"/>
        </w:rPr>
        <w:t>以下简称冉十科技</w:t>
      </w:r>
      <w:r>
        <w:rPr>
          <w:rFonts w:ascii="Times New Roman" w:hAnsi="Times New Roman" w:cs="Times New Roman" w:eastAsia="Times New Roman" w:hint="default"/>
          <w:spacing w:val="-2"/>
        </w:rPr>
        <w:t>)100%</w:t>
      </w:r>
      <w:r>
        <w:rPr>
          <w:spacing w:val="-2"/>
        </w:rPr>
        <w:t>股权和夏东明、朱兰英、</w:t>
      </w:r>
      <w:r>
        <w:rPr>
          <w:spacing w:val="-87"/>
        </w:rPr>
        <w:t> </w:t>
      </w:r>
      <w:r>
        <w:rPr>
          <w:spacing w:val="-87"/>
        </w:rPr>
      </w:r>
      <w:r>
        <w:rPr/>
        <w:t>罗承、修涞贵、蒋纪平、黄艳红、龚莉蓉及宁波华夏嘉源管理咨询有限公司等</w:t>
      </w:r>
      <w:r>
        <w:rPr>
          <w:rFonts w:ascii="Times New Roman" w:hAnsi="Times New Roman" w:cs="Times New Roman" w:eastAsia="Times New Roman" w:hint="default"/>
        </w:rPr>
        <w:t>8</w:t>
      </w:r>
      <w:r>
        <w:rPr/>
        <w:t>名股东合计持有的浙江视科文化传播有限公 司</w:t>
      </w:r>
      <w:r>
        <w:rPr>
          <w:rFonts w:ascii="Times New Roman" w:hAnsi="Times New Roman" w:cs="Times New Roman" w:eastAsia="Times New Roman" w:hint="default"/>
        </w:rPr>
        <w:t>(</w:t>
      </w:r>
      <w:r>
        <w:rPr/>
        <w:t>以下简称视科传媒</w:t>
      </w:r>
      <w:r>
        <w:rPr>
          <w:rFonts w:ascii="Times New Roman" w:hAnsi="Times New Roman" w:cs="Times New Roman" w:eastAsia="Times New Roman" w:hint="default"/>
        </w:rPr>
        <w:t>)100%</w:t>
      </w:r>
      <w:r>
        <w:rPr/>
        <w:t>股权，此次交易共计发行股份</w:t>
      </w:r>
      <w:r>
        <w:rPr>
          <w:rFonts w:ascii="Times New Roman" w:hAnsi="Times New Roman" w:cs="Times New Roman" w:eastAsia="Times New Roman" w:hint="default"/>
        </w:rPr>
        <w:t>95,836,003</w:t>
      </w:r>
      <w:r>
        <w:rPr/>
        <w:t>股，每股发行价格</w:t>
      </w:r>
      <w:r>
        <w:rPr>
          <w:rFonts w:ascii="Times New Roman" w:hAnsi="Times New Roman" w:cs="Times New Roman" w:eastAsia="Times New Roman" w:hint="default"/>
        </w:rPr>
        <w:t>20.42</w:t>
      </w:r>
      <w:r>
        <w:rPr/>
        <w:t>元。公司于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月向姜剑、 </w:t>
      </w:r>
      <w:r>
        <w:rPr>
          <w:spacing w:val="-1"/>
        </w:rPr>
        <w:t>朱兰英等</w:t>
      </w:r>
      <w:r>
        <w:rPr>
          <w:rFonts w:ascii="Times New Roman" w:hAnsi="Times New Roman" w:cs="Times New Roman" w:eastAsia="Times New Roman" w:hint="default"/>
          <w:spacing w:val="-1"/>
        </w:rPr>
        <w:t>8</w:t>
      </w:r>
      <w:r>
        <w:rPr>
          <w:spacing w:val="-1"/>
        </w:rPr>
        <w:t>名特定投资者非公开发行</w:t>
      </w:r>
      <w:r>
        <w:rPr>
          <w:rFonts w:ascii="Times New Roman" w:hAnsi="Times New Roman" w:cs="Times New Roman" w:eastAsia="Times New Roman" w:hint="default"/>
          <w:spacing w:val="-1"/>
        </w:rPr>
        <w:t>134,671,886</w:t>
      </w:r>
      <w:r>
        <w:rPr>
          <w:spacing w:val="-1"/>
        </w:rPr>
        <w:t>股股份，每股发行价格</w:t>
      </w:r>
      <w:r>
        <w:rPr>
          <w:rFonts w:ascii="Times New Roman" w:hAnsi="Times New Roman" w:cs="Times New Roman" w:eastAsia="Times New Roman" w:hint="default"/>
          <w:spacing w:val="-1"/>
        </w:rPr>
        <w:t>20.42</w:t>
      </w:r>
      <w:r>
        <w:rPr>
          <w:spacing w:val="-1"/>
        </w:rPr>
        <w:t>元，共计募集资金人民币</w:t>
      </w:r>
      <w:r>
        <w:rPr>
          <w:rFonts w:ascii="Times New Roman" w:hAnsi="Times New Roman" w:cs="Times New Roman" w:eastAsia="Times New Roman" w:hint="default"/>
          <w:spacing w:val="-1"/>
        </w:rPr>
        <w:t>2,749,999,912.12</w:t>
      </w:r>
      <w:r>
        <w:rPr>
          <w:spacing w:val="-1"/>
        </w:rPr>
        <w:t>元。此</w:t>
      </w:r>
      <w:r>
        <w:rPr>
          <w:spacing w:val="-65"/>
        </w:rPr>
        <w:t> </w:t>
      </w:r>
      <w:r>
        <w:rPr>
          <w:spacing w:val="-65"/>
        </w:rPr>
      </w:r>
      <w:r>
        <w:rPr/>
        <w:t>次购买资产及募集配套资金发行股份完成后，公司总股本变更为人民币</w:t>
      </w:r>
      <w:r>
        <w:rPr>
          <w:rFonts w:ascii="Times New Roman" w:hAnsi="Times New Roman" w:cs="Times New Roman" w:eastAsia="Times New Roman" w:hint="default"/>
        </w:rPr>
        <w:t>326,735,887.00</w:t>
      </w:r>
      <w:r>
        <w:rPr/>
        <w:t>元。</w:t>
      </w:r>
    </w:p>
    <w:p>
      <w:pPr>
        <w:pStyle w:val="BodyText"/>
        <w:spacing w:line="240" w:lineRule="auto" w:before="13"/>
        <w:ind w:left="516" w:right="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spacing w:val="-2"/>
        </w:rPr>
        <w:t>月</w:t>
      </w:r>
      <w:r>
        <w:rPr>
          <w:spacing w:val="-88"/>
        </w:rPr>
        <w:t>，</w:t>
      </w:r>
      <w:r>
        <w:rPr/>
        <w:t>本公司以</w:t>
      </w:r>
      <w:r>
        <w:rPr>
          <w:rFonts w:ascii="Times New Roman" w:hAnsi="Times New Roman" w:cs="Times New Roman" w:eastAsia="Times New Roman" w:hint="default"/>
        </w:rPr>
        <w:t>2016</w:t>
      </w:r>
      <w:r>
        <w:rPr/>
        <w:t>年末总股本</w:t>
      </w:r>
      <w:r>
        <w:rPr>
          <w:rFonts w:ascii="Times New Roman" w:hAnsi="Times New Roman" w:cs="Times New Roman" w:eastAsia="Times New Roman" w:hint="default"/>
        </w:rPr>
        <w:t>326</w:t>
      </w:r>
      <w:r>
        <w:rPr>
          <w:rFonts w:ascii="Times New Roman" w:hAnsi="Times New Roman" w:cs="Times New Roman" w:eastAsia="Times New Roman" w:hint="default"/>
          <w:spacing w:val="-1"/>
        </w:rPr>
        <w:t>,</w:t>
      </w:r>
      <w:r>
        <w:rPr>
          <w:rFonts w:ascii="Times New Roman" w:hAnsi="Times New Roman" w:cs="Times New Roman" w:eastAsia="Times New Roman" w:hint="default"/>
        </w:rPr>
        <w:t>735,887</w:t>
      </w:r>
      <w:r>
        <w:rPr/>
        <w:t>股为</w:t>
      </w:r>
      <w:r>
        <w:rPr>
          <w:spacing w:val="-2"/>
        </w:rPr>
        <w:t>基</w:t>
      </w:r>
      <w:r>
        <w:rPr/>
        <w:t>数</w:t>
      </w:r>
      <w:r>
        <w:rPr>
          <w:spacing w:val="-88"/>
        </w:rPr>
        <w:t>，</w:t>
      </w:r>
      <w:r>
        <w:rPr/>
        <w:t>向全体股东以资本公积每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w:t>
      </w:r>
      <w:r>
        <w:rPr>
          <w:spacing w:val="-88"/>
        </w:rPr>
        <w:t>，</w:t>
      </w:r>
      <w:r>
        <w:rPr/>
        <w:t>共计转增</w:t>
      </w:r>
      <w:r>
        <w:rPr>
          <w:rFonts w:ascii="Times New Roman" w:hAnsi="Times New Roman" w:cs="Times New Roman" w:eastAsia="Times New Roman" w:hint="default"/>
        </w:rPr>
        <w:t>196,041</w:t>
      </w:r>
      <w:r>
        <w:rPr>
          <w:rFonts w:ascii="Times New Roman" w:hAnsi="Times New Roman" w:cs="Times New Roman" w:eastAsia="Times New Roman" w:hint="default"/>
          <w:spacing w:val="-1"/>
        </w:rPr>
        <w:t>,</w:t>
      </w:r>
      <w:r>
        <w:rPr>
          <w:rFonts w:ascii="Times New Roman" w:hAnsi="Times New Roman" w:cs="Times New Roman" w:eastAsia="Times New Roman" w:hint="default"/>
        </w:rPr>
        <w:t>532</w:t>
      </w:r>
    </w:p>
    <w:p>
      <w:pPr>
        <w:pStyle w:val="BodyText"/>
        <w:spacing w:line="300" w:lineRule="auto" w:before="63"/>
        <w:ind w:left="513" w:right="0" w:hanging="360"/>
        <w:jc w:val="left"/>
      </w:pPr>
      <w:r>
        <w:rPr/>
        <w:t>股。此次资本公积转增股本后，公司总股本变更为人民币</w:t>
      </w:r>
      <w:r>
        <w:rPr>
          <w:rFonts w:ascii="Times New Roman" w:hAnsi="Times New Roman" w:cs="Times New Roman" w:eastAsia="Times New Roman" w:hint="default"/>
        </w:rPr>
        <w:t>522,777,419.00</w:t>
      </w:r>
      <w:r>
        <w:rPr/>
        <w:t>元。 </w:t>
      </w:r>
      <w:r>
        <w:rPr>
          <w:spacing w:val="-1"/>
        </w:rPr>
        <w:t>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日，公司总股本为</w:t>
      </w:r>
      <w:r>
        <w:rPr>
          <w:rFonts w:ascii="Times New Roman" w:hAnsi="Times New Roman" w:cs="Times New Roman" w:eastAsia="Times New Roman" w:hint="default"/>
          <w:spacing w:val="-1"/>
        </w:rPr>
        <w:t>522,777,419</w:t>
      </w:r>
      <w:r>
        <w:rPr>
          <w:spacing w:val="-1"/>
        </w:rPr>
        <w:t>股，其中有限售条件的流通股份</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443,930,390</w:t>
      </w:r>
      <w:r>
        <w:rPr>
          <w:spacing w:val="-1"/>
        </w:rPr>
        <w:t>股；无限售条件的流通</w:t>
      </w:r>
    </w:p>
    <w:p>
      <w:pPr>
        <w:pStyle w:val="BodyText"/>
        <w:spacing w:line="300" w:lineRule="auto" w:before="13"/>
        <w:ind w:left="513" w:right="0" w:hanging="360"/>
        <w:jc w:val="left"/>
      </w:pPr>
      <w:r>
        <w:rPr/>
        <w:t>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78,847,029</w:t>
      </w:r>
      <w:r>
        <w:rPr/>
        <w:t>股。 </w:t>
      </w:r>
      <w:r>
        <w:rPr>
          <w:spacing w:val="-2"/>
        </w:rPr>
        <w:t>本公司的基本组织架构：根据国家法律法规和公司章程的规定，建立了由股东大会、董事会、监事会及经营管理层组成</w:t>
      </w:r>
    </w:p>
    <w:p>
      <w:pPr>
        <w:pStyle w:val="BodyText"/>
        <w:spacing w:line="316" w:lineRule="auto" w:before="31"/>
        <w:ind w:right="1133"/>
        <w:jc w:val="both"/>
      </w:pPr>
      <w:r>
        <w:rPr>
          <w:spacing w:val="-2"/>
        </w:rPr>
        <w:t>的规范的多层次治理结构；董事会下设战略委员会、审计委员会、薪酬与考核委员会、提名委员会四个专门委员会。公司下</w:t>
      </w:r>
      <w:r>
        <w:rPr>
          <w:spacing w:val="-66"/>
        </w:rPr>
        <w:t> </w:t>
      </w:r>
      <w:r>
        <w:rPr>
          <w:spacing w:val="-66"/>
        </w:rPr>
      </w:r>
      <w:r>
        <w:rPr/>
        <w:t>设总裁办、证券事务部、审计部、企管部、法务部、财务部、投资并购部、人力资源部等主要职能部门。</w:t>
      </w:r>
    </w:p>
    <w:p>
      <w:pPr>
        <w:pStyle w:val="BodyText"/>
        <w:spacing w:line="300" w:lineRule="auto" w:before="19"/>
        <w:ind w:right="1130" w:firstLine="360"/>
        <w:jc w:val="both"/>
      </w:pPr>
      <w:r>
        <w:rPr>
          <w:spacing w:val="-1"/>
        </w:rPr>
        <w:t>本公司本期完成了房地产业务剥离，将其持有的济宁海情置业有限公司</w:t>
      </w:r>
      <w:r>
        <w:rPr>
          <w:rFonts w:ascii="Times New Roman" w:hAnsi="Times New Roman" w:cs="Times New Roman" w:eastAsia="Times New Roman" w:hint="default"/>
          <w:spacing w:val="-1"/>
        </w:rPr>
        <w:t>90%</w:t>
      </w:r>
      <w:r>
        <w:rPr>
          <w:spacing w:val="-1"/>
        </w:rPr>
        <w:t>股权、青岛广顺房地产有限公司</w:t>
      </w:r>
      <w:r>
        <w:rPr>
          <w:rFonts w:ascii="Times New Roman" w:hAnsi="Times New Roman" w:cs="Times New Roman" w:eastAsia="Times New Roman" w:hint="default"/>
          <w:spacing w:val="-1"/>
        </w:rPr>
        <w:t>83%</w:t>
      </w:r>
      <w:r>
        <w:rPr>
          <w:spacing w:val="-1"/>
        </w:rPr>
        <w:t>股权转</w:t>
      </w:r>
      <w:r>
        <w:rPr/>
        <w:t> 让给了公司控股股东青岛亚星实业有限公司。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月，公司全资设立深圳大通致远供应链管理有限公司，开始涉足供应 链管理业务。公司主要业务为新媒体传媒运营、广告发布，所属行业为商务服务业。</w:t>
      </w:r>
    </w:p>
    <w:p>
      <w:pPr>
        <w:pStyle w:val="BodyText"/>
        <w:spacing w:line="240" w:lineRule="auto" w:before="31"/>
        <w:ind w:left="513" w:right="0"/>
        <w:jc w:val="left"/>
      </w:pPr>
      <w:r>
        <w:rPr/>
        <w:t>本财务报表及财务报表附注已于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日经公司第九届董事会第三十次会议批准。</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1" w:firstLine="360"/>
        <w:jc w:val="both"/>
      </w:pPr>
      <w:r>
        <w:rPr>
          <w:spacing w:val="-2"/>
        </w:rPr>
        <w:t>本公司</w:t>
      </w:r>
      <w:r>
        <w:rPr>
          <w:rFonts w:ascii="Times New Roman" w:hAnsi="Times New Roman" w:cs="Times New Roman" w:eastAsia="Times New Roman" w:hint="default"/>
          <w:spacing w:val="-2"/>
        </w:rPr>
        <w:t>2017</w:t>
      </w:r>
      <w:r>
        <w:rPr>
          <w:spacing w:val="-2"/>
        </w:rPr>
        <w:t>年度纳入合并范围的子公司共</w:t>
      </w:r>
      <w:r>
        <w:rPr>
          <w:rFonts w:ascii="Times New Roman" w:hAnsi="Times New Roman" w:cs="Times New Roman" w:eastAsia="Times New Roman" w:hint="default"/>
          <w:spacing w:val="-2"/>
        </w:rPr>
        <w:t>18</w:t>
      </w:r>
      <w:r>
        <w:rPr>
          <w:spacing w:val="-2"/>
        </w:rPr>
        <w:t>家，详见本附注九</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。与上年度相比，本公司本年度合</w:t>
      </w:r>
      <w:r>
        <w:rPr/>
        <w:t> 并范围增加</w:t>
      </w:r>
      <w:r>
        <w:rPr>
          <w:rFonts w:ascii="Times New Roman" w:hAnsi="Times New Roman" w:cs="Times New Roman" w:eastAsia="Times New Roman" w:hint="default"/>
        </w:rPr>
        <w:t>3</w:t>
      </w:r>
      <w:r>
        <w:rPr/>
        <w:t>家</w:t>
      </w:r>
      <w:r>
        <w:rPr>
          <w:rFonts w:ascii="Times New Roman" w:hAnsi="Times New Roman" w:cs="Times New Roman" w:eastAsia="Times New Roman" w:hint="default"/>
        </w:rPr>
        <w:t>(</w:t>
      </w:r>
      <w:r>
        <w:rPr/>
        <w:t>其中新增</w:t>
      </w:r>
      <w:r>
        <w:rPr>
          <w:rFonts w:ascii="Times New Roman" w:hAnsi="Times New Roman" w:cs="Times New Roman" w:eastAsia="Times New Roman" w:hint="default"/>
        </w:rPr>
        <w:t>7</w:t>
      </w:r>
      <w:r>
        <w:rPr/>
        <w:t>家，处置</w:t>
      </w:r>
      <w:r>
        <w:rPr>
          <w:rFonts w:ascii="Times New Roman" w:hAnsi="Times New Roman" w:cs="Times New Roman" w:eastAsia="Times New Roman" w:hint="default"/>
        </w:rPr>
        <w:t>3</w:t>
      </w:r>
      <w:r>
        <w:rPr/>
        <w:t>家，注销</w:t>
      </w:r>
      <w:r>
        <w:rPr>
          <w:rFonts w:ascii="Times New Roman" w:hAnsi="Times New Roman" w:cs="Times New Roman" w:eastAsia="Times New Roman" w:hint="default"/>
        </w:rPr>
        <w:t>1</w:t>
      </w:r>
      <w:r>
        <w:rPr/>
        <w:t>家</w:t>
      </w:r>
      <w:r>
        <w:rPr>
          <w:rFonts w:ascii="Times New Roman" w:hAnsi="Times New Roman" w:cs="Times New Roman" w:eastAsia="Times New Roman" w:hint="default"/>
        </w:rPr>
        <w:t>)</w:t>
      </w:r>
      <w:r>
        <w:rPr/>
        <w:t>，详见本附注八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四、财务报表的编制基础" w:id="170"/>
      <w:bookmarkEnd w:id="170"/>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71"/>
      <w:bookmarkEnd w:id="17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spacing w:val="-2"/>
        </w:rPr>
        <w:t>本公司以持续经营为基础，根据实际发生的交易和事项，按照财政部颁布的《企业会计准则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w:t>
      </w:r>
      <w:r>
        <w:rPr/>
        <w:t> 会计准则、企业会计准则应用指南、企业会计准则解释及其他相关规定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，以及中国证监会《公开 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的披露规定编制财务报表。</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持续经营" w:id="172"/>
      <w:bookmarkEnd w:id="17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042" w:firstLine="360"/>
        <w:jc w:val="both"/>
      </w:pPr>
      <w:r>
        <w:rPr>
          <w:spacing w:val="-4"/>
        </w:rPr>
        <w:t>本公司对本报告期末起</w:t>
      </w:r>
      <w:r>
        <w:rPr>
          <w:rFonts w:ascii="Times New Roman" w:hAnsi="Times New Roman" w:cs="Times New Roman" w:eastAsia="Times New Roman" w:hint="default"/>
          <w:spacing w:val="-4"/>
        </w:rPr>
        <w:t>12</w:t>
      </w:r>
      <w:r>
        <w:rPr>
          <w:spacing w:val="-4"/>
        </w:rPr>
        <w:t>个月内的持续经营能力进行了评价，未发现对持续经营能力产生重大疑虑的事项或情况。因此，</w:t>
      </w:r>
      <w:r>
        <w:rPr/>
        <w:t> 本财务报表系在持续经营假设的基础上编制。</w:t>
      </w:r>
    </w:p>
    <w:p>
      <w:pPr>
        <w:spacing w:line="240" w:lineRule="auto" w:before="9"/>
        <w:rPr>
          <w:rFonts w:ascii="宋体" w:hAnsi="宋体" w:cs="宋体" w:eastAsia="宋体" w:hint="default"/>
          <w:sz w:val="21"/>
          <w:szCs w:val="21"/>
        </w:rPr>
      </w:pPr>
    </w:p>
    <w:p>
      <w:pPr>
        <w:pStyle w:val="Heading2"/>
        <w:spacing w:line="240" w:lineRule="auto"/>
        <w:ind w:left="154" w:right="0"/>
        <w:jc w:val="left"/>
        <w:rPr>
          <w:b w:val="0"/>
          <w:bCs w:val="0"/>
        </w:rPr>
      </w:pPr>
      <w:bookmarkStart w:name="五、重要会计政策及会计估计" w:id="173"/>
      <w:bookmarkEnd w:id="173"/>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7692"/>
        <w:jc w:val="left"/>
      </w:pPr>
      <w:r>
        <w:rPr/>
        <w:t>公司是否需要遵守特殊行业的披露要求 否</w:t>
      </w:r>
    </w:p>
    <w:p>
      <w:pPr>
        <w:pStyle w:val="BodyText"/>
        <w:spacing w:line="338" w:lineRule="auto" w:before="26"/>
        <w:ind w:right="1128"/>
        <w:jc w:val="left"/>
      </w:pPr>
      <w:r>
        <w:rPr/>
        <w:t>具体会计政策和会计估计提示： </w:t>
      </w:r>
      <w:r>
        <w:rPr>
          <w:spacing w:val="-5"/>
        </w:rPr>
        <w:t>本公司及各子公司根据实际生产经营特点，依据相关企业会计准则的规定，对应收款项坏账准备、存货计价、固定资产折旧、</w:t>
      </w:r>
      <w:r>
        <w:rPr>
          <w:spacing w:val="-82"/>
        </w:rPr>
        <w:t> </w:t>
      </w:r>
      <w:r>
        <w:rPr>
          <w:spacing w:val="-82"/>
        </w:rPr>
      </w:r>
      <w:r>
        <w:rPr/>
        <w:t>收入确认等交易和事项指定了若干具体会计政策和会计估计，具体会计政策参见本附注五</w:t>
      </w:r>
      <w:r>
        <w:rPr>
          <w:rFonts w:ascii="Times New Roman" w:hAnsi="Times New Roman" w:cs="Times New Roman" w:eastAsia="Times New Roman" w:hint="default"/>
        </w:rPr>
        <w:t>(11)“</w:t>
      </w:r>
      <w:r>
        <w:rPr/>
        <w:t>应收款项坏账准备的确认标</w:t>
      </w:r>
    </w:p>
    <w:p>
      <w:pPr>
        <w:pStyle w:val="BodyText"/>
        <w:spacing w:line="230" w:lineRule="exact"/>
        <w:ind w:right="0"/>
        <w:jc w:val="left"/>
      </w:pPr>
      <w:r>
        <w:rPr/>
        <w:t>准和计提方法</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(12)“</w:t>
      </w:r>
      <w:r>
        <w:rPr/>
        <w:t>存货的确认和计量</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(16)“</w:t>
      </w:r>
      <w:r>
        <w:rPr/>
        <w:t>固定资产的确认和计量</w:t>
      </w:r>
      <w:r>
        <w:rPr>
          <w:rFonts w:ascii="Times New Roman" w:hAnsi="Times New Roman" w:cs="Times New Roman" w:eastAsia="Times New Roman" w:hint="default"/>
        </w:rPr>
        <w:t>”</w:t>
      </w:r>
      <w:r>
        <w:rPr/>
        <w:t>和附注五</w:t>
      </w:r>
      <w:r>
        <w:rPr>
          <w:rFonts w:ascii="Times New Roman" w:hAnsi="Times New Roman" w:cs="Times New Roman" w:eastAsia="Times New Roman" w:hint="default"/>
        </w:rPr>
        <w:t>(28)“</w:t>
      </w:r>
      <w:r>
        <w:rPr/>
        <w:t>收入确认原则</w:t>
      </w:r>
      <w:r>
        <w:rPr>
          <w:rFonts w:ascii="Times New Roman" w:hAnsi="Times New Roman" w:cs="Times New Roman" w:eastAsia="Times New Roman" w:hint="default"/>
        </w:rPr>
        <w:t>”</w:t>
      </w:r>
      <w:r>
        <w:rPr/>
        <w:t>等相关</w:t>
      </w:r>
    </w:p>
    <w:p>
      <w:pPr>
        <w:pStyle w:val="BodyText"/>
        <w:spacing w:line="240" w:lineRule="auto" w:before="63"/>
        <w:ind w:right="0"/>
        <w:jc w:val="left"/>
      </w:pPr>
      <w:r>
        <w:rPr/>
        <w:t>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遵循企业会计准则的声明" w:id="174"/>
      <w:bookmarkEnd w:id="17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本公司编制的财务报表符合企业会计准则的要求，真实、完整地反映了公司的财务状况、经营成果和现金流量等有关信息。</w:t>
      </w:r>
    </w:p>
    <w:p>
      <w:pPr>
        <w:spacing w:line="240" w:lineRule="auto" w:before="12"/>
        <w:rPr>
          <w:rFonts w:ascii="宋体" w:hAnsi="宋体" w:cs="宋体" w:eastAsia="宋体" w:hint="default"/>
          <w:sz w:val="26"/>
          <w:szCs w:val="26"/>
        </w:rPr>
      </w:pPr>
    </w:p>
    <w:p>
      <w:pPr>
        <w:spacing w:line="547" w:lineRule="auto" w:before="0"/>
        <w:ind w:left="153" w:right="7513" w:firstLine="0"/>
        <w:jc w:val="left"/>
        <w:rPr>
          <w:rFonts w:ascii="宋体" w:hAnsi="宋体" w:cs="宋体" w:eastAsia="宋体" w:hint="default"/>
          <w:sz w:val="21"/>
          <w:szCs w:val="21"/>
        </w:rPr>
      </w:pPr>
      <w:bookmarkStart w:name="2、会计期间" w:id="175"/>
      <w:bookmarkEnd w:id="17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会计年度自公历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bookmarkStart w:name="3、营业周期" w:id="176"/>
      <w:bookmarkEnd w:id="176"/>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300" w:lineRule="auto" w:before="50"/>
        <w:ind w:left="154" w:right="0"/>
        <w:jc w:val="left"/>
      </w:pPr>
      <w:r>
        <w:rPr>
          <w:spacing w:val="-2"/>
        </w:rPr>
        <w:t>正常营业周期是指本公司从购买用于加工的资产起至实现现金或现金等价物的期间。本公司以</w:t>
      </w:r>
      <w:r>
        <w:rPr>
          <w:rFonts w:ascii="Times New Roman" w:hAnsi="Times New Roman" w:cs="Times New Roman" w:eastAsia="Times New Roman" w:hint="default"/>
          <w:spacing w:val="-2"/>
        </w:rPr>
        <w:t>12</w:t>
      </w:r>
      <w:r>
        <w:rPr>
          <w:spacing w:val="-2"/>
        </w:rPr>
        <w:t>个月作为一个营业周期，并</w:t>
      </w:r>
      <w:r>
        <w:rPr>
          <w:spacing w:val="-61"/>
        </w:rPr>
        <w:t> </w:t>
      </w:r>
      <w:r>
        <w:rPr>
          <w:spacing w:val="-61"/>
        </w:rPr>
      </w:r>
      <w:r>
        <w:rPr/>
        <w:t>以其作为资产和负债的流动性划分标准。</w:t>
      </w:r>
    </w:p>
    <w:p>
      <w:pPr>
        <w:spacing w:line="240" w:lineRule="auto" w:before="6"/>
        <w:rPr>
          <w:rFonts w:ascii="宋体" w:hAnsi="宋体" w:cs="宋体" w:eastAsia="宋体" w:hint="default"/>
          <w:sz w:val="23"/>
          <w:szCs w:val="23"/>
        </w:rPr>
      </w:pPr>
    </w:p>
    <w:p>
      <w:pPr>
        <w:pStyle w:val="Heading3"/>
        <w:spacing w:line="240" w:lineRule="auto"/>
        <w:ind w:left="154" w:right="0"/>
        <w:jc w:val="left"/>
        <w:rPr>
          <w:b w:val="0"/>
          <w:bCs w:val="0"/>
        </w:rPr>
      </w:pPr>
      <w:bookmarkStart w:name="4、记账本位币" w:id="177"/>
      <w:bookmarkEnd w:id="17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本公司及子公司采用人民币为记账本位币。</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5、同一控制下和非同一控制下企业合并的会计处理方法" w:id="178"/>
      <w:bookmarkEnd w:id="17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09" w:lineRule="auto" w:before="19"/>
        <w:ind w:left="513" w:right="0"/>
        <w:jc w:val="left"/>
      </w:pPr>
      <w:r>
        <w:rPr/>
        <w:t>（</w:t>
      </w:r>
      <w:r>
        <w:rPr>
          <w:rFonts w:ascii="Times New Roman" w:hAnsi="Times New Roman" w:cs="Times New Roman" w:eastAsia="Times New Roman" w:hint="default"/>
        </w:rPr>
        <w:t>1</w:t>
      </w:r>
      <w:r>
        <w:rPr/>
        <w:t>）同一控制下企业合并的会计处理 参与合并的企业在合并前后均受同一方或相同的多方最终控制，且该控制并非暂时性的，为同一控制下的企业合并。 </w:t>
      </w:r>
      <w:r>
        <w:rPr>
          <w:spacing w:val="-2"/>
        </w:rPr>
        <w:t>公司在企业合并中取得的资产和负债，合并方在合并中取得的被合并方的资产、负债，除因会计政策不同而进行的调整</w:t>
      </w:r>
    </w:p>
    <w:p>
      <w:pPr>
        <w:pStyle w:val="BodyText"/>
        <w:spacing w:line="309" w:lineRule="auto" w:before="24"/>
        <w:ind w:right="1131"/>
        <w:jc w:val="both"/>
      </w:pPr>
      <w:r>
        <w:rPr>
          <w:spacing w:val="-2"/>
        </w:rPr>
        <w:t>以外，按照合并日被合并方在最终控制方合并财务报表中的账面价值计量。公司取得的被合并方所有者权益在最终控制方合</w:t>
      </w:r>
      <w:r>
        <w:rPr>
          <w:spacing w:val="-64"/>
        </w:rPr>
        <w:t> </w:t>
      </w:r>
      <w:r>
        <w:rPr>
          <w:spacing w:val="-64"/>
        </w:rPr>
      </w:r>
      <w:r>
        <w:rPr>
          <w:spacing w:val="-1"/>
        </w:rPr>
        <w:t>并财务报表中的账面价值的份额与支付的合并对价账面价值</w:t>
      </w:r>
      <w:r>
        <w:rPr>
          <w:rFonts w:ascii="Times New Roman" w:hAnsi="Times New Roman" w:cs="Times New Roman" w:eastAsia="Times New Roman" w:hint="default"/>
          <w:spacing w:val="-1"/>
        </w:rPr>
        <w:t>(</w:t>
      </w:r>
      <w:r>
        <w:rPr>
          <w:spacing w:val="-1"/>
        </w:rPr>
        <w:t>或发行股份面值总额</w:t>
      </w:r>
      <w:r>
        <w:rPr>
          <w:rFonts w:ascii="Times New Roman" w:hAnsi="Times New Roman" w:cs="Times New Roman" w:eastAsia="Times New Roman" w:hint="default"/>
          <w:spacing w:val="-1"/>
        </w:rPr>
        <w:t>)</w:t>
      </w:r>
      <w:r>
        <w:rPr>
          <w:spacing w:val="-1"/>
        </w:rPr>
        <w:t>的差额，调整资本公积；资本公积不足冲</w:t>
      </w:r>
      <w:r>
        <w:rPr>
          <w:spacing w:val="-57"/>
        </w:rPr>
        <w:t> </w:t>
      </w:r>
      <w:r>
        <w:rPr>
          <w:spacing w:val="-57"/>
        </w:rPr>
      </w:r>
      <w:r>
        <w:rPr/>
        <w:t>减的，调整留存收益。</w:t>
      </w:r>
    </w:p>
    <w:p>
      <w:pPr>
        <w:pStyle w:val="BodyText"/>
        <w:spacing w:line="314" w:lineRule="auto" w:before="24"/>
        <w:ind w:right="1131" w:firstLine="360"/>
        <w:jc w:val="both"/>
      </w:pPr>
      <w:r>
        <w:rPr>
          <w:spacing w:val="-2"/>
        </w:rPr>
        <w:t>通过多次交易分步实现同一控制下的企业合并，合并前持有投资的账面价值加上合并日新支付对价的账面价值之和，与</w:t>
      </w:r>
      <w:r>
        <w:rPr/>
        <w:t> </w:t>
      </w:r>
      <w:r>
        <w:rPr>
          <w:spacing w:val="-1"/>
        </w:rPr>
        <w:t>合并中取得的净资产账面价值的差额，调整资本公积</w:t>
      </w:r>
      <w:r>
        <w:rPr>
          <w:rFonts w:ascii="Times New Roman" w:hAnsi="Times New Roman" w:cs="Times New Roman" w:eastAsia="Times New Roman" w:hint="default"/>
          <w:spacing w:val="-1"/>
        </w:rPr>
        <w:t>(</w:t>
      </w:r>
      <w:r>
        <w:rPr>
          <w:spacing w:val="-1"/>
        </w:rPr>
        <w:t>股本溢价</w:t>
      </w:r>
      <w:r>
        <w:rPr>
          <w:rFonts w:ascii="Times New Roman" w:hAnsi="Times New Roman" w:cs="Times New Roman" w:eastAsia="Times New Roman" w:hint="default"/>
          <w:spacing w:val="-1"/>
        </w:rPr>
        <w:t>)</w:t>
      </w:r>
      <w:r>
        <w:rPr>
          <w:spacing w:val="-1"/>
        </w:rPr>
        <w:t>，资本公积不足冲减的，调整留存收益。合并方在取得被合</w:t>
      </w:r>
      <w:r>
        <w:rPr>
          <w:spacing w:val="-58"/>
        </w:rPr>
        <w:t> </w:t>
      </w:r>
      <w:r>
        <w:rPr>
          <w:spacing w:val="-58"/>
        </w:rPr>
      </w:r>
      <w:r>
        <w:rPr>
          <w:spacing w:val="-2"/>
        </w:rPr>
        <w:t>并方控制权之前持有的长期股权投资，在取得原股权之日与合并方与被合并方同处于同一方最终控制之日孰晚日起至合并日</w:t>
      </w:r>
      <w:r>
        <w:rPr>
          <w:spacing w:val="-64"/>
        </w:rPr>
        <w:t> </w:t>
      </w:r>
      <w:r>
        <w:rPr>
          <w:spacing w:val="-64"/>
        </w:rPr>
      </w:r>
      <w:r>
        <w:rPr>
          <w:spacing w:val="-2"/>
        </w:rPr>
        <w:t>之间已确认有关损益、其他综合收益和其他所有者权益变动，应分别冲减比较报表期间的期初留存收益或当期损益，由于被</w:t>
      </w:r>
      <w:r>
        <w:rPr>
          <w:spacing w:val="-66"/>
        </w:rPr>
        <w:t> </w:t>
      </w:r>
      <w:r>
        <w:rPr>
          <w:spacing w:val="-66"/>
        </w:rPr>
      </w:r>
      <w:r>
        <w:rPr/>
        <w:t>投资方重新计量设定受益计划净负债或净资产变动而产生的其他综合收益除外。</w:t>
      </w:r>
    </w:p>
    <w:p>
      <w:pPr>
        <w:pStyle w:val="BodyText"/>
        <w:spacing w:line="309" w:lineRule="auto" w:before="20"/>
        <w:ind w:left="513" w:right="0"/>
        <w:jc w:val="left"/>
      </w:pPr>
      <w:r>
        <w:rPr/>
        <w:t>（</w:t>
      </w:r>
      <w:r>
        <w:rPr>
          <w:rFonts w:ascii="Times New Roman" w:hAnsi="Times New Roman" w:cs="Times New Roman" w:eastAsia="Times New Roman" w:hint="default"/>
        </w:rPr>
        <w:t>2</w:t>
      </w:r>
      <w:r>
        <w:rPr/>
        <w:t>）非同一控制下企业合并的会计处理 参与合并的企业在合并前后不受同一方或相同的多方最终控制的，为非同一控制下的企业合并。 </w:t>
      </w:r>
      <w:r>
        <w:rPr>
          <w:spacing w:val="-2"/>
        </w:rPr>
        <w:t>公司在购买日对合并成本大于合并中取得的被购买方可辨认净资产公允价值份额的差额，确认为商誉；对于合并成本小</w:t>
      </w:r>
    </w:p>
    <w:p>
      <w:pPr>
        <w:pStyle w:val="BodyText"/>
        <w:spacing w:line="316" w:lineRule="auto" w:before="24"/>
        <w:ind w:right="1132"/>
        <w:jc w:val="both"/>
      </w:pPr>
      <w:r>
        <w:rPr>
          <w:spacing w:val="-2"/>
        </w:rPr>
        <w:t>于合并中取得的被购买方可辨认净资产公允价值份额，首先对取得的被购买方各项可辨认资产、负债及或有负债的公允价值</w:t>
      </w:r>
      <w:r>
        <w:rPr>
          <w:spacing w:val="-64"/>
        </w:rPr>
        <w:t> </w:t>
      </w:r>
      <w:r>
        <w:rPr>
          <w:spacing w:val="-64"/>
        </w:rPr>
      </w:r>
      <w:r>
        <w:rPr>
          <w:spacing w:val="-2"/>
        </w:rPr>
        <w:t>以及合并成本的计量进行复核，经复核后合并成本仍小于合并中取得的被购买方可辨认净资产公允价值份额的，其差额计入</w:t>
      </w:r>
      <w:r>
        <w:rPr>
          <w:spacing w:val="-64"/>
        </w:rPr>
        <w:t> </w:t>
      </w:r>
      <w:r>
        <w:rPr>
          <w:spacing w:val="-64"/>
        </w:rPr>
      </w:r>
      <w:r>
        <w:rPr/>
        <w:t>当期损益。</w:t>
      </w:r>
    </w:p>
    <w:p>
      <w:pPr>
        <w:pStyle w:val="BodyText"/>
        <w:spacing w:line="309" w:lineRule="auto" w:before="19"/>
        <w:ind w:left="154" w:right="0" w:firstLine="360"/>
        <w:jc w:val="left"/>
      </w:pPr>
      <w:r>
        <w:rPr/>
        <w:t>如果在购买日或合并当期期末，因各种因素影响无法合理确定作为合并对价付出的各项资产的公允价值，或合并中取得 被购买方各项可辨认资产、负债的公允价值，合并当期期末，公司以暂时确定的价值为基础对企业合并进行核算。自购买日 算起</w:t>
      </w:r>
      <w:r>
        <w:rPr>
          <w:rFonts w:ascii="Times New Roman" w:hAnsi="Times New Roman" w:cs="Times New Roman" w:eastAsia="Times New Roman" w:hint="default"/>
        </w:rPr>
        <w:t>12</w:t>
      </w:r>
      <w:r>
        <w:rPr/>
        <w:t>个月内取得进一步的信息表明需对原暂时确定的价值进行调整的，则视同在购买日发生，进行追溯调整，同时对以暂 </w:t>
      </w:r>
      <w:r>
        <w:rPr>
          <w:spacing w:val="-2"/>
        </w:rPr>
        <w:t>时性价值为基础提供的比较报表信息进行相关的调整；自购买日算起</w:t>
      </w:r>
      <w:r>
        <w:rPr>
          <w:rFonts w:ascii="Times New Roman" w:hAnsi="Times New Roman" w:cs="Times New Roman" w:eastAsia="Times New Roman" w:hint="default"/>
          <w:spacing w:val="-2"/>
        </w:rPr>
        <w:t>12</w:t>
      </w:r>
      <w:r>
        <w:rPr>
          <w:spacing w:val="-2"/>
        </w:rPr>
        <w:t>个月以后对企业合并成本或合并中取得的可辨认资产、</w:t>
      </w:r>
      <w:r>
        <w:rPr>
          <w:spacing w:val="-60"/>
        </w:rPr>
        <w:t> </w:t>
      </w:r>
      <w:r>
        <w:rPr/>
        <w:t>负债价值的调整，按照《企业会计准则第</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w:t>
      </w:r>
      <w:r>
        <w:rPr/>
        <w:t>会计政策、会计估计变更和会计差错更正》的原则进行处理。</w:t>
      </w:r>
    </w:p>
    <w:p>
      <w:pPr>
        <w:pStyle w:val="BodyText"/>
        <w:spacing w:line="312" w:lineRule="auto" w:before="5"/>
        <w:ind w:right="1130" w:firstLine="360"/>
        <w:jc w:val="both"/>
      </w:pPr>
      <w:r>
        <w:rPr>
          <w:spacing w:val="-2"/>
        </w:rPr>
        <w:t>公司在企业合并中取得的被购买方的可抵扣暂时性差异，在购买日不符合递延所得税资产确认条件的，不予以确认。购</w:t>
      </w:r>
      <w:r>
        <w:rPr/>
        <w:t> </w:t>
      </w:r>
      <w:r>
        <w:rPr>
          <w:spacing w:val="-2"/>
        </w:rPr>
        <w:t>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个月内，如取得新的或进一步的信息表明购买日的相关情况已经存在，预期被购买方在购买日可抵扣暂时性差异带</w:t>
      </w:r>
      <w:r>
        <w:rPr>
          <w:spacing w:val="-62"/>
        </w:rPr>
        <w:t> </w:t>
      </w:r>
      <w:r>
        <w:rPr>
          <w:spacing w:val="-62"/>
        </w:rPr>
      </w:r>
      <w:r>
        <w:rPr>
          <w:spacing w:val="-2"/>
        </w:rPr>
        <w:t>来的经济利益能够实现的，确认相关的递延所得税资产，同时减少商誉，商誉不足冲减的，差额部分确认为当期损益；除上</w:t>
      </w:r>
      <w:r>
        <w:rPr>
          <w:spacing w:val="-66"/>
        </w:rPr>
        <w:t> </w:t>
      </w:r>
      <w:r>
        <w:rPr>
          <w:spacing w:val="-66"/>
        </w:rPr>
      </w:r>
      <w:r>
        <w:rPr/>
        <w:t>述情况以外，确认与企业合并相关的递延所得税资产，计入当期损益。</w:t>
      </w:r>
    </w:p>
    <w:p>
      <w:pPr>
        <w:pStyle w:val="BodyText"/>
        <w:spacing w:line="312" w:lineRule="auto" w:before="22"/>
        <w:ind w:right="1130" w:firstLine="360"/>
        <w:jc w:val="both"/>
      </w:pPr>
      <w:r>
        <w:rPr>
          <w:spacing w:val="-2"/>
        </w:rPr>
        <w:t>通过多次交易分步实现的非同一控制下企业合并，根据企业会计准则判断该多次交易是否属于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。多次交易</w:t>
      </w:r>
      <w:r>
        <w:rPr/>
        <w:t> </w:t>
      </w:r>
      <w:r>
        <w:rPr>
          <w:spacing w:val="-2"/>
        </w:rPr>
        <w:t>的条款、条件以及经济影响符合以下一种或多种情况，通常表明应将多次交易事项作为一揽子交易进行会计处理：这些交易</w:t>
      </w:r>
      <w:r>
        <w:rPr>
          <w:spacing w:val="-66"/>
        </w:rPr>
        <w:t> </w:t>
      </w:r>
      <w:r>
        <w:rPr>
          <w:spacing w:val="-66"/>
        </w:rPr>
      </w:r>
      <w:r>
        <w:rPr>
          <w:spacing w:val="-2"/>
        </w:rPr>
        <w:t>是同时或者在考虑了彼此影响的情况下订立的；这些交易整体才能达成一项完整的商业结果；一项交易的发生取决于其他至</w:t>
      </w:r>
      <w:r>
        <w:rPr>
          <w:spacing w:val="-64"/>
        </w:rPr>
        <w:t> </w:t>
      </w:r>
      <w:r>
        <w:rPr>
          <w:spacing w:val="-64"/>
        </w:rPr>
      </w:r>
      <w:r>
        <w:rPr/>
        <w:t>少一项交易的发生；一项交易单独看是不经济的，但是和其他交易一并考虑时是经济的。</w:t>
      </w:r>
    </w:p>
    <w:p>
      <w:pPr>
        <w:pStyle w:val="BodyText"/>
        <w:spacing w:line="312" w:lineRule="auto" w:before="22"/>
        <w:ind w:right="1033" w:firstLine="360"/>
        <w:jc w:val="left"/>
      </w:pP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的，在合并财务报表 </w:t>
      </w:r>
      <w:r>
        <w:rPr>
          <w:spacing w:val="-2"/>
        </w:rPr>
        <w:t>中，对于购买日之前持有的被购买方的股权，按照该股权在购买日的公允价值进行重新计量，公允价值与其账面价值的差额</w:t>
      </w:r>
      <w:r>
        <w:rPr>
          <w:spacing w:val="-66"/>
        </w:rPr>
        <w:t> </w:t>
      </w:r>
      <w:r>
        <w:rPr>
          <w:spacing w:val="-66"/>
        </w:rPr>
      </w:r>
      <w:r>
        <w:rPr/>
        <w:t>计入当期投资收益；购买日之前已经持有的被购买方的股权涉及其他综合收益、其他所有者权益变动转为购买日当期收益，</w:t>
      </w:r>
      <w:r>
        <w:rPr>
          <w:spacing w:val="-85"/>
        </w:rPr>
        <w:t> </w:t>
      </w:r>
      <w:r>
        <w:rPr>
          <w:spacing w:val="-85"/>
        </w:rPr>
      </w:r>
      <w:r>
        <w:rPr/>
        <w:t>由于被投资方重新计量设定受益计划净负债或净资产变动而产生的其他综合收益除外。</w:t>
      </w:r>
    </w:p>
    <w:p>
      <w:pPr>
        <w:pStyle w:val="BodyText"/>
        <w:spacing w:line="300" w:lineRule="auto" w:before="22"/>
        <w:ind w:left="513" w:right="0"/>
        <w:jc w:val="left"/>
      </w:pPr>
      <w:r>
        <w:rPr/>
        <w:t>（</w:t>
      </w:r>
      <w:r>
        <w:rPr>
          <w:rFonts w:ascii="Times New Roman" w:hAnsi="Times New Roman" w:cs="Times New Roman" w:eastAsia="Times New Roman" w:hint="default"/>
        </w:rPr>
        <w:t>3</w:t>
      </w:r>
      <w:r>
        <w:rPr/>
        <w:t>）企业合并中有关交易费用的处理 </w:t>
      </w:r>
      <w:r>
        <w:rPr>
          <w:spacing w:val="-2"/>
        </w:rPr>
        <w:t>为进行企业合并发生的审计、法律服务、评估咨询等中介费用以及其他相关管理费用，于发生时计入当期损益。作为合</w:t>
      </w:r>
    </w:p>
    <w:p>
      <w:pPr>
        <w:pStyle w:val="BodyText"/>
        <w:spacing w:line="240" w:lineRule="auto" w:before="32"/>
        <w:ind w:right="0"/>
        <w:jc w:val="both"/>
      </w:pPr>
      <w:r>
        <w:rPr/>
        <w:t>并对价发行的权益性证券或债务性证券的交易费用，计入权益性证券或债务性证券的初始确认金额。</w:t>
      </w:r>
    </w:p>
    <w:p>
      <w:pPr>
        <w:spacing w:after="0" w:line="24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合并财务报表的编制方法" w:id="179"/>
      <w:bookmarkEnd w:id="17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118"/>
        <w:jc w:val="left"/>
      </w:pPr>
      <w:r>
        <w:rPr/>
        <w:t>（</w:t>
      </w:r>
      <w:r>
        <w:rPr>
          <w:rFonts w:ascii="Times New Roman" w:hAnsi="Times New Roman" w:cs="Times New Roman" w:eastAsia="Times New Roman" w:hint="default"/>
        </w:rPr>
        <w:t>1</w:t>
      </w:r>
      <w:r>
        <w:rPr/>
        <w:t>）合并范围 </w:t>
      </w:r>
      <w:r>
        <w:rPr>
          <w:spacing w:val="-2"/>
        </w:rPr>
        <w:t>合并财务报表的合并范围以控制为基础确定。控制是指本公司拥有对被投资方的权力，通过参与被投资方的相关活动而</w:t>
      </w:r>
    </w:p>
    <w:p>
      <w:pPr>
        <w:pStyle w:val="BodyText"/>
        <w:spacing w:line="316" w:lineRule="auto" w:before="32"/>
        <w:ind w:right="0"/>
        <w:jc w:val="left"/>
      </w:pPr>
      <w:r>
        <w:rPr>
          <w:spacing w:val="-2"/>
        </w:rPr>
        <w:t>享有可变回报，并且有能力运用对被投资方的权力影响该回报金额。合并范围包括本公司及全部子公司。子公司，是指被本</w:t>
      </w:r>
      <w:r>
        <w:rPr>
          <w:spacing w:val="-66"/>
        </w:rPr>
        <w:t> </w:t>
      </w:r>
      <w:r>
        <w:rPr>
          <w:spacing w:val="-66"/>
        </w:rPr>
      </w:r>
      <w:r>
        <w:rPr/>
        <w:t>公司控制的主体</w:t>
      </w:r>
      <w:r>
        <w:rPr>
          <w:rFonts w:ascii="Times New Roman" w:hAnsi="Times New Roman" w:cs="Times New Roman" w:eastAsia="Times New Roman" w:hint="default"/>
        </w:rPr>
        <w:t>(</w:t>
      </w:r>
      <w:r>
        <w:rPr/>
        <w:t>含企业、被投资单位中可分割的部分、结构化主体等</w:t>
      </w:r>
      <w:r>
        <w:rPr>
          <w:rFonts w:ascii="Times New Roman" w:hAnsi="Times New Roman" w:cs="Times New Roman" w:eastAsia="Times New Roman" w:hint="default"/>
        </w:rPr>
        <w:t>)</w:t>
      </w:r>
      <w:r>
        <w:rPr/>
        <w:t>。</w:t>
      </w:r>
    </w:p>
    <w:p>
      <w:pPr>
        <w:pStyle w:val="BodyText"/>
        <w:spacing w:line="300" w:lineRule="auto"/>
        <w:ind w:left="514" w:right="0"/>
        <w:jc w:val="left"/>
      </w:pPr>
      <w:r>
        <w:rPr/>
        <w:t>（</w:t>
      </w:r>
      <w:r>
        <w:rPr>
          <w:rFonts w:ascii="Times New Roman" w:hAnsi="Times New Roman" w:cs="Times New Roman" w:eastAsia="Times New Roman" w:hint="default"/>
        </w:rPr>
        <w:t>2</w:t>
      </w:r>
      <w:r>
        <w:rPr/>
        <w:t>）合并报表的编制方法 </w:t>
      </w:r>
      <w:r>
        <w:rPr>
          <w:spacing w:val="-2"/>
        </w:rPr>
        <w:t>本公司以自身和各子公司的财务报表为基础，根据其他有关资料，编制合并报表。本公司编制合并财务报表，将整个企</w:t>
      </w:r>
    </w:p>
    <w:p>
      <w:pPr>
        <w:pStyle w:val="BodyText"/>
        <w:spacing w:line="316" w:lineRule="auto" w:before="31"/>
        <w:ind w:left="154" w:right="0"/>
        <w:jc w:val="left"/>
      </w:pPr>
      <w:r>
        <w:rPr>
          <w:spacing w:val="-2"/>
        </w:rPr>
        <w:t>业集团视为一个会计主体，依据相关企业会计准则的确定、计量和列报要求，按照统一的会计政策，反映本公司整体财务状</w:t>
      </w:r>
      <w:r>
        <w:rPr>
          <w:spacing w:val="-66"/>
        </w:rPr>
        <w:t> </w:t>
      </w:r>
      <w:r>
        <w:rPr>
          <w:spacing w:val="-66"/>
        </w:rPr>
      </w:r>
      <w:r>
        <w:rPr/>
        <w:t>况、经营成果和现金流量。</w:t>
      </w:r>
    </w:p>
    <w:p>
      <w:pPr>
        <w:pStyle w:val="BodyText"/>
        <w:spacing w:line="316" w:lineRule="auto" w:before="19"/>
        <w:ind w:left="154" w:right="1133" w:firstLine="360"/>
        <w:jc w:val="both"/>
      </w:pPr>
      <w:r>
        <w:rPr>
          <w:spacing w:val="-2"/>
        </w:rPr>
        <w:t>合并财务报表时抵销本公司与各子公司、各子公司相互之间发生的内部交易和往来对合并资产负债表、合并利润表、合</w:t>
      </w:r>
      <w:r>
        <w:rPr/>
        <w:t> 并现金流量表、合并所有者权益变动表的影响。</w:t>
      </w:r>
    </w:p>
    <w:p>
      <w:pPr>
        <w:pStyle w:val="BodyText"/>
        <w:spacing w:line="316" w:lineRule="auto" w:before="19"/>
        <w:ind w:left="154" w:right="1131" w:firstLine="360"/>
        <w:jc w:val="both"/>
      </w:pPr>
      <w:r>
        <w:rPr>
          <w:spacing w:val="-2"/>
        </w:rPr>
        <w:t>在报告期内因同一控制下企业合并增加的子公司以及业务，视同该子公司以及业务自同受最终控制方控制之日起纳入本</w:t>
      </w:r>
      <w:r>
        <w:rPr/>
        <w:t> </w:t>
      </w:r>
      <w:r>
        <w:rPr>
          <w:spacing w:val="-2"/>
        </w:rPr>
        <w:t>公司的合并范围，将其自同受最终控制方控制之日起的经营成果、现金流量分别纳入合并利润表、合并现金流量表中。在报</w:t>
      </w:r>
      <w:r>
        <w:rPr>
          <w:spacing w:val="-66"/>
        </w:rPr>
        <w:t> </w:t>
      </w:r>
      <w:r>
        <w:rPr>
          <w:spacing w:val="-66"/>
        </w:rPr>
      </w:r>
      <w:r>
        <w:rPr>
          <w:spacing w:val="-2"/>
        </w:rPr>
        <w:t>告期内，同时调整合并资产负债表的期初数，同时对比较报表的相关项目进行调整，视同合并后的报表主体自最终控制方开</w:t>
      </w:r>
      <w:r>
        <w:rPr>
          <w:spacing w:val="-66"/>
        </w:rPr>
        <w:t> </w:t>
      </w:r>
      <w:r>
        <w:rPr>
          <w:spacing w:val="-66"/>
        </w:rPr>
      </w:r>
      <w:r>
        <w:rPr/>
        <w:t>始控制时点起一直存在。</w:t>
      </w:r>
    </w:p>
    <w:p>
      <w:pPr>
        <w:pStyle w:val="BodyText"/>
        <w:spacing w:line="316" w:lineRule="auto" w:before="19"/>
        <w:ind w:left="154" w:right="1131" w:firstLine="360"/>
        <w:jc w:val="both"/>
      </w:pPr>
      <w:r>
        <w:rPr>
          <w:spacing w:val="-2"/>
        </w:rPr>
        <w:t>本期若因非同一控制下企业合并增加子公司的，则不调整合并资产负债表期初数；以购买日可辨认净资产公允价值为基</w:t>
      </w:r>
      <w:r>
        <w:rPr/>
        <w:t> </w:t>
      </w:r>
      <w:r>
        <w:rPr>
          <w:spacing w:val="-2"/>
        </w:rPr>
        <w:t>础对其财务报表进行调整。将子公司自购买日至期末的收入、费用、利润纳入合并利润表；该子公司自购买日至期末的现金</w:t>
      </w:r>
      <w:r>
        <w:rPr>
          <w:spacing w:val="-66"/>
        </w:rPr>
        <w:t> </w:t>
      </w:r>
      <w:r>
        <w:rPr>
          <w:spacing w:val="-66"/>
        </w:rPr>
      </w:r>
      <w:r>
        <w:rPr/>
        <w:t>流量纳入合并现金流量表。</w:t>
      </w:r>
    </w:p>
    <w:p>
      <w:pPr>
        <w:pStyle w:val="BodyText"/>
        <w:spacing w:line="316" w:lineRule="auto" w:before="19"/>
        <w:ind w:left="154" w:right="1131" w:firstLine="360"/>
        <w:jc w:val="both"/>
      </w:pPr>
      <w:r>
        <w:rPr>
          <w:spacing w:val="-2"/>
        </w:rPr>
        <w:t>子公司少数股东应占的权益、损益和当期综合收益中分别在合并资产负债表中所有者权益项目下、合并利润表中净利润</w:t>
      </w:r>
      <w:r>
        <w:rPr/>
        <w:t> </w:t>
      </w:r>
      <w:r>
        <w:rPr>
          <w:spacing w:val="-2"/>
        </w:rPr>
        <w:t>项目和综合收益总额项下单独列示。子公司少数股东分担的当期亏损超过了少数股东在该子公司期初所有者权益中所享有份</w:t>
      </w:r>
      <w:r>
        <w:rPr>
          <w:spacing w:val="-64"/>
        </w:rPr>
        <w:t> </w:t>
      </w:r>
      <w:r>
        <w:rPr>
          <w:spacing w:val="-64"/>
        </w:rPr>
      </w:r>
      <w:r>
        <w:rPr/>
        <w:t>额而形成的余额，冲减少数股东权益。</w:t>
      </w:r>
    </w:p>
    <w:p>
      <w:pPr>
        <w:pStyle w:val="BodyText"/>
        <w:spacing w:line="300" w:lineRule="auto" w:before="19"/>
        <w:ind w:left="514" w:right="1212"/>
        <w:jc w:val="left"/>
      </w:pPr>
      <w:r>
        <w:rPr/>
        <w:t>（</w:t>
      </w:r>
      <w:r>
        <w:rPr>
          <w:rFonts w:ascii="Times New Roman" w:hAnsi="Times New Roman" w:cs="Times New Roman" w:eastAsia="Times New Roman" w:hint="default"/>
        </w:rPr>
        <w:t>3</w:t>
      </w:r>
      <w:r>
        <w:rPr/>
        <w:t>）购买少数股东股权及不丧失控制权的部分处置子公司股权 本公司因购买少数股权新取得的长期股权投资成本与按照新增持股比例计算应享有子公司自购买日或合并日开始持续</w:t>
      </w:r>
    </w:p>
    <w:p>
      <w:pPr>
        <w:pStyle w:val="BodyText"/>
        <w:spacing w:line="316" w:lineRule="auto" w:before="31"/>
        <w:ind w:left="154" w:right="1130"/>
        <w:jc w:val="both"/>
      </w:pPr>
      <w:r>
        <w:rPr>
          <w:spacing w:val="-2"/>
        </w:rPr>
        <w:t>计算的净资产份额之间的差额，以及在不丧失控制权的情况下因部分处置对子公司的股权投资而取得的处置价款与处置长期</w:t>
      </w:r>
      <w:r>
        <w:rPr>
          <w:spacing w:val="-63"/>
        </w:rPr>
        <w:t> </w:t>
      </w:r>
      <w:r>
        <w:rPr>
          <w:spacing w:val="-63"/>
        </w:rPr>
      </w:r>
      <w:r>
        <w:rPr>
          <w:spacing w:val="-2"/>
        </w:rPr>
        <w:t>股权投资相对应享有子公司自购买日或合并日开始持续计算的净资产份额之间的差额，均调整合并资产负债表中的资本公积</w:t>
      </w:r>
      <w:r>
        <w:rPr>
          <w:spacing w:val="-64"/>
        </w:rPr>
        <w:t> </w:t>
      </w:r>
      <w:r>
        <w:rPr>
          <w:spacing w:val="-64"/>
        </w:rPr>
      </w:r>
      <w:r>
        <w:rPr/>
        <w:t>中的股本溢价，资本公积中的股本溢价不足冲减的，调整留存收益。</w:t>
      </w:r>
    </w:p>
    <w:p>
      <w:pPr>
        <w:pStyle w:val="BodyText"/>
        <w:spacing w:line="300" w:lineRule="auto" w:before="19"/>
        <w:ind w:left="513" w:right="0"/>
        <w:jc w:val="left"/>
      </w:pPr>
      <w:r>
        <w:rPr/>
        <w:t>（</w:t>
      </w:r>
      <w:r>
        <w:rPr>
          <w:rFonts w:ascii="Times New Roman" w:hAnsi="Times New Roman" w:cs="Times New Roman" w:eastAsia="Times New Roman" w:hint="default"/>
        </w:rPr>
        <w:t>4</w:t>
      </w:r>
      <w:r>
        <w:rPr/>
        <w:t>）丧失控制权的处置子公司股权 </w:t>
      </w:r>
      <w:r>
        <w:rPr>
          <w:spacing w:val="-2"/>
        </w:rPr>
        <w:t>本期本公司处置子公司，则该子公司期初至处置日的收入、费用、利润纳入合并利润表；该子公司期初至处置日的现金</w:t>
      </w:r>
    </w:p>
    <w:p>
      <w:pPr>
        <w:pStyle w:val="BodyText"/>
        <w:spacing w:line="312" w:lineRule="auto" w:before="31"/>
        <w:ind w:right="0"/>
        <w:jc w:val="left"/>
      </w:pPr>
      <w:r>
        <w:rPr>
          <w:spacing w:val="-2"/>
        </w:rPr>
        <w:t>流量纳入合并现金流量表。因处置部分股权投资或其他原因丧失了对原有子公司控制权时，对于处置后的剩余股权投资，本</w:t>
      </w:r>
      <w:r>
        <w:rPr>
          <w:spacing w:val="-66"/>
        </w:rPr>
        <w:t> </w:t>
      </w:r>
      <w:r>
        <w:rPr>
          <w:spacing w:val="-66"/>
        </w:rPr>
      </w:r>
      <w:r>
        <w:rPr>
          <w:spacing w:val="-2"/>
        </w:rPr>
        <w:t>公司按照其在丧失控制权日的公允价值进行重新计量。处置股权取得的对价与剩余股权公允价值之和，减去按原持股比例计</w:t>
      </w:r>
      <w:r>
        <w:rPr>
          <w:spacing w:val="-64"/>
        </w:rPr>
        <w:t> </w:t>
      </w:r>
      <w:r>
        <w:rPr>
          <w:spacing w:val="-64"/>
        </w:rPr>
      </w:r>
      <w:r>
        <w:rPr>
          <w:spacing w:val="-2"/>
        </w:rPr>
        <w:t>算应享有原有子公司自购买日开始持续计算的净资产的份额与商誉之和，形成的差额计入丧失控制权当期的投资收益。与原</w:t>
      </w:r>
      <w:r>
        <w:rPr>
          <w:spacing w:val="-64"/>
        </w:rPr>
        <w:t> </w:t>
      </w:r>
      <w:r>
        <w:rPr>
          <w:spacing w:val="-64"/>
        </w:rPr>
      </w:r>
      <w:r>
        <w:rPr/>
        <w:t>有子公司股权投资相关的其他综合收益，在丧失控制权时采用被购买方直接处置相关资产和负债相同的基础进行会计处理 </w:t>
      </w:r>
      <w:r>
        <w:rPr>
          <w:rFonts w:ascii="Times New Roman" w:hAnsi="Times New Roman" w:cs="Times New Roman" w:eastAsia="Times New Roman" w:hint="default"/>
        </w:rPr>
        <w:t>(</w:t>
      </w:r>
      <w:r>
        <w:rPr/>
        <w:t>即除了在该原有子公司重新计量设定受益计划外净负债或者净资产导致的变动以外，其余一并转入当期投资收益</w:t>
      </w:r>
      <w:r>
        <w:rPr>
          <w:rFonts w:ascii="Times New Roman" w:hAnsi="Times New Roman" w:cs="Times New Roman" w:eastAsia="Times New Roman" w:hint="default"/>
        </w:rPr>
        <w:t>)</w:t>
      </w:r>
      <w:r>
        <w:rPr/>
        <w:t>。其后，</w:t>
      </w:r>
      <w:r>
        <w:rPr>
          <w:spacing w:val="-35"/>
        </w:rPr>
        <w:t> </w:t>
      </w:r>
      <w:r>
        <w:rPr>
          <w:spacing w:val="-35"/>
        </w:rPr>
      </w:r>
      <w:r>
        <w:rPr/>
        <w:t>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 关规定进行后续计量，详见本附注五</w:t>
      </w:r>
      <w:r>
        <w:rPr>
          <w:rFonts w:ascii="Times New Roman" w:hAnsi="Times New Roman" w:cs="Times New Roman" w:eastAsia="Times New Roman" w:hint="default"/>
        </w:rPr>
        <w:t>(14)</w:t>
      </w:r>
      <w:r>
        <w:rPr>
          <w:rFonts w:ascii="Times New Roman" w:hAnsi="Times New Roman" w:cs="Times New Roman" w:eastAsia="Times New Roman" w:hint="default"/>
        </w:rPr>
        <w:t>“</w:t>
      </w:r>
      <w:r>
        <w:rPr/>
        <w:t>长期股权投资的确认和计量</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(10)“</w:t>
      </w:r>
      <w:r>
        <w:rPr/>
        <w:t>金融工具的确认和计量</w:t>
      </w:r>
      <w:r>
        <w:rPr>
          <w:rFonts w:ascii="Times New Roman" w:hAnsi="Times New Roman" w:cs="Times New Roman" w:eastAsia="Times New Roman" w:hint="default"/>
        </w:rPr>
        <w:t>”</w:t>
      </w:r>
      <w:r>
        <w:rPr/>
        <w:t>。</w:t>
      </w:r>
    </w:p>
    <w:p>
      <w:pPr>
        <w:pStyle w:val="BodyText"/>
        <w:spacing w:line="300" w:lineRule="auto" w:before="3"/>
        <w:ind w:left="514" w:right="0"/>
        <w:jc w:val="left"/>
      </w:pPr>
      <w:r>
        <w:rPr/>
        <w:t>（</w:t>
      </w:r>
      <w:r>
        <w:rPr>
          <w:rFonts w:ascii="Times New Roman" w:hAnsi="Times New Roman" w:cs="Times New Roman" w:eastAsia="Times New Roman" w:hint="default"/>
        </w:rPr>
        <w:t>5</w:t>
      </w:r>
      <w:r>
        <w:rPr/>
        <w:t>）分步处置对子公司股权投资至丧失控制权的处理 </w:t>
      </w:r>
      <w:r>
        <w:rPr>
          <w:spacing w:val="-2"/>
        </w:rPr>
        <w:t>本公司通过多次交易分步处置对子公司股权投资直至丧失控制权的，需区分处置对子公司股权投资直至丧失控制权的各</w:t>
      </w:r>
    </w:p>
    <w:p>
      <w:pPr>
        <w:pStyle w:val="BodyText"/>
        <w:spacing w:line="316" w:lineRule="auto" w:before="31"/>
        <w:ind w:left="514" w:right="0" w:hanging="360"/>
        <w:jc w:val="left"/>
      </w:pPr>
      <w:r>
        <w:rPr/>
        <w:t>项交易是否属于一揽子交易。 </w:t>
      </w:r>
      <w:r>
        <w:rPr>
          <w:spacing w:val="-2"/>
        </w:rPr>
        <w:t>处置对子公司股权投资直至丧失控制权的各项交易属于一揽子交易的，将各项交易作为一项处置子公司并丧失控制权的</w:t>
      </w:r>
    </w:p>
    <w:p>
      <w:pPr>
        <w:pStyle w:val="BodyText"/>
        <w:spacing w:line="316" w:lineRule="auto" w:before="19"/>
        <w:ind w:left="154" w:right="0"/>
        <w:jc w:val="left"/>
      </w:pPr>
      <w:r>
        <w:rPr>
          <w:spacing w:val="-2"/>
        </w:rPr>
        <w:t>交易进行会计处理；但是，在丧失控制权之前每一次处置价款与处置投资对应的享有该子公司净资产份额的差额，在合并财</w:t>
      </w:r>
      <w:r>
        <w:rPr>
          <w:spacing w:val="-66"/>
        </w:rPr>
        <w:t> </w:t>
      </w:r>
      <w:r>
        <w:rPr>
          <w:spacing w:val="-66"/>
        </w:rPr>
      </w:r>
      <w:r>
        <w:rPr/>
        <w:t>务报表中确认为其他综合收益，在丧失控制权时一并转入丧失控制权当期的损益。</w:t>
      </w:r>
    </w:p>
    <w:p>
      <w:pPr>
        <w:pStyle w:val="BodyText"/>
        <w:spacing w:line="300" w:lineRule="auto" w:before="19"/>
        <w:ind w:right="1131" w:firstLine="360"/>
        <w:jc w:val="both"/>
      </w:pPr>
      <w:r>
        <w:rPr>
          <w:spacing w:val="-2"/>
        </w:rPr>
        <w:t>不属于一揽子交易的，对其中的每一项交易视情况分别按照</w:t>
      </w:r>
      <w:r>
        <w:rPr>
          <w:rFonts w:ascii="Times New Roman" w:hAnsi="Times New Roman" w:cs="Times New Roman" w:eastAsia="Times New Roman" w:hint="default"/>
          <w:spacing w:val="-2"/>
        </w:rPr>
        <w:t>“</w:t>
      </w:r>
      <w:r>
        <w:rPr>
          <w:spacing w:val="-2"/>
        </w:rPr>
        <w:t>不丧失控制权的情况下部分处置对子公司的长期股权投资</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t>和</w:t>
      </w:r>
      <w:r>
        <w:rPr>
          <w:rFonts w:ascii="Times New Roman" w:hAnsi="Times New Roman" w:cs="Times New Roman" w:eastAsia="Times New Roman" w:hint="default"/>
        </w:rPr>
        <w:t>“</w:t>
      </w:r>
      <w:r>
        <w:rPr/>
        <w:t>因处置部分股权投资或其他原因丧失了对原有子公司的控制权</w:t>
      </w:r>
      <w:r>
        <w:rPr>
          <w:rFonts w:ascii="Times New Roman" w:hAnsi="Times New Roman" w:cs="Times New Roman" w:eastAsia="Times New Roman" w:hint="default"/>
        </w:rPr>
        <w:t>”(</w:t>
      </w:r>
      <w:r>
        <w:rPr/>
        <w:t>详见前段</w:t>
      </w:r>
      <w:r>
        <w:rPr>
          <w:rFonts w:ascii="Times New Roman" w:hAnsi="Times New Roman" w:cs="Times New Roman" w:eastAsia="Times New Roman" w:hint="default"/>
        </w:rPr>
        <w:t>)</w:t>
      </w:r>
      <w:r>
        <w:rPr/>
        <w:t>适用的原则进行会计处理。即在丧失控制权之</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前每一次处置价款与处置投资对应的享有该子公司自购买日开始持续计算的净资产账面价值份额之间的差额，作为权益性交</w:t>
      </w:r>
      <w:r>
        <w:rPr>
          <w:spacing w:val="-64"/>
        </w:rPr>
        <w:t> </w:t>
      </w:r>
      <w:r>
        <w:rPr>
          <w:spacing w:val="-64"/>
        </w:rPr>
      </w:r>
      <w:r>
        <w:rPr/>
        <w:t>易计入资本公积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。在丧失控制权时不得转入丧失控制权当期的损益。</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7、合营安排分类及共同经营会计处理方法" w:id="180"/>
      <w:bookmarkEnd w:id="18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3" w:firstLine="360"/>
        <w:jc w:val="both"/>
      </w:pPr>
      <w:r>
        <w:rPr/>
        <w:t>合营安排，是指一项由两个或两个以上的参与方共同控制的安排。本公司根据在合营安排中享有的权利和承担的义务， 将合营安排分为共同经营和合营企业。</w:t>
      </w:r>
    </w:p>
    <w:p>
      <w:pPr>
        <w:pStyle w:val="BodyText"/>
        <w:spacing w:line="316" w:lineRule="auto" w:before="19"/>
        <w:ind w:right="1133" w:firstLine="360"/>
        <w:jc w:val="both"/>
      </w:pPr>
      <w:r>
        <w:rPr>
          <w:spacing w:val="-2"/>
        </w:rPr>
        <w:t>合营企业，是指本公司仅对该安排的净资产享有权利的合营安排。本公司对合营企业的投资采用权益法核算，按照本附</w:t>
      </w:r>
      <w:r>
        <w:rPr/>
        <w:t> 注五（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3(2)“</w:t>
      </w:r>
      <w:r>
        <w:rPr/>
        <w:t>权益法核算的长期股权投资</w:t>
      </w:r>
      <w:r>
        <w:rPr>
          <w:rFonts w:ascii="Times New Roman" w:hAnsi="Times New Roman" w:cs="Times New Roman" w:eastAsia="Times New Roman" w:hint="default"/>
        </w:rPr>
        <w:t>”</w:t>
      </w:r>
      <w:r>
        <w:rPr/>
        <w:t>中所述的会计政策处理。</w:t>
      </w:r>
    </w:p>
    <w:p>
      <w:pPr>
        <w:pStyle w:val="BodyText"/>
        <w:spacing w:line="316" w:lineRule="auto"/>
        <w:ind w:left="154" w:right="1132" w:firstLine="360"/>
        <w:jc w:val="both"/>
      </w:pPr>
      <w:r>
        <w:rPr>
          <w:spacing w:val="-2"/>
        </w:rPr>
        <w:t>共同经营，是指本公司享有该安排相关资产且承担该安排相关负债的合营安排。本公司确认与共同经营中利益份额相关</w:t>
      </w:r>
      <w:r>
        <w:rPr/>
        <w:t> 的下列项目，并按照相关企业会计准则的规定进行会计处理：</w:t>
      </w:r>
    </w:p>
    <w:p>
      <w:pPr>
        <w:pStyle w:val="BodyText"/>
        <w:spacing w:line="240" w:lineRule="auto" w:before="19"/>
        <w:ind w:left="514"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left="513"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left="513"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514"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00" w:lineRule="auto" w:before="63"/>
        <w:ind w:left="513" w:right="0"/>
        <w:jc w:val="left"/>
      </w:pPr>
      <w:r>
        <w:rPr/>
        <w:t>（</w:t>
      </w:r>
      <w:r>
        <w:rPr>
          <w:rFonts w:ascii="Times New Roman" w:hAnsi="Times New Roman" w:cs="Times New Roman" w:eastAsia="Times New Roman" w:hint="default"/>
        </w:rPr>
        <w:t>5</w:t>
      </w:r>
      <w:r>
        <w:rPr/>
        <w:t>）确认单独所发生的费用，以及按本公司份额确认共同经营发生的费用。 </w:t>
      </w:r>
      <w:r>
        <w:rPr>
          <w:spacing w:val="-1"/>
        </w:rPr>
        <w:t>当本公司作为合营方向共同经营投出或出售资产</w:t>
      </w:r>
      <w:r>
        <w:rPr>
          <w:rFonts w:ascii="Times New Roman" w:hAnsi="Times New Roman" w:cs="Times New Roman" w:eastAsia="Times New Roman" w:hint="default"/>
          <w:spacing w:val="-1"/>
        </w:rPr>
        <w:t>(</w:t>
      </w:r>
      <w:r>
        <w:rPr>
          <w:spacing w:val="-1"/>
        </w:rPr>
        <w:t>该资产不构成业务，下同</w:t>
      </w:r>
      <w:r>
        <w:rPr>
          <w:rFonts w:ascii="Times New Roman" w:hAnsi="Times New Roman" w:cs="Times New Roman" w:eastAsia="Times New Roman" w:hint="default"/>
          <w:spacing w:val="-1"/>
        </w:rPr>
        <w:t>)</w:t>
      </w:r>
      <w:r>
        <w:rPr>
          <w:spacing w:val="-1"/>
        </w:rPr>
        <w:t>或者自共同经营购买资产时，在该等资产出</w:t>
      </w:r>
    </w:p>
    <w:p>
      <w:pPr>
        <w:pStyle w:val="BodyText"/>
        <w:spacing w:line="309" w:lineRule="auto" w:before="13"/>
        <w:ind w:right="1133"/>
        <w:jc w:val="both"/>
      </w:pPr>
      <w:r>
        <w:rPr>
          <w:spacing w:val="-2"/>
        </w:rPr>
        <w:t>售给第三方之前，本公司仅确认因该项交易产生的损益中属于共同经营其他参与方的部分。该等资产发生符合《企业会计准</w:t>
      </w:r>
      <w:r>
        <w:rPr>
          <w:spacing w:val="-66"/>
        </w:rPr>
        <w:t> </w:t>
      </w:r>
      <w:r>
        <w:rPr>
          <w:spacing w:val="-66"/>
        </w:rPr>
      </w:r>
      <w:r>
        <w:rPr/>
        <w:t>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资产减值》等规定的资产减值损失的，对于由于本公司向共同经营投出或者出售资产的情况，本公司全额确认 损失；对于本公司自共同经营购买资产的情况，本公司按承担的份额确认该损失。</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8、现金及现金等价物的确定标准" w:id="181"/>
      <w:bookmarkEnd w:id="18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53"/>
        <w:jc w:val="left"/>
      </w:pPr>
      <w:r>
        <w:rPr/>
        <w:t>在编制现金流量表时，将本公司库存现金及可以随时用于支付的存款确认为现金。现金等价物是指公司持有的期限短</w:t>
      </w:r>
      <w:r>
        <w:rPr>
          <w:rFonts w:ascii="Times New Roman" w:hAnsi="Times New Roman" w:cs="Times New Roman" w:eastAsia="Times New Roman" w:hint="default"/>
        </w:rPr>
        <w:t>(</w:t>
      </w:r>
      <w:r>
        <w:rPr/>
        <w:t>一般 是指从购买日起</w:t>
      </w:r>
      <w:r>
        <w:rPr>
          <w:rFonts w:ascii="Times New Roman" w:hAnsi="Times New Roman" w:cs="Times New Roman" w:eastAsia="Times New Roman" w:hint="default"/>
        </w:rPr>
        <w:t>3</w:t>
      </w:r>
      <w:r>
        <w:rPr/>
        <w:t>个月内到期</w:t>
      </w:r>
      <w:r>
        <w:rPr>
          <w:rFonts w:ascii="Times New Roman" w:hAnsi="Times New Roman" w:cs="Times New Roman" w:eastAsia="Times New Roman" w:hint="default"/>
        </w:rPr>
        <w:t>)</w:t>
      </w:r>
      <w:r>
        <w:rPr/>
        <w:t>、流动性强、易于转换为已知金额现金、价值变动风险很小的投资。</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9、外币业务和外币报表折算" w:id="182"/>
      <w:bookmarkEnd w:id="18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）外币交易业务 </w:t>
      </w:r>
      <w:r>
        <w:rPr>
          <w:spacing w:val="-1"/>
        </w:rPr>
        <w:t>对发生的外币业务，采用交易发生日的即期汇率</w:t>
      </w:r>
      <w:r>
        <w:rPr>
          <w:rFonts w:ascii="Times New Roman" w:hAnsi="Times New Roman" w:cs="Times New Roman" w:eastAsia="Times New Roman" w:hint="default"/>
          <w:spacing w:val="-1"/>
        </w:rPr>
        <w:t>(</w:t>
      </w:r>
      <w:r>
        <w:rPr>
          <w:spacing w:val="-1"/>
        </w:rPr>
        <w:t>通常指中国人民银行公布的当日外汇牌价的中间价，下同</w:t>
      </w:r>
      <w:r>
        <w:rPr>
          <w:rFonts w:ascii="Times New Roman" w:hAnsi="Times New Roman" w:cs="Times New Roman" w:eastAsia="Times New Roman" w:hint="default"/>
          <w:spacing w:val="-1"/>
        </w:rPr>
        <w:t>)</w:t>
      </w:r>
      <w:r>
        <w:rPr>
          <w:spacing w:val="-1"/>
        </w:rPr>
        <w:t>折合人民币</w:t>
      </w:r>
    </w:p>
    <w:p>
      <w:pPr>
        <w:pStyle w:val="BodyText"/>
        <w:spacing w:line="240" w:lineRule="auto" w:before="13"/>
        <w:ind w:right="0"/>
        <w:jc w:val="left"/>
      </w:pPr>
      <w:r>
        <w:rPr/>
        <w:t>记账。但公司发生的外币兑换业务或涉及外币兑换的交易事项，按照实际采用的汇率折算为记账本位币金额。</w:t>
      </w:r>
    </w:p>
    <w:p>
      <w:pPr>
        <w:pStyle w:val="BodyText"/>
        <w:spacing w:line="300" w:lineRule="auto" w:before="76"/>
        <w:ind w:left="514" w:right="1182"/>
        <w:jc w:val="left"/>
      </w:pPr>
      <w:r>
        <w:rPr/>
        <w:t>（</w:t>
      </w:r>
      <w:r>
        <w:rPr>
          <w:rFonts w:ascii="Times New Roman" w:hAnsi="Times New Roman" w:cs="Times New Roman" w:eastAsia="Times New Roman" w:hint="default"/>
        </w:rPr>
        <w:t>2</w:t>
      </w:r>
      <w:r>
        <w:rPr/>
        <w:t>）外币货币性项目和非货币性项目的折算方法 资产负债表日，对于外币货币性项目采用资产负债表日即期汇率折算，由此产生的汇兑差额，除：</w:t>
      </w:r>
      <w:r>
        <w:rPr>
          <w:rFonts w:ascii="Times New Roman" w:hAnsi="Times New Roman" w:cs="Times New Roman" w:eastAsia="Times New Roman" w:hint="default"/>
        </w:rPr>
        <w:t>(1)</w:t>
      </w:r>
      <w:r>
        <w:rPr/>
        <w:t>属于与购建符合</w:t>
      </w:r>
    </w:p>
    <w:p>
      <w:pPr>
        <w:pStyle w:val="BodyText"/>
        <w:spacing w:line="300" w:lineRule="auto" w:before="13"/>
        <w:ind w:right="1120"/>
        <w:jc w:val="left"/>
      </w:pPr>
      <w:r>
        <w:rPr/>
        <w:t>资本化条件的资产相关的外币专门借款产生的汇兑差额按照借款费用资本化的原则处理；</w:t>
      </w:r>
      <w:r>
        <w:rPr>
          <w:rFonts w:ascii="Times New Roman" w:hAnsi="Times New Roman" w:cs="Times New Roman" w:eastAsia="Times New Roman" w:hint="default"/>
        </w:rPr>
        <w:t>(2)</w:t>
      </w:r>
      <w:r>
        <w:rPr/>
        <w:t>用于境外经营净投资有效套期 </w:t>
      </w:r>
      <w:r>
        <w:rPr>
          <w:spacing w:val="-1"/>
        </w:rPr>
        <w:t>的套期工具的汇兑差额</w:t>
      </w:r>
      <w:r>
        <w:rPr>
          <w:rFonts w:ascii="Times New Roman" w:hAnsi="Times New Roman" w:cs="Times New Roman" w:eastAsia="Times New Roman" w:hint="default"/>
          <w:spacing w:val="-1"/>
        </w:rPr>
        <w:t>(</w:t>
      </w:r>
      <w:r>
        <w:rPr>
          <w:spacing w:val="-1"/>
        </w:rPr>
        <w:t>该差额计入其他综合收益，直至净投资被处置才被确认为当期损益</w:t>
      </w:r>
      <w:r>
        <w:rPr>
          <w:rFonts w:ascii="Times New Roman" w:hAnsi="Times New Roman" w:cs="Times New Roman" w:eastAsia="Times New Roman" w:hint="default"/>
          <w:spacing w:val="-1"/>
        </w:rPr>
        <w:t>)</w:t>
      </w:r>
      <w:r>
        <w:rPr>
          <w:spacing w:val="-1"/>
        </w:rPr>
        <w:t>；以及</w:t>
      </w:r>
      <w:r>
        <w:rPr>
          <w:rFonts w:ascii="Times New Roman" w:hAnsi="Times New Roman" w:cs="Times New Roman" w:eastAsia="Times New Roman" w:hint="default"/>
          <w:spacing w:val="-1"/>
        </w:rPr>
        <w:t>(3)</w:t>
      </w:r>
      <w:r>
        <w:rPr>
          <w:spacing w:val="-1"/>
        </w:rPr>
        <w:t>可供出售的外币货币性</w:t>
      </w:r>
      <w:r>
        <w:rPr>
          <w:spacing w:val="-87"/>
        </w:rPr>
        <w:t> </w:t>
      </w:r>
      <w:r>
        <w:rPr/>
        <w:t>项目除摊余成本之外的其他账面余额变动产生的汇兑差额计入其他综合收益之外，均计入当期损益。</w:t>
      </w:r>
    </w:p>
    <w:p>
      <w:pPr>
        <w:pStyle w:val="BodyText"/>
        <w:spacing w:line="316" w:lineRule="auto" w:before="31"/>
        <w:ind w:right="1132"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币非货币性项目，采用公允价值确定日的即期汇率折算，折算后的记账本位币金额与原记账本位币金额的差额，计入当期损</w:t>
      </w:r>
      <w:r>
        <w:rPr>
          <w:spacing w:val="-66"/>
        </w:rPr>
        <w:t> </w:t>
      </w:r>
      <w:r>
        <w:rPr>
          <w:spacing w:val="-66"/>
        </w:rPr>
      </w:r>
      <w:r>
        <w:rPr/>
        <w:t>益。</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10、金融工具" w:id="183"/>
      <w:bookmarkEnd w:id="18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43" w:firstLine="360"/>
        <w:jc w:val="both"/>
      </w:pPr>
      <w:r>
        <w:rPr>
          <w:spacing w:val="-2"/>
        </w:rPr>
        <w:t>金融工具是指形成一个企业的金融资产，并形成其他单位的金融负债或者权益工具的合同。金融工具包括金融资产、金</w:t>
      </w:r>
      <w:r>
        <w:rPr/>
        <w:t> </w:t>
      </w:r>
      <w:r>
        <w:rPr>
          <w:spacing w:val="-2"/>
        </w:rPr>
        <w:t>融负债和权益工具。金融资产和金融负债在初始确认时以公允价值计量。对于以公允价值计量且其变动计入当期损益的金融</w:t>
      </w:r>
      <w:r>
        <w:rPr>
          <w:spacing w:val="-63"/>
        </w:rPr>
        <w:t> </w:t>
      </w:r>
      <w:r>
        <w:rPr>
          <w:spacing w:val="-63"/>
        </w:rPr>
      </w:r>
      <w:r>
        <w:rPr/>
        <w:t>资产和金融负债，相关的交易费用直接计入损益，对于其他类别的金融资产和金融负债，相关交易费用计入初始确认金额。</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3" w:right="0"/>
        <w:jc w:val="left"/>
      </w:pPr>
      <w:r>
        <w:rPr/>
        <w:t>（</w:t>
      </w:r>
      <w:r>
        <w:rPr>
          <w:rFonts w:ascii="Times New Roman" w:hAnsi="Times New Roman" w:cs="Times New Roman" w:eastAsia="Times New Roman" w:hint="default"/>
        </w:rPr>
        <w:t>1</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31"/>
        <w:ind w:right="0"/>
        <w:jc w:val="left"/>
      </w:pPr>
      <w:r>
        <w:rPr/>
        <w:t>计入当期损益的金融资产、持有至到期投资、贷款和应收款项以及可供出售金融资产。</w:t>
      </w:r>
    </w:p>
    <w:p>
      <w:pPr>
        <w:pStyle w:val="BodyText"/>
        <w:spacing w:line="319" w:lineRule="auto" w:before="76"/>
        <w:ind w:left="513" w:right="0"/>
        <w:jc w:val="left"/>
      </w:pPr>
      <w:r>
        <w:rPr/>
        <w:t>①以公允价值计量且其变动计入当期损益的金融资产 包括交易性金融资产和指定为以公允价值计量且其变动计入当期损益的金融资产。 </w:t>
      </w:r>
      <w:r>
        <w:rPr>
          <w:spacing w:val="-1"/>
        </w:rPr>
        <w:t>交易性金融资产是指满足下列条件之一的金融资产：</w:t>
      </w:r>
      <w:r>
        <w:rPr>
          <w:rFonts w:ascii="Times New Roman" w:hAnsi="Times New Roman" w:cs="Times New Roman" w:eastAsia="Times New Roman" w:hint="default"/>
          <w:spacing w:val="-1"/>
        </w:rPr>
        <w:t>1)</w:t>
      </w:r>
      <w:r>
        <w:rPr>
          <w:spacing w:val="-1"/>
        </w:rPr>
        <w:t>取得该金融资产的目的，主要是为了近期内出售；</w:t>
      </w:r>
      <w:r>
        <w:rPr>
          <w:rFonts w:ascii="Times New Roman" w:hAnsi="Times New Roman" w:cs="Times New Roman" w:eastAsia="Times New Roman" w:hint="default"/>
          <w:spacing w:val="-1"/>
        </w:rPr>
        <w:t>2)</w:t>
      </w:r>
      <w:r>
        <w:rPr>
          <w:spacing w:val="-1"/>
        </w:rPr>
        <w:t>属于进行集</w:t>
      </w:r>
    </w:p>
    <w:p>
      <w:pPr>
        <w:pStyle w:val="BodyText"/>
        <w:spacing w:line="309" w:lineRule="auto"/>
        <w:ind w:right="1131"/>
        <w:jc w:val="both"/>
      </w:pPr>
      <w:r>
        <w:rPr>
          <w:spacing w:val="-1"/>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1"/>
        </w:rPr>
        <w:t>3)</w:t>
      </w:r>
      <w:r>
        <w:rPr>
          <w:spacing w:val="-1"/>
        </w:rPr>
        <w:t>属于衍生工</w:t>
      </w:r>
      <w:r>
        <w:rPr>
          <w:spacing w:val="-88"/>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307" w:lineRule="auto" w:before="24"/>
        <w:ind w:right="1130" w:firstLine="360"/>
        <w:jc w:val="both"/>
      </w:pPr>
      <w:r>
        <w:rPr>
          <w:spacing w:val="-1"/>
        </w:rPr>
        <w:t>符合下述条件之一的金融资产，在初始确认时可指定为以公允价值计量且其变动计入当期损益的金融资产：</w:t>
      </w:r>
      <w:r>
        <w:rPr>
          <w:rFonts w:ascii="Times New Roman" w:hAnsi="Times New Roman" w:cs="Times New Roman" w:eastAsia="Times New Roman" w:hint="default"/>
          <w:spacing w:val="-1"/>
        </w:rPr>
        <w:t>1)</w:t>
      </w:r>
      <w:r>
        <w:rPr>
          <w:spacing w:val="-1"/>
        </w:rPr>
        <w:t>该指定可</w:t>
      </w:r>
      <w:r>
        <w:rPr/>
        <w:t> </w:t>
      </w:r>
      <w:r>
        <w:rPr>
          <w:spacing w:val="-1"/>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1"/>
        </w:rPr>
        <w:t>2)</w:t>
      </w:r>
      <w:r>
        <w:rPr>
          <w:spacing w:val="-1"/>
        </w:rPr>
        <w:t>本公司风险</w:t>
      </w:r>
      <w:r>
        <w:rPr>
          <w:spacing w:val="-86"/>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00" w:lineRule="auto" w:before="26"/>
        <w:ind w:right="1169" w:firstLine="360"/>
        <w:jc w:val="both"/>
      </w:pPr>
      <w:r>
        <w:rPr/>
        <w:t>以公允价值计量且其变动计入当期损益的金融资产取得时以公允价值</w:t>
      </w:r>
      <w:r>
        <w:rPr>
          <w:rFonts w:ascii="Times New Roman" w:hAnsi="Times New Roman" w:cs="Times New Roman" w:eastAsia="Times New Roman" w:hint="default"/>
        </w:rPr>
        <w:t>(</w:t>
      </w:r>
      <w:r>
        <w:rPr/>
        <w:t>扣除已宣告但尚未发放的现金股利或已到付息期 但尚未领取的债券利息</w:t>
      </w:r>
      <w:r>
        <w:rPr>
          <w:rFonts w:ascii="Times New Roman" w:hAnsi="Times New Roman" w:cs="Times New Roman" w:eastAsia="Times New Roman" w:hint="default"/>
        </w:rPr>
        <w:t>)</w:t>
      </w:r>
      <w:r>
        <w:rPr/>
        <w:t>作为初始确认金额，相关的交易费用计入当期损益。采用公允价值进行后续计量，公允价值变动形 成的利得或损失以及与该等金融资产相关的股利和利息收入计入当期损益。</w:t>
      </w:r>
    </w:p>
    <w:p>
      <w:pPr>
        <w:pStyle w:val="BodyText"/>
        <w:spacing w:line="316" w:lineRule="auto" w:before="31"/>
        <w:ind w:left="513" w:right="1033"/>
        <w:jc w:val="left"/>
      </w:pPr>
      <w:r>
        <w:rPr/>
        <w:t>②持有至到期投资 持有至到期投资是指到期日固定、回收金额固定或可确定，且本公司有明确意图和能力持有至到期的非衍生金融资产。</w:t>
      </w:r>
    </w:p>
    <w:p>
      <w:pPr>
        <w:pStyle w:val="BodyText"/>
        <w:spacing w:line="300" w:lineRule="auto" w:before="19"/>
        <w:ind w:right="0"/>
        <w:jc w:val="left"/>
      </w:pPr>
      <w:r>
        <w:rPr>
          <w:spacing w:val="-1"/>
        </w:rPr>
        <w:t>持有至到期投资取得时按公允价值</w:t>
      </w:r>
      <w:r>
        <w:rPr>
          <w:rFonts w:ascii="Times New Roman" w:hAnsi="Times New Roman" w:cs="Times New Roman" w:eastAsia="Times New Roman" w:hint="default"/>
          <w:spacing w:val="-1"/>
        </w:rPr>
        <w:t>(</w:t>
      </w:r>
      <w:r>
        <w:rPr>
          <w:spacing w:val="-1"/>
        </w:rPr>
        <w:t>扣除已到付息期但尚未领取的债券利息</w:t>
      </w:r>
      <w:r>
        <w:rPr>
          <w:rFonts w:ascii="Times New Roman" w:hAnsi="Times New Roman" w:cs="Times New Roman" w:eastAsia="Times New Roman" w:hint="default"/>
          <w:spacing w:val="-1"/>
        </w:rPr>
        <w:t>)</w:t>
      </w:r>
      <w:r>
        <w:rPr>
          <w:spacing w:val="-1"/>
        </w:rPr>
        <w:t>和相关交易费用之和作为初始确认金额。采用实</w:t>
      </w:r>
      <w:r>
        <w:rPr>
          <w:spacing w:val="-57"/>
        </w:rPr>
        <w:t> </w:t>
      </w:r>
      <w:r>
        <w:rPr>
          <w:spacing w:val="-57"/>
        </w:rPr>
      </w:r>
      <w:r>
        <w:rPr/>
        <w:t>际利率法，按摊余成本进行后续计量，在终止确认、发生减值或摊销时产生的利得或损失，计入当期损益。</w:t>
      </w:r>
    </w:p>
    <w:p>
      <w:pPr>
        <w:pStyle w:val="BodyText"/>
        <w:spacing w:line="309" w:lineRule="auto" w:before="31"/>
        <w:ind w:right="0" w:firstLine="360"/>
        <w:jc w:val="left"/>
      </w:pPr>
      <w:r>
        <w:rPr/>
        <w:t>实际利率法是指按照金融资产或金融负债</w:t>
      </w:r>
      <w:r>
        <w:rPr>
          <w:rFonts w:ascii="Times New Roman" w:hAnsi="Times New Roman" w:cs="Times New Roman" w:eastAsia="Times New Roman" w:hint="default"/>
        </w:rPr>
        <w:t>(</w:t>
      </w:r>
      <w:r>
        <w:rPr/>
        <w:t>含一组金融资产或金融负债</w:t>
      </w:r>
      <w:r>
        <w:rPr>
          <w:rFonts w:ascii="Times New Roman" w:hAnsi="Times New Roman" w:cs="Times New Roman" w:eastAsia="Times New Roman" w:hint="default"/>
        </w:rPr>
        <w:t>)</w:t>
      </w:r>
      <w:r>
        <w:rPr/>
        <w:t>的实际利率计算其摊余成本及各期利息收入或 </w:t>
      </w:r>
      <w:r>
        <w:rPr>
          <w:spacing w:val="-2"/>
        </w:rPr>
        <w:t>支出的方法。实际利率是指将金融资产或金融负债在预期存续期间或适用的更短期间内的未来现金流量，折现为该金融资产</w:t>
      </w:r>
      <w:r>
        <w:rPr>
          <w:spacing w:val="-64"/>
        </w:rPr>
        <w:t> </w:t>
      </w:r>
      <w:r>
        <w:rPr>
          <w:spacing w:val="-64"/>
        </w:rPr>
      </w:r>
      <w:r>
        <w:rPr>
          <w:spacing w:val="-2"/>
        </w:rPr>
        <w:t>或金融负债当前账面价值所使用的利率。在计算实际利率时，本公司将在考虑金融资产或金融负债所有合同条款的基础上预</w:t>
      </w:r>
      <w:r>
        <w:rPr>
          <w:spacing w:val="-64"/>
        </w:rPr>
        <w:t> </w:t>
      </w:r>
      <w:r>
        <w:rPr>
          <w:spacing w:val="-64"/>
        </w:rPr>
      </w:r>
      <w:r>
        <w:rPr>
          <w:spacing w:val="-1"/>
        </w:rPr>
        <w:t>计未来现金流量</w:t>
      </w:r>
      <w:r>
        <w:rPr>
          <w:rFonts w:ascii="Times New Roman" w:hAnsi="Times New Roman" w:cs="Times New Roman" w:eastAsia="Times New Roman" w:hint="default"/>
          <w:spacing w:val="-1"/>
        </w:rPr>
        <w:t>(</w:t>
      </w:r>
      <w:r>
        <w:rPr>
          <w:spacing w:val="-1"/>
        </w:rPr>
        <w:t>不考虑未来的信用损失</w:t>
      </w:r>
      <w:r>
        <w:rPr>
          <w:rFonts w:ascii="Times New Roman" w:hAnsi="Times New Roman" w:cs="Times New Roman" w:eastAsia="Times New Roman" w:hint="default"/>
          <w:spacing w:val="-1"/>
        </w:rPr>
        <w:t>)</w:t>
      </w:r>
      <w:r>
        <w:rPr>
          <w:spacing w:val="-1"/>
        </w:rPr>
        <w:t>，同时还将考虑金融资产或金融负债合同各方之间支付或收取的、属于实际利率组</w:t>
      </w:r>
      <w:r>
        <w:rPr>
          <w:spacing w:val="-57"/>
        </w:rPr>
        <w:t> </w:t>
      </w:r>
      <w:r>
        <w:rPr>
          <w:spacing w:val="-57"/>
        </w:rPr>
      </w:r>
      <w:r>
        <w:rPr/>
        <w:t>成部分的各项收费、交易费用及折价或溢价等。</w:t>
      </w:r>
    </w:p>
    <w:p>
      <w:pPr>
        <w:pStyle w:val="BodyText"/>
        <w:spacing w:line="316" w:lineRule="auto" w:before="24"/>
        <w:ind w:left="513" w:right="0"/>
        <w:jc w:val="left"/>
      </w:pPr>
      <w:r>
        <w:rPr/>
        <w:t>③贷款和应收款项 </w:t>
      </w:r>
      <w:r>
        <w:rPr>
          <w:spacing w:val="-2"/>
        </w:rPr>
        <w:t>贷款和应收款项是指在活跃市场中没有报价、回收金额固定或可确定的非衍生金融资产。本公司划分为贷款和应收款的</w:t>
      </w:r>
    </w:p>
    <w:p>
      <w:pPr>
        <w:pStyle w:val="BodyText"/>
        <w:spacing w:line="316" w:lineRule="auto" w:before="19"/>
        <w:ind w:right="1033"/>
        <w:jc w:val="left"/>
      </w:pPr>
      <w:r>
        <w:rPr>
          <w:spacing w:val="-2"/>
        </w:rPr>
        <w:t>金融资产包括应收票据、应收账款、应收利息、应收股利及其他应收款、发放贷款等。以向购货方应收的合同或协议价款作</w:t>
      </w:r>
      <w:r>
        <w:rPr>
          <w:spacing w:val="-66"/>
        </w:rPr>
        <w:t> </w:t>
      </w:r>
      <w:r>
        <w:rPr>
          <w:spacing w:val="-66"/>
        </w:rPr>
      </w:r>
      <w:r>
        <w:rPr/>
        <w:t>为初始确认金额；具有融资性质的，按其现值进行初始确认。贷款和应收款项采用实际利率法，按摊余成本进行后续计量，</w:t>
      </w:r>
      <w:r>
        <w:rPr>
          <w:spacing w:val="-85"/>
        </w:rPr>
        <w:t> </w:t>
      </w:r>
      <w:r>
        <w:rPr>
          <w:spacing w:val="-85"/>
        </w:rPr>
      </w:r>
      <w:r>
        <w:rPr/>
        <w:t>在终止确认、发生减值或摊销时产生的利得或损失，计入当期损益。</w:t>
      </w:r>
    </w:p>
    <w:p>
      <w:pPr>
        <w:pStyle w:val="BodyText"/>
        <w:spacing w:line="316" w:lineRule="auto" w:before="19"/>
        <w:ind w:left="514" w:right="1182"/>
        <w:jc w:val="left"/>
      </w:pPr>
      <w:r>
        <w:rPr/>
        <w:t>贷款的种类和范围 按期限的长短划分为短期贷款、中长期贷款。合同期限在</w:t>
      </w:r>
      <w:r>
        <w:rPr>
          <w:rFonts w:ascii="Times New Roman" w:hAnsi="Times New Roman" w:cs="Times New Roman" w:eastAsia="Times New Roman" w:hint="default"/>
        </w:rPr>
        <w:t>1</w:t>
      </w:r>
      <w:r>
        <w:rPr/>
        <w:t>年以内</w:t>
      </w:r>
      <w:r>
        <w:rPr>
          <w:rFonts w:ascii="Times New Roman" w:hAnsi="Times New Roman" w:cs="Times New Roman" w:eastAsia="Times New Roman" w:hint="default"/>
        </w:rPr>
        <w:t>(</w:t>
      </w:r>
      <w:r>
        <w:rPr/>
        <w:t>含</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w:t>
      </w:r>
      <w:r>
        <w:rPr/>
        <w:t>的贷款作为短期贷款，合同期限在</w:t>
      </w:r>
      <w:r>
        <w:rPr>
          <w:rFonts w:ascii="Times New Roman" w:hAnsi="Times New Roman" w:cs="Times New Roman" w:eastAsia="Times New Roman" w:hint="default"/>
        </w:rPr>
        <w:t>1</w:t>
      </w:r>
      <w:r>
        <w:rPr/>
        <w:t>年以上的</w:t>
      </w:r>
    </w:p>
    <w:p>
      <w:pPr>
        <w:pStyle w:val="BodyText"/>
        <w:spacing w:line="316" w:lineRule="auto"/>
        <w:ind w:left="513" w:right="4993" w:hanging="360"/>
        <w:jc w:val="left"/>
      </w:pPr>
      <w:r>
        <w:rPr/>
        <w:t>贷款作为中长期贷款。 按贷款担保方式划分为信用贷款、保证贷款、质押贷款和抵押贷款。</w:t>
      </w:r>
    </w:p>
    <w:p>
      <w:pPr>
        <w:pStyle w:val="BodyText"/>
        <w:spacing w:line="300" w:lineRule="auto" w:before="19"/>
        <w:ind w:right="1132" w:firstLine="360"/>
        <w:jc w:val="both"/>
      </w:pPr>
      <w:r>
        <w:rPr>
          <w:spacing w:val="-3"/>
        </w:rPr>
        <w:t>按中国银监会关于印发《贷款风险分类指引》的通知</w:t>
      </w:r>
      <w:r>
        <w:rPr>
          <w:rFonts w:ascii="Times New Roman" w:hAnsi="Times New Roman" w:cs="Times New Roman" w:eastAsia="Times New Roman" w:hint="default"/>
          <w:spacing w:val="-3"/>
        </w:rPr>
        <w:t>(</w:t>
      </w:r>
      <w:r>
        <w:rPr>
          <w:spacing w:val="-3"/>
        </w:rPr>
        <w:t>银监发</w:t>
      </w:r>
      <w:r>
        <w:rPr>
          <w:rFonts w:ascii="Times New Roman" w:hAnsi="Times New Roman" w:cs="Times New Roman" w:eastAsia="Times New Roman" w:hint="default"/>
          <w:spacing w:val="-3"/>
        </w:rPr>
        <w:t>[2007]54</w:t>
      </w:r>
      <w:r>
        <w:rPr>
          <w:spacing w:val="-3"/>
        </w:rPr>
        <w:t>号</w:t>
      </w:r>
      <w:r>
        <w:rPr>
          <w:rFonts w:ascii="Times New Roman" w:hAnsi="Times New Roman" w:cs="Times New Roman" w:eastAsia="Times New Roman" w:hint="default"/>
          <w:spacing w:val="-3"/>
        </w:rPr>
        <w:t>)</w:t>
      </w:r>
      <w:r>
        <w:rPr>
          <w:spacing w:val="-3"/>
        </w:rPr>
        <w:t>及相关规定，将贷款划分为正常、关注、次级、</w:t>
      </w:r>
      <w:r>
        <w:rPr/>
        <w:t> 可疑、损失五类，其中后三类合称不良贷款。</w:t>
      </w:r>
    </w:p>
    <w:p>
      <w:pPr>
        <w:pStyle w:val="BodyText"/>
        <w:spacing w:line="316" w:lineRule="auto" w:before="31"/>
        <w:ind w:left="513" w:right="0"/>
        <w:jc w:val="left"/>
      </w:pPr>
      <w:r>
        <w:rPr/>
        <w:t>④可供出售金融资产 </w:t>
      </w:r>
      <w:r>
        <w:rPr>
          <w:spacing w:val="-2"/>
        </w:rPr>
        <w:t>可供出售金融资产包括初始确认时即被指定为可供出售的非衍生金融资产，以及除了以公允价值计量且其变动计入当期</w:t>
      </w:r>
    </w:p>
    <w:p>
      <w:pPr>
        <w:pStyle w:val="BodyText"/>
        <w:spacing w:line="316" w:lineRule="auto" w:before="19"/>
        <w:ind w:left="513" w:right="0" w:hanging="360"/>
        <w:jc w:val="left"/>
      </w:pPr>
      <w:r>
        <w:rPr/>
        <w:t>损益的金融资产、贷款和应收款项、持有至到期投资以外的金融资产。 </w:t>
      </w:r>
      <w:r>
        <w:rPr>
          <w:spacing w:val="-2"/>
        </w:rPr>
        <w:t>可供出售债务工具投资的期末成本按照摊余成本法确定，即初始确认金额扣除已偿还的本金，加上或减去采用实际利率</w:t>
      </w:r>
    </w:p>
    <w:p>
      <w:pPr>
        <w:pStyle w:val="BodyText"/>
        <w:spacing w:line="316" w:lineRule="auto" w:before="19"/>
        <w:ind w:left="513" w:right="1153" w:hanging="360"/>
        <w:jc w:val="left"/>
      </w:pPr>
      <w:r>
        <w:rPr/>
        <w:t>法将该初始确认金额与到期日金额之间的差额进行摊销形成的累计摊销额，并扣除已发生的减值损失后的金额。 可供出售权益工具投资的期末成本为其初始取得成本。取得时按照公允价值</w:t>
      </w:r>
      <w:r>
        <w:rPr>
          <w:rFonts w:ascii="Times New Roman" w:hAnsi="Times New Roman" w:cs="Times New Roman" w:eastAsia="Times New Roman" w:hint="default"/>
        </w:rPr>
        <w:t>(</w:t>
      </w:r>
      <w:r>
        <w:rPr/>
        <w:t>扣除已宣告但尚未发放的现金股利或已到</w:t>
      </w:r>
    </w:p>
    <w:p>
      <w:pPr>
        <w:pStyle w:val="BodyText"/>
        <w:spacing w:line="300" w:lineRule="auto"/>
        <w:ind w:right="0"/>
        <w:jc w:val="left"/>
      </w:pPr>
      <w:r>
        <w:rPr/>
        <w:t>付息期但尚未领取的债券利息</w:t>
      </w:r>
      <w:r>
        <w:rPr>
          <w:rFonts w:ascii="Times New Roman" w:hAnsi="Times New Roman" w:cs="Times New Roman" w:eastAsia="Times New Roman" w:hint="default"/>
        </w:rPr>
        <w:t>)</w:t>
      </w:r>
      <w:r>
        <w:rPr/>
        <w:t>和相关费用之和作为初始确认金额。持有期间将取得的利息或现金股利确认为投资收益。可 </w:t>
      </w:r>
      <w:r>
        <w:rPr>
          <w:spacing w:val="-2"/>
        </w:rPr>
        <w:t>供出售金融资产采用公允价值进行后续计量，其折溢价采用实际利率法摊销并确认为利息收入。期末除减值损失和外币货币</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3"/>
        <w:jc w:val="left"/>
      </w:pPr>
      <w:r>
        <w:rPr/>
        <w:t>性金融资产与摊余成本相关的汇兑差额确认为当期损益外，可供出售金融资产的公允价值变动确认为其他综合收益；但是，</w:t>
      </w:r>
      <w:r>
        <w:rPr>
          <w:spacing w:val="-85"/>
        </w:rPr>
        <w:t> </w:t>
      </w:r>
      <w:r>
        <w:rPr>
          <w:spacing w:val="-85"/>
        </w:rPr>
      </w:r>
      <w:r>
        <w:rPr>
          <w:spacing w:val="-2"/>
        </w:rPr>
        <w:t>对于在活跃市场中没有报价且其公允价值不能可靠计量的权益工具投资，以及与该权益工具挂钩并须通过交付该权益工具结</w:t>
      </w:r>
      <w:r>
        <w:rPr>
          <w:spacing w:val="-64"/>
        </w:rPr>
        <w:t> </w:t>
      </w:r>
      <w:r>
        <w:rPr>
          <w:spacing w:val="-64"/>
        </w:rPr>
      </w:r>
      <w:r>
        <w:rPr>
          <w:spacing w:val="-2"/>
        </w:rPr>
        <w:t>算的衍生金融资产，按成本计量。处置时，将取得的价款与该项金融资产账面价值之间的差额，计入投资损益；同时，将原</w:t>
      </w:r>
      <w:r>
        <w:rPr>
          <w:spacing w:val="-66"/>
        </w:rPr>
        <w:t> </w:t>
      </w:r>
      <w:r>
        <w:rPr>
          <w:spacing w:val="-66"/>
        </w:rPr>
      </w:r>
      <w:r>
        <w:rPr/>
        <w:t>直接计入其他综合收益的公允价值变动累计额对应处置部分的金额转出，计入当期损益。</w:t>
      </w:r>
    </w:p>
    <w:p>
      <w:pPr>
        <w:pStyle w:val="BodyText"/>
        <w:spacing w:line="300" w:lineRule="auto" w:before="19"/>
        <w:ind w:left="513" w:right="0"/>
        <w:jc w:val="left"/>
      </w:pPr>
      <w:r>
        <w:rPr/>
        <w:t>（</w:t>
      </w:r>
      <w:r>
        <w:rPr>
          <w:rFonts w:ascii="Times New Roman" w:hAnsi="Times New Roman" w:cs="Times New Roman" w:eastAsia="Times New Roman" w:hint="default"/>
        </w:rPr>
        <w:t>2</w:t>
      </w:r>
      <w:r>
        <w:rPr/>
        <w:t>）金融资产转移的确认依据及计量方法 </w:t>
      </w:r>
      <w:r>
        <w:rPr>
          <w:spacing w:val="-2"/>
        </w:rPr>
        <w:t>金融资产转移，是指将金融资产让与或交付该金融资产发行方以外的另一方。公司将金融资产转移区分为金融资产整体</w:t>
      </w:r>
    </w:p>
    <w:p>
      <w:pPr>
        <w:pStyle w:val="BodyText"/>
        <w:spacing w:line="316" w:lineRule="auto" w:before="31"/>
        <w:ind w:left="513" w:right="1118" w:hanging="360"/>
        <w:jc w:val="left"/>
      </w:pPr>
      <w:r>
        <w:rPr/>
        <w:t>转移和部分转移。 </w:t>
      </w:r>
      <w:r>
        <w:rPr>
          <w:spacing w:val="-2"/>
        </w:rPr>
        <w:t>满足下列条件之一的金融资产，予以终止确认：①收取该金融资产现金流量的合同权利终止；②该金融资产已转移，且</w:t>
      </w:r>
    </w:p>
    <w:p>
      <w:pPr>
        <w:pStyle w:val="BodyText"/>
        <w:spacing w:line="316" w:lineRule="auto" w:before="19"/>
        <w:ind w:right="0"/>
        <w:jc w:val="left"/>
      </w:pPr>
      <w:r>
        <w:rPr>
          <w:spacing w:val="-2"/>
        </w:rPr>
        <w:t>将金融资产所有权上几乎所有的风险和报酬转移给转入方；③该金融资产已转移，虽然公司既没有转移也没有保留金融资产</w:t>
      </w:r>
      <w:r>
        <w:rPr>
          <w:spacing w:val="-64"/>
        </w:rPr>
        <w:t> </w:t>
      </w:r>
      <w:r>
        <w:rPr>
          <w:spacing w:val="-64"/>
        </w:rPr>
      </w:r>
      <w:r>
        <w:rPr/>
        <w:t>所有权上几乎所有的风险和报酬，但是放弃了对该金融资产的控制。</w:t>
      </w:r>
    </w:p>
    <w:p>
      <w:pPr>
        <w:pStyle w:val="BodyText"/>
        <w:spacing w:line="316" w:lineRule="auto" w:before="19"/>
        <w:ind w:left="154" w:right="1132" w:firstLine="360"/>
        <w:jc w:val="both"/>
      </w:pPr>
      <w:r>
        <w:rPr>
          <w:spacing w:val="-2"/>
        </w:rPr>
        <w:t>若公司既没有转移也没有保留金融资产所有权上几乎所有的风险和报酬，且未放弃对该金融资产的控制的，则按照继续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值变动使公司面临的风险水平。</w:t>
      </w:r>
    </w:p>
    <w:p>
      <w:pPr>
        <w:pStyle w:val="BodyText"/>
        <w:spacing w:line="316" w:lineRule="auto" w:before="19"/>
        <w:ind w:left="154" w:right="1131" w:firstLine="360"/>
        <w:jc w:val="both"/>
      </w:pPr>
      <w:r>
        <w:rPr>
          <w:spacing w:val="-2"/>
        </w:rPr>
        <w:t>在判断金融资产转移是否满足上述金融资产终止确认条件时，采用实质重于形式的原则。金融资产转移不满足终止确认</w:t>
      </w:r>
      <w:r>
        <w:rPr/>
        <w:t> </w:t>
      </w:r>
      <w:r>
        <w:rPr>
          <w:spacing w:val="-2"/>
        </w:rPr>
        <w:t>条件的，继续确认该项金融资产，所收到的对价确认为一项金融负债。金融资产整体转移满足终止确认条件的，将下列两项</w:t>
      </w:r>
      <w:r>
        <w:rPr>
          <w:spacing w:val="-66"/>
        </w:rPr>
        <w:t> </w:t>
      </w:r>
      <w:r>
        <w:rPr>
          <w:spacing w:val="-66"/>
        </w:rPr>
      </w:r>
      <w:r>
        <w:rPr>
          <w:spacing w:val="-2"/>
        </w:rPr>
        <w:t>金额的差额计入当期损益：①因转移而收到的对价，与原直接计入所有者权益的公允价值变动累计额之和；②所转移金融资</w:t>
      </w:r>
      <w:r>
        <w:rPr>
          <w:spacing w:val="-66"/>
        </w:rPr>
        <w:t> </w:t>
      </w:r>
      <w:r>
        <w:rPr>
          <w:spacing w:val="-66"/>
        </w:rPr>
      </w:r>
      <w:r>
        <w:rPr>
          <w:spacing w:val="-2"/>
        </w:rPr>
        <w:t>产的账面价值。金融资产部分转移满足终止确认条件的，将所转移金融资产整体的账面价值，在终止确认部分和未终止确认</w:t>
      </w:r>
      <w:r>
        <w:rPr>
          <w:spacing w:val="-66"/>
        </w:rPr>
        <w:t> </w:t>
      </w:r>
      <w:r>
        <w:rPr>
          <w:spacing w:val="-66"/>
        </w:rPr>
      </w:r>
      <w:r>
        <w:rPr>
          <w:spacing w:val="-2"/>
        </w:rPr>
        <w:t>部分之间，按照各自的相对公允价值进行分摊，并将下列两项金额的差额计入当期损益：①终止确认部分收到的对价，与原</w:t>
      </w:r>
      <w:r>
        <w:rPr>
          <w:spacing w:val="-66"/>
        </w:rPr>
        <w:t> </w:t>
      </w:r>
      <w:r>
        <w:rPr>
          <w:spacing w:val="-66"/>
        </w:rPr>
      </w:r>
      <w:r>
        <w:rPr/>
        <w:t>直接计入所有者权益的公允价值变动累计额中对应终止确认部分的金额之和；②终止确认部分的账面价值。</w:t>
      </w:r>
    </w:p>
    <w:p>
      <w:pPr>
        <w:pStyle w:val="BodyText"/>
        <w:spacing w:line="300" w:lineRule="auto" w:before="19"/>
        <w:ind w:left="513" w:right="2653"/>
        <w:jc w:val="left"/>
      </w:pPr>
      <w:r>
        <w:rPr/>
        <w:t>（</w:t>
      </w:r>
      <w:r>
        <w:rPr>
          <w:rFonts w:ascii="Times New Roman" w:hAnsi="Times New Roman" w:cs="Times New Roman" w:eastAsia="Times New Roman" w:hint="default"/>
        </w:rPr>
        <w:t>3</w:t>
      </w:r>
      <w:r>
        <w:rPr/>
        <w:t>）金融负债的分类、确认和计量 金融负债在初始确认时划分为以公允价值计量且其变动计入当期损益的金融负债和其他金融负债。</w:t>
      </w:r>
    </w:p>
    <w:p>
      <w:pPr>
        <w:pStyle w:val="BodyText"/>
        <w:spacing w:line="319" w:lineRule="auto" w:before="31"/>
        <w:ind w:left="514" w:right="0"/>
        <w:jc w:val="left"/>
      </w:pPr>
      <w:r>
        <w:rPr/>
        <w:t>①以公允价值计量且其变动计入当期损益的金融负债 </w:t>
      </w:r>
      <w:r>
        <w:rPr>
          <w:spacing w:val="-2"/>
        </w:rPr>
        <w:t>以公允价值计量且其变动计入当期损益的金融负债，包括交易性金融负债和初始确认时指定为以公允价值计量且其变动</w:t>
      </w:r>
    </w:p>
    <w:p>
      <w:pPr>
        <w:pStyle w:val="BodyText"/>
        <w:spacing w:line="316" w:lineRule="auto" w:before="17"/>
        <w:ind w:left="154" w:right="0"/>
        <w:jc w:val="left"/>
      </w:pPr>
      <w:r>
        <w:rPr>
          <w:spacing w:val="-2"/>
        </w:rPr>
        <w:t>计入当期损益的金融负债，其分类与前述在初始确认时指定为以公允价值计量且其变动计入当期损益的金融资产的条件一致。</w:t>
      </w:r>
      <w:r>
        <w:rPr>
          <w:spacing w:val="-62"/>
        </w:rPr>
        <w:t> </w:t>
      </w:r>
      <w:r>
        <w:rPr>
          <w:spacing w:val="-62"/>
        </w:rPr>
      </w:r>
      <w:r>
        <w:rPr/>
        <w:t>对于此类金融负债，按照公允价值进行后续计量，公允价值变动形成的利得或损失以及与该等金融负债相关的股利和利息支</w:t>
      </w:r>
      <w:r>
        <w:rPr/>
        <w:t> 出计入当期损益。</w:t>
      </w:r>
    </w:p>
    <w:p>
      <w:pPr>
        <w:pStyle w:val="BodyText"/>
        <w:spacing w:line="316" w:lineRule="auto" w:before="19"/>
        <w:ind w:left="514" w:right="0"/>
        <w:jc w:val="left"/>
      </w:pPr>
      <w:r>
        <w:rPr/>
        <w:t>②其他金融负债 </w:t>
      </w:r>
      <w:r>
        <w:rPr>
          <w:spacing w:val="-2"/>
        </w:rPr>
        <w:t>与在活跃市场中没有报价、公允价值不能可靠计量的权益工具挂钩并须通过交付该权益工具结算的衍生金融负债，按照</w:t>
      </w:r>
    </w:p>
    <w:p>
      <w:pPr>
        <w:pStyle w:val="BodyText"/>
        <w:spacing w:line="316" w:lineRule="auto" w:before="19"/>
        <w:ind w:left="154" w:right="1118"/>
        <w:jc w:val="left"/>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316" w:lineRule="auto" w:before="19"/>
        <w:ind w:left="514" w:right="0"/>
        <w:jc w:val="left"/>
      </w:pPr>
      <w:r>
        <w:rPr/>
        <w:t>③财务担保合同 </w:t>
      </w:r>
      <w:r>
        <w:rPr>
          <w:spacing w:val="-2"/>
        </w:rPr>
        <w:t>不属于指定为以公允价值计量且其变动计入当期损益的金融负债的财务担保合同，以公允价值进行初始确认，在初始确</w:t>
      </w:r>
    </w:p>
    <w:p>
      <w:pPr>
        <w:pStyle w:val="BodyText"/>
        <w:spacing w:line="300" w:lineRule="auto" w:before="19"/>
        <w:ind w:right="0"/>
        <w:jc w:val="left"/>
      </w:pPr>
      <w:r>
        <w:rPr>
          <w:spacing w:val="-2"/>
        </w:rPr>
        <w:t>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w:t>
      </w:r>
      <w:r>
        <w:rPr>
          <w:spacing w:val="-62"/>
        </w:rPr>
        <w:t> </w:t>
      </w:r>
      <w:r>
        <w:rPr>
          <w:spacing w:val="-62"/>
        </w:rPr>
      </w:r>
      <w:r>
        <w:rPr/>
        <w:t>则确定的累计摊销额后的余额之中的较高者进行后续计量。</w:t>
      </w:r>
    </w:p>
    <w:p>
      <w:pPr>
        <w:pStyle w:val="BodyText"/>
        <w:spacing w:line="300" w:lineRule="auto" w:before="31"/>
        <w:ind w:left="514" w:right="0"/>
        <w:jc w:val="left"/>
      </w:pPr>
      <w:r>
        <w:rPr/>
        <w:t>（</w:t>
      </w:r>
      <w:r>
        <w:rPr>
          <w:rFonts w:ascii="Times New Roman" w:hAnsi="Times New Roman" w:cs="Times New Roman" w:eastAsia="Times New Roman" w:hint="default"/>
        </w:rPr>
        <w:t>4</w:t>
      </w:r>
      <w:r>
        <w:rPr/>
        <w:t>）金融负债的终止确认 </w:t>
      </w:r>
      <w:r>
        <w:rPr>
          <w:spacing w:val="-1"/>
        </w:rPr>
        <w:t>金融负债的现时义务全部或部分已经解除的，才能终止确认该金融负债或其一部分。本公司</w:t>
      </w:r>
      <w:r>
        <w:rPr>
          <w:rFonts w:ascii="Times New Roman" w:hAnsi="Times New Roman" w:cs="Times New Roman" w:eastAsia="Times New Roman" w:hint="default"/>
          <w:spacing w:val="-1"/>
        </w:rPr>
        <w:t>(</w:t>
      </w:r>
      <w:r>
        <w:rPr>
          <w:spacing w:val="-1"/>
        </w:rPr>
        <w:t>债务人</w:t>
      </w:r>
      <w:r>
        <w:rPr>
          <w:rFonts w:ascii="Times New Roman" w:hAnsi="Times New Roman" w:cs="Times New Roman" w:eastAsia="Times New Roman" w:hint="default"/>
          <w:spacing w:val="-1"/>
        </w:rPr>
        <w:t>)</w:t>
      </w:r>
      <w:r>
        <w:rPr>
          <w:spacing w:val="-1"/>
        </w:rPr>
        <w:t>与债权人之间签订</w:t>
      </w:r>
    </w:p>
    <w:p>
      <w:pPr>
        <w:pStyle w:val="BodyText"/>
        <w:spacing w:line="316" w:lineRule="auto" w:before="13"/>
        <w:ind w:right="1133"/>
        <w:jc w:val="both"/>
      </w:pPr>
      <w:r>
        <w:rPr>
          <w:spacing w:val="-2"/>
        </w:rPr>
        <w:t>协议，以承担新金融负债方式替换现存金融负债，且新金融负债与现存金融负债的合同条款实质上不同的，终止确认现存金</w:t>
      </w:r>
      <w:r>
        <w:rPr>
          <w:spacing w:val="-66"/>
        </w:rPr>
        <w:t> </w:t>
      </w:r>
      <w:r>
        <w:rPr>
          <w:spacing w:val="-66"/>
        </w:rPr>
      </w:r>
      <w:r>
        <w:rPr>
          <w:spacing w:val="-2"/>
        </w:rPr>
        <w:t>融负债，并同时确认新金融负债。对现存金融负债全部或者部分合同条款作出实质性修改的，则终止确认现存金融负债或其</w:t>
      </w:r>
      <w:r>
        <w:rPr>
          <w:spacing w:val="-66"/>
        </w:rPr>
        <w:t> </w:t>
      </w:r>
      <w:r>
        <w:rPr>
          <w:spacing w:val="-66"/>
        </w:rPr>
      </w:r>
      <w:r>
        <w:rPr/>
        <w:t>一部分，同时将修改条款后的金融负债确认为一项新金融负债。</w:t>
      </w:r>
    </w:p>
    <w:p>
      <w:pPr>
        <w:pStyle w:val="BodyText"/>
        <w:spacing w:line="300" w:lineRule="auto" w:before="19"/>
        <w:ind w:right="1169" w:firstLine="360"/>
        <w:jc w:val="both"/>
      </w:pPr>
      <w:r>
        <w:rPr/>
        <w:t>金融负债全部或者部分终止确认时，终止确认的金融负债账面价值与支付对价</w:t>
      </w:r>
      <w:r>
        <w:rPr>
          <w:rFonts w:ascii="Times New Roman" w:hAnsi="Times New Roman" w:cs="Times New Roman" w:eastAsia="Times New Roman" w:hint="default"/>
        </w:rPr>
        <w:t>(</w:t>
      </w:r>
      <w:r>
        <w:rPr/>
        <w:t>包括转出的非现金资产或承担的新金融 负债</w:t>
      </w:r>
      <w:r>
        <w:rPr>
          <w:rFonts w:ascii="Times New Roman" w:hAnsi="Times New Roman" w:cs="Times New Roman" w:eastAsia="Times New Roman" w:hint="default"/>
        </w:rPr>
        <w:t>)</w:t>
      </w:r>
      <w:r>
        <w:rPr/>
        <w:t>之间的差额，计入当期损益。本公司若回购部分金融负债的，在回购日按照继续确认部分与终止确认部分的相对公允 价值，将该金融负债整体的账面价值进行分配。分配给终止确认部分的账面价值与支付的对价</w:t>
      </w:r>
      <w:r>
        <w:rPr>
          <w:rFonts w:ascii="Times New Roman" w:hAnsi="Times New Roman" w:cs="Times New Roman" w:eastAsia="Times New Roman" w:hint="default"/>
        </w:rPr>
        <w:t>(</w:t>
      </w:r>
      <w:r>
        <w:rPr/>
        <w:t>包括转出的非现金资产或者 承担的新金融负债</w:t>
      </w:r>
      <w:r>
        <w:rPr>
          <w:rFonts w:ascii="Times New Roman" w:hAnsi="Times New Roman" w:cs="Times New Roman" w:eastAsia="Times New Roman" w:hint="default"/>
        </w:rPr>
        <w:t>)</w:t>
      </w:r>
      <w:r>
        <w:rPr/>
        <w:t>之间的差额，计入当期损益。</w:t>
      </w:r>
    </w:p>
    <w:p>
      <w:pPr>
        <w:pStyle w:val="BodyText"/>
        <w:spacing w:line="240" w:lineRule="auto" w:before="13"/>
        <w:ind w:left="513" w:right="0"/>
        <w:jc w:val="left"/>
      </w:pPr>
      <w:r>
        <w:rPr/>
        <w:t>（</w:t>
      </w:r>
      <w:r>
        <w:rPr>
          <w:rFonts w:ascii="Times New Roman" w:hAnsi="Times New Roman" w:cs="Times New Roman" w:eastAsia="Times New Roman" w:hint="default"/>
        </w:rPr>
        <w:t>5</w:t>
      </w:r>
      <w:r>
        <w:rPr/>
        <w:t>）权益工具</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033" w:firstLine="360"/>
        <w:jc w:val="left"/>
      </w:pPr>
      <w:r>
        <w:rPr/>
        <w:t>权益工具是指能证明拥有本公司在扣除所有负债后的资产中的剩余权益的合同。本公司发行</w:t>
      </w:r>
      <w:r>
        <w:rPr>
          <w:rFonts w:ascii="Times New Roman" w:hAnsi="Times New Roman" w:cs="Times New Roman" w:eastAsia="Times New Roman" w:hint="default"/>
        </w:rPr>
        <w:t>(</w:t>
      </w:r>
      <w:r>
        <w:rPr/>
        <w:t>含再融资</w:t>
      </w:r>
      <w:r>
        <w:rPr>
          <w:rFonts w:ascii="Times New Roman" w:hAnsi="Times New Roman" w:cs="Times New Roman" w:eastAsia="Times New Roman" w:hint="default"/>
        </w:rPr>
        <w:t>)</w:t>
      </w:r>
      <w:r>
        <w:rPr/>
        <w:t>、回购、出售或 注销权益工具作为权益的变动处理。本公司不确认权益工具的公允价值变动。与权益性交易相关的交易费用从权益中扣减。</w:t>
      </w:r>
      <w:r>
        <w:rPr>
          <w:spacing w:val="-85"/>
        </w:rPr>
        <w:t> </w:t>
      </w:r>
      <w:r>
        <w:rPr>
          <w:spacing w:val="-85"/>
        </w:rPr>
      </w:r>
      <w:r>
        <w:rPr/>
        <w:t>本公司对权益工具持有方的各种分配</w:t>
      </w:r>
      <w:r>
        <w:rPr>
          <w:rFonts w:ascii="Times New Roman" w:hAnsi="Times New Roman" w:cs="Times New Roman" w:eastAsia="Times New Roman" w:hint="default"/>
        </w:rPr>
        <w:t>(</w:t>
      </w:r>
      <w:r>
        <w:rPr/>
        <w:t>不包括股票股利</w:t>
      </w:r>
      <w:r>
        <w:rPr>
          <w:rFonts w:ascii="Times New Roman" w:hAnsi="Times New Roman" w:cs="Times New Roman" w:eastAsia="Times New Roman" w:hint="default"/>
        </w:rPr>
        <w:t>)</w:t>
      </w:r>
      <w:r>
        <w:rPr/>
        <w:t>，减少股东权益。本公司不确认权益工具的公允价值变动额。</w:t>
      </w:r>
    </w:p>
    <w:p>
      <w:pPr>
        <w:pStyle w:val="BodyText"/>
        <w:spacing w:line="319" w:lineRule="auto" w:before="5"/>
        <w:ind w:left="514" w:right="6972"/>
        <w:jc w:val="left"/>
      </w:pPr>
      <w:r>
        <w:rPr/>
        <w:t>金融负债与权益工具的区分： 金融负债，是指符合下列条件之一的负债：</w:t>
      </w:r>
    </w:p>
    <w:p>
      <w:pPr>
        <w:pStyle w:val="BodyText"/>
        <w:spacing w:line="240" w:lineRule="auto" w:before="17"/>
        <w:ind w:left="514" w:right="0"/>
        <w:jc w:val="left"/>
      </w:pPr>
      <w:r>
        <w:rPr/>
        <w:t>①向其他方交付现金或其他金融资产的合同义务。</w:t>
      </w:r>
    </w:p>
    <w:p>
      <w:pPr>
        <w:pStyle w:val="BodyText"/>
        <w:spacing w:line="240" w:lineRule="auto" w:before="76"/>
        <w:ind w:left="514" w:right="0"/>
        <w:jc w:val="left"/>
      </w:pPr>
      <w:r>
        <w:rPr/>
        <w:t>②在潜在不利条件下，与其他方交换金融资产或金融负债的合同义务。</w:t>
      </w:r>
    </w:p>
    <w:p>
      <w:pPr>
        <w:pStyle w:val="BodyText"/>
        <w:spacing w:line="240" w:lineRule="auto" w:before="76"/>
        <w:ind w:left="514" w:right="0"/>
        <w:jc w:val="left"/>
      </w:pPr>
      <w:r>
        <w:rPr/>
        <w:t>③将来须用或可用企业自身权益工具进行结算的非衍生工具合同，且企业根据该合同将交付可变数量的自身权益工具。</w:t>
      </w:r>
    </w:p>
    <w:p>
      <w:pPr>
        <w:pStyle w:val="BodyText"/>
        <w:spacing w:line="316" w:lineRule="auto" w:before="76"/>
        <w:ind w:left="154" w:right="1131" w:firstLine="360"/>
        <w:jc w:val="both"/>
      </w:pPr>
      <w:r>
        <w:rPr>
          <w:spacing w:val="-2"/>
        </w:rPr>
        <w:t>④将来须用或可用企业自身权益工具进行结算的衍生工具合同，但以固定数量的自身权益工具交换固定金额的现金或其</w:t>
      </w:r>
      <w:r>
        <w:rPr/>
        <w:t> 他金融资产的衍生工具合同除外。</w:t>
      </w:r>
    </w:p>
    <w:p>
      <w:pPr>
        <w:pStyle w:val="BodyText"/>
        <w:spacing w:line="316" w:lineRule="auto" w:before="19"/>
        <w:ind w:left="154" w:right="1132" w:firstLine="360"/>
        <w:jc w:val="both"/>
      </w:pPr>
      <w:r>
        <w:rPr>
          <w:spacing w:val="-2"/>
        </w:rPr>
        <w:t>如果本公司不能无条件地避免以交付现金或其他金融资产来履行一项合同义务，则该合同义务符合金融负债的定义。如</w:t>
      </w:r>
      <w:r>
        <w:rPr/>
        <w:t> </w:t>
      </w:r>
      <w:r>
        <w:rPr>
          <w:spacing w:val="-2"/>
        </w:rPr>
        <w:t>果一项金融工具须用或可用本公司自身权益工具进行结算，需要考虑用于结算该工具的本公司自身权益工具，是作为现金或</w:t>
      </w:r>
      <w:r>
        <w:rPr>
          <w:spacing w:val="-64"/>
        </w:rPr>
        <w:t> </w:t>
      </w:r>
      <w:r>
        <w:rPr>
          <w:spacing w:val="-64"/>
        </w:rPr>
      </w:r>
      <w:r>
        <w:rPr>
          <w:spacing w:val="-2"/>
        </w:rPr>
        <w:t>其他金融资产的替代品，还是为了使该工具持有方享有在发行方扣除所有负债后的资产中的剩余权益。如果是前者，该工具</w:t>
      </w:r>
      <w:r>
        <w:rPr>
          <w:spacing w:val="-66"/>
        </w:rPr>
        <w:t> </w:t>
      </w:r>
      <w:r>
        <w:rPr>
          <w:spacing w:val="-66"/>
        </w:rPr>
      </w:r>
      <w:r>
        <w:rPr/>
        <w:t>是本公司的金融负债；如果是后者，该工具是本公司的权益工具。</w:t>
      </w:r>
    </w:p>
    <w:p>
      <w:pPr>
        <w:pStyle w:val="BodyText"/>
        <w:spacing w:line="300" w:lineRule="auto" w:before="19"/>
        <w:ind w:left="514" w:right="0"/>
        <w:jc w:val="left"/>
      </w:pPr>
      <w:r>
        <w:rPr/>
        <w:t>（</w:t>
      </w:r>
      <w:r>
        <w:rPr>
          <w:rFonts w:ascii="Times New Roman" w:hAnsi="Times New Roman" w:cs="Times New Roman" w:eastAsia="Times New Roman" w:hint="default"/>
        </w:rPr>
        <w:t>6</w:t>
      </w:r>
      <w:r>
        <w:rPr/>
        <w:t>）衍生工具及嵌入衍生工具 </w:t>
      </w:r>
      <w:r>
        <w:rPr>
          <w:spacing w:val="-2"/>
        </w:rPr>
        <w:t>衍生工具于相关合同签署日以公允价值进行初始计量，并以公允价值进行后续计量。公允价值为正数的衍生金融工具确</w:t>
      </w:r>
    </w:p>
    <w:p>
      <w:pPr>
        <w:pStyle w:val="BodyText"/>
        <w:spacing w:line="316" w:lineRule="auto" w:before="31"/>
        <w:ind w:left="154" w:right="0"/>
        <w:jc w:val="left"/>
      </w:pPr>
      <w:r>
        <w:rPr/>
        <w:t>认为一项资产，公允价值为负数的确认为一项负债。除指定为套期工具且套期高度有效的衍生工具，其公允价值变动形成的 </w:t>
      </w:r>
      <w:r>
        <w:rPr>
          <w:spacing w:val="-2"/>
        </w:rPr>
        <w:t>利得或损失将根据套期关系的性质按照套期会计的要求确定计入损益的期间外，其余衍生工具的公允价值变动计入当期损益。</w:t>
      </w:r>
      <w:r>
        <w:rPr>
          <w:spacing w:val="-62"/>
        </w:rPr>
        <w:t> </w:t>
      </w:r>
      <w:r>
        <w:rPr>
          <w:spacing w:val="-62"/>
        </w:rPr>
      </w:r>
      <w:r>
        <w:rPr/>
        <w:t>对包含嵌入衍生工具的混合工具，如未指定为以公允价值计量且其变动计入当期损益的金融资产或金融负债，嵌入衍生工具</w:t>
      </w:r>
      <w:r>
        <w:rPr/>
        <w:t> 与该主合同在经济特征及风险方面不存在紧密关系，且与嵌入衍生工具条件相同，单独存在的工具符合衍生工具定义的，嵌 入衍生工具从混合工具中分拆，作为单独的衍生金融工具处理。如果无法在取得时或后续的资产负债表日对嵌入衍生工具进 行单独计量，则将混合工具整体指定为以公允价值计量且其变动计入当期损益的金融资产或金融负债。</w:t>
      </w:r>
    </w:p>
    <w:p>
      <w:pPr>
        <w:pStyle w:val="BodyText"/>
        <w:spacing w:line="300" w:lineRule="auto" w:before="19"/>
        <w:ind w:left="514" w:right="0"/>
        <w:jc w:val="left"/>
      </w:pPr>
      <w:r>
        <w:rPr/>
        <w:t>（</w:t>
      </w:r>
      <w:r>
        <w:rPr>
          <w:rFonts w:ascii="Times New Roman" w:hAnsi="Times New Roman" w:cs="Times New Roman" w:eastAsia="Times New Roman" w:hint="default"/>
        </w:rPr>
        <w:t>7</w:t>
      </w:r>
      <w:r>
        <w:rPr/>
        <w:t>）金融工具公允价值的确定 </w:t>
      </w:r>
      <w:r>
        <w:rPr>
          <w:spacing w:val="-2"/>
        </w:rPr>
        <w:t>公允价值是指市场参与者在计量日发生的有序交易中，出售一项资产所能收到或者转移一项负债所需支付的价格。本公</w:t>
      </w:r>
    </w:p>
    <w:p>
      <w:pPr>
        <w:pStyle w:val="BodyText"/>
        <w:spacing w:line="309" w:lineRule="auto" w:before="31"/>
        <w:ind w:right="1130"/>
        <w:jc w:val="both"/>
      </w:pPr>
      <w:r>
        <w:rPr>
          <w:spacing w:val="-2"/>
        </w:rPr>
        <w:t>司以公允价值计量相关资产或负债，假定出售资产或者转移负债的有序交易在相关资产或负债的主要市场进行；不存在主要</w:t>
      </w:r>
      <w:r>
        <w:rPr>
          <w:spacing w:val="-64"/>
        </w:rPr>
        <w:t> </w:t>
      </w:r>
      <w:r>
        <w:rPr>
          <w:spacing w:val="-64"/>
        </w:rPr>
      </w:r>
      <w:r>
        <w:rPr>
          <w:spacing w:val="-1"/>
        </w:rPr>
        <w:t>市场的，本公司假定该交易在相关资产或负债的最有利市场进行。主要市场</w:t>
      </w:r>
      <w:r>
        <w:rPr>
          <w:rFonts w:ascii="Times New Roman" w:hAnsi="Times New Roman" w:cs="Times New Roman" w:eastAsia="Times New Roman" w:hint="default"/>
          <w:spacing w:val="-1"/>
        </w:rPr>
        <w:t>(</w:t>
      </w:r>
      <w:r>
        <w:rPr>
          <w:spacing w:val="-1"/>
        </w:rPr>
        <w:t>或最有利市场</w:t>
      </w:r>
      <w:r>
        <w:rPr>
          <w:rFonts w:ascii="Times New Roman" w:hAnsi="Times New Roman" w:cs="Times New Roman" w:eastAsia="Times New Roman" w:hint="default"/>
          <w:spacing w:val="-1"/>
        </w:rPr>
        <w:t>)</w:t>
      </w:r>
      <w:r>
        <w:rPr>
          <w:spacing w:val="-1"/>
        </w:rPr>
        <w:t>是本公司在计量日能够进入的交</w:t>
      </w:r>
      <w:r>
        <w:rPr>
          <w:spacing w:val="-57"/>
        </w:rPr>
        <w:t> </w:t>
      </w:r>
      <w:r>
        <w:rPr/>
        <w:t>易市场。</w:t>
      </w:r>
    </w:p>
    <w:p>
      <w:pPr>
        <w:pStyle w:val="BodyText"/>
        <w:spacing w:line="316" w:lineRule="auto" w:before="24"/>
        <w:ind w:right="1131" w:firstLine="360"/>
        <w:jc w:val="both"/>
      </w:pPr>
      <w:r>
        <w:rPr>
          <w:spacing w:val="-2"/>
        </w:rPr>
        <w:t>本公司采用在当前情况下适用并且有足够可利用数据和其他信息支持的估值技术，考虑市场参与者将该资产用于最佳用</w:t>
      </w:r>
      <w:r>
        <w:rPr/>
        <w:t> </w:t>
      </w:r>
      <w:r>
        <w:rPr>
          <w:spacing w:val="-2"/>
        </w:rPr>
        <w:t>途产生经济利益的能力，或者将该资产出售给能够用于最佳用途的其他市场参与者产生经济利益的能力，优先使用相关可观</w:t>
      </w:r>
      <w:r>
        <w:rPr>
          <w:spacing w:val="-64"/>
        </w:rPr>
        <w:t> </w:t>
      </w:r>
      <w:r>
        <w:rPr>
          <w:spacing w:val="-64"/>
        </w:rPr>
      </w:r>
      <w:r>
        <w:rPr/>
        <w:t>察输入值，只有在可观察输入值无法取得或取得不切实可行的情况下，才使用不可观察输入值。</w:t>
      </w:r>
    </w:p>
    <w:p>
      <w:pPr>
        <w:pStyle w:val="BodyText"/>
        <w:spacing w:line="312" w:lineRule="auto" w:before="19"/>
        <w:ind w:right="1132" w:firstLine="360"/>
        <w:jc w:val="both"/>
      </w:pPr>
      <w:r>
        <w:rPr>
          <w:spacing w:val="-2"/>
        </w:rPr>
        <w:t>在财务报表中以公允价值计量或披露的资产和负债，根据对公允价值计量整体而言具有重要意义的最低层次输入值，确</w:t>
      </w:r>
      <w:r>
        <w:rPr/>
        <w:t> </w:t>
      </w:r>
      <w:r>
        <w:rPr>
          <w:spacing w:val="-2"/>
        </w:rPr>
        <w:t>定所属的公允价值层次：第一层次输入值，是在计量日能够取得的相同资产或负债在活跃市场上未经调整的报价；第二层次</w:t>
      </w:r>
      <w:r>
        <w:rPr>
          <w:spacing w:val="-66"/>
        </w:rPr>
        <w:t> </w:t>
      </w:r>
      <w:r>
        <w:rPr>
          <w:spacing w:val="-66"/>
        </w:rPr>
      </w:r>
      <w:r>
        <w:rPr/>
        <w:t>输入值，是除第一层次输入值外相关资产或负债直接或间接可观察的输入值</w:t>
      </w:r>
      <w:r>
        <w:rPr>
          <w:rFonts w:ascii="Times New Roman" w:hAnsi="Times New Roman" w:cs="Times New Roman" w:eastAsia="Times New Roman" w:hint="default"/>
        </w:rPr>
        <w:t>[</w:t>
      </w:r>
      <w:r>
        <w:rPr/>
        <w:t>包括：活跃市场中有类似资产或负债的报价； </w:t>
      </w:r>
      <w:r>
        <w:rPr>
          <w:spacing w:val="-2"/>
        </w:rPr>
        <w:t>非活跃市场中相同或类似资产或负债的报价；除报价以外的其他可观察输入值，如在正常报价间隔期间可观察的利益和收益</w:t>
      </w:r>
      <w:r>
        <w:rPr>
          <w:spacing w:val="-64"/>
        </w:rPr>
        <w:t> </w:t>
      </w:r>
      <w:r>
        <w:rPr>
          <w:spacing w:val="-64"/>
        </w:rPr>
      </w:r>
      <w:r>
        <w:rPr/>
        <w:t>率曲线等</w:t>
      </w:r>
      <w:r>
        <w:rPr>
          <w:rFonts w:ascii="Times New Roman" w:hAnsi="Times New Roman" w:cs="Times New Roman" w:eastAsia="Times New Roman" w:hint="default"/>
        </w:rPr>
        <w:t>]</w:t>
      </w:r>
      <w:r>
        <w:rPr/>
        <w:t>；第三层次输入值，是相关资产或负债的不可观察输入值。每个资产负债表日，本公司对在财务报表中确认的持 续以公允价值计量的资产和负债进行重新评估，以确定是否在公允价值计量层次之间发生转换。</w:t>
      </w:r>
    </w:p>
    <w:p>
      <w:pPr>
        <w:pStyle w:val="BodyText"/>
        <w:spacing w:line="300" w:lineRule="auto" w:before="22"/>
        <w:ind w:left="514" w:right="0"/>
        <w:jc w:val="left"/>
      </w:pPr>
      <w:r>
        <w:rPr/>
        <w:t>（</w:t>
      </w:r>
      <w:r>
        <w:rPr>
          <w:rFonts w:ascii="Times New Roman" w:hAnsi="Times New Roman" w:cs="Times New Roman" w:eastAsia="Times New Roman" w:hint="default"/>
        </w:rPr>
        <w:t>8</w:t>
      </w:r>
      <w:r>
        <w:rPr/>
        <w:t>）金融资产的减值准备 </w:t>
      </w:r>
      <w:r>
        <w:rPr>
          <w:spacing w:val="-2"/>
        </w:rPr>
        <w:t>除了以公允价值计量且其变动计入当期损益的金融资产外，公司在每个资产负债表日对其他金融资产的账面价值进行检</w:t>
      </w:r>
    </w:p>
    <w:p>
      <w:pPr>
        <w:pStyle w:val="BodyText"/>
        <w:spacing w:line="316" w:lineRule="auto" w:before="31"/>
        <w:ind w:left="514" w:right="1032" w:hanging="360"/>
        <w:jc w:val="left"/>
      </w:pPr>
      <w:r>
        <w:rPr/>
        <w:t>查，有客观证据表明金融资产发生减值的，计提减值准备。 表明金融资产发生减值的客观证据，是指金融资产初始确认后实际发生的、对该金融资产的预计未来现金流量有影响，</w:t>
      </w:r>
    </w:p>
    <w:p>
      <w:pPr>
        <w:pStyle w:val="BodyText"/>
        <w:spacing w:line="316" w:lineRule="auto" w:before="19"/>
        <w:ind w:left="154" w:right="1130"/>
        <w:jc w:val="both"/>
      </w:pPr>
      <w:r>
        <w:rPr>
          <w:spacing w:val="-2"/>
        </w:rPr>
        <w:t>且公司能够对该影响进行可靠计量的事项。金融资产发生减值的客观证据，包括下列可观察到的情形：①发行方或债务人发</w:t>
      </w:r>
      <w:r>
        <w:rPr>
          <w:spacing w:val="-66"/>
        </w:rPr>
        <w:t> </w:t>
      </w:r>
      <w:r>
        <w:rPr>
          <w:spacing w:val="-66"/>
        </w:rPr>
      </w:r>
      <w:r>
        <w:rPr>
          <w:spacing w:val="-2"/>
        </w:rPr>
        <w:t>生严重财务困难；②债务人违反了合同条款，如偿付利息或本金发生违约或逾期等；③本公司出于经济或法律等方面因素的</w:t>
      </w:r>
      <w:r>
        <w:rPr>
          <w:spacing w:val="-66"/>
        </w:rPr>
        <w:t> </w:t>
      </w:r>
      <w:r>
        <w:rPr>
          <w:spacing w:val="-66"/>
        </w:rPr>
      </w:r>
      <w:r>
        <w:rPr>
          <w:spacing w:val="-2"/>
        </w:rPr>
        <w:t>考虑，对发生财务困难的债务人作出让步；④债务人很可能倒闭或者进行其他财务重组；⑤因发行方发生重大财务困难，导</w:t>
      </w:r>
      <w:r>
        <w:rPr>
          <w:spacing w:val="-66"/>
        </w:rPr>
        <w:t> </w:t>
      </w:r>
      <w:r>
        <w:rPr>
          <w:spacing w:val="-66"/>
        </w:rPr>
      </w:r>
      <w:r>
        <w:rPr>
          <w:spacing w:val="-2"/>
        </w:rPr>
        <w:t>致金融资产无法在活跃市场继续交易；⑥无法辨认一组金融资产中的某项资产的现金流量是否已经减少，但根据公开的数据</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对其进行总体评价后发现，该组金融资产自初始确认以来的预计未来现金流量确已减少且可计量，包括该组金融资产的债务</w:t>
      </w:r>
      <w:r>
        <w:rPr>
          <w:spacing w:val="-64"/>
        </w:rPr>
        <w:t> </w:t>
      </w:r>
      <w:r>
        <w:rPr>
          <w:spacing w:val="-64"/>
        </w:rPr>
      </w:r>
      <w:r>
        <w:rPr>
          <w:spacing w:val="-2"/>
        </w:rPr>
        <w:t>人支付能力逐步恶化，或者债务人所在国家或地区经济出现了可能导致该组金融资产无法支付的状况；⑦债务人经营所处的</w:t>
      </w:r>
      <w:r>
        <w:rPr>
          <w:spacing w:val="-64"/>
        </w:rPr>
        <w:t> </w:t>
      </w:r>
      <w:r>
        <w:rPr>
          <w:spacing w:val="-64"/>
        </w:rPr>
      </w:r>
      <w:r>
        <w:rPr>
          <w:spacing w:val="-2"/>
        </w:rPr>
        <w:t>技术、市场、经济或法律环境等发生重大不利变化，使权益工具投资人可能无法收回投资成本；⑧权益工具投资的公允价值</w:t>
      </w:r>
      <w:r>
        <w:rPr>
          <w:spacing w:val="-66"/>
        </w:rPr>
        <w:t> </w:t>
      </w:r>
      <w:r>
        <w:rPr>
          <w:spacing w:val="-66"/>
        </w:rPr>
      </w:r>
      <w:r>
        <w:rPr/>
        <w:t>发生严重或非暂时性下跌；⑨其他表明金融资产发生减值的客观证据。</w:t>
      </w:r>
    </w:p>
    <w:p>
      <w:pPr>
        <w:pStyle w:val="BodyText"/>
        <w:spacing w:line="316" w:lineRule="auto" w:before="19"/>
        <w:ind w:left="513" w:right="1033"/>
        <w:jc w:val="left"/>
      </w:pPr>
      <w:r>
        <w:rPr/>
        <w:t>持有至到期投资、贷款和应收账款减值测试 先将单项金额重大的金融资产区分开来，单独进行减值测试；对单项金额不重大的金融资产，可以单独进行减值测试，</w:t>
      </w:r>
    </w:p>
    <w:p>
      <w:pPr>
        <w:pStyle w:val="BodyText"/>
        <w:spacing w:line="312" w:lineRule="auto" w:before="19"/>
        <w:ind w:right="1132"/>
        <w:jc w:val="both"/>
      </w:pPr>
      <w:r>
        <w:rPr/>
        <w:t>或包括在具有类似信用风险特征的金融资产组合中进行减值测试；单独测试未发生减值的金融资产</w:t>
      </w:r>
      <w:r>
        <w:rPr>
          <w:rFonts w:ascii="Times New Roman" w:hAnsi="Times New Roman" w:cs="Times New Roman" w:eastAsia="Times New Roman" w:hint="default"/>
        </w:rPr>
        <w:t>(</w:t>
      </w:r>
      <w:r>
        <w:rPr/>
        <w:t>包括单项金额重大和不 重大的金融资产</w:t>
      </w:r>
      <w:r>
        <w:rPr>
          <w:rFonts w:ascii="Times New Roman" w:hAnsi="Times New Roman" w:cs="Times New Roman" w:eastAsia="Times New Roman" w:hint="default"/>
        </w:rPr>
        <w:t>)</w:t>
      </w:r>
      <w:r>
        <w:rPr/>
        <w:t>，包括在具有类似信用风险特征的金融资产组合中再进行减值测试。测试结果表明其发生了减值的，以成 </w:t>
      </w:r>
      <w:r>
        <w:rPr>
          <w:spacing w:val="-2"/>
        </w:rPr>
        <w:t>本或摊余成本计量的金融资产将其账面价值减记至预计未来现金流量现值，减记金额确认为减值损失，计入当期损益；短期</w:t>
      </w:r>
      <w:r>
        <w:rPr>
          <w:spacing w:val="-66"/>
        </w:rPr>
        <w:t> </w:t>
      </w:r>
      <w:r>
        <w:rPr>
          <w:spacing w:val="-66"/>
        </w:rPr>
      </w:r>
      <w:r>
        <w:rPr>
          <w:spacing w:val="-2"/>
        </w:rPr>
        <w:t>应收款项的预计未来现金流量与其现值相差很小的，在确定相关减值损失时，不对其预计未来现金流量进行折现。在确认减</w:t>
      </w:r>
      <w:r>
        <w:rPr>
          <w:spacing w:val="-66"/>
        </w:rPr>
        <w:t> </w:t>
      </w:r>
      <w:r>
        <w:rPr>
          <w:spacing w:val="-66"/>
        </w:rPr>
      </w:r>
      <w:r>
        <w:rPr>
          <w:spacing w:val="-2"/>
        </w:rPr>
        <w:t>值损失后，如有客观证据表明该金融资产价值已恢复，且客观上与确认该损失后发生的事项有关，原确认的减值损失予以转</w:t>
      </w:r>
      <w:r>
        <w:rPr>
          <w:spacing w:val="-66"/>
        </w:rPr>
        <w:t> </w:t>
      </w:r>
      <w:r>
        <w:rPr>
          <w:spacing w:val="-66"/>
        </w:rPr>
      </w:r>
      <w:r>
        <w:rPr/>
        <w:t>回，转回减值损失后的账面价值不超过假定不计提减值准备情况下该金融资产在转回日的摊余成本。</w:t>
      </w:r>
    </w:p>
    <w:p>
      <w:pPr>
        <w:pStyle w:val="BodyText"/>
        <w:spacing w:line="316" w:lineRule="auto" w:before="22"/>
        <w:ind w:left="513" w:right="0"/>
        <w:jc w:val="left"/>
      </w:pPr>
      <w:r>
        <w:rPr/>
        <w:t>可供出售金融资产减值 </w:t>
      </w:r>
      <w:r>
        <w:rPr>
          <w:spacing w:val="-2"/>
        </w:rPr>
        <w:t>本公司于资产负债表日对各项可供出售权益工具投资单独进行检查。对于以公允价值计量的权益工具投资，当综合相关</w:t>
      </w:r>
    </w:p>
    <w:p>
      <w:pPr>
        <w:pStyle w:val="BodyText"/>
        <w:spacing w:line="316" w:lineRule="auto" w:before="19"/>
        <w:ind w:right="1131"/>
        <w:jc w:val="both"/>
      </w:pPr>
      <w:r>
        <w:rPr>
          <w:spacing w:val="-2"/>
        </w:rPr>
        <w:t>因素判断可供出售权益工具投资公允价值下跌是严重或非暂时性下跌时，表明该可供出售权益工具投资发生减值。对于以成</w:t>
      </w:r>
      <w:r>
        <w:rPr>
          <w:spacing w:val="-64"/>
        </w:rPr>
        <w:t> </w:t>
      </w:r>
      <w:r>
        <w:rPr>
          <w:spacing w:val="-64"/>
        </w:rPr>
      </w:r>
      <w:r>
        <w:rPr>
          <w:spacing w:val="-2"/>
        </w:rPr>
        <w:t>本计量的权益工具投资，公司综合考虑被投资单位经营所处的技术、市场、经济或法律环境等是否发生重大不利变化，判断</w:t>
      </w:r>
      <w:r>
        <w:rPr>
          <w:spacing w:val="-66"/>
        </w:rPr>
        <w:t> </w:t>
      </w:r>
      <w:r>
        <w:rPr>
          <w:spacing w:val="-66"/>
        </w:rPr>
      </w:r>
      <w:r>
        <w:rPr/>
        <w:t>该权益工具是否发生减值。</w:t>
      </w:r>
    </w:p>
    <w:p>
      <w:pPr>
        <w:pStyle w:val="BodyText"/>
        <w:spacing w:line="316" w:lineRule="auto" w:before="19"/>
        <w:ind w:left="154" w:right="1131" w:firstLine="360"/>
        <w:jc w:val="both"/>
      </w:pPr>
      <w:r>
        <w:rPr>
          <w:spacing w:val="-2"/>
        </w:rPr>
        <w:t>以公允价值计量的可供出售金融资产发生减值时，原直接计入其他综合收益的因公允价值下降形成的累计损失予以转出</w:t>
      </w:r>
      <w:r>
        <w:rPr/>
        <w:t> </w:t>
      </w:r>
      <w:r>
        <w:rPr>
          <w:spacing w:val="-2"/>
        </w:rPr>
        <w:t>并计入减值损失。对已确认减值损失的可供出售债务工具投资，在期后公允价值回升且客观上与确认原减值损失后发生的事</w:t>
      </w:r>
      <w:r>
        <w:rPr>
          <w:spacing w:val="-64"/>
        </w:rPr>
        <w:t> </w:t>
      </w:r>
      <w:r>
        <w:rPr>
          <w:spacing w:val="-64"/>
        </w:rPr>
      </w:r>
      <w:r>
        <w:rPr>
          <w:spacing w:val="-2"/>
        </w:rPr>
        <w:t>项有关的，原确认的减值损失予以转回并计入当期损益。对已确认减值损失的可供出售权益工具投资，期后公允价值回升直</w:t>
      </w:r>
      <w:r>
        <w:rPr>
          <w:spacing w:val="-66"/>
        </w:rPr>
        <w:t> </w:t>
      </w:r>
      <w:r>
        <w:rPr>
          <w:spacing w:val="-66"/>
        </w:rPr>
      </w:r>
      <w:r>
        <w:rPr/>
        <w:t>接计入其他综合收益。</w:t>
      </w:r>
    </w:p>
    <w:p>
      <w:pPr>
        <w:pStyle w:val="BodyText"/>
        <w:spacing w:line="319" w:lineRule="auto" w:before="19"/>
        <w:ind w:left="154" w:right="1132" w:firstLine="360"/>
        <w:jc w:val="both"/>
      </w:pPr>
      <w:r>
        <w:rPr>
          <w:spacing w:val="-2"/>
        </w:rPr>
        <w:t>以成本计量的可供出售权益工具发生减值时，将该权益工具投资的账面价值，与按照类似金融资产当时市场收益率对未</w:t>
      </w:r>
      <w:r>
        <w:rPr/>
        <w:t> 来现金流量折现确定的现值之间的差额，确认为减值损失，计入当期损益，发生的减值损失一经确认，不予转回。</w:t>
      </w:r>
    </w:p>
    <w:p>
      <w:pPr>
        <w:pStyle w:val="BodyText"/>
        <w:spacing w:line="300" w:lineRule="auto" w:before="17"/>
        <w:ind w:left="513" w:right="0"/>
        <w:jc w:val="left"/>
      </w:pPr>
      <w:r>
        <w:rPr/>
        <w:t>（</w:t>
      </w:r>
      <w:r>
        <w:rPr>
          <w:rFonts w:ascii="Times New Roman" w:hAnsi="Times New Roman" w:cs="Times New Roman" w:eastAsia="Times New Roman" w:hint="default"/>
        </w:rPr>
        <w:t>9</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31"/>
        <w:ind w:right="1133"/>
        <w:jc w:val="both"/>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spacing w:line="240" w:lineRule="auto" w:before="7"/>
        <w:rPr>
          <w:rFonts w:ascii="宋体" w:hAnsi="宋体" w:cs="宋体" w:eastAsia="宋体" w:hint="default"/>
          <w:sz w:val="22"/>
          <w:szCs w:val="22"/>
        </w:rPr>
      </w:pPr>
    </w:p>
    <w:p>
      <w:pPr>
        <w:pStyle w:val="Heading3"/>
        <w:spacing w:line="240" w:lineRule="auto"/>
        <w:ind w:left="154" w:right="0"/>
        <w:jc w:val="both"/>
        <w:rPr>
          <w:b w:val="0"/>
          <w:bCs w:val="0"/>
        </w:rPr>
      </w:pPr>
      <w:bookmarkStart w:name="11、应收款项" w:id="184"/>
      <w:bookmarkEnd w:id="184"/>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单项金额重大并单独计提坏账准备的应收款项" w:id="185"/>
      <w:bookmarkEnd w:id="18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8"/>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r>
              <w:rPr>
                <w:rFonts w:ascii="宋体" w:hAnsi="宋体" w:cs="宋体" w:eastAsia="宋体" w:hint="default"/>
                <w:spacing w:val="-30"/>
                <w:sz w:val="18"/>
                <w:szCs w:val="18"/>
              </w:rPr>
              <w:t> </w:t>
            </w:r>
            <w:r>
              <w:rPr>
                <w:rFonts w:ascii="宋体" w:hAnsi="宋体" w:cs="宋体" w:eastAsia="宋体" w:hint="default"/>
                <w:sz w:val="18"/>
                <w:szCs w:val="18"/>
              </w:rPr>
              <w:t>单项金额重大的应收</w:t>
            </w:r>
            <w:r>
              <w:rPr>
                <w:rFonts w:ascii="宋体" w:hAnsi="宋体" w:cs="宋体" w:eastAsia="宋体" w:hint="default"/>
                <w:sz w:val="18"/>
                <w:szCs w:val="18"/>
              </w:rPr>
              <w:t> 款项确认标准为金额达到人民币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的款项。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经单独进行减值测试有客观证据表明发生减值的，根据其未 来现金流量现值低于其账面价值的差额计提坏账准备；经单 独进行减值测试未发生减值的，将其划入具有类似信用风险 特征的若干组合计提坏账准备。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按信用风险特征组合计提坏账准备的应收款项" w:id="186"/>
      <w:bookmarkEnd w:id="18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32" w:hRule="exact"/>
        </w:trPr>
        <w:tc>
          <w:tcPr>
            <w:tcW w:w="4785" w:type="dxa"/>
            <w:tcBorders>
              <w:top w:val="nil" w:sz="6" w:space="0" w:color="auto"/>
              <w:left w:val="nil" w:sz="6" w:space="0" w:color="auto"/>
              <w:bottom w:val="single" w:sz="4" w:space="0" w:color="000000"/>
              <w:right w:val="nil" w:sz="6" w:space="0" w:color="auto"/>
            </w:tcBorders>
          </w:tcPr>
          <w:p>
            <w:pPr/>
          </w:p>
        </w:tc>
        <w:tc>
          <w:tcPr>
            <w:tcW w:w="478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54" w:right="0"/>
        <w:jc w:val="left"/>
      </w:pPr>
      <w:r>
        <w:rPr/>
        <w:pict>
          <v:group style="position:absolute;margin-left:55.200001pt;margin-top:-36.978271pt;width:485pt;height:.1pt;mso-position-horizontal-relative:page;mso-position-vertical-relative:paragraph;z-index:-859432" coordorigin="1104,-740" coordsize="9700,2">
            <v:shape style="position:absolute;left:1104;top:-740;width:9700;height:2" coordorigin="1104,-740" coordsize="9700,0" path="m1104,-740l10804,-740e" filled="false" stroked="true" strokeweight=".72pt" strokecolor="#000000">
              <v:path arrowok="t"/>
            </v:shape>
            <w10:wrap type="none"/>
          </v:group>
        </w:pict>
      </w: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40" w:lineRule="auto" w:before="116"/>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87"/>
      <w:bookmarkEnd w:id="18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有确凿证据表明可收回性存在明显差异</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 备</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12、存货" w:id="188"/>
      <w:bookmarkEnd w:id="188"/>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7692"/>
        <w:jc w:val="left"/>
      </w:pPr>
      <w:r>
        <w:rPr/>
        <w:t>公司是否需要遵守特殊行业的披露要求 否</w:t>
      </w:r>
    </w:p>
    <w:p>
      <w:pPr>
        <w:pStyle w:val="BodyText"/>
        <w:spacing w:line="309" w:lineRule="auto" w:before="25"/>
        <w:ind w:left="154" w:right="1131" w:firstLine="360"/>
        <w:jc w:val="both"/>
      </w:pPr>
      <w:r>
        <w:rPr/>
        <w:t>（</w:t>
      </w:r>
      <w:r>
        <w:rPr>
          <w:rFonts w:ascii="Times New Roman" w:hAnsi="Times New Roman" w:cs="Times New Roman" w:eastAsia="Times New Roman" w:hint="default"/>
        </w:rPr>
        <w:t>1</w:t>
      </w:r>
      <w:r>
        <w:rPr/>
        <w:t>）存货按房地产开发存货和非房地产开发存货分类。房地产开发存货包括拟开发土地、开发产品、处在开发过程中 </w:t>
      </w:r>
      <w:r>
        <w:rPr>
          <w:spacing w:val="-2"/>
        </w:rPr>
        <w:t>的开发成本、意图出售而暂时出租的开发产品、周转房，以及在开发经营过程中耗用的库存材料和低值易耗品等；非房地产</w:t>
      </w:r>
      <w:r>
        <w:rPr>
          <w:spacing w:val="-66"/>
        </w:rPr>
        <w:t> </w:t>
      </w:r>
      <w:r>
        <w:rPr>
          <w:spacing w:val="-66"/>
        </w:rPr>
      </w:r>
      <w:r>
        <w:rPr/>
        <w:t>开发存货包括在日常活动中持有以备出售的产成品或商品等。</w:t>
      </w:r>
    </w:p>
    <w:p>
      <w:pPr>
        <w:pStyle w:val="BodyText"/>
        <w:spacing w:line="307" w:lineRule="auto" w:before="24"/>
        <w:ind w:right="1033" w:firstLine="360"/>
        <w:jc w:val="left"/>
      </w:pPr>
      <w:r>
        <w:rPr/>
        <w:t>（</w:t>
      </w:r>
      <w:r>
        <w:rPr>
          <w:rFonts w:ascii="Times New Roman" w:hAnsi="Times New Roman" w:cs="Times New Roman" w:eastAsia="Times New Roman" w:hint="default"/>
        </w:rPr>
        <w:t>2</w:t>
      </w:r>
      <w:r>
        <w:rPr/>
        <w:t>）公司取得存货按实际成本计量。</w:t>
      </w:r>
      <w:r>
        <w:rPr>
          <w:rFonts w:ascii="Times New Roman" w:hAnsi="Times New Roman" w:cs="Times New Roman" w:eastAsia="Times New Roman" w:hint="default"/>
        </w:rPr>
        <w:t>(1)</w:t>
      </w:r>
      <w:r>
        <w:rPr/>
        <w:t>外购存货的成本即为该存货的采购成本，通过进一步加工取得的存货成本由采 购成本和加工成本构成。</w:t>
      </w:r>
      <w:r>
        <w:rPr>
          <w:rFonts w:ascii="Times New Roman" w:hAnsi="Times New Roman" w:cs="Times New Roman" w:eastAsia="Times New Roman" w:hint="default"/>
        </w:rPr>
        <w:t>(2)</w:t>
      </w:r>
      <w:r>
        <w:rPr/>
        <w:t>债务重组取得债务人用以抵债的存货，以该存货的公允价值为基础确定其入账价值。</w:t>
      </w:r>
      <w:r>
        <w:rPr>
          <w:rFonts w:ascii="Times New Roman" w:hAnsi="Times New Roman" w:cs="Times New Roman" w:eastAsia="Times New Roman" w:hint="default"/>
        </w:rPr>
        <w:t>(3)</w:t>
      </w:r>
      <w:r>
        <w:rPr/>
        <w:t>在非货 </w:t>
      </w:r>
      <w:r>
        <w:rPr>
          <w:spacing w:val="-2"/>
        </w:rPr>
        <w:t>币性资产交换具备商业实质和换入资产或换出资产的公允价值能够可靠计量的前提下，非货币性资产交换换入的存货通常以</w:t>
      </w:r>
      <w:r>
        <w:rPr>
          <w:spacing w:val="-64"/>
        </w:rPr>
        <w:t> </w:t>
      </w:r>
      <w:r>
        <w:rPr>
          <w:spacing w:val="-64"/>
        </w:rPr>
      </w:r>
      <w:r>
        <w:rPr>
          <w:spacing w:val="-2"/>
        </w:rPr>
        <w:t>换出资产的公允价值为基础确定其入账价值，除非有确凿证据表明换入资产公允价值更加可靠；不满足上述前提的非货币性</w:t>
      </w:r>
      <w:r>
        <w:rPr>
          <w:spacing w:val="-64"/>
        </w:rPr>
        <w:t> </w:t>
      </w:r>
      <w:r>
        <w:rPr>
          <w:spacing w:val="-64"/>
        </w:rPr>
      </w:r>
      <w:r>
        <w:rPr/>
        <w:t>资产交换，以换出资产的账面价值和应支付的相关税费作为换入存货的成本。</w:t>
      </w:r>
      <w:r>
        <w:rPr>
          <w:rFonts w:ascii="Times New Roman" w:hAnsi="Times New Roman" w:cs="Times New Roman" w:eastAsia="Times New Roman" w:hint="default"/>
        </w:rPr>
        <w:t>(4)</w:t>
      </w:r>
      <w:r>
        <w:rPr/>
        <w:t>以同一控制下的企业吸收合并方式取得的 存货按被合并方的账面价值确定其入账价值；以非同一控制下的企业吸收合并方式取得的存货按公允价值确定其入账价值。</w:t>
      </w:r>
    </w:p>
    <w:p>
      <w:pPr>
        <w:pStyle w:val="BodyText"/>
        <w:spacing w:line="240" w:lineRule="auto" w:before="26"/>
        <w:ind w:left="514" w:right="0"/>
        <w:jc w:val="left"/>
      </w:pPr>
      <w:r>
        <w:rPr/>
        <w:t>（</w:t>
      </w:r>
      <w:r>
        <w:rPr>
          <w:rFonts w:ascii="Times New Roman" w:hAnsi="Times New Roman" w:cs="Times New Roman" w:eastAsia="Times New Roman" w:hint="default"/>
        </w:rPr>
        <w:t>3</w:t>
      </w:r>
      <w:r>
        <w:rPr/>
        <w:t>）公司发出存货的成本计量采用移动加权平均法。</w:t>
      </w:r>
    </w:p>
    <w:p>
      <w:pPr>
        <w:pStyle w:val="BodyText"/>
        <w:spacing w:line="240" w:lineRule="auto" w:before="63"/>
        <w:ind w:left="514" w:right="0"/>
        <w:jc w:val="left"/>
      </w:pPr>
      <w:r>
        <w:rPr/>
        <w:t>（</w:t>
      </w:r>
      <w:r>
        <w:rPr>
          <w:rFonts w:ascii="Times New Roman" w:hAnsi="Times New Roman" w:cs="Times New Roman" w:eastAsia="Times New Roman" w:hint="default"/>
        </w:rPr>
        <w:t>4</w:t>
      </w:r>
      <w:r>
        <w:rPr/>
        <w:t>）低值易耗品和包装物的摊销方法。低值易耗品和包装物按照一次转销法进行摊销。</w:t>
      </w:r>
    </w:p>
    <w:p>
      <w:pPr>
        <w:pStyle w:val="BodyText"/>
        <w:spacing w:line="312" w:lineRule="auto" w:before="63"/>
        <w:ind w:left="154" w:right="1131" w:firstLine="360"/>
        <w:jc w:val="both"/>
      </w:pPr>
      <w:r>
        <w:rPr/>
        <w:t>（</w:t>
      </w:r>
      <w:r>
        <w:rPr>
          <w:rFonts w:ascii="Times New Roman" w:hAnsi="Times New Roman" w:cs="Times New Roman" w:eastAsia="Times New Roman" w:hint="default"/>
        </w:rPr>
        <w:t>5</w:t>
      </w:r>
      <w:r>
        <w:rPr/>
        <w:t>）资产负债表日，存货采用成本与可变现净值孰低计量。存货可变现净值是按存货的估计售价减去至完工时估计将 </w:t>
      </w:r>
      <w:r>
        <w:rPr>
          <w:spacing w:val="-2"/>
        </w:rPr>
        <w:t>要发生的成本、估计的销售费用以及相关税费后的金额。在确定存货的可变现净值时，以取得的确凿证据为基础，同时考虑</w:t>
      </w:r>
      <w:r>
        <w:rPr>
          <w:spacing w:val="-66"/>
        </w:rPr>
        <w:t> </w:t>
      </w:r>
      <w:r>
        <w:rPr>
          <w:spacing w:val="-66"/>
        </w:rPr>
      </w:r>
      <w:r>
        <w:rPr>
          <w:spacing w:val="-2"/>
        </w:rPr>
        <w:t>持有存货的目的以及资产负债表日后事项的影响，除有明确证据表明资产负债表日市场价格异常外，本期期末存货项目的可</w:t>
      </w:r>
      <w:r>
        <w:rPr>
          <w:spacing w:val="-64"/>
        </w:rPr>
        <w:t> </w:t>
      </w:r>
      <w:r>
        <w:rPr>
          <w:spacing w:val="-64"/>
        </w:rPr>
      </w:r>
      <w:r>
        <w:rPr/>
        <w:t>变现净值以资产负债表日市场价格为基础确定，其中：</w:t>
      </w:r>
    </w:p>
    <w:p>
      <w:pPr>
        <w:pStyle w:val="BodyText"/>
        <w:spacing w:line="316" w:lineRule="auto" w:before="22"/>
        <w:ind w:left="154" w:right="1132" w:firstLine="360"/>
        <w:jc w:val="both"/>
      </w:pPr>
      <w:r>
        <w:rPr>
          <w:spacing w:val="-2"/>
        </w:rPr>
        <w:t>①产成品、商品和用于出售的材料等直接用于出售的商品存货，在正常生产经营过程中以该存货的估计售价减去估计的</w:t>
      </w:r>
      <w:r>
        <w:rPr/>
        <w:t> 销售费用和相关税费后的金额确定其可变现净值；</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1"/>
          <w:szCs w:val="21"/>
        </w:rPr>
      </w:pPr>
    </w:p>
    <w:p>
      <w:pPr>
        <w:pStyle w:val="BodyText"/>
        <w:spacing w:line="316" w:lineRule="auto" w:before="44"/>
        <w:ind w:right="1033" w:firstLine="360"/>
        <w:jc w:val="left"/>
      </w:pPr>
      <w:r>
        <w:rPr/>
        <w:t>②需要经过加工的材料存货，在正常生产经营过程中以所生产的产成品的估计售价减去至完工时估计将要发生的成本、 </w:t>
      </w:r>
      <w:r>
        <w:rPr>
          <w:spacing w:val="-2"/>
        </w:rPr>
        <w:t>估计的销售费用和相关税费后的金额确定其可变现净值；资产负债表日，同一项存货中一部分有合同价格约定、其他部分不</w:t>
      </w:r>
      <w:r>
        <w:rPr>
          <w:spacing w:val="-66"/>
        </w:rPr>
        <w:t> </w:t>
      </w:r>
      <w:r>
        <w:rPr>
          <w:spacing w:val="-66"/>
        </w:rPr>
      </w:r>
      <w:r>
        <w:rPr>
          <w:spacing w:val="-2"/>
        </w:rPr>
        <w:t>存在合同价格的，分别确定其可变现净值，并与其对应的成本进行比较，分别确定存货跌价准备的计提或转回的金额。期末</w:t>
      </w:r>
      <w:r>
        <w:rPr>
          <w:spacing w:val="-65"/>
        </w:rPr>
        <w:t> </w:t>
      </w:r>
      <w:r>
        <w:rPr>
          <w:spacing w:val="-65"/>
        </w:rPr>
      </w:r>
      <w:r>
        <w:rPr>
          <w:spacing w:val="-2"/>
        </w:rPr>
        <w:t>按照单个存货项目计提存货跌价准备；但对于数量繁多、单价较低的存货，按照存货类别计提存货跌价准备；与在同一地区</w:t>
      </w:r>
      <w:r>
        <w:rPr>
          <w:spacing w:val="-66"/>
        </w:rPr>
        <w:t> </w:t>
      </w:r>
      <w:r>
        <w:rPr>
          <w:spacing w:val="-66"/>
        </w:rPr>
      </w:r>
      <w:r>
        <w:rPr>
          <w:spacing w:val="-2"/>
        </w:rPr>
        <w:t>生产和销售的产品系列相关、具有相同或者类似最终用途或目的，且难以与其他项目分开计量的存货，则合并计提存货跌价</w:t>
      </w:r>
      <w:r>
        <w:rPr>
          <w:spacing w:val="-66"/>
        </w:rPr>
        <w:t> </w:t>
      </w:r>
      <w:r>
        <w:rPr>
          <w:spacing w:val="-66"/>
        </w:rPr>
      </w:r>
      <w:r>
        <w:rPr/>
        <w:t>准备。</w:t>
      </w:r>
    </w:p>
    <w:p>
      <w:pPr>
        <w:pStyle w:val="BodyText"/>
        <w:spacing w:line="316" w:lineRule="auto" w:before="19"/>
        <w:ind w:right="0" w:firstLine="360"/>
        <w:jc w:val="left"/>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p>
    <w:p>
      <w:pPr>
        <w:pStyle w:val="BodyText"/>
        <w:spacing w:line="240" w:lineRule="auto" w:before="19"/>
        <w:ind w:left="513" w:right="0"/>
        <w:jc w:val="left"/>
      </w:pPr>
      <w:r>
        <w:rPr/>
        <w:t>（</w:t>
      </w:r>
      <w:r>
        <w:rPr>
          <w:rFonts w:ascii="Times New Roman" w:hAnsi="Times New Roman" w:cs="Times New Roman" w:eastAsia="Times New Roman" w:hint="default"/>
        </w:rPr>
        <w:t>6</w:t>
      </w:r>
      <w:r>
        <w:rPr/>
        <w:t>）存货的盘存制度为永续盘存制。</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3、持有待售资产" w:id="189"/>
      <w:bookmarkEnd w:id="189"/>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）划分为持有待售类别的条件 </w:t>
      </w:r>
      <w:r>
        <w:rPr>
          <w:spacing w:val="-1"/>
        </w:rPr>
        <w:t>公司主要通过出售</w:t>
      </w:r>
      <w:r>
        <w:rPr>
          <w:rFonts w:ascii="Times New Roman" w:hAnsi="Times New Roman" w:cs="Times New Roman" w:eastAsia="Times New Roman" w:hint="default"/>
          <w:spacing w:val="-1"/>
        </w:rPr>
        <w:t>(</w:t>
      </w:r>
      <w:r>
        <w:rPr>
          <w:spacing w:val="-1"/>
        </w:rPr>
        <w:t>包括具有商业实质的非货币性资产交换，下同</w:t>
      </w:r>
      <w:r>
        <w:rPr>
          <w:rFonts w:ascii="Times New Roman" w:hAnsi="Times New Roman" w:cs="Times New Roman" w:eastAsia="Times New Roman" w:hint="default"/>
          <w:spacing w:val="-1"/>
        </w:rPr>
        <w:t>)</w:t>
      </w:r>
      <w:r>
        <w:rPr>
          <w:spacing w:val="-1"/>
        </w:rPr>
        <w:t>而非持续使用一项非流动资产或处置组收回其账面价</w:t>
      </w:r>
    </w:p>
    <w:p>
      <w:pPr>
        <w:pStyle w:val="BodyText"/>
        <w:spacing w:line="240" w:lineRule="auto" w:before="13"/>
        <w:ind w:right="0"/>
        <w:jc w:val="left"/>
      </w:pPr>
      <w:r>
        <w:rPr/>
        <w:t>值的，在满足下列条件时，将其划分为持有待售类别：</w:t>
      </w:r>
    </w:p>
    <w:p>
      <w:pPr>
        <w:pStyle w:val="BodyText"/>
        <w:spacing w:line="240" w:lineRule="auto" w:before="76"/>
        <w:ind w:left="514" w:right="0"/>
        <w:jc w:val="left"/>
      </w:pPr>
      <w:r>
        <w:rPr/>
        <w:t>①根据类似交易中出售此类资产或处置组的惯例，在当前状况下即可立即出售；</w:t>
      </w:r>
    </w:p>
    <w:p>
      <w:pPr>
        <w:pStyle w:val="BodyText"/>
        <w:spacing w:line="316" w:lineRule="auto" w:before="76"/>
        <w:ind w:right="1131" w:firstLine="360"/>
        <w:jc w:val="both"/>
      </w:pPr>
      <w:r>
        <w:rPr>
          <w:spacing w:val="-2"/>
        </w:rPr>
        <w:t>②出售极可能发生，即公司已经就一项出售计划作出决议且获得确定的购买承诺，预计出售将在一年内完成。有关规定</w:t>
      </w:r>
      <w:r>
        <w:rPr/>
        <w:t> </w:t>
      </w:r>
      <w:r>
        <w:rPr>
          <w:spacing w:val="-2"/>
        </w:rPr>
        <w:t>要求相关权力机构或者监督部门批准后方可出售的，公司已经获得批准。确定的购买承诺，是指公司与其他方签订的具有法</w:t>
      </w:r>
      <w:r>
        <w:rPr>
          <w:spacing w:val="-65"/>
        </w:rPr>
        <w:t> </w:t>
      </w:r>
      <w:r>
        <w:rPr>
          <w:spacing w:val="-65"/>
        </w:rPr>
      </w:r>
      <w:r>
        <w:rPr>
          <w:spacing w:val="-2"/>
        </w:rPr>
        <w:t>律约束力的购买协议，该协议包含交易价格、时间和足够严厉的违约惩罚等重要条款，使协议出现重大调整或者撤销的可能</w:t>
      </w:r>
      <w:r>
        <w:rPr>
          <w:spacing w:val="-66"/>
        </w:rPr>
        <w:t> </w:t>
      </w:r>
      <w:r>
        <w:rPr>
          <w:spacing w:val="-66"/>
        </w:rPr>
      </w:r>
      <w:r>
        <w:rPr/>
        <w:t>性极小。</w:t>
      </w:r>
    </w:p>
    <w:p>
      <w:pPr>
        <w:pStyle w:val="BodyText"/>
        <w:spacing w:line="319" w:lineRule="auto" w:before="19"/>
        <w:ind w:left="154" w:right="932" w:firstLine="360"/>
        <w:jc w:val="left"/>
      </w:pPr>
      <w:r>
        <w:rPr>
          <w:spacing w:val="-2"/>
        </w:rPr>
        <w:t>公司因出售对子公司的投资等原因导致其丧失对子公司控制权的，当拟出售的子公司投资满足持有待售类别划分条件时，</w:t>
      </w:r>
      <w:r>
        <w:rPr/>
        <w:t> </w:t>
      </w:r>
      <w:r>
        <w:rPr>
          <w:spacing w:val="-2"/>
        </w:rPr>
        <w:t>在母公司个别财务报表中将对子公司投资整体划分为持有待售类别，在合并报表中将子公司所有资产和负债划分为持有待售</w:t>
      </w:r>
      <w:r>
        <w:rPr>
          <w:spacing w:val="-64"/>
        </w:rPr>
        <w:t> </w:t>
      </w:r>
      <w:r>
        <w:rPr>
          <w:spacing w:val="-64"/>
        </w:rPr>
      </w:r>
      <w:r>
        <w:rPr/>
        <w:t>类别。</w:t>
      </w:r>
    </w:p>
    <w:p>
      <w:pPr>
        <w:pStyle w:val="BodyText"/>
        <w:spacing w:line="316" w:lineRule="auto" w:before="17"/>
        <w:ind w:left="154" w:right="1131" w:firstLine="360"/>
        <w:jc w:val="both"/>
      </w:pPr>
      <w:r>
        <w:rPr>
          <w:spacing w:val="-2"/>
        </w:rPr>
        <w:t>持有待售的非流动资产或处置组不再满足持有待售类别划分条件的，公司停止将其划分为持有待售类别。部分资产或负</w:t>
      </w:r>
      <w:r>
        <w:rPr/>
        <w:t> </w:t>
      </w:r>
      <w:r>
        <w:rPr>
          <w:spacing w:val="-2"/>
        </w:rPr>
        <w:t>债从持有待售的处置组中移除的，处置组中剩余资产或负债新组成的处置组仍满足持有待售划分条件的，公司将新组成的处</w:t>
      </w:r>
      <w:r>
        <w:rPr>
          <w:spacing w:val="-64"/>
        </w:rPr>
        <w:t> </w:t>
      </w:r>
      <w:r>
        <w:rPr>
          <w:spacing w:val="-64"/>
        </w:rPr>
      </w:r>
      <w:r>
        <w:rPr/>
        <w:t>置组划分为持有待售类别，否则将满足持有待售类别划分条件的非流动资产单独划分为持有待售类别。</w:t>
      </w:r>
    </w:p>
    <w:p>
      <w:pPr>
        <w:pStyle w:val="BodyText"/>
        <w:spacing w:line="240" w:lineRule="auto" w:before="19"/>
        <w:ind w:left="513" w:right="0"/>
        <w:jc w:val="left"/>
      </w:pPr>
      <w:r>
        <w:rPr/>
        <w:t>对于当期首次满足持有待售类别划分条件的非流动资产或处置组，不调整可比会计期间的资产负债表。</w:t>
      </w:r>
    </w:p>
    <w:p>
      <w:pPr>
        <w:pStyle w:val="BodyText"/>
        <w:spacing w:line="300" w:lineRule="auto" w:before="76"/>
        <w:ind w:left="514" w:right="0"/>
        <w:jc w:val="left"/>
      </w:pPr>
      <w:r>
        <w:rPr/>
        <w:t>（</w:t>
      </w:r>
      <w:r>
        <w:rPr>
          <w:rFonts w:ascii="Times New Roman" w:hAnsi="Times New Roman" w:cs="Times New Roman" w:eastAsia="Times New Roman" w:hint="default"/>
        </w:rPr>
        <w:t>2</w:t>
      </w:r>
      <w:r>
        <w:rPr/>
        <w:t>）持有待售类的非流动资产或处置组的初始计量及后续计量 </w:t>
      </w:r>
      <w:r>
        <w:rPr>
          <w:spacing w:val="-2"/>
        </w:rPr>
        <w:t>对于取得日划分为持有待售类别的非流动资产或处置组，公司在初始计量时比较假定其不划分为持有待售类别情况下的</w:t>
      </w:r>
    </w:p>
    <w:p>
      <w:pPr>
        <w:pStyle w:val="BodyText"/>
        <w:spacing w:line="316" w:lineRule="auto" w:before="31"/>
        <w:ind w:left="154" w:right="0"/>
        <w:jc w:val="left"/>
      </w:pPr>
      <w:r>
        <w:rPr>
          <w:spacing w:val="-2"/>
        </w:rPr>
        <w:t>初始计量金额和公允价值减去出售费用后的净额，以两者孰低计量。除公司合并中取得的非流动资产或处置组外，由非流动</w:t>
      </w:r>
      <w:r>
        <w:rPr>
          <w:spacing w:val="-66"/>
        </w:rPr>
        <w:t> </w:t>
      </w:r>
      <w:r>
        <w:rPr>
          <w:spacing w:val="-66"/>
        </w:rPr>
      </w:r>
      <w:r>
        <w:rPr/>
        <w:t>资产或处置组以公允价值减去出售费用后的净额作为初始计量金额而产生的差额，计入当期损益。</w:t>
      </w:r>
    </w:p>
    <w:p>
      <w:pPr>
        <w:pStyle w:val="BodyText"/>
        <w:spacing w:line="316" w:lineRule="auto" w:before="19"/>
        <w:ind w:right="1033" w:firstLine="360"/>
        <w:jc w:val="left"/>
      </w:pPr>
      <w:r>
        <w:rPr>
          <w:spacing w:val="-2"/>
        </w:rPr>
        <w:t>公司将非流动资产或处置组首次划分为持有待售类别前，按照相关会计准则规定计量非流动资产或处置组中各项资产和</w:t>
      </w:r>
      <w:r>
        <w:rPr/>
        <w:t> </w:t>
      </w:r>
      <w:r>
        <w:rPr>
          <w:spacing w:val="-2"/>
        </w:rPr>
        <w:t>负债的账面价值。在初始计量或资产负债表日重新计量持有待售的非流动资产或处置组时，其账面价值高于公允价值减去出</w:t>
      </w:r>
      <w:r>
        <w:rPr>
          <w:spacing w:val="-64"/>
        </w:rPr>
        <w:t> </w:t>
      </w:r>
      <w:r>
        <w:rPr>
          <w:spacing w:val="-64"/>
        </w:rPr>
      </w:r>
      <w:r>
        <w:rPr/>
        <w:t>售费用后的净额的，将账面价值减记至公允价值减去出售费用后的净额，减记的金额确认为资产减值损失，计入当期损益，</w:t>
      </w:r>
      <w:r>
        <w:rPr>
          <w:spacing w:val="-85"/>
        </w:rPr>
        <w:t> </w:t>
      </w:r>
      <w:r>
        <w:rPr>
          <w:spacing w:val="-85"/>
        </w:rPr>
      </w:r>
      <w:r>
        <w:rPr>
          <w:spacing w:val="-2"/>
        </w:rPr>
        <w:t>同时计提持有待售资产减值准备。持有待售的非流动资产或处置组中的非流动资产不计提折旧或摊销，持有待售的处置组中</w:t>
      </w:r>
      <w:r>
        <w:rPr>
          <w:spacing w:val="-64"/>
        </w:rPr>
        <w:t> </w:t>
      </w:r>
      <w:r>
        <w:rPr>
          <w:spacing w:val="-64"/>
        </w:rPr>
      </w:r>
      <w:r>
        <w:rPr/>
        <w:t>的负债的利息和其他费用应继续予以确认。</w:t>
      </w:r>
    </w:p>
    <w:p>
      <w:pPr>
        <w:pStyle w:val="BodyText"/>
        <w:spacing w:line="312" w:lineRule="auto" w:before="19"/>
        <w:ind w:left="154" w:right="1131" w:firstLine="360"/>
        <w:jc w:val="both"/>
      </w:pPr>
      <w:r>
        <w:rPr>
          <w:spacing w:val="-2"/>
        </w:rPr>
        <w:t>公司对持有待售的处置组确认资产减值损失金额时，先抵减处置组商誉的账面价值，再根据处置组中适用《企业会计准</w:t>
      </w:r>
      <w:r>
        <w:rPr/>
        <w:t> </w:t>
      </w:r>
      <w:r>
        <w:rPr>
          <w:spacing w:val="-1"/>
        </w:rPr>
        <w:t>则第</w:t>
      </w:r>
      <w:r>
        <w:rPr>
          <w:rFonts w:ascii="Times New Roman" w:hAnsi="Times New Roman" w:cs="Times New Roman" w:eastAsia="Times New Roman" w:hint="default"/>
          <w:spacing w:val="-1"/>
        </w:rPr>
        <w:t>42</w:t>
      </w:r>
      <w:r>
        <w:rPr>
          <w:spacing w:val="-1"/>
        </w:rPr>
        <w:t>号</w:t>
      </w:r>
      <w:r>
        <w:rPr>
          <w:rFonts w:ascii="Times New Roman" w:hAnsi="Times New Roman" w:cs="Times New Roman" w:eastAsia="Times New Roman" w:hint="default"/>
          <w:spacing w:val="-1"/>
        </w:rPr>
        <w:t>——</w:t>
      </w:r>
      <w:r>
        <w:rPr>
          <w:spacing w:val="-1"/>
        </w:rPr>
        <w:t>持有待售的非流动资产、处置组和终止经营》</w:t>
      </w:r>
      <w:r>
        <w:rPr>
          <w:rFonts w:ascii="Times New Roman" w:hAnsi="Times New Roman" w:cs="Times New Roman" w:eastAsia="Times New Roman" w:hint="default"/>
          <w:spacing w:val="-1"/>
        </w:rPr>
        <w:t>(</w:t>
      </w:r>
      <w:r>
        <w:rPr>
          <w:spacing w:val="-1"/>
        </w:rPr>
        <w:t>以下简称第</w:t>
      </w:r>
      <w:r>
        <w:rPr>
          <w:rFonts w:ascii="Times New Roman" w:hAnsi="Times New Roman" w:cs="Times New Roman" w:eastAsia="Times New Roman" w:hint="default"/>
          <w:spacing w:val="-1"/>
        </w:rPr>
        <w:t>42</w:t>
      </w:r>
      <w:r>
        <w:rPr>
          <w:spacing w:val="-1"/>
        </w:rPr>
        <w:t>号准则</w:t>
      </w:r>
      <w:r>
        <w:rPr>
          <w:rFonts w:ascii="Times New Roman" w:hAnsi="Times New Roman" w:cs="Times New Roman" w:eastAsia="Times New Roman" w:hint="default"/>
          <w:spacing w:val="-1"/>
        </w:rPr>
        <w:t>)</w:t>
      </w:r>
      <w:r>
        <w:rPr>
          <w:spacing w:val="-1"/>
        </w:rPr>
        <w:t>计量规定的各项非流动资产账面价值所占</w:t>
      </w:r>
      <w:r>
        <w:rPr>
          <w:spacing w:val="-55"/>
        </w:rPr>
        <w:t> </w:t>
      </w:r>
      <w:r>
        <w:rPr>
          <w:spacing w:val="-2"/>
        </w:rPr>
        <w:t>比重，按比例抵减其账面价值。公司在资产负债表日重新计量持有待售的处置组时，首先按照相关会计准则规定计量处置组</w:t>
      </w:r>
      <w:r>
        <w:rPr>
          <w:spacing w:val="-66"/>
        </w:rPr>
        <w:t> </w:t>
      </w:r>
      <w:r>
        <w:rPr>
          <w:spacing w:val="-66"/>
        </w:rPr>
      </w:r>
      <w:r>
        <w:rPr/>
        <w:t>中不适用第</w:t>
      </w:r>
      <w:r>
        <w:rPr>
          <w:rFonts w:ascii="Times New Roman" w:hAnsi="Times New Roman" w:cs="Times New Roman" w:eastAsia="Times New Roman" w:hint="default"/>
        </w:rPr>
        <w:t>42</w:t>
      </w:r>
      <w:r>
        <w:rPr/>
        <w:t>号准则计量规定的资产和负债的账面价值，再按照上述相关规定进行会计处理。</w:t>
      </w:r>
    </w:p>
    <w:p>
      <w:pPr>
        <w:pStyle w:val="BodyText"/>
        <w:spacing w:line="316" w:lineRule="auto" w:before="3"/>
        <w:ind w:right="1132" w:firstLine="360"/>
        <w:jc w:val="both"/>
      </w:pPr>
      <w:r>
        <w:rPr>
          <w:spacing w:val="-2"/>
        </w:rPr>
        <w:t>后续资产负债表日持有待售的非流动资产公允价值减去出售费用后的净额增加的，以前减记的金额应当予以恢复，并在</w:t>
      </w:r>
      <w:r>
        <w:rPr/>
        <w:t> </w:t>
      </w:r>
      <w:r>
        <w:rPr>
          <w:spacing w:val="-2"/>
        </w:rPr>
        <w:t>划分为持有待售类别后确认的资产减值损失金额内转回，转回金额计入当期损益；划分为持有待售类别前确认的资产减值损</w:t>
      </w:r>
      <w:r>
        <w:rPr>
          <w:spacing w:val="-64"/>
        </w:rPr>
        <w:t> </w:t>
      </w:r>
      <w:r>
        <w:rPr>
          <w:spacing w:val="-64"/>
        </w:rPr>
      </w:r>
      <w:r>
        <w:rPr/>
        <w:t>失不得转回。</w:t>
      </w:r>
    </w:p>
    <w:p>
      <w:pPr>
        <w:pStyle w:val="BodyText"/>
        <w:spacing w:line="240" w:lineRule="auto" w:before="19"/>
        <w:ind w:left="513" w:right="0"/>
        <w:jc w:val="left"/>
      </w:pPr>
      <w:r>
        <w:rPr/>
        <w:t>后续资产负债表日持有待售的处置组公允价值减去出售费用后的净额增加的，以前减记的金额应当予以恢复，并在划分</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33"/>
        <w:jc w:val="left"/>
      </w:pPr>
      <w:r>
        <w:rPr>
          <w:spacing w:val="-2"/>
        </w:rPr>
        <w:t>为持有待售类别后适用第</w:t>
      </w:r>
      <w:r>
        <w:rPr>
          <w:rFonts w:ascii="Times New Roman" w:hAnsi="Times New Roman" w:cs="Times New Roman" w:eastAsia="Times New Roman" w:hint="default"/>
          <w:spacing w:val="-2"/>
        </w:rPr>
        <w:t>42</w:t>
      </w:r>
      <w:r>
        <w:rPr>
          <w:spacing w:val="-2"/>
        </w:rPr>
        <w:t>号准则计量规定的非流动资产确认的资产减值损失金额内转回，转回金额依据处置组中除商誉外</w:t>
      </w:r>
      <w:r>
        <w:rPr>
          <w:spacing w:val="-62"/>
        </w:rPr>
        <w:t> </w:t>
      </w:r>
      <w:r>
        <w:rPr>
          <w:spacing w:val="-62"/>
        </w:rPr>
      </w:r>
      <w:r>
        <w:rPr/>
        <w:t>的适用第</w:t>
      </w:r>
      <w:r>
        <w:rPr>
          <w:rFonts w:ascii="Times New Roman" w:hAnsi="Times New Roman" w:cs="Times New Roman" w:eastAsia="Times New Roman" w:hint="default"/>
        </w:rPr>
        <w:t>42</w:t>
      </w:r>
      <w:r>
        <w:rPr/>
        <w:t>号准则计量规定的各项非流动资产账面价值所占比重，按比例增加其账面价值，同时将转回金额计入当期损益。</w:t>
      </w:r>
      <w:r>
        <w:rPr>
          <w:spacing w:val="-85"/>
        </w:rPr>
        <w:t> </w:t>
      </w:r>
      <w:r>
        <w:rPr>
          <w:spacing w:val="-85"/>
        </w:rPr>
      </w:r>
      <w:r>
        <w:rPr/>
        <w:t>已抵减的商誉账面价值以及划分为持有待售类别前确认的资产减值损失不得转回。</w:t>
      </w:r>
    </w:p>
    <w:p>
      <w:pPr>
        <w:pStyle w:val="BodyText"/>
        <w:spacing w:line="300" w:lineRule="auto" w:before="31"/>
        <w:ind w:left="514" w:right="1212"/>
        <w:jc w:val="left"/>
      </w:pPr>
      <w:r>
        <w:rPr/>
        <w:t>（</w:t>
      </w:r>
      <w:r>
        <w:rPr>
          <w:rFonts w:ascii="Times New Roman" w:hAnsi="Times New Roman" w:cs="Times New Roman" w:eastAsia="Times New Roman" w:hint="default"/>
        </w:rPr>
        <w:t>3</w:t>
      </w:r>
      <w:r>
        <w:rPr/>
        <w:t>）划分为持有待售类别的终止确认和计量 非流动资产或处置组不再满足持有待售类别的划分条件而不再继续划分为持有待售类别或非流动资产从持有待售的处</w:t>
      </w:r>
    </w:p>
    <w:p>
      <w:pPr>
        <w:pStyle w:val="BodyText"/>
        <w:spacing w:line="300" w:lineRule="auto" w:before="31"/>
        <w:ind w:left="154" w:right="1182"/>
        <w:jc w:val="left"/>
      </w:pPr>
      <w:r>
        <w:rPr/>
        <w:t>置组中移除时，按照以下两者孰低计量：</w:t>
      </w:r>
      <w:r>
        <w:rPr>
          <w:rFonts w:ascii="Times New Roman" w:hAnsi="Times New Roman" w:cs="Times New Roman" w:eastAsia="Times New Roman" w:hint="default"/>
        </w:rPr>
        <w:t>(1)</w:t>
      </w:r>
      <w:r>
        <w:rPr/>
        <w:t>划分为持有待售类别前的账面价值，按照假定不划分为持有待售类别情况下本 应确认的折旧、摊销或减值等进行调整后的金额；</w:t>
      </w:r>
      <w:r>
        <w:rPr>
          <w:rFonts w:ascii="Times New Roman" w:hAnsi="Times New Roman" w:cs="Times New Roman" w:eastAsia="Times New Roman" w:hint="default"/>
        </w:rPr>
        <w:t>(2)</w:t>
      </w:r>
      <w:r>
        <w:rPr/>
        <w:t>可收回金额。</w:t>
      </w:r>
    </w:p>
    <w:p>
      <w:pPr>
        <w:pStyle w:val="BodyText"/>
        <w:spacing w:line="240" w:lineRule="auto" w:before="13"/>
        <w:ind w:left="514" w:right="0"/>
        <w:jc w:val="left"/>
      </w:pPr>
      <w:r>
        <w:rPr/>
        <w:t>公司终止确认持有待售的非流动资产或处置组时，将尚未确认的利得或损失计入当期损益。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4、长期股权投资" w:id="190"/>
      <w:bookmarkEnd w:id="19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932" w:firstLine="360"/>
        <w:jc w:val="left"/>
      </w:pPr>
      <w:r>
        <w:rPr/>
        <w:t>本部分所指的长期股权投资是指本公司对被投资单位具有控制、共同控制或重大影响的长期股权投资，包括对子公司、 合营企业和联营企业的权益性投资。本公司对被投资单位不具有控制、共同控制或重大影响的长期股权投资，作为可供出售 金融资产或以公允价值计量且其变动计入当期损益的金融资产核算，其会计政策详见本附注三</w:t>
      </w: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金融工具的确认和计量</w:t>
      </w:r>
      <w:r>
        <w:rPr>
          <w:rFonts w:ascii="Times New Roman" w:hAnsi="Times New Roman" w:cs="Times New Roman" w:eastAsia="Times New Roman" w:hint="default"/>
        </w:rPr>
        <w:t>”</w:t>
      </w:r>
      <w:r>
        <w:rPr/>
        <w:t>。</w:t>
      </w:r>
    </w:p>
    <w:p>
      <w:pPr>
        <w:pStyle w:val="BodyText"/>
        <w:spacing w:line="300" w:lineRule="auto"/>
        <w:ind w:left="513" w:right="0"/>
        <w:jc w:val="left"/>
      </w:pPr>
      <w:r>
        <w:rPr/>
        <w:t>（</w:t>
      </w:r>
      <w:r>
        <w:rPr>
          <w:rFonts w:ascii="Times New Roman" w:hAnsi="Times New Roman" w:cs="Times New Roman" w:eastAsia="Times New Roman" w:hint="default"/>
        </w:rPr>
        <w:t>1</w:t>
      </w:r>
      <w:r>
        <w:rPr/>
        <w:t>）共同控制和重大影响的判断标准 </w:t>
      </w:r>
      <w:r>
        <w:rPr>
          <w:spacing w:val="-2"/>
        </w:rPr>
        <w:t>共同控制，是指按照相关约定对某项安排所共有的控制，并且该安排的相关活动必须经过分享控制权的参与方一致同意</w:t>
      </w:r>
    </w:p>
    <w:p>
      <w:pPr>
        <w:pStyle w:val="BodyText"/>
        <w:spacing w:line="316" w:lineRule="auto" w:before="31"/>
        <w:ind w:right="0"/>
        <w:jc w:val="left"/>
      </w:pPr>
      <w:r>
        <w:rPr>
          <w:spacing w:val="-2"/>
        </w:rPr>
        <w:t>后才能决策。本公司与其他合营方一同对被投资单位实施共同控制且对被投资单位实施共同控制且对被投资单位净资产享有</w:t>
      </w:r>
      <w:r>
        <w:rPr>
          <w:spacing w:val="-64"/>
        </w:rPr>
        <w:t> </w:t>
      </w:r>
      <w:r>
        <w:rPr>
          <w:spacing w:val="-64"/>
        </w:rPr>
      </w:r>
      <w:r>
        <w:rPr/>
        <w:t>权利的，被投资单位为本公司的合营企业。判断是否存在共同控制时，不考虑享有的保护性权利。</w:t>
      </w:r>
    </w:p>
    <w:p>
      <w:pPr>
        <w:pStyle w:val="BodyText"/>
        <w:spacing w:line="316" w:lineRule="auto" w:before="19"/>
        <w:ind w:right="1043" w:firstLine="360"/>
        <w:jc w:val="both"/>
      </w:pPr>
      <w:r>
        <w:rPr>
          <w:spacing w:val="-2"/>
        </w:rPr>
        <w:t>重大影响，是指对一个企业的财务和经营决策有参与决策的权力，但并不能够控制或者与其他方一起共同控制这些政策</w:t>
      </w:r>
      <w:r>
        <w:rPr/>
        <w:t> </w:t>
      </w:r>
      <w:r>
        <w:rPr>
          <w:spacing w:val="-2"/>
        </w:rPr>
        <w:t>的制定。本公司能够对被投资单位施加重大影响的，被投资单位为本公司联营企业。在确定能否对被投资单位施加重大影响</w:t>
      </w:r>
      <w:r>
        <w:rPr>
          <w:spacing w:val="-66"/>
        </w:rPr>
        <w:t> </w:t>
      </w:r>
      <w:r>
        <w:rPr>
          <w:spacing w:val="-66"/>
        </w:rPr>
      </w:r>
      <w:r>
        <w:rPr>
          <w:spacing w:val="-2"/>
        </w:rPr>
        <w:t>时，考虑投资方直接或间接持有被投资单位的表决权股份以及投资方及其他方持有的当期可执行潜在表决权在假定转换为对</w:t>
      </w:r>
      <w:r>
        <w:rPr>
          <w:spacing w:val="-64"/>
        </w:rPr>
        <w:t> </w:t>
      </w:r>
      <w:r>
        <w:rPr>
          <w:spacing w:val="-64"/>
        </w:rPr>
      </w:r>
      <w:r>
        <w:rPr/>
        <w:t>被投资方单位的股权后产生的影响，包括被投资单位发行的当期可转换的认股权证、股份期权及可转换公司债券等的影响。</w:t>
      </w:r>
    </w:p>
    <w:p>
      <w:pPr>
        <w:pStyle w:val="BodyText"/>
        <w:spacing w:line="240" w:lineRule="auto" w:before="19"/>
        <w:ind w:left="514" w:right="0"/>
        <w:jc w:val="left"/>
      </w:pPr>
      <w:r>
        <w:rPr/>
        <w:t>（</w:t>
      </w:r>
      <w:r>
        <w:rPr>
          <w:rFonts w:ascii="Times New Roman" w:hAnsi="Times New Roman" w:cs="Times New Roman" w:eastAsia="Times New Roman" w:hint="default"/>
        </w:rPr>
        <w:t>2</w:t>
      </w:r>
      <w:r>
        <w:rPr/>
        <w:t>）长期股权投资的投资成本的确定</w:t>
      </w:r>
    </w:p>
    <w:p>
      <w:pPr>
        <w:pStyle w:val="BodyText"/>
        <w:spacing w:line="314" w:lineRule="auto" w:before="63"/>
        <w:ind w:right="1131" w:firstLine="360"/>
        <w:jc w:val="both"/>
      </w:pPr>
      <w:r>
        <w:rPr>
          <w:spacing w:val="-2"/>
        </w:rPr>
        <w:t>①同一控制下的合并形成的，合并方以支付现金、转让非现金资产、承担债务或发行权益性证券作为合并对价的，在合</w:t>
      </w:r>
      <w:r>
        <w:rPr/>
        <w:t> </w:t>
      </w:r>
      <w:r>
        <w:rPr>
          <w:spacing w:val="-2"/>
        </w:rPr>
        <w:t>并日按取得被合并方所有者权益在最终控制方合并财务报表中的账面价值的份额作为其初始投资成本。长期股权投资初始投</w:t>
      </w:r>
      <w:r>
        <w:rPr>
          <w:spacing w:val="-64"/>
        </w:rPr>
        <w:t> </w:t>
      </w:r>
      <w:r>
        <w:rPr>
          <w:spacing w:val="-64"/>
        </w:rPr>
      </w:r>
      <w:r>
        <w:rPr>
          <w:spacing w:val="-2"/>
        </w:rPr>
        <w:t>资成本与支付的现金、转让的非现金资产、所承担债务账面价值或发行股份的面值总额之间的差额调整资本公积；资本公积</w:t>
      </w:r>
      <w:r>
        <w:rPr>
          <w:spacing w:val="-66"/>
        </w:rPr>
        <w:t> </w:t>
      </w:r>
      <w:r>
        <w:rPr>
          <w:spacing w:val="-66"/>
        </w:rPr>
      </w:r>
      <w:r>
        <w:rPr>
          <w:spacing w:val="-2"/>
        </w:rPr>
        <w:t>不足冲减的，调整留存收益。通过多次交易分步取得同一控制下被合并方的股权，最终形成同一控制下企业合并的，应分别</w:t>
      </w:r>
      <w:r>
        <w:rPr>
          <w:spacing w:val="-66"/>
        </w:rPr>
        <w:t> </w:t>
      </w:r>
      <w:r>
        <w:rPr>
          <w:spacing w:val="-66"/>
        </w:rPr>
      </w:r>
      <w:r>
        <w:rPr/>
        <w:t>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 揽子交易</w:t>
      </w:r>
      <w:r>
        <w:rPr>
          <w:rFonts w:ascii="Times New Roman" w:hAnsi="Times New Roman" w:cs="Times New Roman" w:eastAsia="Times New Roman" w:hint="default"/>
        </w:rPr>
        <w:t>”</w:t>
      </w:r>
      <w:r>
        <w:rPr/>
        <w:t>的，在合并日按照应享有被合并方股东权益在最终控制方合并财务报表中的账面价值的份额作为长期股权投资的 </w:t>
      </w:r>
      <w:r>
        <w:rPr>
          <w:spacing w:val="-2"/>
        </w:rPr>
        <w:t>初始投资成本，长期股权投资初始投资成本与达到合并前的长期股权投资账面价值加上合并日进一步取得股份新支付对价的</w:t>
      </w:r>
      <w:r>
        <w:rPr>
          <w:spacing w:val="-64"/>
        </w:rPr>
        <w:t> </w:t>
      </w:r>
      <w:r>
        <w:rPr>
          <w:spacing w:val="-64"/>
        </w:rPr>
      </w:r>
      <w:r>
        <w:rPr>
          <w:spacing w:val="-2"/>
        </w:rPr>
        <w:t>账面价值之和的差额，调整资本公积；资本公积不足冲减的，调整留存收益。合并日之前持有的股权投资因采用权益法核算</w:t>
      </w:r>
      <w:r>
        <w:rPr>
          <w:spacing w:val="-66"/>
        </w:rPr>
        <w:t> </w:t>
      </w:r>
      <w:r>
        <w:rPr>
          <w:spacing w:val="-66"/>
        </w:rPr>
      </w:r>
      <w:r>
        <w:rPr/>
        <w:t>或为可供出售金融资产而确认的其他综合收益，暂不进行会计处理。</w:t>
      </w:r>
    </w:p>
    <w:p>
      <w:pPr>
        <w:pStyle w:val="BodyText"/>
        <w:spacing w:line="314" w:lineRule="auto" w:before="20"/>
        <w:ind w:right="1130" w:firstLine="360"/>
        <w:jc w:val="both"/>
      </w:pPr>
      <w:r>
        <w:rPr>
          <w:spacing w:val="-2"/>
        </w:rPr>
        <w:t>②非同一控制下的企业合并形成的，公司按照购买日确定的合并成本作为长期股权投资的初始投资成本。合并成本为购</w:t>
      </w:r>
      <w:r>
        <w:rPr/>
        <w:t> </w:t>
      </w:r>
      <w:r>
        <w:rPr>
          <w:spacing w:val="-2"/>
        </w:rPr>
        <w:t>买日购买方为取得对被购买方的控制权而付出的资产、发生或承担的负债以及发行的权益性证券的公允价值。购买方为企业</w:t>
      </w:r>
      <w:r>
        <w:rPr>
          <w:spacing w:val="-64"/>
        </w:rPr>
        <w:t> </w:t>
      </w:r>
      <w:r>
        <w:rPr>
          <w:spacing w:val="-64"/>
        </w:rPr>
      </w:r>
      <w:r>
        <w:rPr>
          <w:spacing w:val="-2"/>
        </w:rPr>
        <w:t>合并而发生的审计、法律服务、评估咨询等中介费用以及其他相关管理费用于发生时计入当期损益；购买方作为合并对价发</w:t>
      </w:r>
      <w:r>
        <w:rPr>
          <w:spacing w:val="-66"/>
        </w:rPr>
        <w:t> </w:t>
      </w:r>
      <w:r>
        <w:rPr>
          <w:spacing w:val="-66"/>
        </w:rPr>
      </w:r>
      <w:r>
        <w:rPr>
          <w:spacing w:val="-2"/>
        </w:rPr>
        <w:t>行的权益性证券或债务性证券的交易费用，计入权益性证券或债务性证券的初始确认金额。本公司将合并协议约定的或有对</w:t>
      </w:r>
      <w:r>
        <w:rPr>
          <w:spacing w:val="-64"/>
        </w:rPr>
        <w:t> </w:t>
      </w:r>
      <w:r>
        <w:rPr>
          <w:spacing w:val="-64"/>
        </w:rPr>
      </w:r>
      <w:r>
        <w:rPr>
          <w:spacing w:val="-2"/>
        </w:rPr>
        <w:t>价作为企业合并转移对价的一部分，按照其在购买日的公允价值计入企业合并成本。通过多次交易分步实现的非同一控制下</w:t>
      </w:r>
      <w:r>
        <w:rPr>
          <w:spacing w:val="-64"/>
        </w:rPr>
        <w:t> </w:t>
      </w:r>
      <w:r>
        <w:rPr>
          <w:spacing w:val="-64"/>
        </w:rPr>
      </w:r>
      <w:r>
        <w:rPr>
          <w:spacing w:val="-1"/>
        </w:rPr>
        <w:t>企业合并，根据企业会计准则判断该多次交易是否属于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w:t>
      </w:r>
      <w:r>
        <w:rPr>
          <w:spacing w:val="-79"/>
        </w:rPr>
        <w:t> </w:t>
      </w:r>
      <w:r>
        <w:rPr>
          <w:spacing w:val="-79"/>
        </w:rPr>
      </w:r>
      <w:r>
        <w:rPr>
          <w:spacing w:val="-2"/>
        </w:rPr>
        <w:t>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的，按照原持有被购买方的股权投资账面价值加上新增投资成本之和，作为改</w:t>
      </w:r>
      <w:r>
        <w:rPr>
          <w:spacing w:val="-45"/>
        </w:rPr>
        <w:t> </w:t>
      </w:r>
      <w:r>
        <w:rPr>
          <w:spacing w:val="-45"/>
        </w:rPr>
      </w:r>
      <w:r>
        <w:rPr>
          <w:spacing w:val="-2"/>
        </w:rPr>
        <w:t>按成本法核算的长期股权投资的初始投资成本；原持有的股权采用权益法核算的，相关其他综合收益暂不进行会计处理；原</w:t>
      </w:r>
      <w:r>
        <w:rPr>
          <w:spacing w:val="-66"/>
        </w:rPr>
        <w:t> </w:t>
      </w:r>
      <w:r>
        <w:rPr>
          <w:spacing w:val="-66"/>
        </w:rPr>
      </w:r>
      <w:r>
        <w:rPr>
          <w:spacing w:val="-2"/>
        </w:rPr>
        <w:t>持有股权投资为可供出售金融资产的，其公允价值与账面价值之间的差额，以及原计入其他综合收益的累计公允价值变动转</w:t>
      </w:r>
      <w:r>
        <w:rPr>
          <w:spacing w:val="-64"/>
        </w:rPr>
        <w:t> </w:t>
      </w:r>
      <w:r>
        <w:rPr>
          <w:spacing w:val="-64"/>
        </w:rPr>
      </w:r>
      <w:r>
        <w:rPr/>
        <w:t>入当期损益。</w:t>
      </w:r>
    </w:p>
    <w:p>
      <w:pPr>
        <w:pStyle w:val="BodyText"/>
        <w:spacing w:line="316" w:lineRule="auto" w:before="20"/>
        <w:ind w:left="154" w:right="1133" w:firstLine="360"/>
        <w:jc w:val="both"/>
      </w:pPr>
      <w:r>
        <w:rPr>
          <w:spacing w:val="-2"/>
        </w:rPr>
        <w:t>③除企业合并形成的长期股权投资外的其他股权投资，按成本进行初始计量：以支付现金取得的，按照实际支付的购买</w:t>
      </w:r>
      <w:r>
        <w:rPr/>
        <w:t> </w:t>
      </w:r>
      <w:r>
        <w:rPr>
          <w:spacing w:val="-2"/>
        </w:rPr>
        <w:t>价款作为其初始投资成本；以发行权益性证券取得的，按照发行权益性证券的公允价值作为其初始投资成本，与发行权益性</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130"/>
        <w:jc w:val="both"/>
      </w:pPr>
      <w:r>
        <w:rPr>
          <w:spacing w:val="-2"/>
        </w:rPr>
        <w:t>证券直接相关的费用，按照《企业会计准则第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金融工具列报》的有关规定确定；在非货币性资产交换具有商业实质</w:t>
      </w:r>
      <w:r>
        <w:rPr>
          <w:spacing w:val="-64"/>
        </w:rPr>
        <w:t> </w:t>
      </w:r>
      <w:r>
        <w:rPr>
          <w:spacing w:val="-64"/>
        </w:rPr>
      </w:r>
      <w:r>
        <w:rPr>
          <w:spacing w:val="-2"/>
        </w:rPr>
        <w:t>和换入资产或换出资产的公允价值能够可靠计量的前提下，非货币性资产交换换入的长期股权投资以换出资产的公允价值和</w:t>
      </w:r>
      <w:r>
        <w:rPr>
          <w:spacing w:val="-64"/>
        </w:rPr>
        <w:t> </w:t>
      </w:r>
      <w:r>
        <w:rPr>
          <w:spacing w:val="-64"/>
        </w:rPr>
      </w:r>
      <w:r>
        <w:rPr>
          <w:spacing w:val="-2"/>
        </w:rPr>
        <w:t>应支付的相关税费确定其初始投资成本，除非有确凿证据表明换入资产的公允价值更加可靠；不满足上述前提的非货币性资</w:t>
      </w:r>
      <w:r>
        <w:rPr>
          <w:spacing w:val="-63"/>
        </w:rPr>
        <w:t> </w:t>
      </w:r>
      <w:r>
        <w:rPr>
          <w:spacing w:val="-63"/>
        </w:rPr>
      </w:r>
      <w:r>
        <w:rPr>
          <w:spacing w:val="-2"/>
        </w:rPr>
        <w:t>产交换，以换出资产的账面价值和应支付的相关税费作为换入长期股权投资的初始投资成本。通过债务重组取得的长期股权</w:t>
      </w:r>
      <w:r>
        <w:rPr>
          <w:spacing w:val="-64"/>
        </w:rPr>
        <w:t> </w:t>
      </w:r>
      <w:r>
        <w:rPr>
          <w:spacing w:val="-64"/>
        </w:rPr>
      </w:r>
      <w:r>
        <w:rPr>
          <w:spacing w:val="-2"/>
        </w:rPr>
        <w:t>投资，其初始投资成本按照公允价值为基础确定。与取得长期股权投资直接相关的费用、税金及其他必要支出也计入投资成</w:t>
      </w:r>
      <w:r>
        <w:rPr>
          <w:spacing w:val="-66"/>
        </w:rPr>
        <w:t> </w:t>
      </w:r>
      <w:r>
        <w:rPr>
          <w:spacing w:val="-66"/>
        </w:rPr>
      </w:r>
      <w:r>
        <w:rPr/>
        <w:t>本。</w:t>
      </w:r>
    </w:p>
    <w:p>
      <w:pPr>
        <w:pStyle w:val="BodyText"/>
        <w:spacing w:line="312" w:lineRule="auto" w:before="20"/>
        <w:ind w:right="1131" w:firstLine="360"/>
        <w:jc w:val="both"/>
      </w:pPr>
      <w:r>
        <w:rPr>
          <w:spacing w:val="-2"/>
        </w:rPr>
        <w:t>对于因追加投资能够对被投资单位实施重大影响或实施共同控制但不构成控制的，长期股权投资成本为按照《企业会计</w:t>
      </w:r>
      <w:r>
        <w:rPr/>
        <w:t> </w:t>
      </w:r>
      <w:r>
        <w:rPr>
          <w:spacing w:val="-2"/>
        </w:rPr>
        <w:t>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金融工具确认和计量》确定的原持有股权投资的公允价值加上新增投资成本之和，作为改按权益法核算的初</w:t>
      </w:r>
      <w:r>
        <w:rPr>
          <w:spacing w:val="-62"/>
        </w:rPr>
        <w:t> </w:t>
      </w:r>
      <w:r>
        <w:rPr>
          <w:spacing w:val="-62"/>
        </w:rPr>
      </w:r>
      <w:r>
        <w:rPr>
          <w:spacing w:val="-2"/>
        </w:rPr>
        <w:t>始投资成本。原持有的股权投资分类为可供出售金融资产的，其公允价值与账面价值之间的差额，以及原计入其他综合收益</w:t>
      </w:r>
      <w:r>
        <w:rPr>
          <w:spacing w:val="-66"/>
        </w:rPr>
        <w:t> </w:t>
      </w:r>
      <w:r>
        <w:rPr>
          <w:spacing w:val="-66"/>
        </w:rPr>
      </w:r>
      <w:r>
        <w:rPr/>
        <w:t>的累计公允价值变动应当转入改按权益法核算的当期损益。</w:t>
      </w:r>
    </w:p>
    <w:p>
      <w:pPr>
        <w:pStyle w:val="BodyText"/>
        <w:spacing w:line="240" w:lineRule="auto" w:before="22"/>
        <w:ind w:left="514" w:right="0"/>
        <w:jc w:val="left"/>
      </w:pPr>
      <w:r>
        <w:rPr/>
        <w:t>（</w:t>
      </w:r>
      <w:r>
        <w:rPr>
          <w:rFonts w:ascii="Times New Roman" w:hAnsi="Times New Roman" w:cs="Times New Roman" w:eastAsia="Times New Roman" w:hint="default"/>
        </w:rPr>
        <w:t>3</w:t>
      </w:r>
      <w:r>
        <w:rPr/>
        <w:t>）长期股权投资的后续计量及损益确认方法</w:t>
      </w:r>
    </w:p>
    <w:p>
      <w:pPr>
        <w:pStyle w:val="BodyText"/>
        <w:spacing w:line="316" w:lineRule="auto" w:before="63"/>
        <w:ind w:left="514" w:right="0"/>
        <w:jc w:val="left"/>
      </w:pPr>
      <w:r>
        <w:rPr/>
        <w:t>①成本法核算的长期股权投资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19"/>
        <w:ind w:left="154" w:right="0"/>
        <w:jc w:val="both"/>
      </w:pPr>
      <w:r>
        <w:rPr/>
        <w:t>金股利或利润外，公司按照享有被投资单位宣告发放的现金股利或利润确认当期投资收益。</w:t>
      </w:r>
    </w:p>
    <w:p>
      <w:pPr>
        <w:pStyle w:val="BodyText"/>
        <w:spacing w:line="316" w:lineRule="auto" w:before="76"/>
        <w:ind w:left="514" w:right="5712"/>
        <w:jc w:val="left"/>
      </w:pPr>
      <w:r>
        <w:rPr/>
        <w:t>②权益法核算的长期股权投资 对联营企业和合营企业的长期股权投资，采用权益法核算。</w:t>
      </w:r>
    </w:p>
    <w:p>
      <w:pPr>
        <w:pStyle w:val="BodyText"/>
        <w:spacing w:line="316" w:lineRule="auto" w:before="19"/>
        <w:ind w:left="154" w:right="1032" w:firstLine="360"/>
        <w:jc w:val="left"/>
      </w:pPr>
      <w:r>
        <w:rPr>
          <w:spacing w:val="-2"/>
        </w:rPr>
        <w:t>采用权益法核算的长期股权投资的初始投资成本大于投资时应享有被投资单位可辨认净资产公允价值份额的，不调整长</w:t>
      </w:r>
      <w:r>
        <w:rPr/>
        <w:t> </w:t>
      </w:r>
      <w:r>
        <w:rPr>
          <w:spacing w:val="-2"/>
        </w:rPr>
        <w:t>期股权投资的初始投资成本；长期股权投资的初始投资成本小于投资时应享有被投资单位可辨认净资产公允价值份额的，其</w:t>
      </w:r>
      <w:r>
        <w:rPr>
          <w:spacing w:val="-64"/>
        </w:rPr>
        <w:t> </w:t>
      </w:r>
      <w:r>
        <w:rPr>
          <w:spacing w:val="-64"/>
        </w:rPr>
      </w:r>
      <w:r>
        <w:rPr>
          <w:spacing w:val="-2"/>
        </w:rPr>
        <w:t>差额应当计入当期损益，同时调整长期股权投资的成本。取得长期股权投资后，被投资单位采用的会计政策及会计期间与公</w:t>
      </w:r>
      <w:r>
        <w:rPr>
          <w:spacing w:val="-66"/>
        </w:rPr>
        <w:t> </w:t>
      </w:r>
      <w:r>
        <w:rPr>
          <w:spacing w:val="-66"/>
        </w:rPr>
      </w:r>
      <w:r>
        <w:rPr/>
        <w:t>司不一致的，按照公司的会计政策及会计期间对被投资单位的财务报表进行调整，并据以确认投资损益和其他综合收益等。</w:t>
      </w:r>
      <w:r>
        <w:rPr>
          <w:spacing w:val="-85"/>
        </w:rPr>
        <w:t> </w:t>
      </w:r>
      <w:r>
        <w:rPr>
          <w:spacing w:val="-85"/>
        </w:rPr>
      </w:r>
      <w:r>
        <w:rPr>
          <w:spacing w:val="-2"/>
        </w:rPr>
        <w:t>按照应享有或应分担的被投资单位实现的净损益和其他综合收益的份额，分别确认投资收益和其他综合收益，同时调整长期</w:t>
      </w:r>
      <w:r>
        <w:rPr>
          <w:spacing w:val="-64"/>
        </w:rPr>
        <w:t> </w:t>
      </w:r>
      <w:r>
        <w:rPr>
          <w:spacing w:val="-64"/>
        </w:rPr>
      </w:r>
      <w:r>
        <w:rPr>
          <w:spacing w:val="-2"/>
        </w:rPr>
        <w:t>股权投资的账面价值；在确认应享有被投资单位净损益的份额时，以取得投资时被投资单位各项可辨认资产等的公允价值为</w:t>
      </w:r>
      <w:r>
        <w:rPr>
          <w:spacing w:val="-64"/>
        </w:rPr>
        <w:t> </w:t>
      </w:r>
      <w:r>
        <w:rPr>
          <w:spacing w:val="-64"/>
        </w:rPr>
      </w:r>
      <w:r>
        <w:rPr>
          <w:spacing w:val="-2"/>
        </w:rPr>
        <w:t>基础，对被投资单位的净利润进行调整后确认。按照被投资单位宣告分派的利润或现金股利计算应享有的部分，相应减少长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资的账面价值并计入所有者权益。公司与联营企业、合营企业之间发生的未实现内部交易损益按照享有的比例计算归属于公</w:t>
      </w:r>
      <w:r>
        <w:rPr>
          <w:spacing w:val="-64"/>
        </w:rPr>
        <w:t> </w:t>
      </w:r>
      <w:r>
        <w:rPr>
          <w:spacing w:val="-64"/>
        </w:rPr>
      </w:r>
      <w:r>
        <w:rPr>
          <w:spacing w:val="-2"/>
        </w:rPr>
        <w:t>司的部分，予以抵销，在此基础上确认投资收益。与被投资单位发生的未实现内部交易损失，属于资产减值损失的，全额确</w:t>
      </w:r>
      <w:r>
        <w:rPr>
          <w:spacing w:val="-66"/>
        </w:rPr>
        <w:t> </w:t>
      </w:r>
      <w:r>
        <w:rPr>
          <w:spacing w:val="-66"/>
        </w:rPr>
      </w:r>
      <w:r>
        <w:rPr/>
        <w:t>认。</w:t>
      </w:r>
    </w:p>
    <w:p>
      <w:pPr>
        <w:pStyle w:val="BodyText"/>
        <w:spacing w:line="316" w:lineRule="auto" w:before="19"/>
        <w:ind w:left="154" w:right="1131" w:firstLine="360"/>
        <w:jc w:val="both"/>
      </w:pPr>
      <w:r>
        <w:rPr>
          <w:spacing w:val="-2"/>
        </w:rPr>
        <w:t>在公司确认应分担被投资单位发生亏损时，按照以下顺序进行处理：首先，冲减长期股权投资的账面价值。其次，长期</w:t>
      </w:r>
      <w:r>
        <w:rPr/>
        <w:t> </w:t>
      </w:r>
      <w:r>
        <w:rPr>
          <w:spacing w:val="-2"/>
        </w:rPr>
        <w:t>股权投资的账面价值不足以冲减的，以其他实质上构成对被投资单位净投资的长期权益账面价值为限继续确认投资损失、冲</w:t>
      </w:r>
      <w:r>
        <w:rPr>
          <w:spacing w:val="-64"/>
        </w:rPr>
        <w:t> </w:t>
      </w:r>
      <w:r>
        <w:rPr>
          <w:spacing w:val="-64"/>
        </w:rPr>
      </w:r>
      <w:r>
        <w:rPr>
          <w:spacing w:val="-2"/>
        </w:rPr>
        <w:t>减长期应收项目的账面价值。经过上述处理，按照投资合同或协议约定公司仍承担额外义务的，按预计承担的义务确认预计</w:t>
      </w:r>
      <w:r>
        <w:rPr>
          <w:spacing w:val="-66"/>
        </w:rPr>
        <w:t> </w:t>
      </w:r>
      <w:r>
        <w:rPr>
          <w:spacing w:val="-66"/>
        </w:rPr>
      </w:r>
      <w:r>
        <w:rPr>
          <w:spacing w:val="-2"/>
        </w:rPr>
        <w:t>负债，计入当期投资损失。被投资单位以后期间实现净利润的，本公司在收益弥补未确认的亏损分担额后，恢复确认收益分</w:t>
      </w:r>
      <w:r>
        <w:rPr>
          <w:spacing w:val="-66"/>
        </w:rPr>
        <w:t> </w:t>
      </w:r>
      <w:r>
        <w:rPr>
          <w:spacing w:val="-66"/>
        </w:rPr>
      </w:r>
      <w:r>
        <w:rPr/>
        <w:t>享额。</w:t>
      </w:r>
    </w:p>
    <w:p>
      <w:pPr>
        <w:pStyle w:val="BodyText"/>
        <w:spacing w:line="316" w:lineRule="auto" w:before="19"/>
        <w:ind w:left="154" w:right="1131" w:firstLine="360"/>
        <w:jc w:val="both"/>
      </w:pPr>
      <w:r>
        <w:rPr>
          <w:spacing w:val="-2"/>
        </w:rPr>
        <w:t>在持有投资期间，被投资单位编制合并财务报表的，以合并财务报表中的净利润、其他综合收益和其他所有者权益变动</w:t>
      </w:r>
      <w:r>
        <w:rPr/>
        <w:t> 中归属于被投资单位的金额为基础进行核算。</w:t>
      </w:r>
    </w:p>
    <w:p>
      <w:pPr>
        <w:pStyle w:val="BodyText"/>
        <w:spacing w:line="314" w:lineRule="auto" w:before="19"/>
        <w:ind w:right="1131" w:firstLine="360"/>
        <w:jc w:val="both"/>
      </w:pPr>
      <w:r>
        <w:rPr>
          <w:spacing w:val="-2"/>
        </w:rPr>
        <w:t>对于本公司向合营企业与联营企业投出的资产构成业务的，投资方因此取得长期股权投资但未取得控制权的，以投出业</w:t>
      </w:r>
      <w:r>
        <w:rPr/>
        <w:t> </w:t>
      </w:r>
      <w:r>
        <w:rPr>
          <w:spacing w:val="-2"/>
        </w:rPr>
        <w:t>务的公允价值作为新增长期股权投资的初始投资成本，初始投资成本与投出业务的账面价值之差，全额计入当期损益。本公</w:t>
      </w:r>
      <w:r>
        <w:rPr>
          <w:spacing w:val="-66"/>
        </w:rPr>
        <w:t> </w:t>
      </w:r>
      <w:r>
        <w:rPr>
          <w:spacing w:val="-66"/>
        </w:rPr>
      </w:r>
      <w:r>
        <w:rPr>
          <w:spacing w:val="-2"/>
        </w:rPr>
        <w:t>司向合营企业或者联营企业出售的资产构成业务的，取得的对价与业务的账面价值之差，全额计入当期损益。本公司自联营</w:t>
      </w:r>
      <w:r>
        <w:rPr>
          <w:spacing w:val="-66"/>
        </w:rPr>
        <w:t> </w:t>
      </w:r>
      <w:r>
        <w:rPr>
          <w:spacing w:val="-66"/>
        </w:rPr>
      </w:r>
      <w:r>
        <w:rPr>
          <w:spacing w:val="-2"/>
        </w:rPr>
        <w:t>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企业合并》的规定进行会计处理，全额确认与交易相关的</w:t>
      </w:r>
      <w:r>
        <w:rPr>
          <w:spacing w:val="-64"/>
        </w:rPr>
        <w:t> </w:t>
      </w:r>
      <w:r>
        <w:rPr>
          <w:spacing w:val="-64"/>
        </w:rPr>
      </w:r>
      <w:r>
        <w:rPr/>
        <w:t>利得或损失。</w:t>
      </w:r>
    </w:p>
    <w:p>
      <w:pPr>
        <w:pStyle w:val="BodyText"/>
        <w:spacing w:line="300" w:lineRule="auto" w:before="20"/>
        <w:ind w:left="514" w:right="4632"/>
        <w:jc w:val="left"/>
      </w:pPr>
      <w:r>
        <w:rPr/>
        <w:t>（</w:t>
      </w:r>
      <w:r>
        <w:rPr>
          <w:rFonts w:ascii="Times New Roman" w:hAnsi="Times New Roman" w:cs="Times New Roman" w:eastAsia="Times New Roman" w:hint="default"/>
        </w:rPr>
        <w:t>4</w:t>
      </w:r>
      <w:r>
        <w:rPr/>
        <w:t>）长期股权投资的处置 处置长期股权投资，其账面价值与实际取得价款的差额，计入当期损益。</w:t>
      </w:r>
    </w:p>
    <w:p>
      <w:pPr>
        <w:pStyle w:val="BodyText"/>
        <w:spacing w:line="316" w:lineRule="auto" w:before="31"/>
        <w:ind w:left="513" w:right="0"/>
        <w:jc w:val="left"/>
      </w:pPr>
      <w:r>
        <w:rPr/>
        <w:t>①权益法核算下的长期股权投资的处置 </w:t>
      </w:r>
      <w:r>
        <w:rPr>
          <w:spacing w:val="-2"/>
        </w:rPr>
        <w:t>采用权益法核算的长期股权投资，处置后的剩余股权仍采用权益法核算的，在处置该项投资时，采用与被投资单位直接</w:t>
      </w:r>
    </w:p>
    <w:p>
      <w:pPr>
        <w:pStyle w:val="BodyText"/>
        <w:spacing w:line="240" w:lineRule="auto" w:before="19"/>
        <w:ind w:right="0"/>
        <w:jc w:val="both"/>
      </w:pPr>
      <w:r>
        <w:rPr/>
        <w:t>处置相关资产或者负债相同的基础，按相应比例对原计入其他综合收益的部分进行会计处理。因被投资单位除净损益、其他</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0" w:hanging="360"/>
        <w:jc w:val="left"/>
      </w:pPr>
      <w:r>
        <w:rPr/>
        <w:t>综合收益和利润分配以外的其他所有者权益变动而确认的所有者权益，按比例结转入当期损益。 </w:t>
      </w:r>
      <w:r>
        <w:rPr>
          <w:spacing w:val="-2"/>
        </w:rPr>
        <w:t>因处置部分股权投资等原因丧失了对投资单位的共同控制或者重大影响的，处置后的剩余股权改按金融工具确认和计量</w:t>
      </w:r>
    </w:p>
    <w:p>
      <w:pPr>
        <w:pStyle w:val="BodyText"/>
        <w:spacing w:line="319" w:lineRule="auto" w:before="19"/>
        <w:ind w:right="1033"/>
        <w:jc w:val="left"/>
      </w:pP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算而确认的其他综合收益，在终止确认权益法核算时采用与被投资单位直接处置相关资产或负债相同的基础进行会计处理。</w:t>
      </w:r>
      <w:r>
        <w:rPr>
          <w:spacing w:val="-85"/>
        </w:rPr>
        <w:t> </w:t>
      </w:r>
      <w:r>
        <w:rPr>
          <w:spacing w:val="-85"/>
        </w:rPr>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316" w:lineRule="auto" w:before="17"/>
        <w:ind w:left="513" w:right="0"/>
        <w:jc w:val="left"/>
      </w:pPr>
      <w:r>
        <w:rPr/>
        <w:t>②成本法核算下的长期股权投资的处置 </w:t>
      </w:r>
      <w:r>
        <w:rPr>
          <w:spacing w:val="-2"/>
        </w:rPr>
        <w:t>采用成本法核算的长期股权投资，处置后剩余股权仍采用成本法核算的，其在取得对被投资单位的控制之前因采用权益</w:t>
      </w:r>
    </w:p>
    <w:p>
      <w:pPr>
        <w:pStyle w:val="BodyText"/>
        <w:spacing w:line="316" w:lineRule="auto" w:before="19"/>
        <w:ind w:right="1131"/>
        <w:jc w:val="both"/>
      </w:pPr>
      <w:r>
        <w:rPr>
          <w:spacing w:val="-2"/>
        </w:rPr>
        <w:t>法核算或者金融工具确认和计量准则核算而确认的其他综合收益，采用与被投资单位直接处置相关资产或者负债相同的基础</w:t>
      </w:r>
      <w:r>
        <w:rPr>
          <w:spacing w:val="-64"/>
        </w:rPr>
        <w:t> </w:t>
      </w:r>
      <w:r>
        <w:rPr>
          <w:spacing w:val="-64"/>
        </w:rPr>
      </w:r>
      <w:r>
        <w:rPr>
          <w:spacing w:val="-2"/>
        </w:rPr>
        <w:t>进行处理，并按比例结转当期损益；因采用权益法核算而确认的被投资单位净资产中除净损益、其他综合收益和净利润分配</w:t>
      </w:r>
      <w:r>
        <w:rPr>
          <w:spacing w:val="-66"/>
        </w:rPr>
        <w:t> </w:t>
      </w:r>
      <w:r>
        <w:rPr>
          <w:spacing w:val="-66"/>
        </w:rPr>
      </w:r>
      <w:r>
        <w:rPr/>
        <w:t>以外的其他所有者权益变动按比例结转当期损益。</w:t>
      </w:r>
    </w:p>
    <w:p>
      <w:pPr>
        <w:pStyle w:val="BodyText"/>
        <w:spacing w:line="314" w:lineRule="auto" w:before="19"/>
        <w:ind w:right="0" w:firstLine="360"/>
        <w:jc w:val="left"/>
      </w:pPr>
      <w:r>
        <w:rPr>
          <w:spacing w:val="-2"/>
        </w:rPr>
        <w:t>因其他投资方增资而导致本公司持股比例下降、从而丧失控制权但能对被投资单位实施共同控制或施加重大影响的，按</w:t>
      </w:r>
      <w:r>
        <w:rPr/>
        <w:t> </w:t>
      </w:r>
      <w:r>
        <w:rPr>
          <w:spacing w:val="-2"/>
        </w:rPr>
        <w:t>照新的持股比例确认本公司应享有的被投资单位因增资扩股而增加净资产的份额，与应结转持股比例下降部分所对应的长期</w:t>
      </w:r>
      <w:r>
        <w:rPr>
          <w:spacing w:val="-64"/>
        </w:rPr>
        <w:t> </w:t>
      </w:r>
      <w:r>
        <w:rPr>
          <w:spacing w:val="-64"/>
        </w:rPr>
      </w:r>
      <w:r>
        <w:rPr/>
        <w:t>股权投资原账面价值之间的差额计入当期损益；然后，按照新的持股比例视同自取得投资时即采用权益法核算进行调整。 </w:t>
      </w:r>
      <w:r>
        <w:rPr>
          <w:spacing w:val="-2"/>
        </w:rPr>
        <w:t>公司因处置部分股权投资或其他原因丧失了对原有子公司控制权的，处置后的剩余股权能够对被投资单位实施共同控制或施</w:t>
      </w:r>
      <w:r>
        <w:rPr>
          <w:spacing w:val="-64"/>
        </w:rPr>
        <w:t> </w:t>
      </w:r>
      <w:r>
        <w:rPr>
          <w:spacing w:val="-64"/>
        </w:rPr>
      </w:r>
      <w:r>
        <w:rPr>
          <w:spacing w:val="-2"/>
        </w:rPr>
        <w:t>加重大影响的，改按权益法核算，并对该剩余股权视同自取得时即采用权益法核算进行调整，购买日之前持有的股权投资因</w:t>
      </w:r>
      <w:r>
        <w:rPr>
          <w:spacing w:val="-66"/>
        </w:rPr>
        <w:t> </w:t>
      </w:r>
      <w:r>
        <w:rPr>
          <w:spacing w:val="-66"/>
        </w:rPr>
      </w:r>
      <w:r>
        <w:rPr>
          <w:spacing w:val="-2"/>
        </w:rPr>
        <w:t>采用权益法核算而确认的其他综合收益和其他所有者权益按比例结转；处置后的剩余股权不能对被投资单位实施共同控制或</w:t>
      </w:r>
      <w:r>
        <w:rPr>
          <w:spacing w:val="-64"/>
        </w:rPr>
        <w:t> </w:t>
      </w:r>
      <w:r>
        <w:rPr>
          <w:spacing w:val="-64"/>
        </w:rPr>
      </w:r>
      <w:r>
        <w:rPr>
          <w:spacing w:val="-2"/>
        </w:rPr>
        <w:t>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金融工具确认和计量》的有关规定进行会计处理，其在丧失控制之日的公</w:t>
      </w:r>
      <w:r>
        <w:rPr>
          <w:spacing w:val="-64"/>
        </w:rPr>
        <w:t> </w:t>
      </w:r>
      <w:r>
        <w:rPr>
          <w:spacing w:val="-64"/>
        </w:rPr>
      </w:r>
      <w:r>
        <w:rPr/>
        <w:t>允价值与账面价值间的差额计入当期损益，其他综合收益和其他所有者权益全部结转为当期损益。</w:t>
      </w:r>
    </w:p>
    <w:p>
      <w:pPr>
        <w:pStyle w:val="BodyText"/>
        <w:spacing w:line="316" w:lineRule="auto" w:before="20"/>
        <w:ind w:right="1131"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5、投资性房地产" w:id="191"/>
      <w:bookmarkEnd w:id="19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pStyle w:val="BodyText"/>
        <w:spacing w:line="300" w:lineRule="auto" w:before="25"/>
        <w:ind w:left="154" w:right="1141" w:firstLine="360"/>
        <w:jc w:val="both"/>
      </w:pPr>
      <w:r>
        <w:rPr/>
        <w:t>（</w:t>
      </w:r>
      <w:r>
        <w:rPr>
          <w:rFonts w:ascii="Times New Roman" w:hAnsi="Times New Roman" w:cs="Times New Roman" w:eastAsia="Times New Roman" w:hint="default"/>
        </w:rPr>
        <w:t>1</w:t>
      </w:r>
      <w:r>
        <w:rPr/>
        <w:t>）投资性房地产是指为赚取租金或资本增值、或者两者兼有而持有的房地产。包括已出租的土地使用权、持有并准 备增值后转让的土地使用权、已出租的建筑物</w:t>
      </w:r>
      <w:r>
        <w:rPr>
          <w:rFonts w:ascii="Times New Roman" w:hAnsi="Times New Roman" w:cs="Times New Roman" w:eastAsia="Times New Roman" w:hint="default"/>
        </w:rPr>
        <w:t>(</w:t>
      </w:r>
      <w:r>
        <w:rPr/>
        <w:t>含自行建造或开发活动完成后用于出租的建筑物以及正在建造或开发过程中 将来用于出租的建筑物</w:t>
      </w:r>
      <w:r>
        <w:rPr>
          <w:rFonts w:ascii="Times New Roman" w:hAnsi="Times New Roman" w:cs="Times New Roman" w:eastAsia="Times New Roman" w:hint="default"/>
        </w:rPr>
        <w:t>)</w:t>
      </w:r>
      <w:r>
        <w:rPr/>
        <w:t>。</w:t>
      </w:r>
    </w:p>
    <w:p>
      <w:pPr>
        <w:pStyle w:val="BodyText"/>
        <w:spacing w:line="309" w:lineRule="auto" w:before="13"/>
        <w:ind w:left="154" w:right="1133" w:firstLine="360"/>
        <w:jc w:val="both"/>
      </w:pPr>
      <w:r>
        <w:rPr/>
        <w:t>（</w:t>
      </w:r>
      <w:r>
        <w:rPr>
          <w:rFonts w:ascii="Times New Roman" w:hAnsi="Times New Roman" w:cs="Times New Roman" w:eastAsia="Times New Roman" w:hint="default"/>
        </w:rPr>
        <w:t>2</w:t>
      </w:r>
      <w:r>
        <w:rPr/>
        <w:t>）投资性房地产按照成本进行初始计量，采用成本模式进行后续计量。如与投资性房地产有关的后续支出，如果与 </w:t>
      </w:r>
      <w:r>
        <w:rPr>
          <w:spacing w:val="-2"/>
        </w:rPr>
        <w:t>该资产有关的经济利益很可能流入且其成本能可靠地计量，则计入投资性房地产成本。其他后续支出，在发生时计入当期损</w:t>
      </w:r>
      <w:r>
        <w:rPr>
          <w:spacing w:val="-66"/>
        </w:rPr>
        <w:t> </w:t>
      </w:r>
      <w:r>
        <w:rPr>
          <w:spacing w:val="-66"/>
        </w:rPr>
      </w:r>
      <w:r>
        <w:rPr/>
        <w:t>益。</w:t>
      </w:r>
    </w:p>
    <w:p>
      <w:pPr>
        <w:pStyle w:val="BodyText"/>
        <w:spacing w:line="240" w:lineRule="auto" w:before="24"/>
        <w:ind w:left="514" w:right="0"/>
        <w:jc w:val="left"/>
      </w:pPr>
      <w:r>
        <w:rPr/>
        <w:t>（</w:t>
      </w:r>
      <w:r>
        <w:rPr>
          <w:rFonts w:ascii="Times New Roman" w:hAnsi="Times New Roman" w:cs="Times New Roman" w:eastAsia="Times New Roman" w:hint="default"/>
        </w:rPr>
        <w:t>3</w:t>
      </w:r>
      <w:r>
        <w:rPr/>
        <w:t>）对成本模式计量的投资性房地产，采用与固定资产和无形资产相同的方法计提折旧或进行摊销。</w:t>
      </w:r>
    </w:p>
    <w:p>
      <w:pPr>
        <w:pStyle w:val="BodyText"/>
        <w:spacing w:line="312" w:lineRule="auto" w:before="63"/>
        <w:ind w:left="154" w:right="1032" w:firstLine="360"/>
        <w:jc w:val="left"/>
      </w:pPr>
      <w:r>
        <w:rPr/>
        <w:t>（</w:t>
      </w:r>
      <w:r>
        <w:rPr>
          <w:rFonts w:ascii="Times New Roman" w:hAnsi="Times New Roman" w:cs="Times New Roman" w:eastAsia="Times New Roman" w:hint="default"/>
        </w:rPr>
        <w:t>4</w:t>
      </w:r>
      <w:r>
        <w:rPr/>
        <w:t>）投资性房地产的用途改变为自用时，自改变之日起，将该投资性房地产转换为固定资产或无形资产，按转换前的 </w:t>
      </w:r>
      <w:r>
        <w:rPr>
          <w:spacing w:val="-2"/>
        </w:rPr>
        <w:t>账面价值作为转换后的入账价值。自用房地产的用途或者存货改变为赚取租金或资本增值时，自改变之日起，将固定资产或</w:t>
      </w:r>
      <w:r>
        <w:rPr>
          <w:spacing w:val="-66"/>
        </w:rPr>
        <w:t> </w:t>
      </w:r>
      <w:r>
        <w:rPr>
          <w:spacing w:val="-66"/>
        </w:rPr>
      </w:r>
      <w:r>
        <w:rPr/>
        <w:t>无形资产转换为投资性房地产，转换为采用成本模式计量的投资性房地产的，以转换前的账面价值作为转换后的入账价值；</w:t>
      </w:r>
      <w:r>
        <w:rPr>
          <w:spacing w:val="-85"/>
        </w:rPr>
        <w:t> </w:t>
      </w:r>
      <w:r>
        <w:rPr>
          <w:spacing w:val="-85"/>
        </w:rPr>
      </w:r>
      <w:r>
        <w:rPr/>
        <w:t>转换为以公允价值模式计量的投资性房地产的，以转换日的公允价值作为转换后的入账价值。</w:t>
      </w:r>
    </w:p>
    <w:p>
      <w:pPr>
        <w:pStyle w:val="BodyText"/>
        <w:spacing w:line="300" w:lineRule="auto" w:before="22"/>
        <w:ind w:left="154" w:right="1132" w:firstLine="360"/>
        <w:jc w:val="both"/>
      </w:pPr>
      <w:r>
        <w:rPr>
          <w:spacing w:val="-4"/>
        </w:rPr>
        <w:t>（</w:t>
      </w:r>
      <w:r>
        <w:rPr>
          <w:rFonts w:ascii="Times New Roman" w:hAnsi="Times New Roman" w:cs="Times New Roman" w:eastAsia="Times New Roman" w:hint="default"/>
          <w:spacing w:val="-4"/>
        </w:rPr>
        <w:t>5</w:t>
      </w:r>
      <w:r>
        <w:rPr>
          <w:spacing w:val="-4"/>
        </w:rPr>
        <w:t>）当投资性房地产被处置、或者永久退出使用且预计不能从其处置中取得经济利益时，终止确认该项投资性房地产。</w:t>
      </w:r>
      <w:r>
        <w:rPr/>
        <w:t> 投资性房地产出售、转让、报废或毁损的处置收入扣除其账面价值和相关税费后计入当期损益。</w:t>
      </w:r>
    </w:p>
    <w:p>
      <w:pPr>
        <w:spacing w:after="0" w:line="30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6、固定资产" w:id="192"/>
      <w:bookmarkEnd w:id="19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确认条件" w:id="193"/>
      <w:bookmarkEnd w:id="19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firstLine="360"/>
        <w:jc w:val="both"/>
      </w:pPr>
      <w:r>
        <w:rPr>
          <w:spacing w:val="-2"/>
        </w:rPr>
        <w:t>固定资产是指同时具有下列特征的有形资产：①为生产商品、提供劳务、出租或经营管理持有的；②使用寿命超过一个</w:t>
      </w:r>
      <w:r>
        <w:rPr/>
        <w:t> </w:t>
      </w:r>
      <w:r>
        <w:rPr>
          <w:spacing w:val="-2"/>
        </w:rPr>
        <w:t>会计年度。固定资产同时满足下列条件的予以确认：①与该固定资产有关的经济利益很可能流入公司；②该固定资产的成本</w:t>
      </w:r>
      <w:r>
        <w:rPr>
          <w:spacing w:val="-67"/>
        </w:rPr>
        <w:t> </w:t>
      </w:r>
      <w:r>
        <w:rPr>
          <w:spacing w:val="-67"/>
        </w:rPr>
      </w:r>
      <w:r>
        <w:rPr>
          <w:spacing w:val="-2"/>
        </w:rPr>
        <w:t>能够可靠地计量。与固定资产有关的后续支出，符合上述确认条件的，计入固定资产成本；不符合上述确认条件的，发生时</w:t>
      </w:r>
      <w:r>
        <w:rPr>
          <w:spacing w:val="-66"/>
        </w:rPr>
        <w:t> </w:t>
      </w:r>
      <w:r>
        <w:rPr>
          <w:spacing w:val="-66"/>
        </w:rPr>
      </w:r>
      <w:r>
        <w:rPr/>
        <w:t>计入当期损益。固定资产按照成本初始计量。</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折旧方法" w:id="194"/>
      <w:bookmarkEnd w:id="19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运营设备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9.50-19.00</w:t>
            </w:r>
          </w:p>
        </w:tc>
      </w:tr>
    </w:tbl>
    <w:p>
      <w:pPr>
        <w:pStyle w:val="BodyText"/>
        <w:spacing w:line="316" w:lineRule="auto" w:before="10"/>
        <w:ind w:left="154" w:right="1118"/>
        <w:jc w:val="left"/>
      </w:pPr>
      <w:r>
        <w:rPr>
          <w:spacing w:val="-2"/>
        </w:rPr>
        <w:t>①符合资本化条件的固定资产装修费用，在两次装修期间与固定资产尚可使用年限两者中较短的期间内，采用年限平均法单</w:t>
      </w:r>
      <w:r>
        <w:rPr>
          <w:spacing w:val="-64"/>
        </w:rPr>
        <w:t> </w:t>
      </w:r>
      <w:r>
        <w:rPr>
          <w:spacing w:val="-64"/>
        </w:rPr>
      </w:r>
      <w:r>
        <w:rPr/>
        <w:t>独计提折旧。</w:t>
      </w:r>
    </w:p>
    <w:p>
      <w:pPr>
        <w:pStyle w:val="BodyText"/>
        <w:spacing w:line="240" w:lineRule="auto" w:before="19"/>
        <w:ind w:right="0"/>
        <w:jc w:val="left"/>
      </w:pPr>
      <w:r>
        <w:rPr/>
        <w:t>②已计提减值准备的固定资产，还应扣除已计提的固定资产减值准备累计金额计算折旧率。</w:t>
      </w:r>
    </w:p>
    <w:p>
      <w:pPr>
        <w:pStyle w:val="BodyText"/>
        <w:spacing w:line="240" w:lineRule="auto" w:before="76"/>
        <w:ind w:right="0"/>
        <w:jc w:val="left"/>
      </w:pPr>
      <w:r>
        <w:rPr/>
        <w:t>③公司至少年度终了对固定资产的使用寿命、预计净残值和折旧方法进行复核，如发生改变则作为会计估计变更处理。</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融资租入固定资产的认定依据、计价和折旧方法" w:id="195"/>
      <w:bookmarkEnd w:id="19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3" w:firstLine="360"/>
        <w:jc w:val="left"/>
      </w:pPr>
      <w:r>
        <w:rPr>
          <w:spacing w:val="-2"/>
        </w:rPr>
        <w:t>当本公司租入的固定资产符合下列一项或数项标准时，确认为融资租入固定资产：①在租赁期届满时，租赁资产的所有</w:t>
      </w:r>
      <w:r>
        <w:rPr/>
        <w:t> 权转移给本公司；②本公司有购买租赁资产的选择权，所订立的购买价款预计将远低于行使选择权时租赁资产的公允价值，</w:t>
      </w:r>
      <w:r>
        <w:rPr>
          <w:spacing w:val="-85"/>
        </w:rPr>
        <w:t> </w:t>
      </w:r>
      <w:r>
        <w:rPr>
          <w:spacing w:val="-85"/>
        </w:rPr>
      </w:r>
      <w:r>
        <w:rPr>
          <w:spacing w:val="-2"/>
        </w:rPr>
        <w:t>因而在租赁开始日就可以合理确定本公司将会行使这种选择权；③即使资产的所有权不转移，但租赁期占租赁资产使用寿命</w:t>
      </w:r>
      <w:r>
        <w:rPr>
          <w:spacing w:val="-64"/>
        </w:rPr>
        <w:t> </w:t>
      </w:r>
      <w:r>
        <w:rPr>
          <w:spacing w:val="-64"/>
        </w:rPr>
      </w:r>
      <w:r>
        <w:rPr>
          <w:spacing w:val="-2"/>
        </w:rPr>
        <w:t>的大部分；④本公司在租赁开始日的最低租赁付款额现值，几乎相当于租赁开始日租赁资产公允价值；出租人在租赁开始日</w:t>
      </w:r>
      <w:r>
        <w:rPr>
          <w:spacing w:val="-67"/>
        </w:rPr>
        <w:t> </w:t>
      </w:r>
      <w:r>
        <w:rPr>
          <w:spacing w:val="-67"/>
        </w:rPr>
      </w:r>
      <w:r>
        <w:rPr>
          <w:spacing w:val="-2"/>
        </w:rPr>
        <w:t>的最低租赁收款额现值，几乎相当于租赁开始日租赁资产公允价值；⑤租赁资产性质特殊，如果不作较大改造，只有本公司</w:t>
      </w:r>
      <w:r>
        <w:rPr>
          <w:spacing w:val="-66"/>
        </w:rPr>
        <w:t> </w:t>
      </w:r>
      <w:r>
        <w:rPr>
          <w:spacing w:val="-66"/>
        </w:rPr>
      </w:r>
      <w:r>
        <w:rPr>
          <w:spacing w:val="-2"/>
        </w:rPr>
        <w:t>才能使用。融资租赁租入的固定资产，按租赁开始日租赁资产公允价值与最低租赁付款额的现值两者中较低者，作为入账价</w:t>
      </w:r>
      <w:r>
        <w:rPr>
          <w:spacing w:val="-66"/>
        </w:rPr>
        <w:t> </w:t>
      </w:r>
      <w:r>
        <w:rPr>
          <w:spacing w:val="-66"/>
        </w:rPr>
      </w:r>
      <w:r>
        <w:rPr/>
        <w:t>值。最低租赁付款额作为长期应付款的入账价值，其差额作为未确认融资费用。在租赁谈判和签订租赁合同过程中发生的，</w:t>
      </w:r>
      <w:r>
        <w:rPr>
          <w:spacing w:val="-85"/>
        </w:rPr>
        <w:t> </w:t>
      </w:r>
      <w:r>
        <w:rPr>
          <w:spacing w:val="-85"/>
        </w:rPr>
      </w:r>
      <w:r>
        <w:rPr>
          <w:spacing w:val="-2"/>
        </w:rPr>
        <w:t>可归属于租赁项目的手续费、律师费、差旅费、印花税等初始直接费用，计入租入资产价值。未确认融资费用在租赁期内各</w:t>
      </w:r>
      <w:r>
        <w:rPr>
          <w:spacing w:val="-66"/>
        </w:rPr>
        <w:t> </w:t>
      </w:r>
      <w:r>
        <w:rPr>
          <w:spacing w:val="-66"/>
        </w:rPr>
      </w:r>
      <w:r>
        <w:rPr>
          <w:spacing w:val="-2"/>
        </w:rPr>
        <w:t>个期间采用实际利率法进行分摊。融资租入的固定资产采用与自有固定资产一致的政策计提租赁资产折旧。能够合理确定租</w:t>
      </w:r>
      <w:r>
        <w:rPr>
          <w:spacing w:val="-64"/>
        </w:rPr>
        <w:t> </w:t>
      </w:r>
      <w:r>
        <w:rPr>
          <w:spacing w:val="-64"/>
        </w:rPr>
      </w:r>
      <w:r>
        <w:rPr>
          <w:spacing w:val="-2"/>
        </w:rPr>
        <w:t>赁期届满时将会取得租赁资产所有权的，在租赁资产尚可使用年限内计提折旧；无法合理确定租赁期届满时能够取得租赁资</w:t>
      </w:r>
      <w:r>
        <w:rPr>
          <w:spacing w:val="-64"/>
        </w:rPr>
        <w:t> </w:t>
      </w:r>
      <w:r>
        <w:rPr>
          <w:spacing w:val="-64"/>
        </w:rPr>
      </w:r>
      <w:r>
        <w:rPr/>
        <w:t>产所有权的，在租赁期与租赁资产尚可使用年限两者中较短的期间内计提折旧。</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17、在建工程" w:id="196"/>
      <w:bookmarkEnd w:id="19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BodyText"/>
        <w:spacing w:line="300" w:lineRule="auto" w:before="27"/>
        <w:ind w:left="154" w:right="1122" w:firstLine="360"/>
        <w:jc w:val="left"/>
      </w:pPr>
      <w:r>
        <w:rPr/>
        <w:t>（</w:t>
      </w:r>
      <w:r>
        <w:rPr>
          <w:rFonts w:ascii="Times New Roman" w:hAnsi="Times New Roman" w:cs="Times New Roman" w:eastAsia="Times New Roman" w:hint="default"/>
        </w:rPr>
        <w:t>1</w:t>
      </w:r>
      <w:r>
        <w:rPr/>
        <w:t>）在建工程同时满足经济利益很可能流入、成本能够可靠地计量则予以确认。在建工程按建造该项资产达到预定可 使用状态前所发生的实际成本计量。</w:t>
      </w:r>
    </w:p>
    <w:p>
      <w:pPr>
        <w:pStyle w:val="BodyText"/>
        <w:spacing w:line="300" w:lineRule="auto" w:before="31"/>
        <w:ind w:left="154" w:right="0" w:firstLine="360"/>
        <w:jc w:val="left"/>
      </w:pPr>
      <w:r>
        <w:rPr>
          <w:spacing w:val="-4"/>
        </w:rPr>
        <w:t>（</w:t>
      </w:r>
      <w:r>
        <w:rPr>
          <w:rFonts w:ascii="Times New Roman" w:hAnsi="Times New Roman" w:cs="Times New Roman" w:eastAsia="Times New Roman" w:hint="default"/>
          <w:spacing w:val="-4"/>
        </w:rPr>
        <w:t>2</w:t>
      </w:r>
      <w:r>
        <w:rPr>
          <w:spacing w:val="-4"/>
        </w:rPr>
        <w:t>）在建工程达到预定可使用状态时，按工程实际成本转入固定资产。已达到预定可使用状态但尚未办理竣工结算的，</w:t>
      </w:r>
      <w:r>
        <w:rPr/>
        <w:t> 先按估计价值转入固定资产，待办理竣工决算后再按实际成本调整原暂估价值，但不再调整原已计提的折旧。</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8、借款费用" w:id="197"/>
      <w:bookmarkEnd w:id="197"/>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借款费用，包括借款利息、折价或者溢价的摊销、辅助费用以及因外币借款而发生的汇兑差额等。</w:t>
      </w:r>
    </w:p>
    <w:p>
      <w:pPr>
        <w:pStyle w:val="BodyText"/>
        <w:spacing w:line="300" w:lineRule="auto" w:before="76"/>
        <w:ind w:left="513" w:right="0"/>
        <w:jc w:val="left"/>
      </w:pPr>
      <w:r>
        <w:rPr/>
        <w:t>（</w:t>
      </w:r>
      <w:r>
        <w:rPr>
          <w:rFonts w:ascii="Times New Roman" w:hAnsi="Times New Roman" w:cs="Times New Roman" w:eastAsia="Times New Roman" w:hint="default"/>
        </w:rPr>
        <w:t>1</w:t>
      </w:r>
      <w:r>
        <w:rPr/>
        <w:t>）借款费用资本化的确认原则 </w:t>
      </w:r>
      <w:r>
        <w:rPr>
          <w:spacing w:val="-2"/>
        </w:rPr>
        <w:t>公司发生的借款费用，可直接归属于符合资本化条件的资产的购建或者生产的，予以资本化，计入相关资产成本；其他</w:t>
      </w:r>
    </w:p>
    <w:p>
      <w:pPr>
        <w:pStyle w:val="BodyText"/>
        <w:spacing w:line="240" w:lineRule="auto" w:before="31"/>
        <w:ind w:right="0"/>
        <w:jc w:val="left"/>
      </w:pPr>
      <w:r>
        <w:rPr/>
        <w:t>借款费用，在发生时根据其发生额确认为费用，计入当期损益。</w:t>
      </w:r>
    </w:p>
    <w:p>
      <w:pPr>
        <w:pStyle w:val="BodyText"/>
        <w:spacing w:line="240" w:lineRule="auto" w:before="76"/>
        <w:ind w:left="514" w:right="0"/>
        <w:jc w:val="left"/>
      </w:pPr>
      <w:r>
        <w:rPr/>
        <w:t>（</w:t>
      </w:r>
      <w:r>
        <w:rPr>
          <w:rFonts w:ascii="Times New Roman" w:hAnsi="Times New Roman" w:cs="Times New Roman" w:eastAsia="Times New Roman" w:hint="default"/>
        </w:rPr>
        <w:t>2</w:t>
      </w:r>
      <w:r>
        <w:rPr/>
        <w:t>）借款费用资本化期间</w:t>
      </w:r>
    </w:p>
    <w:p>
      <w:pPr>
        <w:pStyle w:val="BodyText"/>
        <w:spacing w:line="316" w:lineRule="auto" w:before="63"/>
        <w:ind w:left="154" w:right="1131" w:firstLine="360"/>
        <w:jc w:val="both"/>
      </w:pPr>
      <w:r>
        <w:rPr>
          <w:spacing w:val="-2"/>
        </w:rPr>
        <w:t>①当同时满足下列条件时，开始资本化：资产支出已经发生；借款费用已经发生；为使资产达到预定可使用或可销售状</w:t>
      </w:r>
      <w:r>
        <w:rPr/>
        <w:t> 态所必要的购建或者生产活动已经开始。</w:t>
      </w:r>
    </w:p>
    <w:p>
      <w:pPr>
        <w:pStyle w:val="BodyText"/>
        <w:spacing w:line="309" w:lineRule="auto" w:before="19"/>
        <w:ind w:right="1133" w:firstLine="360"/>
        <w:jc w:val="both"/>
      </w:pPr>
      <w:r>
        <w:rPr/>
        <w:t>②暂停资本化：若符合资本化条件的资产在购建或者生产过程中发生非正常中断，并且中断时间连续超过</w:t>
      </w:r>
      <w:r>
        <w:rPr>
          <w:rFonts w:ascii="Times New Roman" w:hAnsi="Times New Roman" w:cs="Times New Roman" w:eastAsia="Times New Roman" w:hint="default"/>
        </w:rPr>
        <w:t>3</w:t>
      </w:r>
      <w:r>
        <w:rPr/>
        <w:t>个月，暂停 </w:t>
      </w:r>
      <w:r>
        <w:rPr>
          <w:spacing w:val="-2"/>
        </w:rPr>
        <w:t>借款费用的资本化；中断期间发生的借款费用确认为当期费用，直至资产的购建或者生产活动重新开始。该项中断如是所购</w:t>
      </w:r>
      <w:r>
        <w:rPr>
          <w:spacing w:val="-66"/>
        </w:rPr>
        <w:t> </w:t>
      </w:r>
      <w:r>
        <w:rPr>
          <w:spacing w:val="-66"/>
        </w:rPr>
      </w:r>
      <w:r>
        <w:rPr/>
        <w:t>建或生产的符合资本化条件的资产达到预定可使用状态或者可销售状态必要的程序，则借款费用继续资本化。</w:t>
      </w:r>
    </w:p>
    <w:p>
      <w:pPr>
        <w:pStyle w:val="BodyText"/>
        <w:spacing w:line="316" w:lineRule="auto" w:before="24"/>
        <w:ind w:right="1132" w:firstLine="360"/>
        <w:jc w:val="both"/>
      </w:pPr>
      <w:r>
        <w:rPr>
          <w:spacing w:val="-2"/>
        </w:rPr>
        <w:t>③停止资本化：当所购建或者生产符合资本化条件的资产达到预定可使用或者可销售状态时，借款费用停止资本化。当</w:t>
      </w:r>
      <w:r>
        <w:rPr/>
        <w:t> </w:t>
      </w:r>
      <w:r>
        <w:rPr>
          <w:spacing w:val="-2"/>
        </w:rPr>
        <w:t>购建或者生产符合资本化的资产中部分项目分别完工且可单独使用时，该部分资产借款费用停止资本化。购建或者生产的资</w:t>
      </w:r>
      <w:r>
        <w:rPr>
          <w:spacing w:val="-64"/>
        </w:rPr>
        <w:t> </w:t>
      </w:r>
      <w:r>
        <w:rPr>
          <w:spacing w:val="-64"/>
        </w:rPr>
      </w:r>
      <w:r>
        <w:rPr/>
        <w:t>产的各部分分别完工，但必须等到整体完工后才可使用或者对外销售的，在该资产整体完工时停止借款费用资本化。</w:t>
      </w:r>
    </w:p>
    <w:p>
      <w:pPr>
        <w:pStyle w:val="BodyText"/>
        <w:spacing w:line="300" w:lineRule="auto" w:before="19"/>
        <w:ind w:left="514" w:right="1152"/>
        <w:jc w:val="left"/>
      </w:pPr>
      <w:r>
        <w:rPr/>
        <w:t>（</w:t>
      </w:r>
      <w:r>
        <w:rPr>
          <w:rFonts w:ascii="Times New Roman" w:hAnsi="Times New Roman" w:cs="Times New Roman" w:eastAsia="Times New Roman" w:hint="default"/>
        </w:rPr>
        <w:t>3</w:t>
      </w:r>
      <w:r>
        <w:rPr/>
        <w:t>）借款费用资本化率及资本化金额的计算方法 为购建或者生产符合资本化条件的资产而借入专门借款的，以专门借款当期实际发生的利息费用</w:t>
      </w:r>
      <w:r>
        <w:rPr>
          <w:rFonts w:ascii="Times New Roman" w:hAnsi="Times New Roman" w:cs="Times New Roman" w:eastAsia="Times New Roman" w:hint="default"/>
        </w:rPr>
        <w:t>(</w:t>
      </w:r>
      <w:r>
        <w:rPr/>
        <w:t>包括按照实际利率法</w:t>
      </w:r>
    </w:p>
    <w:p>
      <w:pPr>
        <w:pStyle w:val="BodyText"/>
        <w:spacing w:line="312" w:lineRule="auto" w:before="13"/>
        <w:ind w:right="1033"/>
        <w:jc w:val="left"/>
      </w:pPr>
      <w:r>
        <w:rPr/>
        <w:t>确定的折价或溢价的摊销</w:t>
      </w:r>
      <w:r>
        <w:rPr>
          <w:rFonts w:ascii="Times New Roman" w:hAnsi="Times New Roman" w:cs="Times New Roman" w:eastAsia="Times New Roman" w:hint="default"/>
        </w:rPr>
        <w:t>)</w:t>
      </w:r>
      <w:r>
        <w:rPr/>
        <w:t>，减去将尚未动用的借款资金存入银行取得的利息收入或进行暂时性投资取得的投资收益后的金 </w:t>
      </w:r>
      <w:r>
        <w:rPr>
          <w:spacing w:val="-2"/>
        </w:rPr>
        <w:t>额，确定应予资本化的利息金额；为购建或者生产符合资本化条件的资产占用了一般借款的，根据累计资产支出超过专门借</w:t>
      </w:r>
      <w:r>
        <w:rPr>
          <w:spacing w:val="-66"/>
        </w:rPr>
        <w:t> </w:t>
      </w:r>
      <w:r>
        <w:rPr>
          <w:spacing w:val="-66"/>
        </w:rPr>
      </w:r>
      <w:r>
        <w:rPr/>
        <w:t>款的资产支出加权平均数乘以占用一般借款的资本化率</w:t>
      </w:r>
      <w:r>
        <w:rPr>
          <w:rFonts w:ascii="Times New Roman" w:hAnsi="Times New Roman" w:cs="Times New Roman" w:eastAsia="Times New Roman" w:hint="default"/>
        </w:rPr>
        <w:t>(</w:t>
      </w:r>
      <w:r>
        <w:rPr/>
        <w:t>加权平均利率</w:t>
      </w:r>
      <w:r>
        <w:rPr>
          <w:rFonts w:ascii="Times New Roman" w:hAnsi="Times New Roman" w:cs="Times New Roman" w:eastAsia="Times New Roman" w:hint="default"/>
        </w:rPr>
        <w:t>)</w:t>
      </w:r>
      <w:r>
        <w:rPr/>
        <w:t>，计算确定一般借款应予资本化的利息金额。在资本 </w:t>
      </w:r>
      <w:r>
        <w:rPr>
          <w:spacing w:val="-4"/>
        </w:rPr>
        <w:t>化期间内，每一会计期间的利息资本化金额不超过当期相关借款实际发生的利息金额。外币专门借款本金及利息的汇兑差额，</w:t>
      </w:r>
      <w:r>
        <w:rPr>
          <w:spacing w:val="-44"/>
        </w:rPr>
        <w:t> </w:t>
      </w:r>
      <w:r>
        <w:rPr>
          <w:spacing w:val="-44"/>
        </w:rPr>
      </w:r>
      <w:r>
        <w:rPr>
          <w:spacing w:val="-2"/>
        </w:rPr>
        <w:t>在资本化期间内予以资本化。专门借款发生的辅助费用，在所购建或生产的符合资本化条件的资产达到预定可使用或者可销</w:t>
      </w:r>
      <w:r>
        <w:rPr>
          <w:spacing w:val="-64"/>
        </w:rPr>
        <w:t> </w:t>
      </w:r>
      <w:r>
        <w:rPr>
          <w:spacing w:val="-64"/>
        </w:rPr>
      </w:r>
      <w:r>
        <w:rPr>
          <w:spacing w:val="-5"/>
        </w:rPr>
        <w:t>售状态之前发生的，予以资本化；在达到预定可使用或者可销售状态之后发生的，计入当期损益。一般借款发生的辅助费用，</w:t>
      </w:r>
      <w:r>
        <w:rPr>
          <w:spacing w:val="-82"/>
        </w:rPr>
        <w:t> </w:t>
      </w:r>
      <w:r>
        <w:rPr>
          <w:spacing w:val="-82"/>
        </w:rPr>
      </w:r>
      <w:r>
        <w:rPr>
          <w:spacing w:val="-2"/>
        </w:rPr>
        <w:t>在发生时计入当期损益。借款存在折价或者溢价的，按照实际利率法确定每一会计期间应摊销的折价或者溢价金额，调整每</w:t>
      </w:r>
      <w:r>
        <w:rPr>
          <w:spacing w:val="-66"/>
        </w:rPr>
        <w:t> </w:t>
      </w:r>
      <w:r>
        <w:rPr>
          <w:spacing w:val="-66"/>
        </w:rPr>
      </w:r>
      <w:r>
        <w:rPr/>
        <w:t>期利息金额。</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19、无形资产" w:id="198"/>
      <w:bookmarkEnd w:id="198"/>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计价方法、使用寿命、减值测试" w:id="199"/>
      <w:bookmarkEnd w:id="19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0"/>
        <w:jc w:val="left"/>
      </w:pPr>
      <w:r>
        <w:rPr/>
        <w:t>①无形资产的初始计量 </w:t>
      </w:r>
      <w:r>
        <w:rPr>
          <w:spacing w:val="-2"/>
        </w:rPr>
        <w:t>无形资产按成本进行初始计量。外购无形资产的成本，包括购买价、相关税费以及直接归属于该项资产达到预定用途所</w:t>
      </w:r>
    </w:p>
    <w:p>
      <w:pPr>
        <w:pStyle w:val="BodyText"/>
        <w:spacing w:line="316" w:lineRule="auto" w:before="19"/>
        <w:ind w:left="154" w:right="0"/>
        <w:jc w:val="left"/>
      </w:pPr>
      <w:r>
        <w:rPr/>
        <w:t>发生的其他支出。购买无形资产的价款超过正常信用条件延期支付，实质上具有融资性质的，无形资产的成本以购买价款的 现值为基础确定。债务重组取得债务人用以抵债的无形资产，以该无形资产的公允价值为基础确定其入账价值，并将重组债 务的账面价值与该用以抵债的无形资产公允价值之间的差额，计入当期损益。在非货币性资产交换具备商业实质且换入或换 </w:t>
      </w:r>
      <w:r>
        <w:rPr>
          <w:spacing w:val="-2"/>
        </w:rPr>
        <w:t>出资产的公允价值能够可靠计量的前提下，非货币性资产交换换入的无形资产以换出资产的公允价值为基础确定其入账价值，</w:t>
      </w:r>
      <w:r>
        <w:rPr>
          <w:spacing w:val="-62"/>
        </w:rPr>
        <w:t> </w:t>
      </w:r>
      <w:r>
        <w:rPr>
          <w:spacing w:val="-62"/>
        </w:rPr>
      </w:r>
      <w:r>
        <w:rPr/>
        <w:t>除非有确凿证据表明换入资产的公允价值更可靠；不满足上述前提的非货币性资产交换，以换出资产的账面价值和应支付的</w:t>
      </w:r>
      <w:r>
        <w:rPr/>
        <w:t> 相关税费作为换入无形资产的成本，不确认损益。</w:t>
      </w:r>
    </w:p>
    <w:p>
      <w:pPr>
        <w:pStyle w:val="BodyText"/>
        <w:spacing w:line="316" w:lineRule="auto" w:before="19"/>
        <w:ind w:left="154" w:right="1131" w:firstLine="360"/>
        <w:jc w:val="both"/>
      </w:pPr>
      <w:r>
        <w:rPr>
          <w:spacing w:val="-2"/>
        </w:rPr>
        <w:t>与无形资产有关的支出，如果相关的经济利益很可能流入本公司且成本能可靠地计量，则计入无形资产成本。除此之外</w:t>
      </w:r>
      <w:r>
        <w:rPr/>
        <w:t> 的其他项目的支出，在发生时计入当期损益。</w:t>
      </w:r>
    </w:p>
    <w:p>
      <w:pPr>
        <w:pStyle w:val="BodyText"/>
        <w:spacing w:line="316" w:lineRule="auto" w:before="19"/>
        <w:ind w:left="154" w:right="1132" w:firstLine="360"/>
        <w:jc w:val="both"/>
      </w:pPr>
      <w:r>
        <w:rPr>
          <w:spacing w:val="-2"/>
        </w:rPr>
        <w:t>取得的土地使用权通常作为无形资产核算。自行开发构建厂房等建筑物，相关的土地使用权支出和建筑物建造成本分别</w:t>
      </w:r>
      <w:r>
        <w:rPr/>
        <w:t> </w:t>
      </w:r>
      <w:r>
        <w:rPr>
          <w:spacing w:val="-5"/>
        </w:rPr>
        <w:t>作为无形资产和固定资产核算。如为外购的房屋及建筑物，则将有关价款在土地使用权和建筑物之间分配，难以合理分配的，</w:t>
      </w:r>
      <w:r>
        <w:rPr>
          <w:spacing w:val="-79"/>
        </w:rPr>
        <w:t> </w:t>
      </w:r>
      <w:r>
        <w:rPr>
          <w:spacing w:val="-79"/>
        </w:rPr>
      </w:r>
      <w:r>
        <w:rPr/>
        <w:t>全部作为固定资产处理。</w:t>
      </w:r>
    </w:p>
    <w:p>
      <w:pPr>
        <w:pStyle w:val="BodyText"/>
        <w:spacing w:line="316" w:lineRule="auto" w:before="19"/>
        <w:ind w:left="514" w:right="0"/>
        <w:jc w:val="left"/>
      </w:pPr>
      <w:r>
        <w:rPr/>
        <w:t>②无形资产使用寿命及摊销 </w:t>
      </w:r>
      <w:r>
        <w:rPr>
          <w:spacing w:val="-2"/>
        </w:rPr>
        <w:t>根据无形资产的合同性权利或其他法定权利、同行业情况、历史经验、相关专家论证等综合因素判断，能合理确定无形</w:t>
      </w:r>
    </w:p>
    <w:p>
      <w:pPr>
        <w:spacing w:after="0" w:line="316" w:lineRule="auto"/>
        <w:jc w:val="left"/>
        <w:sectPr>
          <w:footerReference w:type="default" r:id="rId15"/>
          <w:pgSz w:w="11910" w:h="16840"/>
          <w:pgMar w:footer="979" w:header="747"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资产为公司带来经济利益期限的，作为使用寿命有限的无形资产；无法合理确定无形资产为公司带来经济利益期限的，视为</w:t>
      </w:r>
      <w:r>
        <w:rPr>
          <w:spacing w:val="-66"/>
        </w:rPr>
        <w:t> </w:t>
      </w:r>
      <w:r>
        <w:rPr>
          <w:spacing w:val="-66"/>
        </w:rPr>
      </w:r>
      <w:r>
        <w:rPr/>
        <w:t>使用寿命不确定的无形资产。</w:t>
      </w:r>
    </w:p>
    <w:p>
      <w:pPr>
        <w:pStyle w:val="BodyText"/>
        <w:spacing w:line="300" w:lineRule="auto" w:before="19"/>
        <w:ind w:right="1169" w:firstLine="360"/>
        <w:jc w:val="both"/>
      </w:pPr>
      <w:r>
        <w:rPr/>
        <w:t>对使用寿命有限的无形资产，估计其使用寿命时通常考虑以下因素：</w:t>
      </w:r>
      <w:r>
        <w:rPr>
          <w:rFonts w:ascii="Times New Roman" w:hAnsi="Times New Roman" w:cs="Times New Roman" w:eastAsia="Times New Roman" w:hint="default"/>
        </w:rPr>
        <w:t>(1)</w:t>
      </w:r>
      <w:r>
        <w:rPr/>
        <w:t>运用该资产生产的产品通常的寿命周期、可获 得的类似资产使用寿命的信息；</w:t>
      </w:r>
      <w:r>
        <w:rPr>
          <w:rFonts w:ascii="Times New Roman" w:hAnsi="Times New Roman" w:cs="Times New Roman" w:eastAsia="Times New Roman" w:hint="default"/>
        </w:rPr>
        <w:t>(2)</w:t>
      </w:r>
      <w:r>
        <w:rPr/>
        <w:t>技术、工艺等方面的现阶段情况及对未来发展趋势的估计；</w:t>
      </w:r>
      <w:r>
        <w:rPr>
          <w:rFonts w:ascii="Times New Roman" w:hAnsi="Times New Roman" w:cs="Times New Roman" w:eastAsia="Times New Roman" w:hint="default"/>
        </w:rPr>
        <w:t>(3)</w:t>
      </w:r>
      <w:r>
        <w:rPr/>
        <w:t>以该资产生产的产品或提 供劳务的市场需求情况；</w:t>
      </w:r>
      <w:r>
        <w:rPr>
          <w:rFonts w:ascii="Times New Roman" w:hAnsi="Times New Roman" w:cs="Times New Roman" w:eastAsia="Times New Roman" w:hint="default"/>
        </w:rPr>
        <w:t>(4)</w:t>
      </w:r>
      <w:r>
        <w:rPr/>
        <w:t>现在或潜在的竞争者预期采取的行动；</w:t>
      </w:r>
      <w:r>
        <w:rPr>
          <w:rFonts w:ascii="Times New Roman" w:hAnsi="Times New Roman" w:cs="Times New Roman" w:eastAsia="Times New Roman" w:hint="default"/>
        </w:rPr>
        <w:t>(5)</w:t>
      </w:r>
      <w:r>
        <w:rPr/>
        <w:t>为维持该资产带来经济利益能力的预期维护支出，以 及公司预计支付有关支出的能力；</w:t>
      </w:r>
      <w:r>
        <w:rPr>
          <w:rFonts w:ascii="Times New Roman" w:hAnsi="Times New Roman" w:cs="Times New Roman" w:eastAsia="Times New Roman" w:hint="default"/>
        </w:rPr>
        <w:t>(6)</w:t>
      </w:r>
      <w:r>
        <w:rPr/>
        <w:t>对该资产控制期限的相关法律规定或类似限制，如特许使用期、租赁期等；</w:t>
      </w:r>
      <w:r>
        <w:rPr>
          <w:rFonts w:ascii="Times New Roman" w:hAnsi="Times New Roman" w:cs="Times New Roman" w:eastAsia="Times New Roman" w:hint="default"/>
        </w:rPr>
        <w:t>(7)</w:t>
      </w:r>
      <w:r>
        <w:rPr/>
        <w:t>与公司 持有其他资产使用寿命的关联性等。</w:t>
      </w:r>
    </w:p>
    <w:p>
      <w:pPr>
        <w:pStyle w:val="BodyText"/>
        <w:spacing w:line="240" w:lineRule="auto" w:before="31"/>
        <w:ind w:right="0"/>
        <w:jc w:val="left"/>
        <w:rPr>
          <w:rFonts w:ascii="Times New Roman" w:hAnsi="Times New Roman" w:cs="Times New Roman" w:eastAsia="Times New Roman" w:hint="default"/>
        </w:rPr>
      </w:pPr>
      <w:r>
        <w:rPr/>
        <w:t>无形资产的使用寿命估计情况</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950"/>
        <w:gridCol w:w="2950"/>
        <w:gridCol w:w="2951"/>
      </w:tblGrid>
      <w:tr>
        <w:trPr>
          <w:trHeight w:val="347" w:hRule="exact"/>
        </w:trPr>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预计使用寿命依据</w:t>
            </w:r>
          </w:p>
        </w:tc>
        <w:tc>
          <w:tcPr>
            <w:tcW w:w="295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right="2"/>
              <w:jc w:val="right"/>
              <w:rPr>
                <w:rFonts w:ascii="Times New Roman" w:hAnsi="Times New Roman" w:cs="Times New Roman" w:eastAsia="Times New Roman" w:hint="default"/>
                <w:sz w:val="18"/>
                <w:szCs w:val="18"/>
              </w:rPr>
            </w:pPr>
            <w:r>
              <w:rPr>
                <w:rFonts w:ascii="宋体" w:hAnsi="宋体" w:cs="宋体" w:eastAsia="宋体" w:hint="default"/>
                <w:sz w:val="18"/>
                <w:szCs w:val="18"/>
              </w:rPr>
              <w:t>期限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r>
      <w:tr>
        <w:trPr>
          <w:trHeight w:val="347" w:hRule="exact"/>
        </w:trPr>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软件、软件著作权和域名</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预计受益期限</w:t>
            </w:r>
          </w:p>
        </w:tc>
        <w:tc>
          <w:tcPr>
            <w:tcW w:w="295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1.5-50</w:t>
            </w:r>
          </w:p>
        </w:tc>
      </w:tr>
      <w:tr>
        <w:trPr>
          <w:trHeight w:val="347" w:hRule="exact"/>
        </w:trPr>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太平洋网站知识产权及应用列表</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预计受益期限</w:t>
            </w:r>
          </w:p>
        </w:tc>
        <w:tc>
          <w:tcPr>
            <w:tcW w:w="295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2-10</w:t>
            </w:r>
          </w:p>
        </w:tc>
      </w:tr>
      <w:tr>
        <w:trPr>
          <w:trHeight w:val="348" w:hRule="exact"/>
        </w:trPr>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视赚</w:t>
            </w:r>
            <w:r>
              <w:rPr>
                <w:rFonts w:ascii="Times New Roman" w:hAnsi="Times New Roman" w:cs="Times New Roman" w:eastAsia="Times New Roman" w:hint="default"/>
                <w:sz w:val="18"/>
                <w:szCs w:val="18"/>
              </w:rPr>
              <w:t>APP</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预计受益期限</w:t>
            </w:r>
          </w:p>
        </w:tc>
        <w:tc>
          <w:tcPr>
            <w:tcW w:w="295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316" w:lineRule="auto" w:before="10"/>
        <w:ind w:left="154" w:right="1132" w:firstLine="360"/>
        <w:jc w:val="both"/>
      </w:pPr>
      <w:r>
        <w:rPr>
          <w:spacing w:val="-2"/>
        </w:rPr>
        <w:t>使用寿命有限的无形资产，在使用寿命内按照与该项无形资产有关的经济利益的预期实现方式系统合理地摊销，无法可</w:t>
      </w:r>
      <w:r>
        <w:rPr/>
        <w:t> </w:t>
      </w:r>
      <w:r>
        <w:rPr>
          <w:spacing w:val="-2"/>
        </w:rPr>
        <w:t>靠确定预期实现方式的，采用直线法摊销。使用寿命不确定的无形资产不予摊销，但每年均对该无形资产的使用寿命进行复</w:t>
      </w:r>
      <w:r>
        <w:rPr>
          <w:spacing w:val="-66"/>
        </w:rPr>
        <w:t> </w:t>
      </w:r>
      <w:r>
        <w:rPr>
          <w:spacing w:val="-66"/>
        </w:rPr>
      </w:r>
      <w:r>
        <w:rPr/>
        <w:t>核，并进行减值测试。</w:t>
      </w:r>
    </w:p>
    <w:p>
      <w:pPr>
        <w:pStyle w:val="BodyText"/>
        <w:spacing w:line="316" w:lineRule="auto" w:before="19"/>
        <w:ind w:left="154" w:right="1133" w:firstLine="360"/>
        <w:jc w:val="both"/>
      </w:pPr>
      <w:r>
        <w:rPr>
          <w:spacing w:val="-2"/>
        </w:rPr>
        <w:t>本公司于每年年度终了，对使用寿命有限的无形资产的使用寿命及摊销方法进行复核，与以前估计不同的，调整原先估</w:t>
      </w:r>
      <w:r>
        <w:rPr/>
        <w:t> </w:t>
      </w:r>
      <w:r>
        <w:rPr>
          <w:spacing w:val="-2"/>
        </w:rPr>
        <w:t>计数，并按会计估计变更处理；预计某项无形资产已经不能给公司带来未来经济利益的，将该项无形资产的账面价值全部转</w:t>
      </w:r>
      <w:r>
        <w:rPr>
          <w:spacing w:val="-66"/>
        </w:rPr>
        <w:t> </w:t>
      </w:r>
      <w:r>
        <w:rPr>
          <w:spacing w:val="-66"/>
        </w:rPr>
      </w:r>
      <w:r>
        <w:rPr/>
        <w:t>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内部研究开发支出会计政策" w:id="200"/>
      <w:bookmarkEnd w:id="20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内部研究开发项目的支出，区分为研究阶段支出和开发阶段支出。划分研究阶段和开发阶段的标准：为获取新的技术和</w:t>
      </w:r>
      <w:r>
        <w:rPr/>
        <w:t> </w:t>
      </w:r>
      <w:r>
        <w:rPr>
          <w:spacing w:val="-2"/>
        </w:rPr>
        <w:t>知识等进行的有计划的调查阶段，应确定为研究阶段，该阶段具有计划性和探索性等特点；在进行商业性生产或使用前，将</w:t>
      </w:r>
      <w:r>
        <w:rPr>
          <w:spacing w:val="-66"/>
        </w:rPr>
        <w:t> </w:t>
      </w:r>
      <w:r>
        <w:rPr>
          <w:spacing w:val="-66"/>
        </w:rPr>
      </w:r>
      <w:r>
        <w:rPr>
          <w:spacing w:val="-2"/>
        </w:rPr>
        <w:t>研究成果或其他知识应用于某项计划或设计，以生产出新的或具有实质性改进的材料、装置、产品等阶段，应确定为开发阶</w:t>
      </w:r>
      <w:r>
        <w:rPr>
          <w:spacing w:val="-66"/>
        </w:rPr>
        <w:t> </w:t>
      </w:r>
      <w:r>
        <w:rPr>
          <w:spacing w:val="-66"/>
        </w:rPr>
      </w:r>
      <w:r>
        <w:rPr/>
        <w:t>段，该阶段具有针对性和形成成果的可能性较大等特点。</w:t>
      </w:r>
    </w:p>
    <w:p>
      <w:pPr>
        <w:pStyle w:val="BodyText"/>
        <w:spacing w:line="316" w:lineRule="auto" w:before="17"/>
        <w:ind w:left="154" w:right="1132" w:firstLine="360"/>
        <w:jc w:val="both"/>
      </w:pPr>
      <w:r>
        <w:rPr>
          <w:spacing w:val="-5"/>
        </w:rPr>
        <w:t>内部研究开发项目研究阶段的支出，于发生时计入当期损益。内部研究开发项目开发阶段的支出，同时满足下列条件的，</w:t>
      </w:r>
      <w:r>
        <w:rPr/>
        <w:t> </w:t>
      </w:r>
      <w:r>
        <w:rPr>
          <w:spacing w:val="-2"/>
        </w:rPr>
        <w:t>确认为无形资产：①完成该无形资产以使其能够使用或出售在技术上具有可行性；②具有完成该无形资产并使用或出售的意</w:t>
      </w:r>
      <w:r>
        <w:rPr>
          <w:spacing w:val="-64"/>
        </w:rPr>
        <w:t> </w:t>
      </w:r>
      <w:r>
        <w:rPr>
          <w:spacing w:val="-64"/>
        </w:rPr>
      </w:r>
      <w:r>
        <w:rPr>
          <w:spacing w:val="-2"/>
        </w:rPr>
        <w:t>图；③无形资产产生经济利益的方式，包括能够证明运用该无形资产生产的产品存在市场或无形资产自身存在市场，无形资</w:t>
      </w:r>
      <w:r>
        <w:rPr>
          <w:spacing w:val="-66"/>
        </w:rPr>
        <w:t> </w:t>
      </w:r>
      <w:r>
        <w:rPr>
          <w:spacing w:val="-66"/>
        </w:rPr>
      </w:r>
      <w:r>
        <w:rPr>
          <w:spacing w:val="-2"/>
        </w:rPr>
        <w:t>产将在内部使用的，可证明其有用性；④有足够的技术、财务资源和其他资源支持，以完成该无形资产的开发，并有能力使</w:t>
      </w:r>
      <w:r>
        <w:rPr>
          <w:spacing w:val="-66"/>
        </w:rPr>
        <w:t> </w:t>
      </w:r>
      <w:r>
        <w:rPr>
          <w:spacing w:val="-66"/>
        </w:rPr>
      </w:r>
      <w:r>
        <w:rPr>
          <w:spacing w:val="-5"/>
        </w:rPr>
        <w:t>用或出售该无形资产；⑤归属于该无形资产开发阶段的支出能够可靠地计量。如不满足上述条件的，于发生时计入当期损益；</w:t>
      </w:r>
      <w:r>
        <w:rPr>
          <w:spacing w:val="-79"/>
        </w:rPr>
        <w:t> </w:t>
      </w:r>
      <w:r>
        <w:rPr>
          <w:spacing w:val="-79"/>
        </w:rPr>
      </w:r>
      <w:r>
        <w:rPr/>
        <w:t>无法区分研究阶段支出和开发阶段支出的，将发生的研发支出全部计入当期损益。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0、长期资产减值" w:id="201"/>
      <w:bookmarkEnd w:id="201"/>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43" w:firstLine="360"/>
        <w:jc w:val="both"/>
      </w:pPr>
      <w:r>
        <w:rPr/>
        <w:t>长期股权投资、采用成本模式计量的投资性房地产和和生产性生物资产、固定资产、在建工程、油气资产、无形资产、 商誉等长期资产，存在下列迹象的，表明资产可能发生了减值：</w:t>
      </w:r>
    </w:p>
    <w:p>
      <w:pPr>
        <w:pStyle w:val="BodyText"/>
        <w:spacing w:line="240" w:lineRule="auto" w:before="19"/>
        <w:ind w:left="514" w:right="0"/>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300" w:lineRule="auto" w:before="63"/>
        <w:ind w:left="154" w:right="1141" w:firstLine="360"/>
        <w:jc w:val="both"/>
      </w:pPr>
      <w:r>
        <w:rPr/>
        <w:t>（</w:t>
      </w:r>
      <w:r>
        <w:rPr>
          <w:rFonts w:ascii="Times New Roman" w:hAnsi="Times New Roman" w:cs="Times New Roman" w:eastAsia="Times New Roman" w:hint="default"/>
        </w:rPr>
        <w:t>2</w:t>
      </w:r>
      <w:r>
        <w:rPr/>
        <w:t>）企业经营所处的经济、技术或者法律等环境以及资产所处的市场在当期或者将在近期发生重大变化，从而对企业 产生不利影响；</w:t>
      </w:r>
    </w:p>
    <w:p>
      <w:pPr>
        <w:pStyle w:val="BodyText"/>
        <w:spacing w:line="300" w:lineRule="auto" w:before="31"/>
        <w:ind w:left="154" w:right="1141" w:firstLine="360"/>
        <w:jc w:val="both"/>
      </w:pPr>
      <w:r>
        <w:rPr/>
        <w:t>（</w:t>
      </w:r>
      <w:r>
        <w:rPr>
          <w:rFonts w:ascii="Times New Roman" w:hAnsi="Times New Roman" w:cs="Times New Roman" w:eastAsia="Times New Roman" w:hint="default"/>
        </w:rPr>
        <w:t>3</w:t>
      </w:r>
      <w:r>
        <w:rPr/>
        <w:t>）市场利率或者其他市场投资报酬率在当期已经提高，从而影响企业计算资产预计未来现金流量现值的折现率，导 致资产可收回金额大幅度降低；</w:t>
      </w:r>
    </w:p>
    <w:p>
      <w:pPr>
        <w:pStyle w:val="BodyText"/>
        <w:spacing w:line="240" w:lineRule="auto" w:before="31"/>
        <w:ind w:left="514" w:right="0"/>
        <w:jc w:val="left"/>
      </w:pPr>
      <w:r>
        <w:rPr/>
        <w:t>（</w:t>
      </w:r>
      <w:r>
        <w:rPr>
          <w:rFonts w:ascii="Times New Roman" w:hAnsi="Times New Roman" w:cs="Times New Roman" w:eastAsia="Times New Roman" w:hint="default"/>
        </w:rPr>
        <w:t>4</w:t>
      </w:r>
      <w:r>
        <w:rPr/>
        <w:t>）有证据表明资产已经陈旧过时或者其实体已经损坏；</w:t>
      </w:r>
    </w:p>
    <w:p>
      <w:pPr>
        <w:pStyle w:val="BodyText"/>
        <w:spacing w:line="240" w:lineRule="auto" w:before="63"/>
        <w:ind w:left="514" w:right="0"/>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240" w:lineRule="auto" w:before="63"/>
        <w:ind w:left="514" w:right="0"/>
        <w:jc w:val="left"/>
      </w:pPr>
      <w:r>
        <w:rPr/>
        <w:t>（</w:t>
      </w:r>
      <w:r>
        <w:rPr>
          <w:rFonts w:ascii="Times New Roman" w:hAnsi="Times New Roman" w:cs="Times New Roman" w:eastAsia="Times New Roman" w:hint="default"/>
        </w:rPr>
        <w:t>6</w:t>
      </w:r>
      <w:r>
        <w:rPr/>
        <w:t>）企业内部报告的证据表明资产的经济绩效已经低于或者将低于预期，如资产所创造的净现金流量或者实现的营业</w:t>
      </w:r>
    </w:p>
    <w:p>
      <w:pPr>
        <w:spacing w:after="0" w:line="240" w:lineRule="auto"/>
        <w:jc w:val="left"/>
        <w:sectPr>
          <w:footerReference w:type="default" r:id="rId16"/>
          <w:pgSz w:w="11910" w:h="16840"/>
          <w:pgMar w:footer="979" w:header="747" w:top="1060" w:bottom="1160" w:left="980" w:right="0"/>
          <w:pgNumType w:start="101"/>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利润</w:t>
      </w:r>
      <w:r>
        <w:rPr>
          <w:rFonts w:ascii="Times New Roman" w:hAnsi="Times New Roman" w:cs="Times New Roman" w:eastAsia="Times New Roman" w:hint="default"/>
        </w:rPr>
        <w:t>(</w:t>
      </w:r>
      <w:r>
        <w:rPr/>
        <w:t>或者亏损</w:t>
      </w:r>
      <w:r>
        <w:rPr>
          <w:rFonts w:ascii="Times New Roman" w:hAnsi="Times New Roman" w:cs="Times New Roman" w:eastAsia="Times New Roman" w:hint="default"/>
        </w:rPr>
        <w:t>)</w:t>
      </w:r>
      <w:r>
        <w:rPr/>
        <w:t>远远低于</w:t>
      </w:r>
      <w:r>
        <w:rPr>
          <w:rFonts w:ascii="Times New Roman" w:hAnsi="Times New Roman" w:cs="Times New Roman" w:eastAsia="Times New Roman" w:hint="default"/>
        </w:rPr>
        <w:t>(</w:t>
      </w:r>
      <w:r>
        <w:rPr/>
        <w:t>或者高于</w:t>
      </w:r>
      <w:r>
        <w:rPr>
          <w:rFonts w:ascii="Times New Roman" w:hAnsi="Times New Roman" w:cs="Times New Roman" w:eastAsia="Times New Roman" w:hint="default"/>
        </w:rPr>
        <w:t>)</w:t>
      </w:r>
      <w:r>
        <w:rPr/>
        <w:t>预计金额等；</w:t>
      </w:r>
    </w:p>
    <w:p>
      <w:pPr>
        <w:pStyle w:val="BodyText"/>
        <w:spacing w:line="300" w:lineRule="auto" w:before="63"/>
        <w:ind w:left="514" w:right="0"/>
        <w:jc w:val="left"/>
      </w:pPr>
      <w:r>
        <w:rPr/>
        <w:t>（</w:t>
      </w:r>
      <w:r>
        <w:rPr>
          <w:rFonts w:ascii="Times New Roman" w:hAnsi="Times New Roman" w:cs="Times New Roman" w:eastAsia="Times New Roman" w:hint="default"/>
        </w:rPr>
        <w:t>7</w:t>
      </w:r>
      <w:r>
        <w:rPr/>
        <w:t>）其他表明资产可能已经发生减值的迹象。 </w:t>
      </w:r>
      <w:r>
        <w:rPr>
          <w:spacing w:val="-2"/>
        </w:rPr>
        <w:t>上述长期资产于资产负债日存在减值迹象的，应当进行减值测试。减值测试结果表明资产的可收回金额低于其账面价值</w:t>
      </w:r>
    </w:p>
    <w:p>
      <w:pPr>
        <w:pStyle w:val="BodyText"/>
        <w:spacing w:line="319" w:lineRule="auto" w:before="31"/>
        <w:ind w:left="154" w:right="1132"/>
        <w:jc w:val="both"/>
      </w:pPr>
      <w:r>
        <w:rPr>
          <w:spacing w:val="-2"/>
        </w:rPr>
        <w:t>的，按其差额计提减值准备并计入减值损失。可收回金额为资产的公允价值减去处置费用后的净额与资产预计未来现金流量</w:t>
      </w:r>
      <w:r>
        <w:rPr>
          <w:spacing w:val="-64"/>
        </w:rPr>
        <w:t> </w:t>
      </w:r>
      <w:r>
        <w:rPr>
          <w:spacing w:val="-64"/>
        </w:rPr>
      </w:r>
      <w:r>
        <w:rPr>
          <w:spacing w:val="-2"/>
        </w:rPr>
        <w:t>的现值两者之间的较高者。处置费用包括与资产处置有关的法律费用、相关税费、搬运费以及为使资产达到可销售状态所发</w:t>
      </w:r>
      <w:r>
        <w:rPr>
          <w:spacing w:val="-66"/>
        </w:rPr>
        <w:t> </w:t>
      </w:r>
      <w:r>
        <w:rPr>
          <w:spacing w:val="-66"/>
        </w:rPr>
      </w:r>
      <w:r>
        <w:rPr>
          <w:spacing w:val="-2"/>
        </w:rPr>
        <w:t>生的直接费用；资产预计未来现金流量的现值，按照资产在持续使用过程中和最终处置时所产生的预计未来现金流量，选择</w:t>
      </w:r>
      <w:r>
        <w:rPr>
          <w:spacing w:val="-66"/>
        </w:rPr>
        <w:t> </w:t>
      </w:r>
      <w:r>
        <w:rPr>
          <w:spacing w:val="-66"/>
        </w:rPr>
      </w:r>
      <w:r>
        <w:rPr/>
        <w:t>恰当的折现率对其进行折现后的金额加以确定。</w:t>
      </w:r>
    </w:p>
    <w:p>
      <w:pPr>
        <w:pStyle w:val="BodyText"/>
        <w:spacing w:line="316" w:lineRule="auto" w:before="17"/>
        <w:ind w:left="154" w:right="1132" w:firstLine="360"/>
        <w:jc w:val="both"/>
      </w:pPr>
      <w:r>
        <w:rPr>
          <w:spacing w:val="-2"/>
        </w:rPr>
        <w:t>资产减值准备按单项资产为基础计算并确认，如果难以对单项资产的可收回金额进行估计的，以资产组所属的资产组确</w:t>
      </w:r>
      <w:r>
        <w:rPr/>
        <w:t> 定资产组的可收回金额。资产组是能够独立产生现金流入的最小资产组合。</w:t>
      </w:r>
    </w:p>
    <w:p>
      <w:pPr>
        <w:pStyle w:val="BodyText"/>
        <w:spacing w:line="316" w:lineRule="auto" w:before="19"/>
        <w:ind w:right="1132" w:firstLine="360"/>
        <w:jc w:val="both"/>
      </w:pPr>
      <w:r>
        <w:rPr>
          <w:spacing w:val="-2"/>
        </w:rPr>
        <w:t>在财务报表中单独列示的商誉，在进行减值测试时，将商誉的账面价值分摊至预期从企业合并的协同效应收益中收益的</w:t>
      </w:r>
      <w:r>
        <w:rPr/>
        <w:t> </w:t>
      </w:r>
      <w:r>
        <w:rPr>
          <w:spacing w:val="-2"/>
        </w:rPr>
        <w:t>资产组或资产组组合。测试结果表明包含分摊的商誉的资产组或者资产组组合的可收回金额低于其账面价值的，确认相应的</w:t>
      </w:r>
      <w:r>
        <w:rPr>
          <w:spacing w:val="-64"/>
        </w:rPr>
        <w:t> </w:t>
      </w:r>
      <w:r>
        <w:rPr>
          <w:spacing w:val="-64"/>
        </w:rPr>
      </w:r>
      <w:r>
        <w:rPr>
          <w:spacing w:val="-2"/>
        </w:rPr>
        <w:t>减值损失。减值损失金额先抵减分摊至该资产组或者资产组组合的商誉的账面价值，再根据资产组或者资产组组合中除商誉</w:t>
      </w:r>
      <w:r>
        <w:rPr>
          <w:spacing w:val="-64"/>
        </w:rPr>
        <w:t> </w:t>
      </w:r>
      <w:r>
        <w:rPr>
          <w:spacing w:val="-64"/>
        </w:rPr>
      </w:r>
      <w:r>
        <w:rPr/>
        <w:t>以外的其他各项资产的账面价值所占比重，按比例抵减其他各项资产的账面价值。</w:t>
      </w:r>
    </w:p>
    <w:p>
      <w:pPr>
        <w:pStyle w:val="BodyText"/>
        <w:spacing w:line="316" w:lineRule="auto" w:before="19"/>
        <w:ind w:left="513" w:right="4813"/>
        <w:jc w:val="left"/>
      </w:pPr>
      <w:r>
        <w:rPr/>
        <w:t>商誉和使用寿命不确定的无形资产至少在每年年度终了进行减值测试。 上述资产减值损失一经确认，在以后期间不予转回。</w:t>
      </w:r>
    </w:p>
    <w:p>
      <w:pPr>
        <w:spacing w:line="240" w:lineRule="auto" w:before="7"/>
        <w:rPr>
          <w:rFonts w:ascii="宋体" w:hAnsi="宋体" w:cs="宋体" w:eastAsia="宋体" w:hint="default"/>
          <w:sz w:val="22"/>
          <w:szCs w:val="22"/>
        </w:rPr>
      </w:pPr>
    </w:p>
    <w:p>
      <w:pPr>
        <w:pStyle w:val="Heading3"/>
        <w:spacing w:line="240" w:lineRule="auto"/>
        <w:ind w:left="154" w:right="0"/>
        <w:jc w:val="both"/>
        <w:rPr>
          <w:b w:val="0"/>
          <w:bCs w:val="0"/>
        </w:rPr>
      </w:pPr>
      <w:bookmarkStart w:name="21、长期待摊费用" w:id="202"/>
      <w:bookmarkEnd w:id="202"/>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43" w:firstLine="360"/>
        <w:jc w:val="both"/>
      </w:pPr>
      <w:r>
        <w:rPr>
          <w:spacing w:val="-4"/>
        </w:rPr>
        <w:t>长期待摊费用按实际支出入账，在受益期或规定的期限内平均摊销。如果长期待摊的费用项目不能使以后会计期间受益，</w:t>
      </w:r>
      <w:r>
        <w:rPr/>
        <w:t> 则将尚未摊销的该项目的摊余价值全部转入当期损益。其中：</w:t>
      </w:r>
    </w:p>
    <w:p>
      <w:pPr>
        <w:pStyle w:val="BodyText"/>
        <w:spacing w:line="319" w:lineRule="auto" w:before="19"/>
        <w:ind w:left="513" w:right="0"/>
        <w:jc w:val="left"/>
      </w:pPr>
      <w:r>
        <w:rPr/>
        <w:t>预付经营租入固定资产的租金，按租赁合同规定的期限平均摊销。 经营租赁方式租入的固定资产改良支出，按剩余租赁期与租赁资产尚可使用年限两者中较短的期限平均摊销。 </w:t>
      </w:r>
      <w:r>
        <w:rPr>
          <w:spacing w:val="-2"/>
        </w:rPr>
        <w:t>融资租赁方式租入的固定资产符合资本化条件的装修费用，按两次装修间隔期间、剩余租赁期与固定资产尚可使用年限</w:t>
      </w:r>
    </w:p>
    <w:p>
      <w:pPr>
        <w:pStyle w:val="BodyText"/>
        <w:spacing w:line="240" w:lineRule="auto" w:before="17"/>
        <w:ind w:right="0"/>
        <w:jc w:val="both"/>
      </w:pPr>
      <w:r>
        <w:rPr/>
        <w:t>三者中较短的期限平均摊销。</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2、职工薪酬" w:id="203"/>
      <w:bookmarkEnd w:id="203"/>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短期薪酬的会计处理方法" w:id="204"/>
      <w:bookmarkEnd w:id="20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360"/>
        <w:jc w:val="both"/>
      </w:pPr>
      <w:r>
        <w:rPr>
          <w:spacing w:val="-2"/>
        </w:rPr>
        <w:t>本公司在职工提供服务的会计期间，将实际发生的职工工资、奖金、按规定的基准和比例为职工缴纳的医疗保险费、工</w:t>
      </w:r>
      <w:r>
        <w:rPr/>
        <w:t> </w:t>
      </w:r>
      <w:r>
        <w:rPr>
          <w:spacing w:val="-2"/>
        </w:rPr>
        <w:t>伤保险费和生育保险费等社会保险费和住房公积金，确认为负债，并计入当期损益或相关资产成本。职工福利费为非货币性</w:t>
      </w:r>
      <w:r>
        <w:rPr>
          <w:spacing w:val="-66"/>
        </w:rPr>
        <w:t> </w:t>
      </w:r>
      <w:r>
        <w:rPr>
          <w:spacing w:val="-66"/>
        </w:rPr>
      </w:r>
      <w:r>
        <w:rPr>
          <w:spacing w:val="-2"/>
        </w:rPr>
        <w:t>福利的，如能够可靠计量的，按照公允价值计量。如果该负债预期在职工提供相关服务的年度报告期结束后十二个月内不能</w:t>
      </w:r>
      <w:r>
        <w:rPr>
          <w:spacing w:val="-66"/>
        </w:rPr>
        <w:t> </w:t>
      </w:r>
      <w:r>
        <w:rPr>
          <w:spacing w:val="-66"/>
        </w:rPr>
      </w:r>
      <w:r>
        <w:rPr/>
        <w:t>完全支付，且财务影响重大的，则该负债将以折现后的金额计量。</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离职后福利的会计处理方法" w:id="205"/>
      <w:bookmarkEnd w:id="20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离职后福利计划包括设定提存计划和设定受益计划。其中，设定提存计划，是指向独立的基金缴存固定费用后，企业不</w:t>
      </w:r>
      <w:r>
        <w:rPr/>
        <w:t> 再承担进一步支付义务的离职后福利计划；设定受益计划，是指除设定提存计划以外的离职后福利计划。</w:t>
      </w:r>
    </w:p>
    <w:p>
      <w:pPr>
        <w:pStyle w:val="BodyText"/>
        <w:spacing w:line="316" w:lineRule="auto" w:before="19"/>
        <w:ind w:right="1132" w:firstLine="360"/>
        <w:jc w:val="both"/>
      </w:pPr>
      <w:r>
        <w:rPr>
          <w:spacing w:val="-2"/>
        </w:rPr>
        <w:t>本公司按当期政府的相关规定为职工缴纳基本养老保险和失业保险，在职工为本公司提供服务的会计期间，根据设定提</w:t>
      </w:r>
      <w:r>
        <w:rPr/>
        <w:t> 存计划计算的应缴存金额确认为负债，并计入当期损益或相关资产成本。</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3）辞退福利的会计处理方法" w:id="206"/>
      <w:bookmarkEnd w:id="20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在本公司不能单方面撤回因解除劳动关系计划或者裁减建议所提供的辞退福利时，和本公司确认与涉及支付辞退福利的</w:t>
      </w:r>
      <w:r>
        <w:rPr/>
        <w:t> </w:t>
      </w:r>
      <w:r>
        <w:rPr>
          <w:spacing w:val="-2"/>
        </w:rPr>
        <w:t>重组相关的成本或费用时两者孰早日，确认辞退福利产生的职工薪酬负债，并计入当期损益。但辞退福利预期在年度报告期</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0" w:hanging="360"/>
        <w:jc w:val="left"/>
      </w:pPr>
      <w:r>
        <w:rPr/>
        <w:t>结束后十二个月不能完全支付的，按照其他长期职工薪酬处理。 </w:t>
      </w:r>
      <w:r>
        <w:rPr>
          <w:spacing w:val="-2"/>
        </w:rPr>
        <w:t>职工内部退休计划采用与上述辞退福利相同的原则处理。本公司将自职工停止提供服务日至正常退休日的期间拟支付的</w:t>
      </w:r>
    </w:p>
    <w:p>
      <w:pPr>
        <w:pStyle w:val="BodyText"/>
        <w:spacing w:line="300" w:lineRule="auto" w:before="19"/>
        <w:ind w:right="0"/>
        <w:jc w:val="left"/>
      </w:pPr>
      <w:r>
        <w:rPr>
          <w:spacing w:val="-1"/>
        </w:rPr>
        <w:t>内退人员工资和缴纳的社会保险费等，在符合预计负债确认条件时，计入当期损益</w:t>
      </w:r>
      <w:r>
        <w:rPr>
          <w:rFonts w:ascii="Times New Roman" w:hAnsi="Times New Roman" w:cs="Times New Roman" w:eastAsia="Times New Roman" w:hint="default"/>
          <w:spacing w:val="-1"/>
        </w:rPr>
        <w:t>(</w:t>
      </w:r>
      <w:r>
        <w:rPr>
          <w:spacing w:val="-1"/>
        </w:rPr>
        <w:t>辞退福利</w:t>
      </w:r>
      <w:r>
        <w:rPr>
          <w:rFonts w:ascii="Times New Roman" w:hAnsi="Times New Roman" w:cs="Times New Roman" w:eastAsia="Times New Roman" w:hint="default"/>
          <w:spacing w:val="-1"/>
        </w:rPr>
        <w:t>)</w:t>
      </w:r>
      <w:r>
        <w:rPr>
          <w:spacing w:val="-1"/>
        </w:rPr>
        <w:t>。正式退休日期之后的经济补</w:t>
      </w:r>
      <w:r>
        <w:rPr>
          <w:spacing w:val="-59"/>
        </w:rPr>
        <w:t> </w:t>
      </w:r>
      <w:r>
        <w:rPr>
          <w:spacing w:val="-59"/>
        </w:rPr>
      </w:r>
      <w:r>
        <w:rPr/>
        <w:t>偿</w:t>
      </w:r>
      <w:r>
        <w:rPr>
          <w:rFonts w:ascii="Times New Roman" w:hAnsi="Times New Roman" w:cs="Times New Roman" w:eastAsia="Times New Roman" w:hint="default"/>
        </w:rPr>
        <w:t>(</w:t>
      </w:r>
      <w:r>
        <w:rPr/>
        <w:t>如正常养老退休金</w:t>
      </w:r>
      <w:r>
        <w:rPr>
          <w:rFonts w:ascii="Times New Roman" w:hAnsi="Times New Roman" w:cs="Times New Roman" w:eastAsia="Times New Roman" w:hint="default"/>
        </w:rPr>
        <w:t>)</w:t>
      </w:r>
      <w:r>
        <w:rPr/>
        <w:t>，按照离职后福利处理。</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bookmarkStart w:name="（4）其他长期职工福利的会计处理方法" w:id="207"/>
      <w:bookmarkEnd w:id="20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0" w:firstLine="360"/>
        <w:jc w:val="both"/>
      </w:pPr>
      <w:r>
        <w:rPr>
          <w:spacing w:val="-2"/>
        </w:rPr>
        <w:t>本公司向职工提供的其他长期职工福利，符合设定提存计划的，按照设定提存计划进行会计处理，除此之外按照设定受</w:t>
      </w:r>
      <w:r>
        <w:rPr/>
        <w:t> </w:t>
      </w:r>
      <w:r>
        <w:rPr>
          <w:spacing w:val="-2"/>
        </w:rPr>
        <w:t>益计划进行会计处理。但相关职工薪酬成本中</w:t>
      </w:r>
      <w:r>
        <w:rPr>
          <w:rFonts w:ascii="Times New Roman" w:hAnsi="Times New Roman" w:cs="Times New Roman" w:eastAsia="Times New Roman" w:hint="default"/>
          <w:spacing w:val="-2"/>
        </w:rPr>
        <w:t>“</w:t>
      </w:r>
      <w:r>
        <w:rPr>
          <w:spacing w:val="-2"/>
        </w:rPr>
        <w:t>重新计量设定受益计划净负债或净资产所产生的变动</w:t>
      </w:r>
      <w:r>
        <w:rPr>
          <w:rFonts w:ascii="Times New Roman" w:hAnsi="Times New Roman" w:cs="Times New Roman" w:eastAsia="Times New Roman" w:hint="default"/>
          <w:spacing w:val="-2"/>
        </w:rPr>
        <w:t>”</w:t>
      </w:r>
      <w:r>
        <w:rPr>
          <w:spacing w:val="-2"/>
        </w:rPr>
        <w:t>部分计入当期损益或相</w:t>
      </w:r>
      <w:r>
        <w:rPr>
          <w:spacing w:val="-44"/>
        </w:rPr>
        <w:t> </w:t>
      </w:r>
      <w:r>
        <w:rPr/>
        <w:t>关资产成本。</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bookmarkStart w:name="23、预计负债" w:id="208"/>
      <w:bookmarkEnd w:id="208"/>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132" w:firstLine="360"/>
        <w:jc w:val="both"/>
      </w:pPr>
      <w:r>
        <w:rPr>
          <w:spacing w:val="-2"/>
        </w:rPr>
        <w:t>当与或有事项相关的义务同时符合以下条件，将其确认为预计负债：（</w:t>
      </w:r>
      <w:r>
        <w:rPr>
          <w:rFonts w:ascii="Times New Roman" w:hAnsi="Times New Roman" w:cs="Times New Roman" w:eastAsia="Times New Roman" w:hint="default"/>
          <w:spacing w:val="-2"/>
        </w:rPr>
        <w:t>1</w:t>
      </w:r>
      <w:r>
        <w:rPr>
          <w:spacing w:val="-2"/>
        </w:rPr>
        <w:t>）该义务是承担的现时义务；（</w:t>
      </w:r>
      <w:r>
        <w:rPr>
          <w:rFonts w:ascii="Times New Roman" w:hAnsi="Times New Roman" w:cs="Times New Roman" w:eastAsia="Times New Roman" w:hint="default"/>
          <w:spacing w:val="-2"/>
        </w:rPr>
        <w:t>2</w:t>
      </w:r>
      <w:r>
        <w:rPr>
          <w:spacing w:val="-2"/>
        </w:rPr>
        <w:t>）该义务的履</w:t>
      </w:r>
      <w:r>
        <w:rPr/>
        <w:t> 行很可能导致经济利益流出；（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left="154" w:right="1132" w:firstLine="360"/>
        <w:jc w:val="both"/>
      </w:pPr>
      <w:r>
        <w:rPr>
          <w:spacing w:val="-2"/>
        </w:rPr>
        <w:t>预计负债按照履行相关现时义务所需支出的最佳估计数进行初始计量，并综合考虑与或有事项有关的风险、不确定性和</w:t>
      </w:r>
      <w:r>
        <w:rPr/>
        <w:t> 货币时间价值等因素。货币时间价值影响重大的，通过对相关未来现金流出进行折现后确定最佳估计数。</w:t>
      </w:r>
    </w:p>
    <w:p>
      <w:pPr>
        <w:pStyle w:val="BodyText"/>
        <w:spacing w:line="307" w:lineRule="auto" w:before="19"/>
        <w:ind w:right="1033" w:firstLine="360"/>
        <w:jc w:val="left"/>
      </w:pPr>
      <w:r>
        <w:rPr/>
        <w:t>最佳估计数分别分以下情况处理：所需支出存在一个连续范围</w:t>
      </w:r>
      <w:r>
        <w:rPr>
          <w:rFonts w:ascii="Times New Roman" w:hAnsi="Times New Roman" w:cs="Times New Roman" w:eastAsia="Times New Roman" w:hint="default"/>
        </w:rPr>
        <w:t>(</w:t>
      </w:r>
      <w:r>
        <w:rPr/>
        <w:t>或区间</w:t>
      </w:r>
      <w:r>
        <w:rPr>
          <w:rFonts w:ascii="Times New Roman" w:hAnsi="Times New Roman" w:cs="Times New Roman" w:eastAsia="Times New Roman" w:hint="default"/>
        </w:rPr>
        <w:t>)</w:t>
      </w:r>
      <w:r>
        <w:rPr/>
        <w:t>，且该范围内各种结果发生的可能性相同的，则 最佳估计数按照该范围的中间值：即上下限金额的平均数确定。所需支出不存在一个连续范围</w:t>
      </w:r>
      <w:r>
        <w:rPr>
          <w:rFonts w:ascii="Times New Roman" w:hAnsi="Times New Roman" w:cs="Times New Roman" w:eastAsia="Times New Roman" w:hint="default"/>
        </w:rPr>
        <w:t>(</w:t>
      </w:r>
      <w:r>
        <w:rPr/>
        <w:t>或区间</w:t>
      </w:r>
      <w:r>
        <w:rPr>
          <w:rFonts w:ascii="Times New Roman" w:hAnsi="Times New Roman" w:cs="Times New Roman" w:eastAsia="Times New Roman" w:hint="default"/>
        </w:rPr>
        <w:t>)</w:t>
      </w:r>
      <w:r>
        <w:rPr/>
        <w:t>，或虽然存在一个连 续范围但该范围内各种结果发生的可能性不相同的，如或有事项涉及单个项目的，则最佳估计数按照最可能发生金额确定；</w:t>
      </w:r>
      <w:r>
        <w:rPr>
          <w:spacing w:val="-83"/>
        </w:rPr>
        <w:t> </w:t>
      </w:r>
      <w:r>
        <w:rPr>
          <w:spacing w:val="-83"/>
        </w:rPr>
      </w:r>
      <w:r>
        <w:rPr/>
        <w:t>如或有事项涉及多个项目的，则最佳估计数按各种可能结果及相关概率计算确定。</w:t>
      </w:r>
    </w:p>
    <w:p>
      <w:pPr>
        <w:pStyle w:val="BodyText"/>
        <w:spacing w:line="319" w:lineRule="auto" w:before="26"/>
        <w:ind w:left="154" w:right="1043" w:firstLine="360"/>
        <w:jc w:val="both"/>
      </w:pPr>
      <w:r>
        <w:rPr/>
        <w:t>本公司清偿预计负债所需支出全部或部分预期由第三方补偿的，补偿金额在基本确定能够收到时，作为资产单独确认， 且确认的补偿金额不超过预计负债的账面价值。</w:t>
      </w:r>
    </w:p>
    <w:p>
      <w:pPr>
        <w:pStyle w:val="BodyText"/>
        <w:spacing w:line="316" w:lineRule="auto" w:before="17"/>
        <w:ind w:left="154" w:right="1132" w:firstLine="360"/>
        <w:jc w:val="both"/>
      </w:pPr>
      <w:r>
        <w:rPr>
          <w:spacing w:val="-2"/>
        </w:rPr>
        <w:t>每个资产负债表日对预计负债的账面价值进行复核。有确凿证据表明该账面价值不能反映当前最佳估计数的，按照当前</w:t>
      </w:r>
      <w:r>
        <w:rPr/>
        <w:t> 最佳估计数对该账面价值进行调整。</w:t>
      </w:r>
    </w:p>
    <w:p>
      <w:pPr>
        <w:spacing w:line="240" w:lineRule="auto" w:before="7"/>
        <w:rPr>
          <w:rFonts w:ascii="宋体" w:hAnsi="宋体" w:cs="宋体" w:eastAsia="宋体" w:hint="default"/>
          <w:sz w:val="22"/>
          <w:szCs w:val="22"/>
        </w:rPr>
      </w:pPr>
    </w:p>
    <w:p>
      <w:pPr>
        <w:pStyle w:val="Heading3"/>
        <w:spacing w:line="240" w:lineRule="auto"/>
        <w:ind w:left="154" w:right="0"/>
        <w:jc w:val="both"/>
        <w:rPr>
          <w:b w:val="0"/>
          <w:bCs w:val="0"/>
        </w:rPr>
      </w:pPr>
      <w:bookmarkStart w:name="24、股份支付" w:id="209"/>
      <w:bookmarkEnd w:id="209"/>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）股份支付的种类 本公司的股份支付是为了获取职工</w:t>
      </w:r>
      <w:r>
        <w:rPr>
          <w:rFonts w:ascii="Times New Roman" w:hAnsi="Times New Roman" w:cs="Times New Roman" w:eastAsia="Times New Roman" w:hint="default"/>
        </w:rPr>
        <w:t>(</w:t>
      </w:r>
      <w:r>
        <w:rPr/>
        <w:t>或其他方</w:t>
      </w:r>
      <w:r>
        <w:rPr>
          <w:rFonts w:ascii="Times New Roman" w:hAnsi="Times New Roman" w:cs="Times New Roman" w:eastAsia="Times New Roman" w:hint="default"/>
        </w:rPr>
        <w:t>)</w:t>
      </w:r>
      <w:r>
        <w:rPr/>
        <w:t>提供服务而授予权益工具或者承担以权益工具为基础确定的负债的交易。</w:t>
      </w:r>
    </w:p>
    <w:p>
      <w:pPr>
        <w:pStyle w:val="BodyText"/>
        <w:spacing w:line="240" w:lineRule="auto" w:before="13"/>
        <w:ind w:right="0"/>
        <w:jc w:val="both"/>
      </w:pPr>
      <w:r>
        <w:rPr/>
        <w:t>包括以权益结算的股份支付和以现金结算的股份支付。</w:t>
      </w:r>
    </w:p>
    <w:p>
      <w:pPr>
        <w:pStyle w:val="BodyText"/>
        <w:spacing w:line="240" w:lineRule="auto" w:before="76"/>
        <w:ind w:left="513" w:right="0"/>
        <w:jc w:val="left"/>
      </w:pPr>
      <w:r>
        <w:rPr/>
        <w:t>（</w:t>
      </w:r>
      <w:r>
        <w:rPr>
          <w:rFonts w:ascii="Times New Roman" w:hAnsi="Times New Roman" w:cs="Times New Roman" w:eastAsia="Times New Roman" w:hint="default"/>
        </w:rPr>
        <w:t>2</w:t>
      </w:r>
      <w:r>
        <w:rPr/>
        <w:t>）权益工具公允价值的确定方法</w:t>
      </w:r>
    </w:p>
    <w:p>
      <w:pPr>
        <w:pStyle w:val="BodyText"/>
        <w:spacing w:line="316" w:lineRule="auto" w:before="63"/>
        <w:ind w:right="1131" w:firstLine="360"/>
        <w:jc w:val="both"/>
      </w:pPr>
      <w:r>
        <w:rPr>
          <w:spacing w:val="-2"/>
        </w:rPr>
        <w:t>①存在活跃市场的，按照活跃市场中的报价确定；②不存在活跃市场的，采用估值技术确定，包括参考熟悉情况并自愿</w:t>
      </w:r>
      <w:r>
        <w:rPr/>
        <w:t> </w:t>
      </w:r>
      <w:r>
        <w:rPr>
          <w:spacing w:val="-2"/>
        </w:rPr>
        <w:t>交易的各方最近进行的市场交易中使用的价格、参照实质上相同的其他金融工具的当前公允价值、现金流量折现法和期权定</w:t>
      </w:r>
      <w:r>
        <w:rPr>
          <w:spacing w:val="-64"/>
        </w:rPr>
        <w:t> </w:t>
      </w:r>
      <w:r>
        <w:rPr>
          <w:spacing w:val="-64"/>
        </w:rPr>
      </w:r>
      <w:r>
        <w:rPr/>
        <w:t>价模型等。</w:t>
      </w:r>
    </w:p>
    <w:p>
      <w:pPr>
        <w:pStyle w:val="BodyText"/>
        <w:spacing w:line="300" w:lineRule="auto" w:before="19"/>
        <w:ind w:left="513" w:right="0"/>
        <w:jc w:val="left"/>
      </w:pPr>
      <w:r>
        <w:rPr/>
        <w:t>（</w:t>
      </w:r>
      <w:r>
        <w:rPr>
          <w:rFonts w:ascii="Times New Roman" w:hAnsi="Times New Roman" w:cs="Times New Roman" w:eastAsia="Times New Roman" w:hint="default"/>
        </w:rPr>
        <w:t>3</w:t>
      </w:r>
      <w:r>
        <w:rPr/>
        <w:t>）确认可行权权益工具最佳估计的依据 </w:t>
      </w:r>
      <w:r>
        <w:rPr>
          <w:spacing w:val="-2"/>
        </w:rPr>
        <w:t>等待期内每个资产负债表日，本公司根据最新取得的可行权职工人数变动等后续信息做出最佳估计，修正预计可行权的</w:t>
      </w:r>
    </w:p>
    <w:p>
      <w:pPr>
        <w:pStyle w:val="BodyText"/>
        <w:spacing w:line="240" w:lineRule="auto" w:before="31"/>
        <w:ind w:right="0"/>
        <w:jc w:val="both"/>
      </w:pPr>
      <w:r>
        <w:rPr/>
        <w:t>权益工具数量。在可行权日，最终预计可行权权益工具的数量应当与实际可行权数量一致。</w:t>
      </w:r>
    </w:p>
    <w:p>
      <w:pPr>
        <w:pStyle w:val="BodyText"/>
        <w:spacing w:line="240" w:lineRule="auto" w:before="76"/>
        <w:ind w:left="513" w:right="0"/>
        <w:jc w:val="left"/>
      </w:pPr>
      <w:r>
        <w:rPr/>
        <w:t>（</w:t>
      </w:r>
      <w:r>
        <w:rPr>
          <w:rFonts w:ascii="Times New Roman" w:hAnsi="Times New Roman" w:cs="Times New Roman" w:eastAsia="Times New Roman" w:hint="default"/>
        </w:rPr>
        <w:t>4</w:t>
      </w:r>
      <w:r>
        <w:rPr/>
        <w:t>）股份支付的会计处理</w:t>
      </w:r>
    </w:p>
    <w:p>
      <w:pPr>
        <w:pStyle w:val="BodyText"/>
        <w:spacing w:line="319" w:lineRule="auto" w:before="63"/>
        <w:ind w:left="514" w:right="0"/>
        <w:jc w:val="left"/>
      </w:pPr>
      <w:r>
        <w:rPr/>
        <w:t>①以权益结算的股份支付 </w:t>
      </w:r>
      <w:r>
        <w:rPr>
          <w:spacing w:val="-2"/>
        </w:rPr>
        <w:t>以权益结算的股份支付换取职工提供服务的，授予后立即可行权的，在授予日按照权益工具的公允价值计入相关成本或</w:t>
      </w:r>
    </w:p>
    <w:p>
      <w:pPr>
        <w:pStyle w:val="BodyText"/>
        <w:spacing w:line="316" w:lineRule="auto" w:before="17"/>
        <w:ind w:left="154" w:right="1131"/>
        <w:jc w:val="both"/>
      </w:pPr>
      <w:r>
        <w:rPr>
          <w:spacing w:val="-2"/>
        </w:rPr>
        <w:t>费用，相应调整资本公积；完成等待期内的服务或达到规定业绩条件才可行权的，在等待期内的每个资产负债表日，以对可</w:t>
      </w:r>
      <w:r>
        <w:rPr>
          <w:spacing w:val="-66"/>
        </w:rPr>
        <w:t> </w:t>
      </w:r>
      <w:r>
        <w:rPr>
          <w:spacing w:val="-66"/>
        </w:rPr>
      </w:r>
      <w:r>
        <w:rPr>
          <w:spacing w:val="-2"/>
        </w:rPr>
        <w:t>行权权益工具数量的最佳估计为基础，按权益工具授予日的公允价值，将当期取得的服务计入相关成本或费用，相应调整资</w:t>
      </w:r>
      <w:r>
        <w:rPr>
          <w:spacing w:val="-66"/>
        </w:rPr>
        <w:t> </w:t>
      </w:r>
      <w:r>
        <w:rPr>
          <w:spacing w:val="-66"/>
        </w:rPr>
      </w:r>
      <w:r>
        <w:rPr>
          <w:spacing w:val="-2"/>
        </w:rPr>
        <w:t>本公积，在可行权日之后不再对已确认的相关成本或费用和所有者权益总额进行调整。以权益结算的股份支付换取其他方服</w:t>
      </w:r>
      <w:r>
        <w:rPr>
          <w:spacing w:val="-64"/>
        </w:rPr>
        <w:t> </w:t>
      </w:r>
      <w:r>
        <w:rPr>
          <w:spacing w:val="-64"/>
        </w:rPr>
      </w:r>
      <w:r>
        <w:rPr>
          <w:spacing w:val="-2"/>
        </w:rPr>
        <w:t>务的，若其他方服务的公允价值能够可靠计量的，按照其他方服务在取得日的公允价值计量；其他方服务的公允价值不能可</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3"/>
        <w:jc w:val="both"/>
      </w:pPr>
      <w:r>
        <w:rPr>
          <w:spacing w:val="-2"/>
        </w:rPr>
        <w:t>靠计量但权益工具公允价值能够可靠计量的，按照权益工具在服务取得日的公允价值计量，计入相关成本或费用，相应增加</w:t>
      </w:r>
      <w:r>
        <w:rPr>
          <w:spacing w:val="-66"/>
        </w:rPr>
        <w:t> </w:t>
      </w:r>
      <w:r>
        <w:rPr>
          <w:spacing w:val="-66"/>
        </w:rPr>
      </w:r>
      <w:r>
        <w:rPr/>
        <w:t>所有者权益。</w:t>
      </w:r>
    </w:p>
    <w:p>
      <w:pPr>
        <w:pStyle w:val="BodyText"/>
        <w:spacing w:line="316" w:lineRule="auto" w:before="19"/>
        <w:ind w:left="513" w:right="0"/>
        <w:jc w:val="left"/>
      </w:pPr>
      <w:r>
        <w:rPr/>
        <w:t>②以现金结算的股份支付 </w:t>
      </w:r>
      <w:r>
        <w:rPr>
          <w:spacing w:val="-2"/>
        </w:rPr>
        <w:t>以现金结算的股份支付换取职工服务的，授予后立即可行权的，在授予日按公司承担负债的公允价值计入相关成本或费</w:t>
      </w:r>
    </w:p>
    <w:p>
      <w:pPr>
        <w:pStyle w:val="BodyText"/>
        <w:spacing w:line="316" w:lineRule="auto" w:before="19"/>
        <w:ind w:right="1132"/>
        <w:jc w:val="both"/>
      </w:pPr>
      <w:r>
        <w:rPr>
          <w:spacing w:val="-2"/>
        </w:rPr>
        <w:t>用，相应增加负债；完成等待期内的服务或达到规定业绩条件才可行权的换取职工服务的以现金结算的股份支付，在等待期</w:t>
      </w:r>
      <w:r>
        <w:rPr>
          <w:spacing w:val="-66"/>
        </w:rPr>
        <w:t> </w:t>
      </w:r>
      <w:r>
        <w:rPr>
          <w:spacing w:val="-66"/>
        </w:rPr>
      </w:r>
      <w:r>
        <w:rPr>
          <w:spacing w:val="-2"/>
        </w:rPr>
        <w:t>内的每个资产负债表日，以对可行权情况的最佳估计为基础，按公司承担负债的公允价值，将当期取得的服务计入相关成本</w:t>
      </w:r>
      <w:r>
        <w:rPr>
          <w:spacing w:val="-66"/>
        </w:rPr>
        <w:t> </w:t>
      </w:r>
      <w:r>
        <w:rPr>
          <w:spacing w:val="-66"/>
        </w:rPr>
      </w:r>
      <w:r>
        <w:rPr>
          <w:spacing w:val="-2"/>
        </w:rPr>
        <w:t>或费用和相应的负债。在相关负债结算前的每个资产负债表日以及结算日，对负债的公允价值重新计量，其变动计入当期损</w:t>
      </w:r>
      <w:r>
        <w:rPr>
          <w:spacing w:val="-66"/>
        </w:rPr>
        <w:t> </w:t>
      </w:r>
      <w:r>
        <w:rPr>
          <w:spacing w:val="-66"/>
        </w:rPr>
      </w:r>
      <w:r>
        <w:rPr/>
        <w:t>益。</w:t>
      </w:r>
    </w:p>
    <w:p>
      <w:pPr>
        <w:pStyle w:val="BodyText"/>
        <w:spacing w:line="316" w:lineRule="auto" w:before="19"/>
        <w:ind w:left="514" w:right="0"/>
        <w:jc w:val="left"/>
      </w:pPr>
      <w:r>
        <w:rPr/>
        <w:t>③修改、终止股份支付计划 </w:t>
      </w:r>
      <w:r>
        <w:rPr>
          <w:spacing w:val="-2"/>
        </w:rPr>
        <w:t>如果修改增加了所授予的权益工具的公允价值，公司按照权益工具公允价值的增加相应地确认取得服务的增加；如果修</w:t>
      </w:r>
    </w:p>
    <w:p>
      <w:pPr>
        <w:pStyle w:val="BodyText"/>
        <w:spacing w:line="316" w:lineRule="auto" w:before="19"/>
        <w:ind w:left="154" w:right="1130"/>
        <w:jc w:val="both"/>
      </w:pPr>
      <w:r>
        <w:rPr>
          <w:spacing w:val="-2"/>
        </w:rPr>
        <w:t>改增加了所授予的权益工具的数量，公司将增加的权益工具的公允价值相应地确认为取得服务的增加；如果公司按照有利于</w:t>
      </w:r>
      <w:r>
        <w:rPr>
          <w:spacing w:val="-64"/>
        </w:rPr>
        <w:t> </w:t>
      </w:r>
      <w:r>
        <w:rPr>
          <w:spacing w:val="-64"/>
        </w:rPr>
      </w:r>
      <w:r>
        <w:rPr>
          <w:spacing w:val="-2"/>
        </w:rPr>
        <w:t>职工的方式修改可行权条件，公司在处理可行权条件时，考虑修改后的可行权条件。如果修改减少了授予的权益工具的公允</w:t>
      </w:r>
      <w:r>
        <w:rPr>
          <w:spacing w:val="-66"/>
        </w:rPr>
        <w:t> </w:t>
      </w:r>
      <w:r>
        <w:rPr>
          <w:spacing w:val="-66"/>
        </w:rPr>
      </w:r>
      <w:r>
        <w:rPr>
          <w:spacing w:val="-2"/>
        </w:rPr>
        <w:t>价值，公司继续以权益工具在授予日的公允价值为基础，确认取得服务的金额，而不考虑权益工具公允价值的减少；如果修</w:t>
      </w:r>
      <w:r>
        <w:rPr>
          <w:spacing w:val="-66"/>
        </w:rPr>
        <w:t> </w:t>
      </w:r>
      <w:r>
        <w:rPr>
          <w:spacing w:val="-66"/>
        </w:rPr>
      </w:r>
      <w:r>
        <w:rPr>
          <w:spacing w:val="-2"/>
        </w:rPr>
        <w:t>改减少了授予的权益工具的数量，公司将减少部分作为已授予的权益工具的取消来进行处理；如果以不利于职工的方式修改</w:t>
      </w:r>
      <w:r>
        <w:rPr>
          <w:spacing w:val="-64"/>
        </w:rPr>
        <w:t> </w:t>
      </w:r>
      <w:r>
        <w:rPr>
          <w:spacing w:val="-64"/>
        </w:rPr>
      </w:r>
      <w:r>
        <w:rPr>
          <w:spacing w:val="-2"/>
        </w:rPr>
        <w:t>了可行权条件，在处理可行权条件时，不考虑修改后的可行权条件。如果取消了以权益结算的股份支付，则于取消日作为加</w:t>
      </w:r>
      <w:r>
        <w:rPr>
          <w:spacing w:val="-66"/>
        </w:rPr>
        <w:t> </w:t>
      </w:r>
      <w:r>
        <w:rPr>
          <w:spacing w:val="-66"/>
        </w:rPr>
      </w:r>
      <w:r>
        <w:rPr>
          <w:spacing w:val="-1"/>
        </w:rPr>
        <w:t>速行权处理，立即确认尚未确认的金额</w:t>
      </w:r>
      <w:r>
        <w:rPr>
          <w:rFonts w:ascii="Times New Roman" w:hAnsi="Times New Roman" w:cs="Times New Roman" w:eastAsia="Times New Roman" w:hint="default"/>
          <w:spacing w:val="-1"/>
        </w:rPr>
        <w:t>(</w:t>
      </w:r>
      <w:r>
        <w:rPr>
          <w:spacing w:val="-1"/>
        </w:rPr>
        <w:t>将剩余等待期内应确认的金额立即计入当期损益，同时确认资本公积</w:t>
      </w:r>
      <w:r>
        <w:rPr>
          <w:rFonts w:ascii="Times New Roman" w:hAnsi="Times New Roman" w:cs="Times New Roman" w:eastAsia="Times New Roman" w:hint="default"/>
          <w:spacing w:val="-1"/>
        </w:rPr>
        <w:t>)</w:t>
      </w:r>
      <w:r>
        <w:rPr>
          <w:spacing w:val="-1"/>
        </w:rPr>
        <w:t>。职工或者其</w:t>
      </w:r>
      <w:r>
        <w:rPr>
          <w:spacing w:val="-59"/>
        </w:rPr>
        <w:t> </w:t>
      </w:r>
      <w:r>
        <w:rPr>
          <w:spacing w:val="-59"/>
        </w:rPr>
      </w:r>
      <w:r>
        <w:rPr>
          <w:spacing w:val="-2"/>
        </w:rPr>
        <w:t>他方能够选择满足非可行权条件但在等待期内未满足的，作为取消以权益结算的股份支付处理。但是，如果授予新的权益工</w:t>
      </w:r>
      <w:r>
        <w:rPr>
          <w:spacing w:val="-66"/>
        </w:rPr>
        <w:t> </w:t>
      </w:r>
      <w:r>
        <w:rPr>
          <w:spacing w:val="-66"/>
        </w:rPr>
      </w:r>
      <w:r>
        <w:rPr>
          <w:spacing w:val="-2"/>
        </w:rPr>
        <w:t>具，并在新权益工具授予日认定所授予权益工具用于替代被取消的权益工具的，则以与处理原权益工具条款和条件修改相同</w:t>
      </w:r>
      <w:r>
        <w:rPr>
          <w:spacing w:val="-64"/>
        </w:rPr>
        <w:t> </w:t>
      </w:r>
      <w:r>
        <w:rPr>
          <w:spacing w:val="-64"/>
        </w:rPr>
      </w:r>
      <w:r>
        <w:rPr/>
        <w:t>的方式，对被授予的替代权益工具进行处理。</w:t>
      </w:r>
    </w:p>
    <w:p>
      <w:pPr>
        <w:pStyle w:val="BodyText"/>
        <w:spacing w:line="300" w:lineRule="auto" w:before="19"/>
        <w:ind w:left="513" w:right="0"/>
        <w:jc w:val="left"/>
      </w:pPr>
      <w:r>
        <w:rPr/>
        <w:t>（</w:t>
      </w:r>
      <w:r>
        <w:rPr>
          <w:rFonts w:ascii="Times New Roman" w:hAnsi="Times New Roman" w:cs="Times New Roman" w:eastAsia="Times New Roman" w:hint="default"/>
        </w:rPr>
        <w:t>5</w:t>
      </w:r>
      <w:r>
        <w:rPr/>
        <w:t>）涉及本公司与本公司股东或实际控制人的股份支付交易的会计处理 </w:t>
      </w:r>
      <w:r>
        <w:rPr>
          <w:spacing w:val="-2"/>
        </w:rPr>
        <w:t>涉及本公司与本公司股东或实际控制人的股份支付交易，结算企业与接受服务企业中其一在本公司内，另一在本公司外</w:t>
      </w:r>
    </w:p>
    <w:p>
      <w:pPr>
        <w:pStyle w:val="BodyText"/>
        <w:spacing w:line="240" w:lineRule="auto" w:before="31"/>
        <w:ind w:right="0"/>
        <w:jc w:val="both"/>
      </w:pPr>
      <w:r>
        <w:rPr/>
        <w:t>的，在本公司合并财务报表中按照以下规定进行会计处理：</w:t>
      </w:r>
    </w:p>
    <w:p>
      <w:pPr>
        <w:pStyle w:val="BodyText"/>
        <w:spacing w:line="316" w:lineRule="auto" w:before="77"/>
        <w:ind w:left="154" w:right="1131" w:firstLine="360"/>
        <w:jc w:val="both"/>
      </w:pPr>
      <w:r>
        <w:rPr>
          <w:spacing w:val="-2"/>
        </w:rPr>
        <w:t>①结算企业以其本身权益工具结算的，将该股份支付交易作为权益结算的股份支付处理；除此之外，作为现金结算的股</w:t>
      </w:r>
      <w:r>
        <w:rPr/>
        <w:t> </w:t>
      </w:r>
      <w:r>
        <w:rPr>
          <w:spacing w:val="-2"/>
        </w:rPr>
        <w:t>份支付处理。结算企业是接受服务企业的投资者的，按照授予日权益工具的公允价值或应承担负债的公允价值确认为对接受</w:t>
      </w:r>
      <w:r>
        <w:rPr>
          <w:spacing w:val="-64"/>
        </w:rPr>
        <w:t> </w:t>
      </w:r>
      <w:r>
        <w:rPr>
          <w:spacing w:val="-64"/>
        </w:rPr>
      </w:r>
      <w:r>
        <w:rPr/>
        <w:t>服务企业的长期股权投资，同时确认资本公积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或负债。</w:t>
      </w:r>
    </w:p>
    <w:p>
      <w:pPr>
        <w:pStyle w:val="BodyText"/>
        <w:spacing w:line="316" w:lineRule="auto"/>
        <w:ind w:right="1131" w:firstLine="360"/>
        <w:jc w:val="both"/>
      </w:pPr>
      <w:r>
        <w:rPr>
          <w:spacing w:val="-2"/>
        </w:rPr>
        <w:t>②接受服务企业没有结算义务或授予本企业职工的是其本身权益工具的，将该股份支付交易作为权益结算的股份支付处</w:t>
      </w:r>
      <w:r>
        <w:rPr/>
        <w:t> </w:t>
      </w:r>
      <w:r>
        <w:rPr>
          <w:spacing w:val="-2"/>
        </w:rPr>
        <w:t>理；接受服务企业具有结算义务且授予本企业职工的并非其本身权益工具的，将该股份支付交易作为现金结算的股份支付处</w:t>
      </w:r>
      <w:r>
        <w:rPr>
          <w:spacing w:val="-64"/>
        </w:rPr>
        <w:t> </w:t>
      </w:r>
      <w:r>
        <w:rPr>
          <w:spacing w:val="-64"/>
        </w:rPr>
      </w:r>
      <w:r>
        <w:rPr>
          <w:spacing w:val="-2"/>
        </w:rPr>
        <w:t>理。本公司内各企业之间发生的股份支付交易，接受服务企业和结算企业不是同一企业的，在接受服务企业和结算企业各自</w:t>
      </w:r>
      <w:r>
        <w:rPr>
          <w:spacing w:val="-66"/>
        </w:rPr>
        <w:t> </w:t>
      </w:r>
      <w:r>
        <w:rPr>
          <w:spacing w:val="-66"/>
        </w:rPr>
      </w:r>
      <w:r>
        <w:rPr/>
        <w:t>的个别财务报表中对该股份支付交易的确认和计量，比照上述原则处理。</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5、收入" w:id="210"/>
      <w:bookmarkEnd w:id="210"/>
      <w:r>
        <w:rPr>
          <w:b w:val="0"/>
          <w:bCs w:val="0"/>
        </w:rPr>
      </w: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BodyText"/>
        <w:spacing w:line="240" w:lineRule="auto" w:before="28"/>
        <w:ind w:left="514" w:right="0"/>
        <w:jc w:val="left"/>
      </w:pPr>
      <w:r>
        <w:rPr/>
        <w:t>（</w:t>
      </w:r>
      <w:r>
        <w:rPr>
          <w:rFonts w:ascii="Times New Roman" w:hAnsi="Times New Roman" w:cs="Times New Roman" w:eastAsia="Times New Roman" w:hint="default"/>
        </w:rPr>
        <w:t>1</w:t>
      </w:r>
      <w:r>
        <w:rPr/>
        <w:t>）收入的总确认原则</w:t>
      </w:r>
    </w:p>
    <w:p>
      <w:pPr>
        <w:pStyle w:val="BodyText"/>
        <w:spacing w:line="316" w:lineRule="auto" w:before="63"/>
        <w:ind w:left="513" w:right="1118"/>
        <w:jc w:val="left"/>
      </w:pPr>
      <w:r>
        <w:rPr/>
        <w:t>①销售商品 </w:t>
      </w:r>
      <w:r>
        <w:rPr>
          <w:spacing w:val="-1"/>
        </w:rPr>
        <w:t>商品销售收入同时满足下列条件时予以确认：</w:t>
      </w:r>
      <w:r>
        <w:rPr>
          <w:rFonts w:ascii="Times New Roman" w:hAnsi="Times New Roman" w:cs="Times New Roman" w:eastAsia="Times New Roman" w:hint="default"/>
          <w:spacing w:val="-1"/>
        </w:rPr>
        <w:t>1)</w:t>
      </w:r>
      <w:r>
        <w:rPr>
          <w:spacing w:val="-1"/>
        </w:rPr>
        <w:t>公司已将商品所有权上的主要风险和报酬转移给购买方；</w:t>
      </w:r>
      <w:r>
        <w:rPr>
          <w:rFonts w:ascii="Times New Roman" w:hAnsi="Times New Roman" w:cs="Times New Roman" w:eastAsia="Times New Roman" w:hint="default"/>
          <w:spacing w:val="-1"/>
        </w:rPr>
        <w:t>2)</w:t>
      </w:r>
      <w:r>
        <w:rPr>
          <w:spacing w:val="-1"/>
        </w:rPr>
        <w:t>公司既没有</w:t>
      </w:r>
    </w:p>
    <w:p>
      <w:pPr>
        <w:pStyle w:val="BodyText"/>
        <w:spacing w:line="300" w:lineRule="auto"/>
        <w:ind w:right="0"/>
        <w:jc w:val="left"/>
      </w:pPr>
      <w:r>
        <w:rPr>
          <w:spacing w:val="-1"/>
        </w:rPr>
        <w:t>保留与所有权相联系的继续管理权，也没有对已售出的商品实施有效控制；</w:t>
      </w:r>
      <w:r>
        <w:rPr>
          <w:rFonts w:ascii="Times New Roman" w:hAnsi="Times New Roman" w:cs="Times New Roman" w:eastAsia="Times New Roman" w:hint="default"/>
          <w:spacing w:val="-1"/>
        </w:rPr>
        <w:t>3)</w:t>
      </w:r>
      <w:r>
        <w:rPr>
          <w:spacing w:val="-1"/>
        </w:rPr>
        <w:t>收入的金额能够可靠地计量；</w:t>
      </w:r>
      <w:r>
        <w:rPr>
          <w:rFonts w:ascii="Times New Roman" w:hAnsi="Times New Roman" w:cs="Times New Roman" w:eastAsia="Times New Roman" w:hint="default"/>
          <w:spacing w:val="-1"/>
        </w:rPr>
        <w:t>4)</w:t>
      </w:r>
      <w:r>
        <w:rPr>
          <w:spacing w:val="-1"/>
        </w:rPr>
        <w:t>相关的经济利</w:t>
      </w:r>
      <w:r>
        <w:rPr>
          <w:spacing w:val="-56"/>
        </w:rPr>
        <w:t> </w:t>
      </w:r>
      <w:r>
        <w:rPr/>
        <w:t>益很可能流入公司；</w:t>
      </w:r>
      <w:r>
        <w:rPr>
          <w:rFonts w:ascii="Times New Roman" w:hAnsi="Times New Roman" w:cs="Times New Roman" w:eastAsia="Times New Roman" w:hint="default"/>
        </w:rPr>
        <w:t>5)</w:t>
      </w:r>
      <w:r>
        <w:rPr/>
        <w:t>相关的已发生或将发生的成本能够可靠地计量时。</w:t>
      </w:r>
    </w:p>
    <w:p>
      <w:pPr>
        <w:pStyle w:val="BodyText"/>
        <w:spacing w:line="319" w:lineRule="auto" w:before="13"/>
        <w:ind w:left="513" w:right="1026"/>
        <w:jc w:val="left"/>
      </w:pPr>
      <w:r>
        <w:rPr/>
        <w:t>②提供劳务 </w:t>
      </w:r>
      <w:r>
        <w:rPr>
          <w:spacing w:val="-1"/>
        </w:rPr>
        <w:t>在资产负债表日提供劳务交易的结果能够可靠估计的</w:t>
      </w:r>
      <w:r>
        <w:rPr>
          <w:rFonts w:ascii="Times New Roman" w:hAnsi="Times New Roman" w:cs="Times New Roman" w:eastAsia="Times New Roman" w:hint="default"/>
          <w:spacing w:val="-1"/>
        </w:rPr>
        <w:t>(</w:t>
      </w:r>
      <w:r>
        <w:rPr>
          <w:spacing w:val="-1"/>
        </w:rPr>
        <w:t>同时满足收入的金额能够可靠地计量、相关经济利益很可能流入、</w:t>
      </w:r>
    </w:p>
    <w:p>
      <w:pPr>
        <w:pStyle w:val="BodyText"/>
        <w:spacing w:line="300" w:lineRule="auto"/>
        <w:ind w:right="1153"/>
        <w:jc w:val="left"/>
      </w:pPr>
      <w:r>
        <w:rPr/>
        <w:t>交易的完工进度能够可靠地确定、交易中已发生和将发生的成本能够可靠地计量</w:t>
      </w:r>
      <w:r>
        <w:rPr>
          <w:rFonts w:ascii="Times New Roman" w:hAnsi="Times New Roman" w:cs="Times New Roman" w:eastAsia="Times New Roman" w:hint="default"/>
        </w:rPr>
        <w:t>)</w:t>
      </w:r>
      <w:r>
        <w:rPr/>
        <w:t>，采用完工百分比法确认提供劳务收入， 并按已经发生的成本占估计总成本的比例确定提供劳务交易的完工进度。</w:t>
      </w:r>
    </w:p>
    <w:p>
      <w:pPr>
        <w:pStyle w:val="BodyText"/>
        <w:spacing w:line="240" w:lineRule="auto" w:before="31"/>
        <w:ind w:left="513" w:right="0"/>
        <w:jc w:val="left"/>
      </w:pPr>
      <w:r>
        <w:rPr/>
        <w:t>在资产负债表日提供劳务交易结果不能够可靠估计的</w:t>
      </w:r>
      <w:r>
        <w:rPr>
          <w:spacing w:val="-87"/>
        </w:rPr>
        <w:t>，</w:t>
      </w:r>
      <w:r>
        <w:rPr/>
        <w:t>分别下列情况处理</w:t>
      </w:r>
      <w:r>
        <w:rPr>
          <w:spacing w:val="-87"/>
        </w:rPr>
        <w:t>：</w:t>
      </w:r>
      <w:r>
        <w:rPr/>
        <w:t>若已经发生的劳务成本预计能够得到补偿的，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按照已经发生的劳务成本金额确认提供劳务收入，并按相同金额结转劳务成本；若已经发生的劳务成本预计不能够得到补偿</w:t>
      </w:r>
      <w:r>
        <w:rPr>
          <w:spacing w:val="-64"/>
        </w:rPr>
        <w:t> </w:t>
      </w:r>
      <w:r>
        <w:rPr>
          <w:spacing w:val="-64"/>
        </w:rPr>
      </w:r>
      <w:r>
        <w:rPr/>
        <w:t>的，将已经发生的劳务成本计入当期损益，不确认提供劳务收入。</w:t>
      </w:r>
    </w:p>
    <w:p>
      <w:pPr>
        <w:pStyle w:val="BodyText"/>
        <w:spacing w:line="316" w:lineRule="auto" w:before="19"/>
        <w:ind w:left="513" w:right="1033"/>
        <w:jc w:val="left"/>
      </w:pPr>
      <w:r>
        <w:rPr/>
        <w:t>③让渡资产使用权 让渡资产使用权在同时满足相关的经济利益很可能流入、收入的金额能够可靠地计量时，确认让渡资产使用权的收入。</w:t>
      </w:r>
    </w:p>
    <w:p>
      <w:pPr>
        <w:pStyle w:val="BodyText"/>
        <w:spacing w:line="316" w:lineRule="auto" w:before="19"/>
        <w:ind w:right="0"/>
        <w:jc w:val="left"/>
      </w:pPr>
      <w:r>
        <w:rPr>
          <w:spacing w:val="-2"/>
        </w:rPr>
        <w:t>利息收入金额，按照他人使用本公司货币资金的时间和实际利率计算确定；使用费收入金额，按照有关合同或协议约定的收</w:t>
      </w:r>
      <w:r>
        <w:rPr>
          <w:spacing w:val="-66"/>
        </w:rPr>
        <w:t> </w:t>
      </w:r>
      <w:r>
        <w:rPr>
          <w:spacing w:val="-66"/>
        </w:rPr>
      </w:r>
      <w:r>
        <w:rPr/>
        <w:t>费时间和方法计算确定。</w:t>
      </w:r>
    </w:p>
    <w:p>
      <w:pPr>
        <w:pStyle w:val="BodyText"/>
        <w:spacing w:line="316" w:lineRule="auto" w:before="19"/>
        <w:ind w:left="513" w:right="1393"/>
        <w:jc w:val="left"/>
      </w:pPr>
      <w:r>
        <w:rPr/>
        <w:t>④手续费及佣金收入 手续费及佣金收入按权责发生制原则在提供相关服务时确认，收入金额按照有关合同或协议约定的方法计算确定。</w:t>
      </w:r>
    </w:p>
    <w:p>
      <w:pPr>
        <w:pStyle w:val="BodyText"/>
        <w:spacing w:line="300" w:lineRule="auto" w:before="19"/>
        <w:ind w:left="513" w:right="0"/>
        <w:jc w:val="left"/>
      </w:pPr>
      <w:r>
        <w:rPr/>
        <w:t>（</w:t>
      </w:r>
      <w:r>
        <w:rPr>
          <w:rFonts w:ascii="Times New Roman" w:hAnsi="Times New Roman" w:cs="Times New Roman" w:eastAsia="Times New Roman" w:hint="default"/>
        </w:rPr>
        <w:t>2</w:t>
      </w:r>
      <w:r>
        <w:rPr/>
        <w:t>）本公司收入的具体确认原则 </w:t>
      </w:r>
      <w:r>
        <w:rPr>
          <w:spacing w:val="-2"/>
        </w:rPr>
        <w:t>房地产开发产品销售收入的具体确认标准：在开发产品完工并验收合格，签定销售合同并办理完成合同备案手续，取得</w:t>
      </w:r>
    </w:p>
    <w:p>
      <w:pPr>
        <w:pStyle w:val="BodyText"/>
        <w:spacing w:line="316" w:lineRule="auto" w:before="31"/>
        <w:ind w:left="513" w:right="1118" w:hanging="360"/>
        <w:jc w:val="left"/>
      </w:pPr>
      <w:r>
        <w:rPr/>
        <w:t>买方全部房款或取得首期款并办妥银行按揭手续，与买方办理完毕验收交接手续时确认销售收入的实现。 </w:t>
      </w:r>
      <w:r>
        <w:rPr>
          <w:spacing w:val="-5"/>
        </w:rPr>
        <w:t>户外媒体广告发布服务收入的具体确认标准：公司承接业务后，按照客户要求编制广告排期表，并安排相应的上刊计划，</w:t>
      </w:r>
    </w:p>
    <w:p>
      <w:pPr>
        <w:pStyle w:val="BodyText"/>
        <w:spacing w:line="316" w:lineRule="auto" w:before="19"/>
        <w:ind w:left="513" w:right="0" w:hanging="360"/>
        <w:jc w:val="left"/>
      </w:pPr>
      <w:r>
        <w:rPr/>
        <w:t>广告内容上刊后，填制上刊确认单交由客户确认，在广告见诸媒体后按照合同结算方式分期确认收入。 </w:t>
      </w:r>
      <w:r>
        <w:rPr>
          <w:spacing w:val="-2"/>
        </w:rPr>
        <w:t>移动互联网广告营销服务收入的具体确认标准：公司承接业务后，按照客户要求选择媒体投放广告，经与客户确认投放</w:t>
      </w:r>
    </w:p>
    <w:p>
      <w:pPr>
        <w:pStyle w:val="BodyText"/>
        <w:spacing w:line="316" w:lineRule="auto" w:before="19"/>
        <w:ind w:left="514" w:right="0" w:hanging="360"/>
        <w:jc w:val="left"/>
      </w:pPr>
      <w:r>
        <w:rPr/>
        <w:t>计划，在广告见诸媒体后按照合同结算方式分期确认收入。 </w:t>
      </w:r>
      <w:r>
        <w:rPr>
          <w:spacing w:val="-2"/>
        </w:rPr>
        <w:t>无线整合营销服务收入的具体确认标准：公司承接业务后，为客户提供各项策划、设计、市场调研等服务，定期将所有</w:t>
      </w:r>
    </w:p>
    <w:p>
      <w:pPr>
        <w:pStyle w:val="BodyText"/>
        <w:spacing w:line="316" w:lineRule="auto" w:before="19"/>
        <w:ind w:left="513" w:right="1393" w:hanging="360"/>
        <w:jc w:val="left"/>
      </w:pPr>
      <w:r>
        <w:rPr/>
        <w:t>策划方案及相关建议方案和项目阶段总结以书面形式向客户提呈，并经客户考核和确认后，按服务完成进度确认收入。 供应链管理服务收入的具体确认标准：在取得客户结算单或合同、协议约定的其他结算手续时确认销售收入。</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6、政府补助" w:id="211"/>
      <w:bookmarkEnd w:id="211"/>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与资产相关的政府补助判断依据及会计处理方法" w:id="212"/>
      <w:bookmarkEnd w:id="212"/>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360"/>
        <w:jc w:val="both"/>
      </w:pPr>
      <w:r>
        <w:rPr>
          <w:spacing w:val="-2"/>
        </w:rPr>
        <w:t>政府补助，是指本公司从政府无偿取得货币性资产或非货币性资产。分为与资产相关的政府补助和与收益相关的政府补</w:t>
      </w:r>
      <w:r>
        <w:rPr/>
        <w:t> </w:t>
      </w:r>
      <w:r>
        <w:rPr>
          <w:spacing w:val="-2"/>
        </w:rPr>
        <w:t>助。与资产相关的政府补助，是指本公司取得的、用于购建或以其他方式形成长期资产的政府补助，包括购买固定资产或无</w:t>
      </w:r>
      <w:r>
        <w:rPr>
          <w:spacing w:val="-66"/>
        </w:rPr>
        <w:t> </w:t>
      </w:r>
      <w:r>
        <w:rPr>
          <w:spacing w:val="-66"/>
        </w:rPr>
      </w:r>
      <w:r>
        <w:rPr>
          <w:spacing w:val="-2"/>
        </w:rPr>
        <w:t>形资产的财政拨款、固定资产专门借款的财政贴息等；与收益相关的政府补助，是指除与资产相关的政府补助之外的政府补</w:t>
      </w:r>
      <w:r>
        <w:rPr>
          <w:spacing w:val="-66"/>
        </w:rPr>
        <w:t> </w:t>
      </w:r>
      <w:r>
        <w:rPr>
          <w:spacing w:val="-66"/>
        </w:rPr>
      </w:r>
      <w:r>
        <w:rPr>
          <w:spacing w:val="-2"/>
        </w:rPr>
        <w:t>助。对于同时包含与资产相关部分和与收益相关部分的政府补助，区分不同部分分别进行会计处理；难以区分的，整体归类</w:t>
      </w:r>
      <w:r>
        <w:rPr>
          <w:spacing w:val="-66"/>
        </w:rPr>
        <w:t> </w:t>
      </w:r>
      <w:r>
        <w:rPr>
          <w:spacing w:val="-66"/>
        </w:rPr>
      </w:r>
      <w:r>
        <w:rPr/>
        <w:t>为与收益相关的政府补助。</w:t>
      </w:r>
    </w:p>
    <w:p>
      <w:pPr>
        <w:pStyle w:val="BodyText"/>
        <w:spacing w:line="240" w:lineRule="auto" w:before="19"/>
        <w:ind w:left="514" w:right="0"/>
        <w:jc w:val="left"/>
      </w:pPr>
      <w:r>
        <w:rPr/>
        <w:t>本公司在进行政府补助分类时采取的具体标准为：</w:t>
      </w:r>
    </w:p>
    <w:p>
      <w:pPr>
        <w:pStyle w:val="BodyText"/>
        <w:spacing w:line="316" w:lineRule="auto" w:before="76"/>
        <w:ind w:left="154" w:right="1131" w:firstLine="360"/>
        <w:jc w:val="both"/>
      </w:pPr>
      <w:r>
        <w:rPr>
          <w:spacing w:val="-2"/>
        </w:rPr>
        <w:t>①政府补助文件规定的补助对象用于购建或以其他方式形成长期资产，或者补助对象的支出主要用于购建或以其他方式</w:t>
      </w:r>
      <w:r>
        <w:rPr/>
        <w:t> 形成长期资产的，划分为与资产相关的政府补助。</w:t>
      </w:r>
    </w:p>
    <w:p>
      <w:pPr>
        <w:pStyle w:val="BodyText"/>
        <w:spacing w:line="316" w:lineRule="auto" w:before="19"/>
        <w:ind w:left="154" w:right="1131" w:firstLine="360"/>
        <w:jc w:val="both"/>
      </w:pPr>
      <w:r>
        <w:rPr>
          <w:spacing w:val="-2"/>
        </w:rPr>
        <w:t>②根据政府补助文件获得的政府补助全部或者主要用于补偿以后期间或已发生的费用或损失的政府补助，划分为与收益</w:t>
      </w:r>
      <w:r>
        <w:rPr/>
        <w:t> 相关的政府补助。</w:t>
      </w:r>
    </w:p>
    <w:p>
      <w:pPr>
        <w:pStyle w:val="BodyText"/>
        <w:spacing w:line="307" w:lineRule="auto" w:before="19"/>
        <w:ind w:right="1130" w:firstLine="360"/>
        <w:jc w:val="both"/>
      </w:pPr>
      <w:r>
        <w:rPr>
          <w:spacing w:val="-2"/>
        </w:rPr>
        <w:t>③若政府文件未明确规定补助对象，则采用以下方式将该政府补助款划分为与资产相关的政府补助或与收益相关的政府</w:t>
      </w:r>
      <w:r>
        <w:rPr/>
        <w:t> </w:t>
      </w:r>
      <w:r>
        <w:rPr>
          <w:spacing w:val="-1"/>
        </w:rPr>
        <w:t>补助：</w:t>
      </w:r>
      <w:r>
        <w:rPr>
          <w:rFonts w:ascii="Times New Roman" w:hAnsi="Times New Roman" w:cs="Times New Roman" w:eastAsia="Times New Roman" w:hint="default"/>
          <w:spacing w:val="-1"/>
        </w:rPr>
        <w:t>1)</w:t>
      </w:r>
      <w:r>
        <w:rPr>
          <w:spacing w:val="-1"/>
        </w:rPr>
        <w:t>政府文件明确了补助所针对的特定项目的，根据该特定项目的预算中将形成资产的支出金额和计入费用的支出金额</w:t>
      </w:r>
      <w:r>
        <w:rPr>
          <w:spacing w:val="-88"/>
        </w:rPr>
        <w:t> </w:t>
      </w:r>
      <w:r>
        <w:rPr>
          <w:spacing w:val="-88"/>
        </w:rPr>
      </w:r>
      <w:r>
        <w:rPr>
          <w:spacing w:val="-1"/>
        </w:rPr>
        <w:t>的相对比例进行划分，对该划分比例需在每个资产负债表日进行复核，必要时进行变更；</w:t>
      </w:r>
      <w:r>
        <w:rPr>
          <w:rFonts w:ascii="Times New Roman" w:hAnsi="Times New Roman" w:cs="Times New Roman" w:eastAsia="Times New Roman" w:hint="default"/>
          <w:spacing w:val="-1"/>
        </w:rPr>
        <w:t>2)</w:t>
      </w:r>
      <w:r>
        <w:rPr>
          <w:spacing w:val="-1"/>
        </w:rPr>
        <w:t>政府文件中对用途仅作一般性表</w:t>
      </w:r>
      <w:r>
        <w:rPr>
          <w:spacing w:val="-88"/>
        </w:rPr>
        <w:t> </w:t>
      </w:r>
      <w:r>
        <w:rPr>
          <w:spacing w:val="-88"/>
        </w:rPr>
      </w:r>
      <w:r>
        <w:rPr/>
        <w:t>述，没有指明特定项目的，作为与收益相关的政府补助。</w:t>
      </w:r>
    </w:p>
    <w:p>
      <w:pPr>
        <w:spacing w:line="240" w:lineRule="auto" w:before="1"/>
        <w:rPr>
          <w:rFonts w:ascii="宋体" w:hAnsi="宋体" w:cs="宋体" w:eastAsia="宋体" w:hint="default"/>
          <w:sz w:val="23"/>
          <w:szCs w:val="23"/>
        </w:rPr>
      </w:pPr>
    </w:p>
    <w:p>
      <w:pPr>
        <w:pStyle w:val="Heading3"/>
        <w:spacing w:line="240" w:lineRule="auto"/>
        <w:ind w:left="154" w:right="0"/>
        <w:jc w:val="left"/>
        <w:rPr>
          <w:b w:val="0"/>
          <w:bCs w:val="0"/>
        </w:rPr>
      </w:pPr>
      <w:bookmarkStart w:name="（2）与收益相关的政府补助判断依据及会计处理方法" w:id="213"/>
      <w:bookmarkEnd w:id="213"/>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43" w:firstLine="360"/>
        <w:jc w:val="both"/>
      </w:pPr>
      <w:r>
        <w:rPr>
          <w:spacing w:val="-2"/>
        </w:rPr>
        <w:t>本公司对于政府补助通常在实际收到时，按照实收金额予以确认和计量。但对于期末有确凿证据表明能够符合财政扶持</w:t>
      </w:r>
      <w:r>
        <w:rPr/>
        <w:t> </w:t>
      </w:r>
      <w:r>
        <w:rPr>
          <w:spacing w:val="-4"/>
        </w:rPr>
        <w:t>政策规定的相关条件预计能够收到财政扶持资金，按照应收的金额计量。按照应收金额计量的政府补助应同时符合以下条件：</w:t>
      </w:r>
    </w:p>
    <w:p>
      <w:pPr>
        <w:pStyle w:val="BodyText"/>
        <w:spacing w:line="316" w:lineRule="auto" w:before="19"/>
        <w:ind w:left="154" w:right="1132" w:firstLine="360"/>
        <w:jc w:val="both"/>
      </w:pPr>
      <w:r>
        <w:rPr>
          <w:spacing w:val="-2"/>
        </w:rPr>
        <w:t>①所依据的是当地财政部门正式发布并按照《政府信息公开条例》的规定予以主动公开的财政扶持项目及其财政资金管</w:t>
      </w:r>
      <w:r>
        <w:rPr/>
        <w:t> 理办法，且该管理办法应当是普惠性的</w:t>
      </w:r>
      <w:r>
        <w:rPr>
          <w:rFonts w:ascii="Times New Roman" w:hAnsi="Times New Roman" w:cs="Times New Roman" w:eastAsia="Times New Roman" w:hint="default"/>
        </w:rPr>
        <w:t>(</w:t>
      </w:r>
      <w:r>
        <w:rPr/>
        <w:t>任何符合规定条件的企业均可申请</w:t>
      </w:r>
      <w:r>
        <w:rPr>
          <w:rFonts w:ascii="Times New Roman" w:hAnsi="Times New Roman" w:cs="Times New Roman" w:eastAsia="Times New Roman" w:hint="default"/>
        </w:rPr>
        <w:t>)</w:t>
      </w:r>
      <w:r>
        <w:rPr/>
        <w:t>，而不是专门针对特定企业制定的；</w:t>
      </w:r>
    </w:p>
    <w:p>
      <w:pPr>
        <w:pStyle w:val="BodyText"/>
        <w:spacing w:line="235" w:lineRule="exact"/>
        <w:ind w:left="513" w:right="0"/>
        <w:jc w:val="left"/>
      </w:pPr>
      <w:r>
        <w:rPr/>
        <w:t>②应收补助款的金额已经过有权政府部门发文确认</w:t>
      </w:r>
      <w:r>
        <w:rPr>
          <w:spacing w:val="-82"/>
        </w:rPr>
        <w:t>，</w:t>
      </w:r>
      <w:r>
        <w:rPr/>
        <w:t>或者可根据正式发布的财政资金管理办法的有关规定自行合理测算，</w:t>
      </w:r>
    </w:p>
    <w:p>
      <w:pPr>
        <w:spacing w:after="0" w:line="235"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且预计其金额不存在重大不确定性；</w:t>
      </w:r>
    </w:p>
    <w:p>
      <w:pPr>
        <w:pStyle w:val="BodyText"/>
        <w:spacing w:line="316" w:lineRule="auto" w:before="76"/>
        <w:ind w:right="0" w:firstLine="360"/>
        <w:jc w:val="left"/>
      </w:pPr>
      <w:r>
        <w:rPr>
          <w:spacing w:val="-2"/>
        </w:rPr>
        <w:t>③相关的补助款批文中已明确承诺了拨付期限，且该款项的拨付是有相应财政预算作为保障的，因而可以合理保证其可</w:t>
      </w:r>
      <w:r>
        <w:rPr/>
        <w:t> 在规定期限内收到；</w:t>
      </w:r>
    </w:p>
    <w:p>
      <w:pPr>
        <w:pStyle w:val="BodyText"/>
        <w:spacing w:line="240" w:lineRule="auto" w:before="19"/>
        <w:ind w:left="513" w:right="0"/>
        <w:jc w:val="left"/>
      </w:pPr>
      <w:r>
        <w:rPr/>
        <w:t>④根据本公司和该补助事项的具体情况，应满足的其他相关条件</w:t>
      </w:r>
      <w:r>
        <w:rPr>
          <w:rFonts w:ascii="Times New Roman" w:hAnsi="Times New Roman" w:cs="Times New Roman" w:eastAsia="Times New Roman" w:hint="default"/>
        </w:rPr>
        <w:t>(</w:t>
      </w:r>
      <w:r>
        <w:rPr/>
        <w:t>如有</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bookmarkStart w:name="27、递延所得税资产/递延所得税负债" w:id="214"/>
      <w:bookmarkEnd w:id="214"/>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）递延所得税资产和递延所得税负债的确认和计量 </w:t>
      </w:r>
      <w:r>
        <w:rPr>
          <w:spacing w:val="-4"/>
        </w:rPr>
        <w:t>本公司根据资产、负债与资产负债日的账面价值与计税基础之间的暂时性差异，采用资产负债表债务法确认递延所得税。</w:t>
      </w:r>
    </w:p>
    <w:p>
      <w:pPr>
        <w:pStyle w:val="BodyText"/>
        <w:spacing w:line="300" w:lineRule="auto" w:before="31"/>
        <w:ind w:right="1153"/>
        <w:jc w:val="left"/>
      </w:pPr>
      <w:r>
        <w:rPr/>
        <w:t>公司当期所得税和递延所得税作为所得税费用或收益计入当期损益，但不包括下列情况产生的所得税：</w:t>
      </w:r>
      <w:r>
        <w:rPr>
          <w:rFonts w:ascii="Times New Roman" w:hAnsi="Times New Roman" w:cs="Times New Roman" w:eastAsia="Times New Roman" w:hint="default"/>
        </w:rPr>
        <w:t>(1)</w:t>
      </w:r>
      <w:r>
        <w:rPr/>
        <w:t>企业合并；</w:t>
      </w:r>
      <w:r>
        <w:rPr>
          <w:rFonts w:ascii="Times New Roman" w:hAnsi="Times New Roman" w:cs="Times New Roman" w:eastAsia="Times New Roman" w:hint="default"/>
        </w:rPr>
        <w:t>(2)</w:t>
      </w:r>
      <w:r>
        <w:rPr/>
        <w:t>直 接在所有者权益中确认的交易或者事项。</w:t>
      </w:r>
    </w:p>
    <w:p>
      <w:pPr>
        <w:pStyle w:val="BodyText"/>
        <w:spacing w:line="316" w:lineRule="auto" w:before="31"/>
        <w:ind w:right="1033" w:firstLine="360"/>
        <w:jc w:val="left"/>
      </w:pPr>
      <w:r>
        <w:rPr/>
        <w:t>对于可抵扣暂时性差异、能够结转以后年度的可抵扣亏损和税款抵减，公司以很可能取得用来抵扣可抵扣暂时性差异、 </w:t>
      </w:r>
      <w:r>
        <w:rPr>
          <w:spacing w:val="-2"/>
        </w:rPr>
        <w:t>可抵扣亏损和税款抵减的未来应纳税所得额为限，确认由此产生的递延所得税资产，除非该可抵扣暂时性差异是在以下交易</w:t>
      </w:r>
      <w:r>
        <w:rPr>
          <w:spacing w:val="-64"/>
        </w:rPr>
        <w:t> </w:t>
      </w:r>
      <w:r>
        <w:rPr>
          <w:spacing w:val="-64"/>
        </w:rPr>
      </w:r>
      <w:r>
        <w:rPr/>
        <w:t>中产生的：</w:t>
      </w:r>
    </w:p>
    <w:p>
      <w:pPr>
        <w:pStyle w:val="BodyText"/>
        <w:spacing w:line="240" w:lineRule="auto" w:before="19"/>
        <w:ind w:left="514" w:right="0"/>
        <w:jc w:val="left"/>
      </w:pPr>
      <w:r>
        <w:rPr/>
        <w:t>①该交易不是企业合并，并且交易发生时既不影响会计利润也不影响应纳税所得额；</w:t>
      </w:r>
    </w:p>
    <w:p>
      <w:pPr>
        <w:pStyle w:val="BodyText"/>
        <w:spacing w:line="316" w:lineRule="auto" w:before="76"/>
        <w:ind w:right="0" w:firstLine="360"/>
        <w:jc w:val="left"/>
      </w:pPr>
      <w:r>
        <w:rPr>
          <w:spacing w:val="-2"/>
        </w:rPr>
        <w:t>②对于与子公司、合营企业及联营企业投资相关的可抵扣暂时性差异，同时满足下列条件的，确认相应的递延所得税资</w:t>
      </w:r>
      <w:r>
        <w:rPr/>
        <w:t> 产：暂时性差异在可预见的未来很可能转回，且未来很可能获得用来抵扣可抵扣暂时性差异的应纳税所得额。</w:t>
      </w:r>
    </w:p>
    <w:p>
      <w:pPr>
        <w:pStyle w:val="BodyText"/>
        <w:spacing w:line="240" w:lineRule="auto" w:before="19"/>
        <w:ind w:left="513" w:right="0"/>
        <w:jc w:val="left"/>
      </w:pPr>
      <w:r>
        <w:rPr/>
        <w:t>各项应纳税暂时性差异均确认相关的递延所得税负债，除非该应纳税暂时性差异是在以下交易中产生的：</w:t>
      </w:r>
    </w:p>
    <w:p>
      <w:pPr>
        <w:pStyle w:val="BodyText"/>
        <w:spacing w:line="316" w:lineRule="auto" w:before="76"/>
        <w:ind w:right="0" w:firstLine="360"/>
        <w:jc w:val="left"/>
      </w:pPr>
      <w:r>
        <w:rPr>
          <w:spacing w:val="-2"/>
        </w:rPr>
        <w:t>①商誉的初始确认，或者具有以下特征的交易中产生的资产或负债的初始确认：该交易不是企业合并，并且交易发生时</w:t>
      </w:r>
      <w:r>
        <w:rPr/>
        <w:t> 既不影响会计利润也不影响应纳税所得额；</w:t>
      </w:r>
    </w:p>
    <w:p>
      <w:pPr>
        <w:pStyle w:val="BodyText"/>
        <w:spacing w:line="316" w:lineRule="auto" w:before="19"/>
        <w:ind w:right="0" w:firstLine="360"/>
        <w:jc w:val="left"/>
      </w:pPr>
      <w:r>
        <w:rPr>
          <w:spacing w:val="-2"/>
        </w:rPr>
        <w:t>②对于与子公司、合营企业及联营企业投资相关的应纳税暂时性差异，该暂时性差异转回的时间能够控制并且该暂时性</w:t>
      </w:r>
      <w:r>
        <w:rPr/>
        <w:t> 差异在可预见的未来很可能不会转回。</w:t>
      </w:r>
    </w:p>
    <w:p>
      <w:pPr>
        <w:pStyle w:val="BodyText"/>
        <w:spacing w:line="300" w:lineRule="auto" w:before="19"/>
        <w:ind w:left="154" w:right="1169" w:firstLine="360"/>
        <w:jc w:val="both"/>
      </w:pPr>
      <w:r>
        <w:rPr/>
        <w:t>根据资产、负债的账面价值与其计税基础之间的差额</w:t>
      </w:r>
      <w:r>
        <w:rPr>
          <w:rFonts w:ascii="Times New Roman" w:hAnsi="Times New Roman" w:cs="Times New Roman" w:eastAsia="Times New Roman" w:hint="default"/>
        </w:rPr>
        <w:t>(</w:t>
      </w:r>
      <w:r>
        <w:rPr/>
        <w:t>未作为资产和负债确认的项目按照税法规定可以确定其计税基础 的，该计税基础与其账面数之间的差额</w:t>
      </w:r>
      <w:r>
        <w:rPr>
          <w:rFonts w:ascii="Times New Roman" w:hAnsi="Times New Roman" w:cs="Times New Roman" w:eastAsia="Times New Roman" w:hint="default"/>
        </w:rPr>
        <w:t>)</w:t>
      </w:r>
      <w:r>
        <w:rPr/>
        <w:t>，按照预期收回该资产或清偿该负债期间的适用税率计算确认递延所得税资产或递 延所得税负债。</w:t>
      </w:r>
    </w:p>
    <w:p>
      <w:pPr>
        <w:pStyle w:val="BodyText"/>
        <w:spacing w:line="316" w:lineRule="auto" w:before="31"/>
        <w:ind w:left="154" w:right="1132" w:firstLine="360"/>
        <w:jc w:val="both"/>
      </w:pPr>
      <w:r>
        <w:rPr>
          <w:spacing w:val="-2"/>
        </w:rPr>
        <w:t>确认递延所得税资产以很可能取得用来抵扣可抵扣暂时性差异的应纳税所得额为限。资产负债表日，有确凿证据表明未</w:t>
      </w:r>
      <w:r>
        <w:rPr/>
        <w:t> </w:t>
      </w:r>
      <w:r>
        <w:rPr>
          <w:spacing w:val="-2"/>
        </w:rPr>
        <w:t>来期间很可能获得足够的应纳税所得额用来抵扣可抵扣暂时性差异的，确认以前会计期间未确认的递延所得税资产。对递延</w:t>
      </w:r>
      <w:r>
        <w:rPr>
          <w:spacing w:val="-64"/>
        </w:rPr>
        <w:t> </w:t>
      </w:r>
      <w:r>
        <w:rPr>
          <w:spacing w:val="-64"/>
        </w:rPr>
      </w:r>
      <w:r>
        <w:rPr>
          <w:spacing w:val="-2"/>
        </w:rPr>
        <w:t>所得税资产的账面价值进行复核，如果未来期间很可能无法获得足够的应纳税所得额用以抵扣递延所得税资产的利益，则减</w:t>
      </w:r>
      <w:r>
        <w:rPr>
          <w:spacing w:val="-64"/>
        </w:rPr>
        <w:t> </w:t>
      </w:r>
      <w:r>
        <w:rPr>
          <w:spacing w:val="-64"/>
        </w:rPr>
      </w:r>
      <w:r>
        <w:rPr/>
        <w:t>记递延所得税资产的账面价值。在很可能获得足够的应纳税所得额时，转回减记的金额。</w:t>
      </w:r>
    </w:p>
    <w:p>
      <w:pPr>
        <w:pStyle w:val="BodyText"/>
        <w:spacing w:line="300" w:lineRule="auto" w:before="19"/>
        <w:ind w:left="154" w:right="1122" w:firstLine="360"/>
        <w:jc w:val="left"/>
      </w:pPr>
      <w:r>
        <w:rPr/>
        <w:t>（</w:t>
      </w:r>
      <w:r>
        <w:rPr>
          <w:rFonts w:ascii="Times New Roman" w:hAnsi="Times New Roman" w:cs="Times New Roman" w:eastAsia="Times New Roman" w:hint="default"/>
        </w:rPr>
        <w:t>2</w:t>
      </w:r>
      <w:r>
        <w:rPr/>
        <w:t>）当拥有以净额结算的法定权利，且意图以净额结算或取得资产、清偿负债同时进行时，本公司当期所得税资产及 当期所得税负债以抵销后的净额列报。</w:t>
      </w:r>
    </w:p>
    <w:p>
      <w:pPr>
        <w:pStyle w:val="BodyText"/>
        <w:spacing w:line="316" w:lineRule="auto" w:before="31"/>
        <w:ind w:right="1131" w:firstLine="360"/>
        <w:jc w:val="both"/>
      </w:pPr>
      <w:r>
        <w:rPr>
          <w:spacing w:val="-2"/>
        </w:rPr>
        <w:t>当拥有以净额结算当期所得税资产及当期所得税负债的法定权利，且递延所得税资产及递延所得税负债是与同一税收征</w:t>
      </w:r>
      <w:r>
        <w:rPr/>
        <w:t> </w:t>
      </w: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转回的期间内，涉及的纳税主体意图以净额结算当期所得税资产和负债或是同时取得资产、清偿负债时，本公司递延所得税</w:t>
      </w:r>
      <w:r>
        <w:rPr>
          <w:spacing w:val="-66"/>
        </w:rPr>
        <w:t> </w:t>
      </w:r>
      <w:r>
        <w:rPr>
          <w:spacing w:val="-66"/>
        </w:rPr>
      </w:r>
      <w:r>
        <w:rPr/>
        <w:t>资产及递延所得税负债以抵销后的净额列报。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8、租赁" w:id="215"/>
      <w:bookmarkEnd w:id="215"/>
      <w:r>
        <w:rPr>
          <w:b w:val="0"/>
          <w:bCs w:val="0"/>
        </w:rPr>
      </w:r>
      <w:r>
        <w:rPr>
          <w:rFonts w:ascii="Times New Roman" w:hAnsi="Times New Roman" w:cs="Times New Roman" w:eastAsia="Times New Roman" w:hint="default"/>
        </w:rPr>
        <w:t>28</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经营租赁的会计处理方法" w:id="216"/>
      <w:bookmarkEnd w:id="21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32" w:firstLine="360"/>
        <w:jc w:val="left"/>
      </w:pPr>
      <w:r>
        <w:rPr/>
        <w:t>①出租人：公司出租资产收取的租赁费，在不扣除免租期的整个租赁期内，按直线法进行分摊，确认为租赁相关收入。 </w:t>
      </w:r>
      <w:r>
        <w:rPr>
          <w:spacing w:val="-2"/>
        </w:rPr>
        <w:t>公司支付的与租赁交易相关的初始直接费用，计入当期费用；如金额较大的，则予以资本化，在这个租赁期间内按照与租赁</w:t>
      </w:r>
      <w:r>
        <w:rPr>
          <w:spacing w:val="-66"/>
        </w:rPr>
        <w:t> </w:t>
      </w:r>
      <w:r>
        <w:rPr>
          <w:spacing w:val="-66"/>
        </w:rPr>
      </w:r>
      <w:r>
        <w:rPr>
          <w:spacing w:val="-2"/>
        </w:rPr>
        <w:t>相关收入确认相同的基础分期计入当期收益。公司承担了应由承租方承担的与租赁相关的费用时，公司将该部分费用从租金</w:t>
      </w:r>
      <w:r>
        <w:rPr>
          <w:spacing w:val="-64"/>
        </w:rPr>
        <w:t> </w:t>
      </w:r>
      <w:r>
        <w:rPr>
          <w:spacing w:val="-64"/>
        </w:rPr>
      </w:r>
      <w:r>
        <w:rPr/>
        <w:t>收入总额扣除，按扣除后的租金费用在租赁期内分配。或有租金于实际发生时计入当期损益。</w:t>
      </w:r>
    </w:p>
    <w:p>
      <w:pPr>
        <w:pStyle w:val="BodyText"/>
        <w:spacing w:line="240" w:lineRule="auto" w:before="19"/>
        <w:ind w:left="513" w:right="0"/>
        <w:jc w:val="left"/>
      </w:pPr>
      <w:r>
        <w:rPr/>
        <w:t>②租入人：公司租入资产所支付的租赁费，在不扣除免租期的整个租赁期内，按直线法进行分摊，计入当期费用。公司</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4" w:right="1032"/>
        <w:jc w:val="left"/>
      </w:pPr>
      <w:r>
        <w:rPr>
          <w:spacing w:val="-2"/>
        </w:rPr>
        <w:t>支付的与租赁交易相关的初始直接费用，计入当期费用；资产出租方承担了应由公司承担的与租赁相关的费用时，公司将该</w:t>
      </w:r>
      <w:r>
        <w:rPr>
          <w:spacing w:val="-66"/>
        </w:rPr>
        <w:t> </w:t>
      </w:r>
      <w:r>
        <w:rPr>
          <w:spacing w:val="-66"/>
        </w:rPr>
      </w:r>
      <w:r>
        <w:rPr/>
        <w:t>部分费用从租金总额中扣除，按扣除后的租金费用在租赁期内分摊，计入当期费用。或有租金于实际发生时计入当期损益。</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2）融资租赁的会计处理方法" w:id="217"/>
      <w:bookmarkEnd w:id="21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360"/>
        <w:jc w:val="both"/>
      </w:pPr>
      <w:r>
        <w:rPr>
          <w:spacing w:val="-2"/>
        </w:rPr>
        <w:t>出租人：在租赁期开始日本公司按最低租赁收款额与初始直接费用之和作为应收融资租赁款的入账价值，同时记录未担</w:t>
      </w:r>
      <w:r>
        <w:rPr/>
        <w:t> </w:t>
      </w:r>
      <w:r>
        <w:rPr>
          <w:spacing w:val="-2"/>
        </w:rPr>
        <w:t>保余值；将最低租赁收款额、初始直接费用及未担保余值之和与其现值之和的差额确认为未实现融资收益。未实现融资收益</w:t>
      </w:r>
      <w:r>
        <w:rPr>
          <w:spacing w:val="-66"/>
        </w:rPr>
        <w:t> </w:t>
      </w:r>
      <w:r>
        <w:rPr>
          <w:spacing w:val="-66"/>
        </w:rPr>
      </w:r>
      <w:r>
        <w:rPr>
          <w:spacing w:val="-2"/>
        </w:rPr>
        <w:t>在租赁期内各个期间采用实际利率法计算确认当期的融资收入。应收融资租赁款扣除未实现融资收益后的余额分别长期债权</w:t>
      </w:r>
      <w:r>
        <w:rPr>
          <w:spacing w:val="-63"/>
        </w:rPr>
        <w:t> </w:t>
      </w:r>
      <w:r>
        <w:rPr>
          <w:spacing w:val="-63"/>
        </w:rPr>
      </w:r>
      <w:r>
        <w:rPr/>
        <w:t>和一年内到期的长期债权列示。或有租金于实际发生时计入当期损益。</w:t>
      </w:r>
    </w:p>
    <w:p>
      <w:pPr>
        <w:pStyle w:val="BodyText"/>
        <w:spacing w:line="316" w:lineRule="auto" w:before="19"/>
        <w:ind w:left="154" w:right="1131" w:firstLine="360"/>
        <w:jc w:val="both"/>
      </w:pPr>
      <w:r>
        <w:rPr>
          <w:spacing w:val="-2"/>
        </w:rPr>
        <w:t>承租人：在租赁期开始日本公司将租赁资产公允价值与最低租赁付款额现值两者中较低者作为租入资产的入账价值，将</w:t>
      </w:r>
      <w:r>
        <w:rPr/>
        <w:t> </w:t>
      </w:r>
      <w:r>
        <w:rPr>
          <w:spacing w:val="-2"/>
        </w:rPr>
        <w:t>最低租赁付款额作为长期应付款的入账价值，其差额作为未确认融资费用。初始直接费用计入租入资产价值。未确认融资费</w:t>
      </w:r>
      <w:r>
        <w:rPr>
          <w:spacing w:val="-66"/>
        </w:rPr>
        <w:t> </w:t>
      </w:r>
      <w:r>
        <w:rPr>
          <w:spacing w:val="-66"/>
        </w:rPr>
      </w:r>
      <w:r>
        <w:rPr>
          <w:spacing w:val="-2"/>
        </w:rPr>
        <w:t>用在租赁期内各个期间采用实际利率法计算确认当期的融资费用。最低租赁付款额扣除未确认融资费用后的余额分别长期负</w:t>
      </w:r>
      <w:r>
        <w:rPr>
          <w:spacing w:val="-64"/>
        </w:rPr>
        <w:t> </w:t>
      </w:r>
      <w:r>
        <w:rPr>
          <w:spacing w:val="-64"/>
        </w:rPr>
      </w:r>
      <w:r>
        <w:rPr/>
        <w:t>债和一年内到期的长期负债列示。或有租金于实际发生时计入当期损益。</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29、其他重要的会计政策和会计估计" w:id="218"/>
      <w:bookmarkEnd w:id="218"/>
      <w:r>
        <w:rPr>
          <w:b w:val="0"/>
          <w:bCs w:val="0"/>
        </w:rPr>
      </w:r>
      <w:r>
        <w:rPr>
          <w:rFonts w:ascii="Times New Roman" w:hAnsi="Times New Roman" w:cs="Times New Roman" w:eastAsia="Times New Roman" w:hint="default"/>
        </w:rPr>
        <w:t>29</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终止经营</w:t>
      </w:r>
    </w:p>
    <w:p>
      <w:pPr>
        <w:pStyle w:val="BodyText"/>
        <w:spacing w:line="300" w:lineRule="auto" w:before="76"/>
        <w:ind w:left="514" w:right="1032"/>
        <w:jc w:val="left"/>
      </w:pPr>
      <w:r>
        <w:rPr/>
        <w:t>（</w:t>
      </w:r>
      <w:r>
        <w:rPr>
          <w:rFonts w:ascii="Times New Roman" w:hAnsi="Times New Roman" w:cs="Times New Roman" w:eastAsia="Times New Roman" w:hint="default"/>
        </w:rPr>
        <w:t>1</w:t>
      </w:r>
      <w:r>
        <w:rPr/>
        <w:t>）终止经营的条件 终止经营，是指公司满足下列条件之一的、能够单独区分的组成部分，且该组成部分已经处置或划分为持有待售类别：</w:t>
      </w:r>
    </w:p>
    <w:p>
      <w:pPr>
        <w:pStyle w:val="BodyText"/>
        <w:spacing w:line="240" w:lineRule="auto" w:before="31"/>
        <w:ind w:left="514" w:right="0"/>
        <w:jc w:val="left"/>
      </w:pPr>
      <w:r>
        <w:rPr/>
        <w:t>①该组成部分代表一项独立的主要业务或一个单独的主要经营地区；</w:t>
      </w:r>
    </w:p>
    <w:p>
      <w:pPr>
        <w:pStyle w:val="BodyText"/>
        <w:spacing w:line="240" w:lineRule="auto" w:before="76"/>
        <w:ind w:left="514" w:right="0"/>
        <w:jc w:val="left"/>
      </w:pPr>
      <w:r>
        <w:rPr/>
        <w:t>②该组成部分是拟对一项独立的主要业务或一个单独的主要经营地区进行处置的一项相关联计划的一部分；</w:t>
      </w:r>
    </w:p>
    <w:p>
      <w:pPr>
        <w:pStyle w:val="BodyText"/>
        <w:spacing w:line="240" w:lineRule="auto" w:before="76"/>
        <w:ind w:left="514" w:right="0"/>
        <w:jc w:val="left"/>
      </w:pPr>
      <w:r>
        <w:rPr/>
        <w:t>③该组成部分是专为转售而取得的子公司。</w:t>
      </w:r>
    </w:p>
    <w:p>
      <w:pPr>
        <w:pStyle w:val="BodyText"/>
        <w:spacing w:line="300" w:lineRule="auto" w:before="77"/>
        <w:ind w:left="514" w:right="0"/>
        <w:jc w:val="left"/>
      </w:pPr>
      <w:r>
        <w:rPr/>
        <w:t>（</w:t>
      </w:r>
      <w:r>
        <w:rPr>
          <w:rFonts w:ascii="Times New Roman" w:hAnsi="Times New Roman" w:cs="Times New Roman" w:eastAsia="Times New Roman" w:hint="default"/>
        </w:rPr>
        <w:t>2</w:t>
      </w:r>
      <w:r>
        <w:rPr/>
        <w:t>）终止经营的列报 </w:t>
      </w:r>
      <w:r>
        <w:rPr>
          <w:spacing w:val="-2"/>
        </w:rPr>
        <w:t>拟结束使用而非出售的处置组满足终止经营定义中有关组成部分的，自停止使用日起作为终止经营列报；因出售对子公</w:t>
      </w:r>
    </w:p>
    <w:p>
      <w:pPr>
        <w:pStyle w:val="BodyText"/>
        <w:spacing w:line="316" w:lineRule="auto" w:before="31"/>
        <w:ind w:left="154" w:right="0"/>
        <w:jc w:val="left"/>
      </w:pPr>
      <w:r>
        <w:rPr>
          <w:spacing w:val="-2"/>
        </w:rPr>
        <w:t>司的投资等原因导致其丧失对子公司控制权，且该子公司符合终止经营定义的，在合并报表中列报相关终止经营损益；在利</w:t>
      </w:r>
      <w:r>
        <w:rPr>
          <w:spacing w:val="-66"/>
        </w:rPr>
        <w:t> </w:t>
      </w:r>
      <w:r>
        <w:rPr>
          <w:spacing w:val="-66"/>
        </w:rPr>
      </w:r>
      <w:r>
        <w:rPr/>
        <w:t>润表中将终止经营处置损益的调整金额作为终止经营损益列报。</w:t>
      </w:r>
    </w:p>
    <w:p>
      <w:pPr>
        <w:pStyle w:val="BodyText"/>
        <w:spacing w:line="316" w:lineRule="auto" w:before="19"/>
        <w:ind w:left="154" w:right="1131" w:firstLine="360"/>
        <w:jc w:val="both"/>
      </w:pPr>
      <w:r>
        <w:rPr>
          <w:spacing w:val="-2"/>
        </w:rPr>
        <w:t>非流动资产或处置组不再划分为持有待售类别或非流动资产从持有待售的处置组中移除的，公司在当期利润表中将非流</w:t>
      </w:r>
      <w:r>
        <w:rPr/>
        <w:t> </w:t>
      </w:r>
      <w:r>
        <w:rPr>
          <w:spacing w:val="-2"/>
        </w:rPr>
        <w:t>动资产或处置组的账面价值调整金额作为持续经营损益列报。公司的子公司、共同经营、合营企业、联营企业以及部分对合</w:t>
      </w:r>
      <w:r>
        <w:rPr>
          <w:spacing w:val="-66"/>
        </w:rPr>
        <w:t> </w:t>
      </w:r>
      <w:r>
        <w:rPr>
          <w:spacing w:val="-66"/>
        </w:rPr>
      </w:r>
      <w:r>
        <w:rPr>
          <w:spacing w:val="-2"/>
        </w:rPr>
        <w:t>营企业或联营企业的投资不再继续划分为持有待售类别或从持有待售的处置组中移除的，公司在当期财务报表中相应调整各</w:t>
      </w:r>
      <w:r>
        <w:rPr>
          <w:spacing w:val="-64"/>
        </w:rPr>
        <w:t> </w:t>
      </w:r>
      <w:r>
        <w:rPr>
          <w:spacing w:val="-64"/>
        </w:rPr>
      </w:r>
      <w:r>
        <w:rPr/>
        <w:t>个划分为持有待售类别后可比会计期间的比较数据。</w:t>
      </w:r>
    </w:p>
    <w:p>
      <w:pPr>
        <w:pStyle w:val="BodyText"/>
        <w:spacing w:line="316" w:lineRule="auto" w:before="19"/>
        <w:ind w:left="154" w:right="1131" w:firstLine="360"/>
        <w:jc w:val="both"/>
      </w:pPr>
      <w:r>
        <w:rPr>
          <w:spacing w:val="-2"/>
        </w:rPr>
        <w:t>不符合终止经营定义的持有待售的非流动资产或处置组，其减值损失或转回金额及处置损益作为持续经营损益列报。终</w:t>
      </w:r>
      <w:r>
        <w:rPr/>
        <w:t> 止经营的减值损失或转回金额等经营损益及处置损益作为终止经营损益列报。</w:t>
      </w:r>
    </w:p>
    <w:p>
      <w:pPr>
        <w:pStyle w:val="BodyText"/>
        <w:spacing w:line="316" w:lineRule="auto" w:before="19"/>
        <w:ind w:right="1132" w:firstLine="360"/>
        <w:jc w:val="both"/>
      </w:pPr>
      <w:r>
        <w:rPr>
          <w:spacing w:val="-2"/>
        </w:rPr>
        <w:t>对于当期列报的终止经营，公司在当期财务报表中，将原来作为持续经营损益列报的信息重新作为可比会计期间的终止</w:t>
      </w:r>
      <w:r>
        <w:rPr/>
        <w:t> </w:t>
      </w:r>
      <w:r>
        <w:rPr>
          <w:spacing w:val="-2"/>
        </w:rPr>
        <w:t>经营损益列报。终止经营不再满足持有待售类别划分条件的，公司在当期财务报表中，将原来作为终止经营损益列报的信息</w:t>
      </w:r>
      <w:r>
        <w:rPr>
          <w:spacing w:val="-66"/>
        </w:rPr>
        <w:t> </w:t>
      </w:r>
      <w:r>
        <w:rPr>
          <w:spacing w:val="-66"/>
        </w:rPr>
      </w:r>
      <w:r>
        <w:rPr/>
        <w:t>重新作为可比会计期间的持续经营损益列报。</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0、重要会计政策和会计估计变更" w:id="219"/>
      <w:bookmarkEnd w:id="219"/>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20"/>
      <w:bookmarkEnd w:id="22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44"/>
        <w:gridCol w:w="2837"/>
        <w:gridCol w:w="3189"/>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1"/>
              <w:jc w:val="left"/>
              <w:rPr>
                <w:rFonts w:ascii="宋体" w:hAnsi="宋体" w:cs="宋体" w:eastAsia="宋体" w:hint="default"/>
                <w:sz w:val="18"/>
                <w:szCs w:val="18"/>
              </w:rPr>
            </w:pPr>
            <w:r>
              <w:rPr>
                <w:rFonts w:ascii="宋体" w:hAnsi="宋体" w:cs="宋体" w:eastAsia="宋体" w:hint="default"/>
                <w:sz w:val="18"/>
                <w:szCs w:val="18"/>
              </w:rPr>
              <w:t>执行新制订的《企业会计准则第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 </w:t>
            </w:r>
            <w:r>
              <w:rPr>
                <w:rFonts w:ascii="宋体" w:hAnsi="宋体" w:cs="宋体" w:eastAsia="宋体" w:hint="default"/>
                <w:spacing w:val="-5"/>
                <w:sz w:val="18"/>
                <w:szCs w:val="18"/>
              </w:rPr>
              <w:t>有待售的非流动资产、处置组和终止经营》。</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本公司第九届董事会第三十次会议 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本公司采用未来适用法对</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28</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日之后持有待售的非流动资产或处置组</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156pt;margin-top:72.47998pt;width:219.5pt;height:95.7pt;mso-position-horizontal-relative:page;mso-position-vertical-relative:page;z-index:-8593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BodyText"/>
                    <w:spacing w:line="240" w:lineRule="auto"/>
                    <w:ind w:left="0" w:right="0"/>
                    <w:jc w:val="left"/>
                  </w:pPr>
                  <w:r>
                    <w:rPr/>
                    <w:t>处置组和终止经营，</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544"/>
        <w:gridCol w:w="2837"/>
        <w:gridCol w:w="3189"/>
      </w:tblGrid>
      <w:tr>
        <w:trPr>
          <w:trHeight w:val="322" w:hRule="exact"/>
        </w:trPr>
        <w:tc>
          <w:tcPr>
            <w:tcW w:w="35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日发布了《企业会</w:t>
            </w:r>
          </w:p>
        </w:tc>
        <w:tc>
          <w:tcPr>
            <w:tcW w:w="2837" w:type="dxa"/>
            <w:vMerge w:val="restart"/>
            <w:tcBorders>
              <w:top w:val="single" w:sz="4" w:space="0" w:color="000000"/>
              <w:left w:val="single" w:sz="4" w:space="0" w:color="000000"/>
              <w:right w:val="single" w:sz="4" w:space="0" w:color="000000"/>
            </w:tcBorders>
          </w:tcPr>
          <w:p>
            <w:pPr>
              <w:pStyle w:val="TableParagraph"/>
              <w:spacing w:line="1913" w:lineRule="exact"/>
              <w:ind w:right="-50"/>
              <w:jc w:val="left"/>
              <w:rPr>
                <w:rFonts w:ascii="宋体" w:hAnsi="宋体" w:cs="宋体" w:eastAsia="宋体" w:hint="default"/>
                <w:sz w:val="20"/>
                <w:szCs w:val="20"/>
              </w:rPr>
            </w:pPr>
            <w:r>
              <w:rPr>
                <w:rFonts w:ascii="宋体" w:hAnsi="宋体" w:cs="宋体" w:eastAsia="宋体" w:hint="default"/>
                <w:position w:val="-37"/>
                <w:sz w:val="20"/>
                <w:szCs w:val="20"/>
              </w:rPr>
              <w:pict>
                <v:group style="width:141.35pt;height:95.7pt;mso-position-horizontal-relative:char;mso-position-vertical-relative:line" coordorigin="0,0" coordsize="2827,1914">
                  <v:group style="position:absolute;left:0;top:0;width:2827;height:1914" coordorigin="0,0" coordsize="2827,1914">
                    <v:shape style="position:absolute;left:0;top:0;width:2827;height:1914" coordorigin="0,0" coordsize="2827,1914" path="m0,1913l2826,1913,2826,0,0,0,0,1913xe" filled="true" fillcolor="#ffffff" stroked="false">
                      <v:path arrowok="t"/>
                      <v:fill type="solid"/>
                    </v:shape>
                  </v:group>
                </v:group>
              </w:pict>
            </w:r>
            <w:r>
              <w:rPr>
                <w:rFonts w:ascii="宋体" w:hAnsi="宋体" w:cs="宋体" w:eastAsia="宋体" w:hint="default"/>
                <w:position w:val="-37"/>
                <w:sz w:val="20"/>
                <w:szCs w:val="20"/>
              </w:rPr>
            </w:r>
          </w:p>
        </w:tc>
        <w:tc>
          <w:tcPr>
            <w:tcW w:w="31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进行分类、计量和列报。上述会计政策</w:t>
            </w:r>
          </w:p>
        </w:tc>
      </w:tr>
      <w:tr>
        <w:trPr>
          <w:trHeight w:val="312"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持有待售的非流动资产、</w:t>
            </w:r>
          </w:p>
        </w:tc>
        <w:tc>
          <w:tcPr>
            <w:tcW w:w="2837" w:type="dxa"/>
            <w:vMerge/>
            <w:tcBorders>
              <w:left w:val="single" w:sz="4" w:space="0" w:color="000000"/>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变更对本公司财务报表项目无影响。</w:t>
            </w:r>
          </w:p>
        </w:tc>
      </w:tr>
      <w:tr>
        <w:trPr>
          <w:trHeight w:val="312"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处置组和终止经营》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，自</w:t>
            </w:r>
          </w:p>
        </w:tc>
        <w:tc>
          <w:tcPr>
            <w:tcW w:w="2837" w:type="dxa"/>
            <w:vMerge/>
            <w:tcBorders>
              <w:left w:val="single" w:sz="4" w:space="0" w:color="000000"/>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日起执行，对于执行日存在的</w:t>
            </w:r>
          </w:p>
        </w:tc>
        <w:tc>
          <w:tcPr>
            <w:tcW w:w="2837" w:type="dxa"/>
            <w:vMerge/>
            <w:tcBorders>
              <w:left w:val="single" w:sz="4" w:space="0" w:color="000000"/>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持有待售的非流动资产、</w:t>
            </w:r>
          </w:p>
        </w:tc>
        <w:tc>
          <w:tcPr>
            <w:tcW w:w="2837" w:type="dxa"/>
            <w:vMerge/>
            <w:tcBorders>
              <w:left w:val="single" w:sz="4" w:space="0" w:color="000000"/>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5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要求采用未来适用法处理。</w:t>
            </w:r>
          </w:p>
        </w:tc>
        <w:tc>
          <w:tcPr>
            <w:tcW w:w="2837" w:type="dxa"/>
            <w:vMerge/>
            <w:tcBorders>
              <w:left w:val="single" w:sz="4" w:space="0" w:color="000000"/>
              <w:bottom w:val="single" w:sz="4" w:space="0" w:color="000000"/>
              <w:right w:val="single" w:sz="4" w:space="0" w:color="000000"/>
            </w:tcBorders>
          </w:tcPr>
          <w:p>
            <w:pPr/>
          </w:p>
        </w:tc>
        <w:tc>
          <w:tcPr>
            <w:tcW w:w="318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35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执行最新修订的《企业会计准则第</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2837" w:type="dxa"/>
            <w:tcBorders>
              <w:top w:val="single" w:sz="4" w:space="0" w:color="000000"/>
              <w:left w:val="single" w:sz="4" w:space="0" w:color="000000"/>
              <w:bottom w:val="nil" w:sz="6" w:space="0" w:color="auto"/>
              <w:right w:val="single" w:sz="4" w:space="0" w:color="000000"/>
            </w:tcBorders>
          </w:tcPr>
          <w:p>
            <w:pPr/>
          </w:p>
        </w:tc>
        <w:tc>
          <w:tcPr>
            <w:tcW w:w="318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宋体" w:hAnsi="宋体" w:cs="宋体" w:eastAsia="宋体" w:hint="default"/>
                <w:spacing w:val="-90"/>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w:t>
            </w:r>
          </w:p>
        </w:tc>
        <w:tc>
          <w:tcPr>
            <w:tcW w:w="2837"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了</w:t>
            </w:r>
            <w:r>
              <w:rPr>
                <w:rFonts w:ascii="宋体" w:hAnsi="宋体" w:cs="宋体" w:eastAsia="宋体" w:hint="default"/>
                <w:sz w:val="18"/>
                <w:szCs w:val="18"/>
              </w:rPr>
              <w:t>《关于印发修订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2837"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本公司根据相关规定自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r>
      <w:tr>
        <w:trPr>
          <w:trHeight w:val="311"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政府补助</w:t>
            </w:r>
            <w:r>
              <w:rPr>
                <w:rFonts w:ascii="Times New Roman" w:hAnsi="Times New Roman" w:cs="Times New Roman" w:eastAsia="Times New Roman" w:hint="default"/>
                <w:spacing w:val="-2"/>
                <w:sz w:val="18"/>
                <w:szCs w:val="18"/>
              </w:rPr>
              <w:t>&gt;</w:t>
            </w:r>
            <w:r>
              <w:rPr>
                <w:rFonts w:ascii="宋体" w:hAnsi="宋体" w:cs="宋体" w:eastAsia="宋体" w:hint="default"/>
                <w:spacing w:val="-2"/>
                <w:sz w:val="18"/>
                <w:szCs w:val="18"/>
              </w:rPr>
              <w:t>的通知》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财会</w:t>
            </w:r>
            <w:r>
              <w:rPr>
                <w:rFonts w:ascii="Times New Roman" w:hAnsi="Times New Roman" w:cs="Times New Roman" w:eastAsia="Times New Roman" w:hint="default"/>
                <w:spacing w:val="-2"/>
                <w:sz w:val="18"/>
                <w:szCs w:val="18"/>
              </w:rPr>
              <w:t>[2017]15</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号，以下简</w:t>
            </w:r>
          </w:p>
        </w:tc>
        <w:tc>
          <w:tcPr>
            <w:tcW w:w="2837"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日起执行新政府补助准则，对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312"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新政府补助准则</w:t>
            </w:r>
            <w:r>
              <w:rPr>
                <w:rFonts w:ascii="Times New Roman" w:hAnsi="Times New Roman" w:cs="Times New Roman" w:eastAsia="Times New Roman" w:hint="default"/>
                <w:sz w:val="18"/>
                <w:szCs w:val="18"/>
              </w:rPr>
              <w:t>”)</w:t>
            </w:r>
            <w:r>
              <w:rPr>
                <w:rFonts w:ascii="宋体" w:hAnsi="宋体" w:cs="宋体" w:eastAsia="宋体" w:hint="default"/>
                <w:sz w:val="18"/>
                <w:szCs w:val="18"/>
              </w:rPr>
              <w:t>。根据新政府补助准则</w:t>
            </w:r>
          </w:p>
        </w:tc>
        <w:tc>
          <w:tcPr>
            <w:tcW w:w="2837"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日存在的政府补助采用未来适用法</w:t>
            </w:r>
          </w:p>
        </w:tc>
      </w:tr>
      <w:tr>
        <w:trPr>
          <w:trHeight w:val="312"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要求，与企业日常活动相关的政府补助应当</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本公司第九届董事会第三十次会议</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处理，对于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r>
      <w:tr>
        <w:trPr>
          <w:trHeight w:val="312"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按照经济业务实质，计入其他收益或冲减相</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日期间新增的政府补助按照新准则</w:t>
            </w:r>
          </w:p>
        </w:tc>
      </w:tr>
      <w:tr>
        <w:trPr>
          <w:trHeight w:val="312"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关的成本费用；与企业日常活动无关的政府</w:t>
            </w:r>
          </w:p>
        </w:tc>
        <w:tc>
          <w:tcPr>
            <w:tcW w:w="2837"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调整。上述会计政策变更对本公司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tc>
      </w:tr>
      <w:tr>
        <w:trPr>
          <w:trHeight w:val="312"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补助，应当计入营业外收入，企业应当在</w:t>
            </w:r>
            <w:r>
              <w:rPr>
                <w:rFonts w:ascii="Times New Roman" w:hAnsi="Times New Roman" w:cs="Times New Roman" w:eastAsia="Times New Roman" w:hint="default"/>
                <w:sz w:val="18"/>
                <w:szCs w:val="18"/>
              </w:rPr>
              <w:t>“</w:t>
            </w:r>
            <w:r>
              <w:rPr>
                <w:rFonts w:ascii="宋体" w:hAnsi="宋体" w:cs="宋体" w:eastAsia="宋体" w:hint="default"/>
                <w:sz w:val="18"/>
                <w:szCs w:val="18"/>
              </w:rPr>
              <w:t>利</w:t>
            </w:r>
          </w:p>
        </w:tc>
        <w:tc>
          <w:tcPr>
            <w:tcW w:w="2837"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年度合并和母公司财务报表损益项目无</w:t>
            </w:r>
          </w:p>
        </w:tc>
      </w:tr>
      <w:tr>
        <w:trPr>
          <w:trHeight w:val="312"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润表</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项目之上单独列报</w:t>
            </w:r>
            <w:r>
              <w:rPr>
                <w:rFonts w:ascii="Times New Roman" w:hAnsi="Times New Roman" w:cs="Times New Roman" w:eastAsia="Times New Roman" w:hint="default"/>
                <w:sz w:val="18"/>
                <w:szCs w:val="18"/>
              </w:rPr>
              <w:t>“</w:t>
            </w:r>
            <w:r>
              <w:rPr>
                <w:rFonts w:ascii="宋体" w:hAnsi="宋体" w:cs="宋体" w:eastAsia="宋体" w:hint="default"/>
                <w:sz w:val="18"/>
                <w:szCs w:val="18"/>
              </w:rPr>
              <w:t>其</w:t>
            </w:r>
          </w:p>
        </w:tc>
        <w:tc>
          <w:tcPr>
            <w:tcW w:w="2837"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r>
      <w:tr>
        <w:trPr>
          <w:trHeight w:val="313"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项目，反映计入其他收益的政府补</w:t>
            </w:r>
          </w:p>
        </w:tc>
        <w:tc>
          <w:tcPr>
            <w:tcW w:w="2837"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35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2837" w:type="dxa"/>
            <w:tcBorders>
              <w:top w:val="nil" w:sz="6" w:space="0" w:color="auto"/>
              <w:left w:val="single" w:sz="4" w:space="0" w:color="000000"/>
              <w:bottom w:val="single" w:sz="4" w:space="0" w:color="000000"/>
              <w:right w:val="single" w:sz="4" w:space="0" w:color="000000"/>
            </w:tcBorders>
          </w:tcPr>
          <w:p>
            <w:pPr/>
          </w:p>
        </w:tc>
        <w:tc>
          <w:tcPr>
            <w:tcW w:w="318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35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执行《财政部关于修订印发一般企业财务报</w:t>
            </w:r>
          </w:p>
        </w:tc>
        <w:tc>
          <w:tcPr>
            <w:tcW w:w="2837" w:type="dxa"/>
            <w:tcBorders>
              <w:top w:val="single" w:sz="4" w:space="0" w:color="000000"/>
              <w:left w:val="single" w:sz="4" w:space="0" w:color="000000"/>
              <w:bottom w:val="nil" w:sz="6" w:space="0" w:color="auto"/>
              <w:right w:val="single" w:sz="4" w:space="0" w:color="000000"/>
            </w:tcBorders>
          </w:tcPr>
          <w:p>
            <w:pPr/>
          </w:p>
        </w:tc>
        <w:tc>
          <w:tcPr>
            <w:tcW w:w="3189"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表格式的通知</w:t>
            </w:r>
            <w:r>
              <w:rPr>
                <w:rFonts w:ascii="宋体" w:hAnsi="宋体" w:cs="宋体" w:eastAsia="宋体" w:hint="default"/>
                <w:spacing w:val="-90"/>
                <w:sz w:val="18"/>
                <w:szCs w:val="18"/>
              </w:rPr>
              <w:t>》</w:t>
            </w: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2837"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日发布了《财政部关于修订印发一般企业财</w:t>
            </w:r>
          </w:p>
        </w:tc>
        <w:tc>
          <w:tcPr>
            <w:tcW w:w="2837"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务报表格式的通知》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号，以下</w:t>
            </w:r>
          </w:p>
        </w:tc>
        <w:tc>
          <w:tcPr>
            <w:tcW w:w="2837"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本公司按照《企业会计准则第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r>
      <w:tr>
        <w:trPr>
          <w:trHeight w:val="312"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新修订的财务报表格式</w:t>
            </w:r>
            <w:r>
              <w:rPr>
                <w:rFonts w:ascii="Times New Roman" w:hAnsi="Times New Roman" w:cs="Times New Roman" w:eastAsia="Times New Roman" w:hint="default"/>
                <w:sz w:val="18"/>
                <w:szCs w:val="18"/>
              </w:rPr>
              <w:t>”)</w:t>
            </w:r>
            <w:r>
              <w:rPr>
                <w:rFonts w:ascii="宋体" w:hAnsi="宋体" w:cs="宋体" w:eastAsia="宋体" w:hint="default"/>
                <w:sz w:val="18"/>
                <w:szCs w:val="18"/>
              </w:rPr>
              <w:t>。新修订的财</w:t>
            </w:r>
          </w:p>
        </w:tc>
        <w:tc>
          <w:tcPr>
            <w:tcW w:w="2837"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财务报表列报》等相关规定，对此项会</w:t>
            </w:r>
          </w:p>
        </w:tc>
      </w:tr>
      <w:tr>
        <w:trPr>
          <w:trHeight w:val="312"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务报表格式除上述提及新修订的企业会计准</w:t>
            </w:r>
          </w:p>
        </w:tc>
        <w:tc>
          <w:tcPr>
            <w:tcW w:w="2837"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计政策变更采用追溯调整法，</w:t>
            </w:r>
            <w:r>
              <w:rPr>
                <w:rFonts w:ascii="Times New Roman" w:hAnsi="Times New Roman" w:cs="Times New Roman" w:eastAsia="Times New Roman" w:hint="default"/>
                <w:sz w:val="18"/>
                <w:szCs w:val="18"/>
              </w:rPr>
              <w:t>2017/2016</w:t>
            </w:r>
          </w:p>
        </w:tc>
      </w:tr>
      <w:tr>
        <w:trPr>
          <w:trHeight w:val="936"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29"/>
              <w:jc w:val="both"/>
              <w:rPr>
                <w:rFonts w:ascii="宋体" w:hAnsi="宋体" w:cs="宋体" w:eastAsia="宋体" w:hint="default"/>
                <w:sz w:val="18"/>
                <w:szCs w:val="18"/>
              </w:rPr>
            </w:pPr>
            <w:r>
              <w:rPr>
                <w:rFonts w:ascii="宋体" w:hAnsi="宋体" w:cs="宋体" w:eastAsia="宋体" w:hint="default"/>
                <w:sz w:val="18"/>
                <w:szCs w:val="18"/>
              </w:rPr>
              <w:t>则对报表项目的影响外，在</w:t>
            </w:r>
            <w:r>
              <w:rPr>
                <w:rFonts w:ascii="Times New Roman" w:hAnsi="Times New Roman" w:cs="Times New Roman" w:eastAsia="Times New Roman" w:hint="default"/>
                <w:sz w:val="18"/>
                <w:szCs w:val="18"/>
              </w:rPr>
              <w:t>“</w:t>
            </w: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之上 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项目，反映企业出售划 分为持有待售的非流动资产</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金融工具、长期</w:t>
            </w:r>
          </w:p>
        </w:tc>
        <w:tc>
          <w:tcPr>
            <w:tcW w:w="28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本公司第九届董事会第三十次会议 审议通过</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2" w:right="49"/>
              <w:jc w:val="both"/>
              <w:rPr>
                <w:rFonts w:ascii="宋体" w:hAnsi="宋体" w:cs="宋体" w:eastAsia="宋体" w:hint="default"/>
                <w:sz w:val="18"/>
                <w:szCs w:val="18"/>
              </w:rPr>
            </w:pPr>
            <w:r>
              <w:rPr>
                <w:rFonts w:ascii="宋体" w:hAnsi="宋体" w:cs="宋体" w:eastAsia="宋体" w:hint="default"/>
                <w:sz w:val="18"/>
                <w:szCs w:val="18"/>
              </w:rPr>
              <w:t>年度比较财务报表已重新表述。对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年度合并财务报表相关损益项目的影响 为增加</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-324,256.67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312"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股权投资和投资性房地产除外</w:t>
            </w:r>
            <w:r>
              <w:rPr>
                <w:rFonts w:ascii="Times New Roman" w:hAnsi="Times New Roman" w:cs="Times New Roman" w:eastAsia="Times New Roman" w:hint="default"/>
                <w:sz w:val="18"/>
                <w:szCs w:val="18"/>
              </w:rPr>
              <w:t>)</w:t>
            </w:r>
            <w:r>
              <w:rPr>
                <w:rFonts w:ascii="宋体" w:hAnsi="宋体" w:cs="宋体" w:eastAsia="宋体" w:hint="default"/>
                <w:sz w:val="18"/>
                <w:szCs w:val="18"/>
              </w:rPr>
              <w:t>或处置组确认</w:t>
            </w:r>
          </w:p>
        </w:tc>
        <w:tc>
          <w:tcPr>
            <w:tcW w:w="2837"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14,484.61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元，减少</w:t>
            </w:r>
            <w:r>
              <w:rPr>
                <w:rFonts w:ascii="Times New Roman" w:hAnsi="Times New Roman" w:cs="Times New Roman" w:eastAsia="Times New Roman" w:hint="default"/>
                <w:sz w:val="18"/>
                <w:szCs w:val="18"/>
              </w:rPr>
              <w:t>“</w:t>
            </w:r>
            <w:r>
              <w:rPr>
                <w:rFonts w:ascii="宋体" w:hAnsi="宋体" w:cs="宋体" w:eastAsia="宋体" w:hint="default"/>
                <w:sz w:val="18"/>
                <w:szCs w:val="18"/>
              </w:rPr>
              <w:t>营</w:t>
            </w:r>
          </w:p>
        </w:tc>
      </w:tr>
      <w:tr>
        <w:trPr>
          <w:trHeight w:val="312"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的处置利得或损失、以及处置未划为持有待</w:t>
            </w:r>
          </w:p>
        </w:tc>
        <w:tc>
          <w:tcPr>
            <w:tcW w:w="2837"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业外支出</w:t>
            </w:r>
            <w:r>
              <w:rPr>
                <w:rFonts w:ascii="Times New Roman" w:hAnsi="Times New Roman" w:cs="Times New Roman" w:eastAsia="Times New Roman" w:hint="default"/>
                <w:sz w:val="18"/>
                <w:szCs w:val="18"/>
              </w:rPr>
              <w:t>”338,741.28 </w:t>
            </w:r>
            <w:r>
              <w:rPr>
                <w:rFonts w:ascii="宋体" w:hAnsi="宋体" w:cs="宋体" w:eastAsia="宋体" w:hint="default"/>
                <w:spacing w:val="-18"/>
                <w:sz w:val="18"/>
                <w:szCs w:val="18"/>
              </w:rPr>
              <w:t>元；对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年度母</w:t>
            </w:r>
          </w:p>
        </w:tc>
      </w:tr>
      <w:tr>
        <w:trPr>
          <w:trHeight w:val="308"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售的固定资产、在建工程、生产性生物资产</w:t>
            </w:r>
          </w:p>
        </w:tc>
        <w:tc>
          <w:tcPr>
            <w:tcW w:w="2837"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公司财务报表相关损益项目无影响。</w:t>
            </w:r>
          </w:p>
        </w:tc>
      </w:tr>
      <w:tr>
        <w:trPr>
          <w:trHeight w:val="311"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及无形资产而产生的处置利得或损失；债务</w:t>
            </w:r>
          </w:p>
        </w:tc>
        <w:tc>
          <w:tcPr>
            <w:tcW w:w="2837"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重组中因处置非流动资产产生的利得或损失</w:t>
            </w:r>
          </w:p>
        </w:tc>
        <w:tc>
          <w:tcPr>
            <w:tcW w:w="2837"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5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和非货币性资产交换产生的利得或损失。</w:t>
            </w:r>
          </w:p>
        </w:tc>
        <w:tc>
          <w:tcPr>
            <w:tcW w:w="2837" w:type="dxa"/>
            <w:tcBorders>
              <w:top w:val="nil" w:sz="6" w:space="0" w:color="auto"/>
              <w:left w:val="single" w:sz="4" w:space="0" w:color="000000"/>
              <w:bottom w:val="single" w:sz="4" w:space="0" w:color="000000"/>
              <w:right w:val="single" w:sz="4" w:space="0" w:color="000000"/>
            </w:tcBorders>
          </w:tcPr>
          <w:p>
            <w:pPr/>
          </w:p>
        </w:tc>
        <w:tc>
          <w:tcPr>
            <w:tcW w:w="3189" w:type="dxa"/>
            <w:tcBorders>
              <w:top w:val="nil" w:sz="6" w:space="0" w:color="auto"/>
              <w:left w:val="single" w:sz="4" w:space="0" w:color="000000"/>
              <w:bottom w:val="single" w:sz="4" w:space="0" w:color="000000"/>
              <w:right w:val="single" w:sz="4" w:space="0" w:color="000000"/>
            </w:tcBorders>
          </w:tcPr>
          <w:p>
            <w:pPr/>
          </w:p>
        </w:tc>
      </w:tr>
    </w:tbl>
    <w:p>
      <w:pPr>
        <w:pStyle w:val="BodyText"/>
        <w:spacing w:line="300" w:lineRule="auto" w:before="10"/>
        <w:ind w:right="1178"/>
        <w:jc w:val="both"/>
      </w:pPr>
      <w:r>
        <w:rPr/>
        <w:t>本公司按照《企业会计准则第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财务报表列报》等相关规定，对此项会计政策变更采用追溯调整法，</w:t>
      </w:r>
      <w:r>
        <w:rPr>
          <w:rFonts w:ascii="Times New Roman" w:hAnsi="Times New Roman" w:cs="Times New Roman" w:eastAsia="Times New Roman" w:hint="default"/>
        </w:rPr>
        <w:t>2017/2016</w:t>
      </w:r>
      <w:r>
        <w:rPr/>
        <w:t>年度 比较财务报表已重新表述。对</w:t>
      </w:r>
      <w:r>
        <w:rPr>
          <w:rFonts w:ascii="Times New Roman" w:hAnsi="Times New Roman" w:cs="Times New Roman" w:eastAsia="Times New Roman" w:hint="default"/>
        </w:rPr>
        <w:t>2016</w:t>
      </w:r>
      <w:r>
        <w:rPr/>
        <w:t>年度合并财务报表相关损益项目的影响为增加</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rFonts w:ascii="Times New Roman" w:hAnsi="Times New Roman" w:cs="Times New Roman" w:eastAsia="Times New Roman" w:hint="default"/>
        </w:rPr>
        <w:t>-324,256.67</w:t>
      </w:r>
      <w:r>
        <w:rPr/>
        <w:t>元，减少</w:t>
      </w:r>
      <w:r>
        <w:rPr>
          <w:rFonts w:ascii="Times New Roman" w:hAnsi="Times New Roman" w:cs="Times New Roman" w:eastAsia="Times New Roman" w:hint="default"/>
        </w:rPr>
        <w:t>“</w:t>
      </w:r>
      <w:r>
        <w:rPr/>
        <w:t>营业 外收入</w:t>
      </w:r>
      <w:r>
        <w:rPr>
          <w:rFonts w:ascii="Times New Roman" w:hAnsi="Times New Roman" w:cs="Times New Roman" w:eastAsia="Times New Roman" w:hint="default"/>
        </w:rPr>
        <w:t>14,484.61</w:t>
      </w:r>
      <w:r>
        <w:rPr/>
        <w:t>元，减少</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”338,741.28</w:t>
      </w:r>
      <w:r>
        <w:rPr/>
        <w:t>元；对</w:t>
      </w:r>
      <w:r>
        <w:rPr>
          <w:rFonts w:ascii="Times New Roman" w:hAnsi="Times New Roman" w:cs="Times New Roman" w:eastAsia="Times New Roman" w:hint="default"/>
        </w:rPr>
        <w:t>2016</w:t>
      </w:r>
      <w:r>
        <w:rPr/>
        <w:t>年度母公司财务报表相关损益项目无影响。</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重要会计估计变更" w:id="221"/>
      <w:bookmarkEnd w:id="22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line="544" w:lineRule="auto" w:before="0"/>
        <w:ind w:left="153" w:right="93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1、其他" w:id="222"/>
      <w:bookmarkEnd w:id="222"/>
      <w:r>
        <w:rPr>
          <w:rFonts w:ascii="宋体" w:hAnsi="宋体" w:cs="宋体" w:eastAsia="宋体" w:hint="default"/>
          <w:sz w:val="18"/>
          <w:szCs w:val="18"/>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sz w:val="18"/>
          <w:szCs w:val="18"/>
        </w:rPr>
        <w:t>前期差错更正说明</w:t>
      </w:r>
    </w:p>
    <w:p>
      <w:pPr>
        <w:spacing w:after="0" w:line="54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本期公司无重要前期差错更正事项</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税项" w:id="223"/>
      <w:bookmarkEnd w:id="223"/>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24"/>
      <w:bookmarkEnd w:id="22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销售货物或提供应税劳务过程中产生的 增值额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提供广告服务取得的全部含税价款和价 外费用，减除支付给其他广告公司或广 告发布者的含税广告发布费后的余额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133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有偿转让国有土地使用权及地上建筑物 和其他附着物产权产生的增值额；对预 售房款根据房地产所在地规定的预缴率 预缴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实行四级超率累进税率</w:t>
            </w:r>
            <w:r>
              <w:rPr>
                <w:rFonts w:ascii="Times New Roman" w:hAnsi="Times New Roman" w:cs="Times New Roman" w:eastAsia="Times New Roman" w:hint="default"/>
                <w:sz w:val="18"/>
                <w:szCs w:val="18"/>
              </w:rPr>
              <w:t>(30%-60%)</w:t>
            </w:r>
            <w:r>
              <w:rPr>
                <w:rFonts w:ascii="宋体" w:hAnsi="宋体" w:cs="宋体" w:eastAsia="宋体" w:hint="default"/>
                <w:sz w:val="18"/>
                <w:szCs w:val="18"/>
              </w:rPr>
              <w:t>计缴； 预缴率适用房地产所在地具体规定</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城镇土地使用税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实际占用的土地使用面积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适用地区幅度差别定额税率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冉十科技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杭州视赚网络技术有限公司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聚交科技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霍尔果斯聚交信息科技有限公司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税收优惠" w:id="225"/>
      <w:bookmarkEnd w:id="22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30" w:firstLine="360"/>
        <w:jc w:val="both"/>
      </w:pPr>
      <w:r>
        <w:rPr/>
        <w:t>（</w:t>
      </w:r>
      <w:r>
        <w:rPr>
          <w:rFonts w:ascii="Times New Roman" w:hAnsi="Times New Roman" w:cs="Times New Roman" w:eastAsia="Times New Roman" w:hint="default"/>
        </w:rPr>
        <w:t>1</w:t>
      </w:r>
      <w:r>
        <w:rPr/>
        <w:t>）子公司冉十科技于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日被北京市科学技术委员会、北京市财政局、北京市国家税务局、北京市地方税 </w:t>
      </w:r>
      <w:r>
        <w:rPr>
          <w:spacing w:val="-2"/>
        </w:rPr>
        <w:t>务局联合认定为国家级高新技术企业。根据《中华人民共和国企业所得税法》的有关规定，冉十科技自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日起三个</w:t>
      </w:r>
      <w:r>
        <w:rPr>
          <w:spacing w:val="-60"/>
        </w:rPr>
        <w:t> </w:t>
      </w:r>
      <w:r>
        <w:rPr/>
        <w:t>年度享受减按</w:t>
      </w:r>
      <w:r>
        <w:rPr>
          <w:rFonts w:ascii="Times New Roman" w:hAnsi="Times New Roman" w:cs="Times New Roman" w:eastAsia="Times New Roman" w:hint="default"/>
        </w:rPr>
        <w:t>15%</w:t>
      </w:r>
      <w:r>
        <w:rPr/>
        <w:t>税率缴纳企业所得税的税收优惠政策，故冉十科技本期实际适用企业所得税税率为</w:t>
      </w:r>
      <w:r>
        <w:rPr>
          <w:rFonts w:ascii="Times New Roman" w:hAnsi="Times New Roman" w:cs="Times New Roman" w:eastAsia="Times New Roman" w:hint="default"/>
        </w:rPr>
        <w:t>15%</w:t>
      </w:r>
      <w:r>
        <w:rPr/>
        <w:t>。</w:t>
      </w:r>
    </w:p>
    <w:p>
      <w:pPr>
        <w:pStyle w:val="BodyText"/>
        <w:spacing w:line="300" w:lineRule="auto" w:before="13"/>
        <w:ind w:right="1148" w:firstLine="360"/>
        <w:jc w:val="both"/>
      </w:pPr>
      <w:r>
        <w:rPr/>
        <w:t>（</w:t>
      </w:r>
      <w:r>
        <w:rPr>
          <w:rFonts w:ascii="Times New Roman" w:hAnsi="Times New Roman" w:cs="Times New Roman" w:eastAsia="Times New Roman" w:hint="default"/>
        </w:rPr>
        <w:t>2</w:t>
      </w:r>
      <w:r>
        <w:rPr/>
        <w:t>）子公司杭州视赚网络技术有限公司</w:t>
      </w:r>
      <w:r>
        <w:rPr>
          <w:rFonts w:ascii="Times New Roman" w:hAnsi="Times New Roman" w:cs="Times New Roman" w:eastAsia="Times New Roman" w:hint="default"/>
        </w:rPr>
        <w:t>(</w:t>
      </w:r>
      <w:r>
        <w:rPr/>
        <w:t>以下简称杭州视赚</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日被浙江省经济和信息化委员会认定为软件 企业，根据财政部、国家税务总局《关于进一步鼓励软件产业和集成电路产业发展企业所得税政策的通知》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[2012]27 </w:t>
      </w:r>
      <w:r>
        <w:rPr/>
        <w:t>号</w:t>
      </w:r>
      <w:r>
        <w:rPr>
          <w:rFonts w:ascii="Times New Roman" w:hAnsi="Times New Roman" w:cs="Times New Roman" w:eastAsia="Times New Roman" w:hint="default"/>
        </w:rPr>
        <w:t>)</w:t>
      </w:r>
      <w:r>
        <w:rPr/>
        <w:t>的有关规定，并经杭州市西湖区国家税务局以杭国通</w:t>
      </w:r>
      <w:r>
        <w:rPr>
          <w:rFonts w:ascii="Times New Roman" w:hAnsi="Times New Roman" w:cs="Times New Roman" w:eastAsia="Times New Roman" w:hint="default"/>
        </w:rPr>
        <w:t>[2016]125335</w:t>
      </w:r>
      <w:r>
        <w:rPr/>
        <w:t>号《税务事项通知书》确认，杭州视赚适用</w:t>
      </w:r>
      <w:r>
        <w:rPr>
          <w:rFonts w:ascii="Times New Roman" w:hAnsi="Times New Roman" w:cs="Times New Roman" w:eastAsia="Times New Roman" w:hint="default"/>
        </w:rPr>
        <w:t>“</w:t>
      </w:r>
      <w:r>
        <w:rPr/>
        <w:t>两免三减</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spacing w:val="-2"/>
        </w:rPr>
        <w:t>半</w:t>
      </w:r>
      <w:r>
        <w:rPr>
          <w:rFonts w:ascii="Times New Roman" w:hAnsi="Times New Roman" w:cs="Times New Roman" w:eastAsia="Times New Roman" w:hint="default"/>
          <w:spacing w:val="-2"/>
        </w:rPr>
        <w:t>”</w:t>
      </w:r>
      <w:r>
        <w:rPr>
          <w:spacing w:val="-2"/>
        </w:rPr>
        <w:t>的税收优惠政策，</w:t>
      </w:r>
      <w:r>
        <w:rPr>
          <w:rFonts w:ascii="Times New Roman" w:hAnsi="Times New Roman" w:cs="Times New Roman" w:eastAsia="Times New Roman" w:hint="default"/>
          <w:spacing w:val="-2"/>
        </w:rPr>
        <w:t>2015</w:t>
      </w:r>
      <w:r>
        <w:rPr>
          <w:spacing w:val="-2"/>
        </w:rPr>
        <w:t>和</w:t>
      </w:r>
      <w:r>
        <w:rPr>
          <w:rFonts w:ascii="Times New Roman" w:hAnsi="Times New Roman" w:cs="Times New Roman" w:eastAsia="Times New Roman" w:hint="default"/>
          <w:spacing w:val="-2"/>
        </w:rPr>
        <w:t>2016</w:t>
      </w:r>
      <w:r>
        <w:rPr>
          <w:spacing w:val="-2"/>
        </w:rPr>
        <w:t>年度免征企业所得税，自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日起三个年度减按</w:t>
      </w:r>
      <w:r>
        <w:rPr>
          <w:rFonts w:ascii="Times New Roman" w:hAnsi="Times New Roman" w:cs="Times New Roman" w:eastAsia="Times New Roman" w:hint="default"/>
          <w:spacing w:val="-2"/>
        </w:rPr>
        <w:t>12.5%</w:t>
      </w:r>
      <w:r>
        <w:rPr>
          <w:spacing w:val="-2"/>
        </w:rPr>
        <w:t>税率缴纳企业所得税，故杭州</w:t>
      </w:r>
      <w:r>
        <w:rPr>
          <w:spacing w:val="-51"/>
        </w:rPr>
        <w:t> </w:t>
      </w:r>
      <w:r>
        <w:rPr>
          <w:spacing w:val="-51"/>
        </w:rPr>
      </w:r>
      <w:r>
        <w:rPr/>
        <w:t>视赚本期实际适用企业所得税税率为</w:t>
      </w:r>
      <w:r>
        <w:rPr>
          <w:rFonts w:ascii="Times New Roman" w:hAnsi="Times New Roman" w:cs="Times New Roman" w:eastAsia="Times New Roman" w:hint="default"/>
        </w:rPr>
        <w:t>12.5%</w:t>
      </w:r>
      <w:r>
        <w:rPr/>
        <w:t>。</w:t>
      </w:r>
    </w:p>
    <w:p>
      <w:pPr>
        <w:pStyle w:val="BodyText"/>
        <w:spacing w:line="307" w:lineRule="auto" w:before="13"/>
        <w:ind w:right="0" w:firstLine="360"/>
        <w:jc w:val="left"/>
      </w:pPr>
      <w:r>
        <w:rPr/>
        <w:t>（</w:t>
      </w:r>
      <w:r>
        <w:rPr>
          <w:rFonts w:ascii="Times New Roman" w:hAnsi="Times New Roman" w:cs="Times New Roman" w:eastAsia="Times New Roman" w:hint="default"/>
        </w:rPr>
        <w:t>3</w:t>
      </w:r>
      <w:r>
        <w:rPr/>
        <w:t>）子公司聚交科技</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有限公司</w:t>
      </w:r>
      <w:r>
        <w:rPr>
          <w:rFonts w:ascii="Times New Roman" w:hAnsi="Times New Roman" w:cs="Times New Roman" w:eastAsia="Times New Roman" w:hint="default"/>
        </w:rPr>
        <w:t>(</w:t>
      </w:r>
      <w:r>
        <w:rPr/>
        <w:t>以下简称北京聚交</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日被北京市科学技术委员会、北京市财政局、</w:t>
      </w:r>
      <w:r>
        <w:rPr>
          <w:spacing w:val="1"/>
        </w:rPr>
        <w:t> </w:t>
      </w:r>
      <w:r>
        <w:rPr>
          <w:spacing w:val="-5"/>
        </w:rPr>
        <w:t>北京市国家税务局、北京市地方税务局联合认定为国家级高新技术企业。根据《中华人民共和国企业所得税法》的有关规定，</w:t>
      </w:r>
      <w:r>
        <w:rPr>
          <w:spacing w:val="-82"/>
        </w:rPr>
        <w:t> </w:t>
      </w:r>
      <w:r>
        <w:rPr>
          <w:spacing w:val="-82"/>
        </w:rPr>
      </w:r>
      <w:r>
        <w:rPr/>
        <w:t>北京聚交自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日起三个年度享受减按</w:t>
      </w:r>
      <w:r>
        <w:rPr>
          <w:rFonts w:ascii="Times New Roman" w:hAnsi="Times New Roman" w:cs="Times New Roman" w:eastAsia="Times New Roman" w:hint="default"/>
        </w:rPr>
        <w:t>15%</w:t>
      </w:r>
      <w:r>
        <w:rPr/>
        <w:t>税率缴纳企业所得税的税收优惠政策，故北京聚交本期实际适用企业所得 税税率为</w:t>
      </w:r>
      <w:r>
        <w:rPr>
          <w:rFonts w:ascii="Times New Roman" w:hAnsi="Times New Roman" w:cs="Times New Roman" w:eastAsia="Times New Roman" w:hint="default"/>
        </w:rPr>
        <w:t>15%</w:t>
      </w:r>
      <w:r>
        <w:rPr/>
        <w:t>。</w:t>
      </w:r>
    </w:p>
    <w:p>
      <w:pPr>
        <w:pStyle w:val="BodyText"/>
        <w:spacing w:line="300" w:lineRule="auto" w:before="7"/>
        <w:ind w:right="0" w:firstLine="360"/>
        <w:jc w:val="left"/>
      </w:pPr>
      <w:r>
        <w:rPr/>
        <w:t>（</w:t>
      </w:r>
      <w:r>
        <w:rPr>
          <w:rFonts w:ascii="Times New Roman" w:hAnsi="Times New Roman" w:cs="Times New Roman" w:eastAsia="Times New Roman" w:hint="default"/>
        </w:rPr>
        <w:t>4</w:t>
      </w:r>
      <w:r>
        <w:rPr/>
        <w:t>）子公司霍尔果斯聚交信息科技有限公司</w:t>
      </w:r>
      <w:r>
        <w:rPr>
          <w:rFonts w:ascii="Times New Roman" w:hAnsi="Times New Roman" w:cs="Times New Roman" w:eastAsia="Times New Roman" w:hint="default"/>
        </w:rPr>
        <w:t>(</w:t>
      </w:r>
      <w:r>
        <w:rPr/>
        <w:t>以下简称霍尔果斯聚交</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日在新疆霍尔果斯经济开发区注册 </w:t>
      </w:r>
      <w:r>
        <w:rPr>
          <w:spacing w:val="-3"/>
        </w:rPr>
        <w:t>成立，其主营业务符合国家产业政策，符合开发区发展规划，根据《霍尔果斯经济开发区企业所得税税收优惠管理办法》</w:t>
      </w:r>
      <w:r>
        <w:rPr>
          <w:rFonts w:ascii="Times New Roman" w:hAnsi="Times New Roman" w:cs="Times New Roman" w:eastAsia="Times New Roman" w:hint="default"/>
          <w:spacing w:val="-3"/>
        </w:rPr>
        <w:t>(</w:t>
      </w:r>
      <w:r>
        <w:rPr>
          <w:spacing w:val="-3"/>
        </w:rPr>
        <w:t>霍</w:t>
      </w:r>
      <w:r>
        <w:rPr>
          <w:spacing w:val="-68"/>
        </w:rPr>
        <w:t> </w:t>
      </w:r>
      <w:r>
        <w:rPr/>
        <w:t>特管办发</w:t>
      </w:r>
      <w:r>
        <w:rPr>
          <w:rFonts w:ascii="Times New Roman" w:hAnsi="Times New Roman" w:cs="Times New Roman" w:eastAsia="Times New Roman" w:hint="default"/>
        </w:rPr>
        <w:t>[2013]33</w:t>
      </w:r>
      <w:r>
        <w:rPr/>
        <w:t>号</w:t>
      </w:r>
      <w:r>
        <w:rPr>
          <w:rFonts w:ascii="Times New Roman" w:hAnsi="Times New Roman" w:cs="Times New Roman" w:eastAsia="Times New Roman" w:hint="default"/>
        </w:rPr>
        <w:t>)</w:t>
      </w:r>
      <w:r>
        <w:rPr/>
        <w:t>和《霍尔果斯经济开发区招商引资财税优惠政策》</w:t>
      </w:r>
      <w:r>
        <w:rPr>
          <w:rFonts w:ascii="Times New Roman" w:hAnsi="Times New Roman" w:cs="Times New Roman" w:eastAsia="Times New Roman" w:hint="default"/>
        </w:rPr>
        <w:t>(</w:t>
      </w:r>
      <w:r>
        <w:rPr/>
        <w:t>霍特管办发</w:t>
      </w:r>
      <w:r>
        <w:rPr>
          <w:rFonts w:ascii="Times New Roman" w:hAnsi="Times New Roman" w:cs="Times New Roman" w:eastAsia="Times New Roman" w:hint="default"/>
        </w:rPr>
        <w:t>[2013]55</w:t>
      </w:r>
      <w:r>
        <w:rPr/>
        <w:t>号</w:t>
      </w:r>
      <w:r>
        <w:rPr>
          <w:rFonts w:ascii="Times New Roman" w:hAnsi="Times New Roman" w:cs="Times New Roman" w:eastAsia="Times New Roman" w:hint="default"/>
        </w:rPr>
        <w:t>)</w:t>
      </w:r>
      <w:r>
        <w:rPr/>
        <w:t>，霍尔果斯聚交适用霍尔果 斯经济开发区的企业所得税</w:t>
      </w:r>
      <w:r>
        <w:rPr>
          <w:rFonts w:ascii="Times New Roman" w:hAnsi="Times New Roman" w:cs="Times New Roman" w:eastAsia="Times New Roman" w:hint="default"/>
        </w:rPr>
        <w:t>“</w:t>
      </w:r>
      <w:r>
        <w:rPr/>
        <w:t>五免五减</w:t>
      </w:r>
      <w:r>
        <w:rPr>
          <w:rFonts w:ascii="Times New Roman" w:hAnsi="Times New Roman" w:cs="Times New Roman" w:eastAsia="Times New Roman" w:hint="default"/>
        </w:rPr>
        <w:t>”</w:t>
      </w:r>
      <w:r>
        <w:rPr/>
        <w:t>的税收优惠政策，故本期实际免征企业所得税。</w:t>
      </w:r>
    </w:p>
    <w:p>
      <w:pPr>
        <w:spacing w:line="240" w:lineRule="auto" w:before="1"/>
        <w:rPr>
          <w:rFonts w:ascii="宋体" w:hAnsi="宋体" w:cs="宋体" w:eastAsia="宋体" w:hint="default"/>
          <w:sz w:val="22"/>
          <w:szCs w:val="22"/>
        </w:rPr>
      </w:pPr>
    </w:p>
    <w:p>
      <w:pPr>
        <w:pStyle w:val="Heading3"/>
        <w:spacing w:line="240" w:lineRule="auto"/>
        <w:ind w:left="154" w:right="0"/>
        <w:jc w:val="left"/>
        <w:rPr>
          <w:b w:val="0"/>
          <w:bCs w:val="0"/>
        </w:rPr>
      </w:pPr>
      <w:bookmarkStart w:name="3、其他" w:id="226"/>
      <w:bookmarkEnd w:id="226"/>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七、合并财务报表项目注释" w:id="227"/>
      <w:bookmarkEnd w:id="227"/>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28"/>
      <w:bookmarkEnd w:id="22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28,582.27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74,907.59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1,900,863,617.24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2,146,318,216.17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1,900,892,199.51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2,146,393,123.76</w:t>
            </w:r>
          </w:p>
        </w:tc>
      </w:tr>
    </w:tbl>
    <w:p>
      <w:pPr>
        <w:pStyle w:val="BodyText"/>
        <w:spacing w:line="357" w:lineRule="auto" w:before="51"/>
        <w:ind w:right="2833"/>
        <w:jc w:val="left"/>
      </w:pPr>
      <w:r>
        <w:rPr/>
        <w:t>其他说明 期末货币资金不存在抵押、质押、冻结等对使用有限制或存放在境外、或资金汇回受到限制的款项。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bookmarkStart w:name="2、应收票据" w:id="229"/>
      <w:bookmarkEnd w:id="229"/>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30"/>
      <w:bookmarkEnd w:id="230"/>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17,934,364.00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17,934,364.00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公司已背书或贴现且在资产负债表日尚未到期的应收票据" w:id="231"/>
      <w:bookmarkEnd w:id="231"/>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应收账款" w:id="232"/>
      <w:bookmarkEnd w:id="232"/>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账款分类披露" w:id="233"/>
      <w:bookmarkEnd w:id="23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712,603,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901.59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33,020,4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23.50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679,583,4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78.09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458,297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,576.03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3,415,425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454,882,15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0.54</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2,574.28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2,574.28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712,606,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475.87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33,022,9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97.78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4.63%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679,583,4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78.09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458,297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,576.03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3,415,425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0.75%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454,882,15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0.54</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295" w:space="462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384,314,202.54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184,005,194.99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3,680,103.92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568,319,397.53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3,680,103.92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142,673,108.17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28,534,621.63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1,611,395.89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805,697.95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712,603,901.59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33,020,423.50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w:t>
            </w:r>
          </w:p>
        </w:tc>
      </w:tr>
    </w:tbl>
    <w:p>
      <w:pPr>
        <w:pStyle w:val="BodyText"/>
        <w:spacing w:line="360" w:lineRule="auto" w:before="51"/>
        <w:ind w:left="15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after="0" w:line="340"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期末单项金额虽不重大但单项计提坏账准备的应收账款</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226"/>
        <w:gridCol w:w="1660"/>
        <w:gridCol w:w="1661"/>
        <w:gridCol w:w="1660"/>
        <w:gridCol w:w="1660"/>
      </w:tblGrid>
      <w:tr>
        <w:trPr>
          <w:trHeight w:val="347" w:hRule="exact"/>
        </w:trPr>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6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理由</w:t>
            </w:r>
          </w:p>
        </w:tc>
      </w:tr>
      <w:tr>
        <w:trPr>
          <w:trHeight w:val="659" w:hRule="exact"/>
        </w:trPr>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3"/>
                <w:sz w:val="18"/>
                <w:szCs w:val="18"/>
              </w:rPr>
              <w:t>中国农业银行股份有限公司</w:t>
            </w:r>
            <w:r>
              <w:rPr>
                <w:rFonts w:ascii="宋体" w:hAnsi="宋体" w:cs="宋体" w:eastAsia="宋体" w:hint="default"/>
                <w:sz w:val="18"/>
                <w:szCs w:val="18"/>
              </w:rPr>
              <w:t> 湖南省分行营业部</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2,574.28</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2,574.28</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66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已确定无法收回</w:t>
            </w:r>
          </w:p>
        </w:tc>
      </w:tr>
      <w:tr>
        <w:trPr>
          <w:trHeight w:val="348" w:hRule="exact"/>
        </w:trPr>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2,574.28</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2,574.28</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660"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0"/>
        <w:jc w:val="left"/>
        <w:rPr>
          <w:b w:val="0"/>
          <w:bCs w:val="0"/>
        </w:rPr>
      </w:pPr>
      <w:bookmarkStart w:name="（2）本期计提、收回或转回的坏账准备情况" w:id="234"/>
      <w:bookmarkEnd w:id="23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29,607,572.29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6544" w:space="2375"/>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按欠款方归集的期末余额前五名的应收账款情况" w:id="235"/>
      <w:bookmarkEnd w:id="235"/>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720"/>
        <w:gridCol w:w="1721"/>
        <w:gridCol w:w="1722"/>
        <w:gridCol w:w="1898"/>
        <w:gridCol w:w="1806"/>
      </w:tblGrid>
      <w:tr>
        <w:trPr>
          <w:trHeight w:val="660" w:hRule="exact"/>
        </w:trPr>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9" w:right="0"/>
              <w:jc w:val="left"/>
              <w:rPr>
                <w:rFonts w:ascii="宋体" w:hAnsi="宋体" w:cs="宋体" w:eastAsia="宋体" w:hint="default"/>
                <w:sz w:val="18"/>
                <w:szCs w:val="18"/>
              </w:rPr>
            </w:pPr>
            <w:r>
              <w:rPr>
                <w:rFonts w:ascii="宋体" w:hAnsi="宋体" w:cs="宋体" w:eastAsia="宋体" w:hint="default"/>
                <w:sz w:val="18"/>
                <w:szCs w:val="18"/>
              </w:rPr>
              <w:t>占应收账款期末余额合</w:t>
            </w:r>
          </w:p>
          <w:p>
            <w:pPr>
              <w:pStyle w:val="TableParagraph"/>
              <w:spacing w:line="240" w:lineRule="auto" w:before="76"/>
              <w:ind w:left="7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计数的比例</w:t>
            </w:r>
            <w:r>
              <w:rPr>
                <w:rFonts w:ascii="Times New Roman" w:hAnsi="Times New Roman" w:cs="Times New Roman" w:eastAsia="Times New Roman" w:hint="default"/>
                <w:sz w:val="18"/>
                <w:szCs w:val="18"/>
              </w:rPr>
              <w:t>(%)</w:t>
            </w:r>
          </w:p>
        </w:tc>
        <w:tc>
          <w:tcPr>
            <w:tcW w:w="18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47" w:hRule="exact"/>
        </w:trPr>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33,000,000.00</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4.63</w:t>
            </w:r>
          </w:p>
        </w:tc>
        <w:tc>
          <w:tcPr>
            <w:tcW w:w="18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317,319.56</w:t>
            </w:r>
          </w:p>
        </w:tc>
      </w:tr>
      <w:tr>
        <w:trPr>
          <w:trHeight w:val="347" w:hRule="exact"/>
        </w:trPr>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32,406,957.75</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4.55</w:t>
            </w:r>
          </w:p>
        </w:tc>
        <w:tc>
          <w:tcPr>
            <w:tcW w:w="18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1,396,940.89</w:t>
            </w:r>
          </w:p>
        </w:tc>
      </w:tr>
      <w:tr>
        <w:trPr>
          <w:trHeight w:val="347" w:hRule="exact"/>
        </w:trPr>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29,529,600.00</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4.14</w:t>
            </w:r>
          </w:p>
        </w:tc>
        <w:tc>
          <w:tcPr>
            <w:tcW w:w="18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1,027,580.22</w:t>
            </w:r>
          </w:p>
        </w:tc>
      </w:tr>
      <w:tr>
        <w:trPr>
          <w:trHeight w:val="347" w:hRule="exact"/>
        </w:trPr>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25,978,253.53</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3.65</w:t>
            </w:r>
          </w:p>
        </w:tc>
        <w:tc>
          <w:tcPr>
            <w:tcW w:w="18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23,739,376.29</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3.33</w:t>
            </w:r>
          </w:p>
        </w:tc>
        <w:tc>
          <w:tcPr>
            <w:tcW w:w="18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1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144,654,187.57</w:t>
            </w:r>
          </w:p>
        </w:tc>
        <w:tc>
          <w:tcPr>
            <w:tcW w:w="172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20.30</w:t>
            </w:r>
          </w:p>
        </w:tc>
        <w:tc>
          <w:tcPr>
            <w:tcW w:w="1806" w:type="dxa"/>
            <w:tcBorders>
              <w:top w:val="single" w:sz="6" w:space="0" w:color="000000"/>
              <w:left w:val="single" w:sz="6" w:space="0" w:color="000000"/>
              <w:bottom w:val="single" w:sz="6" w:space="0" w:color="000000"/>
              <w:right w:val="nil" w:sz="6" w:space="0" w:color="auto"/>
            </w:tcBorders>
          </w:tcPr>
          <w:p>
            <w:pPr/>
          </w:p>
        </w:tc>
      </w:tr>
    </w:tbl>
    <w:p>
      <w:pPr>
        <w:pStyle w:val="BodyText"/>
        <w:spacing w:line="300" w:lineRule="auto" w:before="10"/>
        <w:ind w:right="3735"/>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1]6</w:t>
      </w:r>
      <w:r>
        <w:rPr/>
        <w:t>个月</w:t>
      </w:r>
      <w:r>
        <w:rPr>
          <w:rFonts w:ascii="Times New Roman" w:hAnsi="Times New Roman" w:cs="Times New Roman" w:eastAsia="Times New Roman" w:hint="default"/>
        </w:rPr>
        <w:t>-1</w:t>
      </w:r>
      <w:r>
        <w:rPr/>
        <w:t>年的</w:t>
      </w:r>
      <w:r>
        <w:rPr>
          <w:rFonts w:ascii="Times New Roman" w:hAnsi="Times New Roman" w:cs="Times New Roman" w:eastAsia="Times New Roman" w:hint="default"/>
        </w:rPr>
        <w:t>28,905,883.94</w:t>
      </w:r>
      <w:r>
        <w:rPr/>
        <w:t>元，</w:t>
      </w:r>
      <w:r>
        <w:rPr>
          <w:rFonts w:ascii="Times New Roman" w:hAnsi="Times New Roman" w:cs="Times New Roman" w:eastAsia="Times New Roman" w:hint="default"/>
        </w:rPr>
        <w:t>1-2</w:t>
      </w:r>
      <w:r>
        <w:rPr/>
        <w:t>年的</w:t>
      </w:r>
      <w:r>
        <w:rPr>
          <w:rFonts w:ascii="Times New Roman" w:hAnsi="Times New Roman" w:cs="Times New Roman" w:eastAsia="Times New Roman" w:hint="default"/>
        </w:rPr>
        <w:t>4,094,116.06</w:t>
      </w:r>
      <w:r>
        <w:rPr/>
        <w:t>元。</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2]6</w:t>
      </w:r>
      <w:r>
        <w:rPr/>
        <w:t>个月以内的</w:t>
      </w:r>
      <w:r>
        <w:rPr>
          <w:rFonts w:ascii="Times New Roman" w:hAnsi="Times New Roman" w:cs="Times New Roman" w:eastAsia="Times New Roman" w:hint="default"/>
        </w:rPr>
        <w:t>13,588,037.91</w:t>
      </w:r>
      <w:r>
        <w:rPr/>
        <w:t>元，</w:t>
      </w:r>
      <w:r>
        <w:rPr>
          <w:rFonts w:ascii="Times New Roman" w:hAnsi="Times New Roman" w:cs="Times New Roman" w:eastAsia="Times New Roman" w:hint="default"/>
        </w:rPr>
        <w:t>6</w:t>
      </w:r>
      <w:r>
        <w:rPr/>
        <w:t>个月</w:t>
      </w:r>
      <w:r>
        <w:rPr>
          <w:rFonts w:ascii="Times New Roman" w:hAnsi="Times New Roman" w:cs="Times New Roman" w:eastAsia="Times New Roman" w:hint="default"/>
        </w:rPr>
        <w:t>-1</w:t>
      </w:r>
      <w:r>
        <w:rPr/>
        <w:t>年的</w:t>
      </w:r>
      <w:r>
        <w:rPr>
          <w:rFonts w:ascii="Times New Roman" w:hAnsi="Times New Roman" w:cs="Times New Roman" w:eastAsia="Times New Roman" w:hint="default"/>
        </w:rPr>
        <w:t>15,201,131.92</w:t>
      </w:r>
      <w:r>
        <w:rPr/>
        <w:t>元，</w:t>
      </w:r>
      <w:r>
        <w:rPr>
          <w:rFonts w:ascii="Times New Roman" w:hAnsi="Times New Roman" w:cs="Times New Roman" w:eastAsia="Times New Roman" w:hint="default"/>
        </w:rPr>
        <w:t>1-2</w:t>
      </w:r>
      <w:r>
        <w:rPr/>
        <w:t>年的</w:t>
      </w:r>
      <w:r>
        <w:rPr>
          <w:rFonts w:ascii="Times New Roman" w:hAnsi="Times New Roman" w:cs="Times New Roman" w:eastAsia="Times New Roman" w:hint="default"/>
        </w:rPr>
        <w:t>3,617,787.92</w:t>
      </w:r>
      <w:r>
        <w:rPr/>
        <w:t>元。</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3]6</w:t>
      </w:r>
      <w:r>
        <w:rPr/>
        <w:t>个月以内的</w:t>
      </w:r>
      <w:r>
        <w:rPr>
          <w:rFonts w:ascii="Times New Roman" w:hAnsi="Times New Roman" w:cs="Times New Roman" w:eastAsia="Times New Roman" w:hint="default"/>
        </w:rPr>
        <w:t>13,663,621.97</w:t>
      </w:r>
      <w:r>
        <w:rPr/>
        <w:t>元，</w:t>
      </w:r>
      <w:r>
        <w:rPr>
          <w:rFonts w:ascii="Times New Roman" w:hAnsi="Times New Roman" w:cs="Times New Roman" w:eastAsia="Times New Roman" w:hint="default"/>
        </w:rPr>
        <w:t>6</w:t>
      </w:r>
      <w:r>
        <w:rPr/>
        <w:t>个月</w:t>
      </w:r>
      <w:r>
        <w:rPr>
          <w:rFonts w:ascii="Times New Roman" w:hAnsi="Times New Roman" w:cs="Times New Roman" w:eastAsia="Times New Roman" w:hint="default"/>
        </w:rPr>
        <w:t>-1</w:t>
      </w:r>
      <w:r>
        <w:rPr/>
        <w:t>年的</w:t>
      </w:r>
      <w:r>
        <w:rPr>
          <w:rFonts w:ascii="Times New Roman" w:hAnsi="Times New Roman" w:cs="Times New Roman" w:eastAsia="Times New Roman" w:hint="default"/>
        </w:rPr>
        <w:t>15,865,978.03</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4、预付款项" w:id="236"/>
      <w:bookmarkEnd w:id="236"/>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7"/>
      <w:bookmarkEnd w:id="23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104,503,261.89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16,581,767.71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173,342.92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363,345.37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238,434.69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104,915,039.50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16,945,113.08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按预付对象归集的期末余额前五名的预付款情况" w:id="238"/>
      <w:bookmarkEnd w:id="23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176"/>
        <w:gridCol w:w="1770"/>
        <w:gridCol w:w="1176"/>
        <w:gridCol w:w="1914"/>
        <w:gridCol w:w="1830"/>
      </w:tblGrid>
      <w:tr>
        <w:trPr>
          <w:trHeight w:val="659" w:hRule="exact"/>
        </w:trPr>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sz w:val="18"/>
                <w:szCs w:val="18"/>
              </w:rPr>
              <w:t>期末数</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7" w:right="0"/>
              <w:jc w:val="left"/>
              <w:rPr>
                <w:rFonts w:ascii="宋体" w:hAnsi="宋体" w:cs="宋体" w:eastAsia="宋体" w:hint="default"/>
                <w:sz w:val="18"/>
                <w:szCs w:val="18"/>
              </w:rPr>
            </w:pPr>
            <w:r>
              <w:rPr>
                <w:rFonts w:ascii="宋体" w:hAnsi="宋体" w:cs="宋体" w:eastAsia="宋体" w:hint="default"/>
                <w:sz w:val="18"/>
                <w:szCs w:val="18"/>
              </w:rPr>
              <w:t>占预付款项期末余额合</w:t>
            </w:r>
          </w:p>
          <w:p>
            <w:pPr>
              <w:pStyle w:val="TableParagraph"/>
              <w:spacing w:line="240" w:lineRule="auto" w:before="76"/>
              <w:ind w:left="7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计数的比例</w:t>
            </w:r>
            <w:r>
              <w:rPr>
                <w:rFonts w:ascii="Times New Roman" w:hAnsi="Times New Roman" w:cs="Times New Roman" w:eastAsia="Times New Roman" w:hint="default"/>
                <w:sz w:val="18"/>
                <w:szCs w:val="18"/>
              </w:rPr>
              <w:t>(%)</w:t>
            </w:r>
          </w:p>
        </w:tc>
        <w:tc>
          <w:tcPr>
            <w:tcW w:w="183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7" w:hRule="exact"/>
        </w:trPr>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19,288,537.01</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18.38</w:t>
            </w:r>
          </w:p>
        </w:tc>
        <w:tc>
          <w:tcPr>
            <w:tcW w:w="183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预付货款尚未验收</w:t>
            </w:r>
          </w:p>
        </w:tc>
      </w:tr>
      <w:tr>
        <w:trPr>
          <w:trHeight w:val="348" w:hRule="exact"/>
        </w:trPr>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18,349,830.16</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17.49</w:t>
            </w:r>
          </w:p>
        </w:tc>
        <w:tc>
          <w:tcPr>
            <w:tcW w:w="183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预付货款尚未验收</w:t>
            </w:r>
          </w:p>
        </w:tc>
      </w:tr>
      <w:tr>
        <w:trPr>
          <w:trHeight w:val="347" w:hRule="exact"/>
        </w:trPr>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11,949,685.63</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11.39</w:t>
            </w:r>
          </w:p>
        </w:tc>
        <w:tc>
          <w:tcPr>
            <w:tcW w:w="183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预付采购代理媒体款</w:t>
            </w:r>
          </w:p>
        </w:tc>
      </w:tr>
      <w:tr>
        <w:trPr>
          <w:trHeight w:val="347" w:hRule="exact"/>
        </w:trPr>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9,923,110.73</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9.46</w:t>
            </w:r>
          </w:p>
        </w:tc>
        <w:tc>
          <w:tcPr>
            <w:tcW w:w="183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预付阵地租赁费</w:t>
            </w:r>
          </w:p>
        </w:tc>
      </w:tr>
      <w:tr>
        <w:trPr>
          <w:trHeight w:val="347" w:hRule="exact"/>
        </w:trPr>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7,730,629.48</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7.37</w:t>
            </w:r>
          </w:p>
        </w:tc>
        <w:tc>
          <w:tcPr>
            <w:tcW w:w="183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预付货款尚未验收</w:t>
            </w:r>
          </w:p>
        </w:tc>
      </w:tr>
      <w:tr>
        <w:trPr>
          <w:trHeight w:val="348" w:hRule="exact"/>
        </w:trPr>
        <w:tc>
          <w:tcPr>
            <w:tcW w:w="2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67,241,793.01</w:t>
            </w:r>
          </w:p>
        </w:tc>
        <w:tc>
          <w:tcPr>
            <w:tcW w:w="1176"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64.09</w:t>
            </w:r>
          </w:p>
        </w:tc>
        <w:tc>
          <w:tcPr>
            <w:tcW w:w="1830"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5"/>
        <w:rPr>
          <w:rFonts w:ascii="宋体" w:hAnsi="宋体" w:cs="宋体" w:eastAsia="宋体" w:hint="default"/>
          <w:b/>
          <w:bCs/>
          <w:sz w:val="24"/>
          <w:szCs w:val="24"/>
        </w:rPr>
      </w:pPr>
    </w:p>
    <w:p>
      <w:pPr>
        <w:pStyle w:val="BodyText"/>
        <w:spacing w:line="240" w:lineRule="auto" w:before="44"/>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其他应收款" w:id="239"/>
      <w:bookmarkEnd w:id="239"/>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40"/>
      <w:bookmarkEnd w:id="24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764"/>
        <w:gridCol w:w="708"/>
        <w:gridCol w:w="993"/>
        <w:gridCol w:w="696"/>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72" w:type="dxa"/>
            <w:gridSpan w:val="2"/>
            <w:vMerge/>
            <w:tcBorders>
              <w:left w:val="single" w:sz="4" w:space="0" w:color="000000"/>
              <w:bottom w:val="single" w:sz="4" w:space="0" w:color="000000"/>
              <w:right w:val="single" w:sz="4" w:space="0" w:color="000000"/>
            </w:tcBorders>
            <w:shd w:val="clear" w:color="auto" w:fill="D2D2D2"/>
          </w:tcPr>
          <w:p>
            <w:pPr/>
          </w:p>
        </w:tc>
        <w:tc>
          <w:tcPr>
            <w:tcW w:w="1689"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6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51" w:right="7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96" w:type="dxa"/>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bottom w:val="nil" w:sz="6" w:space="0" w:color="auto"/>
              <w:right w:val="single" w:sz="4" w:space="0" w:color="000000"/>
            </w:tcBorders>
            <w:shd w:val="clear" w:color="auto" w:fill="D2D2D2"/>
          </w:tcPr>
          <w:p>
            <w:pPr/>
          </w:p>
        </w:tc>
        <w:tc>
          <w:tcPr>
            <w:tcW w:w="696" w:type="dxa"/>
            <w:vMerge/>
            <w:tcBorders>
              <w:left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696"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180,871,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738.27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8,915,21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171,956,5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20.47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62,287,6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91.26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99.41%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15,188,338.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24.38%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47,099,352.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368,200.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368,200.00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181,239,</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938.27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9,283,41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5.12%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171,956,5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20.47</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62,655,8</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91.26</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15,556,538.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6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24.83%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47,099,352.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696"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475" w:space="444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90,399,038.48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1,036,103.09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20,722.06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91,435,141.57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20,722.06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6,807,398.08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1,361,479.62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11,220,365.00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5,610,182.50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1,922,833.62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1,922,833.62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111,385,738.27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8,915,217.80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w:t>
            </w: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1774"/>
        <w:gridCol w:w="1774"/>
        <w:gridCol w:w="1773"/>
        <w:gridCol w:w="1774"/>
        <w:gridCol w:w="1772"/>
      </w:tblGrid>
      <w:tr>
        <w:trPr>
          <w:trHeight w:val="347"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7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理由</w:t>
            </w:r>
          </w:p>
        </w:tc>
      </w:tr>
      <w:tr>
        <w:trPr>
          <w:trHeight w:val="972"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5"/>
              <w:jc w:val="left"/>
              <w:rPr>
                <w:rFonts w:ascii="宋体" w:hAnsi="宋体" w:cs="宋体" w:eastAsia="宋体" w:hint="default"/>
                <w:sz w:val="18"/>
                <w:szCs w:val="18"/>
              </w:rPr>
            </w:pPr>
            <w:r>
              <w:rPr>
                <w:rFonts w:ascii="宋体" w:hAnsi="宋体" w:cs="宋体" w:eastAsia="宋体" w:hint="default"/>
                <w:spacing w:val="14"/>
                <w:sz w:val="18"/>
                <w:szCs w:val="18"/>
              </w:rPr>
              <w:t>深圳市鑫百合佳科技</w:t>
            </w:r>
            <w:r>
              <w:rPr>
                <w:rFonts w:ascii="宋体" w:hAnsi="宋体" w:cs="宋体" w:eastAsia="宋体" w:hint="default"/>
                <w:spacing w:val="-74"/>
                <w:sz w:val="18"/>
                <w:szCs w:val="18"/>
              </w:rPr>
              <w:t> </w:t>
            </w:r>
            <w:r>
              <w:rPr>
                <w:rFonts w:ascii="宋体" w:hAnsi="宋体" w:cs="宋体" w:eastAsia="宋体" w:hint="default"/>
                <w:sz w:val="18"/>
                <w:szCs w:val="18"/>
              </w:rPr>
              <w:t>有限公司</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368,200.00</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368,200.00</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772"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1"/>
              <w:ind w:left="2" w:right="7"/>
              <w:jc w:val="both"/>
              <w:rPr>
                <w:rFonts w:ascii="宋体" w:hAnsi="宋体" w:cs="宋体" w:eastAsia="宋体" w:hint="default"/>
                <w:sz w:val="18"/>
                <w:szCs w:val="18"/>
              </w:rPr>
            </w:pPr>
            <w:r>
              <w:rPr>
                <w:rFonts w:ascii="宋体" w:hAnsi="宋体" w:cs="宋体" w:eastAsia="宋体" w:hint="default"/>
                <w:spacing w:val="14"/>
                <w:sz w:val="18"/>
                <w:szCs w:val="18"/>
              </w:rPr>
              <w:t>该公司由于涉嫌诈骗</w:t>
            </w:r>
            <w:r>
              <w:rPr>
                <w:rFonts w:ascii="宋体" w:hAnsi="宋体" w:cs="宋体" w:eastAsia="宋体" w:hint="default"/>
                <w:sz w:val="18"/>
                <w:szCs w:val="18"/>
              </w:rPr>
              <w:t> </w:t>
            </w:r>
            <w:r>
              <w:rPr>
                <w:rFonts w:ascii="宋体" w:hAnsi="宋体" w:cs="宋体" w:eastAsia="宋体" w:hint="default"/>
                <w:spacing w:val="-5"/>
                <w:sz w:val="18"/>
                <w:szCs w:val="18"/>
              </w:rPr>
              <w:t>已宣告破产，预计款项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无法收回</w:t>
            </w:r>
          </w:p>
        </w:tc>
      </w:tr>
      <w:tr>
        <w:trPr>
          <w:trHeight w:val="347"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368,200.00</w:t>
            </w:r>
          </w:p>
        </w:tc>
        <w:tc>
          <w:tcPr>
            <w:tcW w:w="1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368,200.00</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100.00</w:t>
            </w:r>
          </w:p>
        </w:tc>
        <w:tc>
          <w:tcPr>
            <w:tcW w:w="1772"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0"/>
        <w:jc w:val="left"/>
        <w:rPr>
          <w:b w:val="0"/>
          <w:bCs w:val="0"/>
        </w:rPr>
      </w:pPr>
      <w:bookmarkStart w:name="（2）其他应收款按款项性质分类情况" w:id="241"/>
      <w:bookmarkEnd w:id="241"/>
      <w:r>
        <w:rPr>
          <w:b w:val="0"/>
          <w:bCs w:val="0"/>
        </w:rPr>
      </w:r>
      <w:r>
        <w:rPr/>
        <w:t>（</w:t>
      </w:r>
      <w:r>
        <w:rPr>
          <w:rFonts w:ascii="Times New Roman" w:hAnsi="Times New Roman" w:cs="Times New Roman" w:eastAsia="Times New Roman" w:hint="default"/>
        </w:rPr>
        <w:t>2</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151,486,000.00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15,654,635.56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24,159,871.24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12,773,545.15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27,622,010.87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员工备用金及垫付款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1,325,757.56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334,809.15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应收违约金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10,539,200.00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181,239,938.27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62,655,891.26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按欠款方归集的期末余额前五名的其他应收款情况" w:id="242"/>
      <w:bookmarkEnd w:id="242"/>
      <w:r>
        <w:rPr>
          <w:b w:val="0"/>
          <w:bCs w:val="0"/>
        </w:rPr>
      </w: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天津星合通达资产 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45.24%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青岛亚星实业有限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69,486,000.00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38.34%</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杭州聚富能源技术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退货款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10,487,365.00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5,243,682.50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大连产权交易所</w:t>
            </w:r>
            <w:r>
              <w:rPr>
                <w:rFonts w:ascii="Times New Roman" w:hAnsi="Times New Roman" w:cs="Times New Roman" w:eastAsia="Times New Roman" w:hint="default"/>
                <w:sz w:val="18"/>
                <w:szCs w:val="18"/>
              </w:rPr>
              <w:t>(</w:t>
            </w:r>
            <w:r>
              <w:rPr>
                <w:rFonts w:ascii="宋体" w:hAnsi="宋体" w:cs="宋体" w:eastAsia="宋体" w:hint="default"/>
                <w:sz w:val="18"/>
                <w:szCs w:val="18"/>
              </w:rPr>
              <w:t>有 限责任公司</w:t>
            </w:r>
            <w:r>
              <w:rPr>
                <w:rFonts w:ascii="Times New Roman" w:hAnsi="Times New Roman" w:cs="Times New Roman" w:eastAsia="Times New Roman" w:hint="default"/>
                <w:sz w:val="18"/>
                <w:szCs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杭州市公共自行车 交通服务发展有限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年以上的</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171,573,365.00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6,843,682.50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存货" w:id="243"/>
      <w:bookmarkEnd w:id="243"/>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7512"/>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1）存货分类" w:id="244"/>
      <w:bookmarkEnd w:id="24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81,615.10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81,615.10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9,941,546.08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9,941,546.08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481,361,231.82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481,361,231.82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110,745,969.78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6,081,688.97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104,664,280.81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81,615.10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81,615.10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602,048,747.68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6,081,688.97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595,967,058.71</w:t>
            </w:r>
          </w:p>
        </w:tc>
      </w:tr>
    </w:tbl>
    <w:p>
      <w:pPr>
        <w:pStyle w:val="BodyText"/>
        <w:spacing w:line="340" w:lineRule="auto" w:before="51"/>
        <w:ind w:left="15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12"/>
        <w:rPr>
          <w:rFonts w:ascii="宋体" w:hAnsi="宋体" w:cs="宋体" w:eastAsia="宋体" w:hint="default"/>
          <w:sz w:val="20"/>
          <w:szCs w:val="20"/>
        </w:rPr>
      </w:pPr>
    </w:p>
    <w:p>
      <w:pPr>
        <w:pStyle w:val="Heading3"/>
        <w:spacing w:line="240" w:lineRule="auto"/>
        <w:ind w:left="154" w:right="0"/>
        <w:jc w:val="left"/>
        <w:rPr>
          <w:b w:val="0"/>
          <w:bCs w:val="0"/>
        </w:rPr>
      </w:pPr>
      <w:bookmarkStart w:name="（2）存货跌价准备" w:id="245"/>
      <w:bookmarkEnd w:id="24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6,081,688.97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6,081,688.97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6,081,688.97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6,081,688.97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存货期末余额含有借款费用资本化金额的说明" w:id="246"/>
      <w:bookmarkEnd w:id="24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4）期末建造合同形成的已完工未结算资产情况" w:id="247"/>
      <w:bookmarkEnd w:id="247"/>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332" w:hRule="exact"/>
        </w:trPr>
        <w:tc>
          <w:tcPr>
            <w:tcW w:w="4784" w:type="dxa"/>
            <w:tcBorders>
              <w:top w:val="nil" w:sz="6" w:space="0" w:color="auto"/>
              <w:left w:val="nil" w:sz="6" w:space="0" w:color="auto"/>
              <w:bottom w:val="single" w:sz="4" w:space="0" w:color="000000"/>
              <w:right w:val="nil" w:sz="6" w:space="0" w:color="auto"/>
            </w:tcBorders>
          </w:tcPr>
          <w:p>
            <w:pPr/>
          </w:p>
        </w:tc>
        <w:tc>
          <w:tcPr>
            <w:tcW w:w="4785"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54" w:right="0"/>
        <w:jc w:val="left"/>
      </w:pPr>
      <w:r>
        <w:rPr/>
        <w:pict>
          <v:group style="position:absolute;margin-left:55.200001pt;margin-top:-36.978271pt;width:485pt;height:.1pt;mso-position-horizontal-relative:page;mso-position-vertical-relative:paragraph;z-index:-859336" coordorigin="1104,-740" coordsize="9700,2">
            <v:shape style="position:absolute;left:1104;top:-740;width:9700;height:2" coordorigin="1104,-740" coordsize="9700,0" path="m1104,-740l10804,-740e" filled="false" stroked="true" strokeweight=".72pt" strokecolor="#000000">
              <v:path arrowok="t"/>
            </v:shape>
            <w10:wrap type="none"/>
          </v:group>
        </w:pict>
      </w: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其他流动资产" w:id="248"/>
      <w:bookmarkEnd w:id="248"/>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7,701,070.92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1,928,252.73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798,406.97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300,964.45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382,499,477.89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274,229,217.18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长期股权投资" w:id="249"/>
      <w:bookmarkEnd w:id="249"/>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对联营企 业投资</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236,143,9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88.54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234,112,9</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61.35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-2,031,02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236,143,9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88.54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234,112,9</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61.35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-2,031,02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236,143,9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88.54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234,112,9</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61.35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-2,031,02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both"/>
      </w:pPr>
      <w:r>
        <w:rPr/>
        <w:t>其他说明</w:t>
      </w:r>
    </w:p>
    <w:p>
      <w:pPr>
        <w:pStyle w:val="BodyText"/>
        <w:spacing w:line="300" w:lineRule="auto" w:before="116"/>
        <w:ind w:right="1154"/>
        <w:jc w:val="both"/>
      </w:pPr>
      <w:r>
        <w:rPr/>
        <w:t>本公司分别于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月将持有的杭州通育投资合伙企业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)5,500</w:t>
      </w:r>
      <w:r>
        <w:rPr/>
        <w:t>万份和</w:t>
      </w:r>
      <w:r>
        <w:rPr>
          <w:rFonts w:ascii="Times New Roman" w:hAnsi="Times New Roman" w:cs="Times New Roman" w:eastAsia="Times New Roman" w:hint="default"/>
        </w:rPr>
        <w:t>18,200</w:t>
      </w:r>
      <w:r>
        <w:rPr/>
        <w:t>万份劣后级份额以出资价转让 给天津星合通达资产管理有限公司，转让价格合计</w:t>
      </w:r>
      <w:r>
        <w:rPr>
          <w:rFonts w:ascii="Times New Roman" w:hAnsi="Times New Roman" w:cs="Times New Roman" w:eastAsia="Times New Roman" w:hint="default"/>
        </w:rPr>
        <w:t>23,700</w:t>
      </w:r>
      <w:r>
        <w:rPr/>
        <w:t>万元。转让后，本公司不再持有杭州通育投资合伙企业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 </w:t>
      </w:r>
      <w:r>
        <w:rPr/>
        <w:t>份额。</w:t>
      </w:r>
    </w:p>
    <w:p>
      <w:pPr>
        <w:spacing w:line="240" w:lineRule="auto" w:before="6"/>
        <w:rPr>
          <w:rFonts w:ascii="宋体" w:hAnsi="宋体" w:cs="宋体" w:eastAsia="宋体" w:hint="default"/>
          <w:sz w:val="23"/>
          <w:szCs w:val="23"/>
        </w:rPr>
      </w:pPr>
    </w:p>
    <w:p>
      <w:pPr>
        <w:pStyle w:val="Heading3"/>
        <w:spacing w:line="240" w:lineRule="auto"/>
        <w:ind w:left="154" w:right="0"/>
        <w:jc w:val="both"/>
        <w:rPr>
          <w:b w:val="0"/>
          <w:bCs w:val="0"/>
        </w:rPr>
      </w:pPr>
      <w:bookmarkStart w:name="9、投资性房地产" w:id="250"/>
      <w:bookmarkEnd w:id="250"/>
      <w:r>
        <w:rPr>
          <w:b w:val="0"/>
          <w:bCs w:val="0"/>
        </w:rPr>
      </w:r>
      <w:r>
        <w:rPr>
          <w:rFonts w:ascii="Times New Roman" w:hAnsi="Times New Roman" w:cs="Times New Roman" w:eastAsia="Times New Roman" w:hint="default"/>
        </w:rPr>
        <w:t>9</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采用成本计量模式的投资性房地产" w:id="251"/>
      <w:bookmarkEnd w:id="25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9,634,817.83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9,634,817.83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21,005,306.31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21,005,306.31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21,005,306.31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21,005,306.31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20,597,082.62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20,597,082.62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20,597,082.62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20,597,082.62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10,043,041.52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10,043,041.52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219,945.05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219,945.05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981,336.10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981,336.10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822,321.26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981,336.10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159,014.84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724,236.63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724,236.63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724,236.63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724,236.63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477,044.52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477,044.52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9,565,997.00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9,565,997.00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9,414,872.78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9,414,872.78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10、固定资产" w:id="252"/>
      <w:bookmarkEnd w:id="252"/>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固定资产情况" w:id="253"/>
      <w:bookmarkEnd w:id="25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运营设备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10,043,041.52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4,645,157.95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155,741,728.07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1,662,057.34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172,091,984.88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1,768,031.88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2,423,073.26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4,191,105.14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1,383,416.50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2,423,073.26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3,806,489.76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384,615.38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384,615.38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10,043,041.52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399,458.46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15,384.62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10,457,884.60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399,458.46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15,384.62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414,843.08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10,043,041.52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10,043,041.52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6,013,731.37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158,149,416.71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1,662,057.34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165,825,205.42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1,345,466.23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22,733,041.61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355,850.27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24,434,358.11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159,014.84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1,094,583.33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30,706,744.75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331,035.53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32,291,378.45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159,014.84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1,094,583.33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30,706,744.75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331,035.53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32,291,378.45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159,014.84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327,154.29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3,678.21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489,847.34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311,876.07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311,876.07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159,014.84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15,278.22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3,678.21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177,971.27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2,112,895.27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53,436,108.15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686,885.80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56,235,889.22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1,478,880.17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1,478,880.17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104.839996pt;margin-top:683.619995pt;width:47.35pt;height:28.05pt;mso-position-horizontal-relative:page;mso-position-vertical-relative:page;z-index:-859288" coordorigin="2097,13672" coordsize="947,561">
            <v:group style="position:absolute;left:2097;top:13672;width:947;height:156" coordorigin="2097,13672" coordsize="947,156">
              <v:shape style="position:absolute;left:2097;top:13672;width:947;height:156" coordorigin="2097,13672" coordsize="947,156" path="m2097,13828l3044,13828,3044,13672,2097,13672,2097,13828xe" filled="true" fillcolor="#ffffff" stroked="false">
                <v:path arrowok="t"/>
                <v:fill type="solid"/>
              </v:shape>
            </v:group>
            <v:group style="position:absolute;left:2108;top:13828;width:2;height:393" coordorigin="2108,13828" coordsize="2,393">
              <v:shape style="position:absolute;left:2108;top:13828;width:2;height:393" coordorigin="2108,13828" coordsize="0,393" path="m2108,13828l2108,14221e" filled="false" stroked="true" strokeweight="1.140pt" strokecolor="#ffffff">
                <v:path arrowok="t"/>
              </v:shape>
            </v:group>
            <v:group style="position:absolute;left:2120;top:13828;width:902;height:393" coordorigin="2120,13828" coordsize="902,393">
              <v:shape style="position:absolute;left:2120;top:13828;width:902;height:393" coordorigin="2120,13828" coordsize="902,393" path="m2120,14221l3021,14221,3021,13828,2120,13828,2120,14221xe" filled="true" fillcolor="#ffffff" stroked="false">
                <v:path arrowok="t"/>
                <v:fill type="solid"/>
              </v:shape>
            </v:group>
            <w10:wrap type="none"/>
          </v:group>
        </w:pict>
      </w:r>
      <w:r>
        <w:rPr/>
        <w:pict>
          <v:group style="position:absolute;margin-left:104.839996pt;margin-top:719.339966pt;width:47.35pt;height:28pt;mso-position-horizontal-relative:page;mso-position-vertical-relative:page;z-index:-859264" coordorigin="2097,14387" coordsize="947,560">
            <v:group style="position:absolute;left:2097;top:14387;width:947;height:156" coordorigin="2097,14387" coordsize="947,156">
              <v:shape style="position:absolute;left:2097;top:14387;width:947;height:156" coordorigin="2097,14387" coordsize="947,156" path="m2097,14543l3044,14543,3044,14387,2097,14387,2097,14543xe" filled="true" fillcolor="#ffffff" stroked="false">
                <v:path arrowok="t"/>
                <v:fill type="solid"/>
              </v:shape>
            </v:group>
            <v:group style="position:absolute;left:2108;top:14543;width:2;height:393" coordorigin="2108,14543" coordsize="2,393">
              <v:shape style="position:absolute;left:2108;top:14543;width:2;height:393" coordorigin="2108,14543" coordsize="0,393" path="m2108,14543l2108,14935e" filled="false" stroked="true" strokeweight="1.140pt" strokecolor="#ffffff">
                <v:path arrowok="t"/>
              </v:shape>
            </v:group>
            <v:group style="position:absolute;left:2120;top:14543;width:902;height:393" coordorigin="2120,14543" coordsize="902,393">
              <v:shape style="position:absolute;left:2120;top:14543;width:902;height:393" coordorigin="2120,14543" coordsize="902,393" path="m2120,14935l3021,14935,3021,14543,2120,14543,2120,1493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1,478,880.17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1,478,880.17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3,900,836.10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103,234,428.39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975,171.54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108,110,436.03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10,043,041.52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3,299,691.72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131,529,806.29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1,306,207.07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146,178,746.60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1、工程物资" w:id="254"/>
      <w:bookmarkEnd w:id="254"/>
      <w:r>
        <w:rPr>
          <w:b w:val="0"/>
          <w:bCs w:val="0"/>
        </w:rPr>
      </w:r>
      <w:r>
        <w:rPr>
          <w:rFonts w:ascii="Times New Roman" w:hAnsi="Times New Roman" w:cs="Times New Roman" w:eastAsia="Times New Roman" w:hint="default"/>
        </w:rPr>
        <w:t>11</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22,740,600.88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22,740,600.88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2、无形资产" w:id="255"/>
      <w:bookmarkEnd w:id="255"/>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无形资产情况" w:id="256"/>
      <w:bookmarkEnd w:id="25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35"/>
        <w:gridCol w:w="968"/>
        <w:gridCol w:w="958"/>
        <w:gridCol w:w="957"/>
        <w:gridCol w:w="958"/>
        <w:gridCol w:w="956"/>
        <w:gridCol w:w="958"/>
        <w:gridCol w:w="957"/>
        <w:gridCol w:w="958"/>
        <w:gridCol w:w="956"/>
      </w:tblGrid>
      <w:tr>
        <w:trPr>
          <w:trHeight w:val="317" w:hRule="exact"/>
        </w:trPr>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68"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c>
          <w:tcPr>
            <w:tcW w:w="957" w:type="dxa"/>
            <w:tcBorders>
              <w:top w:val="single" w:sz="4" w:space="0" w:color="000000"/>
              <w:left w:val="single" w:sz="4" w:space="0" w:color="000000"/>
              <w:bottom w:val="nil" w:sz="6" w:space="0" w:color="auto"/>
              <w:right w:val="single" w:sz="13" w:space="0" w:color="E0FFFF"/>
            </w:tcBorders>
            <w:shd w:val="clear" w:color="auto" w:fill="D2D2D2"/>
          </w:tcPr>
          <w:p>
            <w:pPr/>
          </w:p>
        </w:tc>
        <w:tc>
          <w:tcPr>
            <w:tcW w:w="958" w:type="dxa"/>
            <w:vMerge w:val="restart"/>
            <w:tcBorders>
              <w:top w:val="single" w:sz="4" w:space="0" w:color="000000"/>
              <w:left w:val="single" w:sz="9" w:space="0" w:color="D2D2D2"/>
              <w:right w:val="single" w:sz="4" w:space="0" w:color="000000"/>
            </w:tcBorders>
            <w:shd w:val="clear" w:color="auto" w:fill="E0FFFF"/>
          </w:tcPr>
          <w:p>
            <w:pPr>
              <w:pStyle w:val="TableParagraph"/>
              <w:spacing w:line="319" w:lineRule="auto" w:before="51"/>
              <w:ind w:left="16" w:right="23"/>
              <w:jc w:val="center"/>
              <w:rPr>
                <w:rFonts w:ascii="宋体" w:hAnsi="宋体" w:cs="宋体" w:eastAsia="宋体" w:hint="default"/>
                <w:sz w:val="18"/>
                <w:szCs w:val="18"/>
              </w:rPr>
            </w:pPr>
            <w:r>
              <w:rPr>
                <w:rFonts w:ascii="宋体" w:hAnsi="宋体" w:cs="宋体" w:eastAsia="宋体" w:hint="default"/>
                <w:sz w:val="18"/>
                <w:szCs w:val="18"/>
              </w:rPr>
              <w:t>冉十软件、 著作权和域 名</w:t>
            </w:r>
          </w:p>
        </w:tc>
        <w:tc>
          <w:tcPr>
            <w:tcW w:w="956"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其他软件</w:t>
            </w:r>
          </w:p>
        </w:tc>
        <w:tc>
          <w:tcPr>
            <w:tcW w:w="958"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视赚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APP</w:t>
            </w:r>
          </w:p>
        </w:tc>
        <w:tc>
          <w:tcPr>
            <w:tcW w:w="95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太平洋游戏 网知识产权</w:t>
            </w:r>
          </w:p>
        </w:tc>
        <w:tc>
          <w:tcPr>
            <w:tcW w:w="958"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太平洋游戏 网应用列表</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2"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9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9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957" w:type="dxa"/>
            <w:tcBorders>
              <w:top w:val="nil" w:sz="6" w:space="0" w:color="auto"/>
              <w:left w:val="single" w:sz="4" w:space="0" w:color="000000"/>
              <w:bottom w:val="nil" w:sz="6" w:space="0" w:color="auto"/>
              <w:right w:val="single" w:sz="13" w:space="0" w:color="E0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958" w:type="dxa"/>
            <w:vMerge/>
            <w:tcBorders>
              <w:left w:val="single" w:sz="9" w:space="0" w:color="D2D2D2"/>
              <w:right w:val="single" w:sz="4" w:space="0" w:color="000000"/>
            </w:tcBorders>
            <w:shd w:val="clear" w:color="auto" w:fill="E0FFFF"/>
          </w:tcPr>
          <w:p>
            <w:pPr/>
          </w:p>
        </w:tc>
        <w:tc>
          <w:tcPr>
            <w:tcW w:w="956" w:type="dxa"/>
            <w:vMerge/>
            <w:tcBorders>
              <w:left w:val="single" w:sz="4" w:space="0" w:color="000000"/>
              <w:right w:val="single" w:sz="4" w:space="0" w:color="000000"/>
            </w:tcBorders>
            <w:shd w:val="clear" w:color="auto" w:fill="E0FFFF"/>
          </w:tcPr>
          <w:p>
            <w:pPr/>
          </w:p>
        </w:tc>
        <w:tc>
          <w:tcPr>
            <w:tcW w:w="958" w:type="dxa"/>
            <w:vMerge/>
            <w:tcBorders>
              <w:left w:val="single" w:sz="4" w:space="0" w:color="000000"/>
              <w:right w:val="single" w:sz="4" w:space="0" w:color="000000"/>
            </w:tcBorders>
            <w:shd w:val="clear" w:color="auto" w:fill="E0FFFF"/>
          </w:tcPr>
          <w:p>
            <w:pPr/>
          </w:p>
        </w:tc>
        <w:tc>
          <w:tcPr>
            <w:tcW w:w="957" w:type="dxa"/>
            <w:vMerge/>
            <w:tcBorders>
              <w:left w:val="single" w:sz="4" w:space="0" w:color="000000"/>
              <w:right w:val="single" w:sz="4" w:space="0" w:color="000000"/>
            </w:tcBorders>
            <w:shd w:val="clear" w:color="auto" w:fill="E0FFFF"/>
          </w:tcPr>
          <w:p>
            <w:pPr/>
          </w:p>
        </w:tc>
        <w:tc>
          <w:tcPr>
            <w:tcW w:w="958" w:type="dxa"/>
            <w:vMerge/>
            <w:tcBorders>
              <w:left w:val="single" w:sz="4" w:space="0" w:color="000000"/>
              <w:right w:val="single" w:sz="4" w:space="0" w:color="000000"/>
            </w:tcBorders>
            <w:shd w:val="clear" w:color="auto" w:fill="E0FFFF"/>
          </w:tcPr>
          <w:p>
            <w:pPr/>
          </w:p>
        </w:tc>
        <w:tc>
          <w:tcPr>
            <w:tcW w:w="956" w:type="dxa"/>
            <w:vMerge/>
            <w:tcBorders>
              <w:left w:val="single" w:sz="4" w:space="0" w:color="000000"/>
              <w:right w:val="single" w:sz="4" w:space="0" w:color="000000"/>
            </w:tcBorders>
            <w:shd w:val="clear" w:color="auto" w:fill="D2D2D2"/>
          </w:tcPr>
          <w:p>
            <w:pPr/>
          </w:p>
        </w:tc>
      </w:tr>
      <w:tr>
        <w:trPr>
          <w:trHeight w:val="317" w:hRule="exact"/>
        </w:trPr>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c>
          <w:tcPr>
            <w:tcW w:w="957" w:type="dxa"/>
            <w:tcBorders>
              <w:top w:val="nil" w:sz="6" w:space="0" w:color="auto"/>
              <w:left w:val="single" w:sz="4" w:space="0" w:color="000000"/>
              <w:bottom w:val="single" w:sz="4" w:space="0" w:color="000000"/>
              <w:right w:val="single" w:sz="13" w:space="0" w:color="E0FFFF"/>
            </w:tcBorders>
            <w:shd w:val="clear" w:color="auto" w:fill="D2D2D2"/>
          </w:tcPr>
          <w:p>
            <w:pPr/>
          </w:p>
        </w:tc>
        <w:tc>
          <w:tcPr>
            <w:tcW w:w="958" w:type="dxa"/>
            <w:vMerge/>
            <w:tcBorders>
              <w:left w:val="single" w:sz="9" w:space="0" w:color="D2D2D2"/>
              <w:bottom w:val="single" w:sz="4" w:space="0" w:color="000000"/>
              <w:right w:val="single" w:sz="4" w:space="0" w:color="000000"/>
            </w:tcBorders>
            <w:shd w:val="clear" w:color="auto" w:fill="E0FFFF"/>
          </w:tcPr>
          <w:p>
            <w:pPr/>
          </w:p>
        </w:tc>
        <w:tc>
          <w:tcPr>
            <w:tcW w:w="956" w:type="dxa"/>
            <w:vMerge/>
            <w:tcBorders>
              <w:left w:val="single" w:sz="4" w:space="0" w:color="000000"/>
              <w:bottom w:val="single" w:sz="4" w:space="0" w:color="000000"/>
              <w:right w:val="single" w:sz="4" w:space="0" w:color="000000"/>
            </w:tcBorders>
            <w:shd w:val="clear" w:color="auto" w:fill="E0FFFF"/>
          </w:tcPr>
          <w:p>
            <w:pPr/>
          </w:p>
        </w:tc>
        <w:tc>
          <w:tcPr>
            <w:tcW w:w="958" w:type="dxa"/>
            <w:vMerge/>
            <w:tcBorders>
              <w:left w:val="single" w:sz="4" w:space="0" w:color="000000"/>
              <w:bottom w:val="single" w:sz="4" w:space="0" w:color="000000"/>
              <w:right w:val="single" w:sz="4" w:space="0" w:color="000000"/>
            </w:tcBorders>
            <w:shd w:val="clear" w:color="auto" w:fill="E0FFFF"/>
          </w:tcPr>
          <w:p>
            <w:pPr/>
          </w:p>
        </w:tc>
        <w:tc>
          <w:tcPr>
            <w:tcW w:w="957" w:type="dxa"/>
            <w:vMerge/>
            <w:tcBorders>
              <w:left w:val="single" w:sz="4" w:space="0" w:color="000000"/>
              <w:bottom w:val="single" w:sz="4" w:space="0" w:color="000000"/>
              <w:right w:val="single" w:sz="4" w:space="0" w:color="000000"/>
            </w:tcBorders>
            <w:shd w:val="clear" w:color="auto" w:fill="E0FFFF"/>
          </w:tcPr>
          <w:p>
            <w:pPr/>
          </w:p>
        </w:tc>
        <w:tc>
          <w:tcPr>
            <w:tcW w:w="958" w:type="dxa"/>
            <w:vMerge/>
            <w:tcBorders>
              <w:left w:val="single" w:sz="4" w:space="0" w:color="000000"/>
              <w:bottom w:val="single" w:sz="4" w:space="0" w:color="000000"/>
              <w:right w:val="single" w:sz="4" w:space="0" w:color="000000"/>
            </w:tcBorders>
            <w:shd w:val="clear" w:color="auto" w:fill="E0FFFF"/>
          </w:tcPr>
          <w:p>
            <w:pPr/>
          </w:p>
        </w:tc>
        <w:tc>
          <w:tcPr>
            <w:tcW w:w="95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968" w:type="dxa"/>
            <w:tcBorders>
              <w:top w:val="single" w:sz="4" w:space="0" w:color="000000"/>
              <w:left w:val="single" w:sz="13" w:space="0" w:color="D2D2D2"/>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968" w:type="dxa"/>
            <w:tcBorders>
              <w:top w:val="single" w:sz="4" w:space="0" w:color="000000"/>
              <w:left w:val="single" w:sz="13" w:space="0" w:color="D2D2D2"/>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57,570,000.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297,347.38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3,046,576.6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60,913,923.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68" w:type="dxa"/>
            <w:tcBorders>
              <w:top w:val="single" w:sz="4" w:space="0" w:color="000000"/>
              <w:left w:val="single" w:sz="13" w:space="0" w:color="D2D2D2"/>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1,061,688.0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6,882,481.0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3,011,770.0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10,955,939.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12</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1,061,688.0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1,061,688.0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01"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内部研发</w:t>
            </w:r>
          </w:p>
        </w:tc>
        <w:tc>
          <w:tcPr>
            <w:tcW w:w="9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56.459999pt;margin-top:71.759979pt;width:479.05pt;height:688.35pt;mso-position-horizontal-relative:page;mso-position-vertical-relative:page;z-index:-859216" coordorigin="1129,1435" coordsize="9581,13767">
            <v:group style="position:absolute;left:1150;top:1450;width:2;height:1017" coordorigin="1150,1450" coordsize="2,1017">
              <v:shape style="position:absolute;left:1150;top:1450;width:2;height:1017" coordorigin="1150,1450" coordsize="0,1017" path="m1150,1450l1150,2466e" filled="false" stroked="true" strokeweight="1.140pt" strokecolor="#d2d2d2">
                <v:path arrowok="t"/>
              </v:shape>
            </v:group>
            <v:group style="position:absolute;left:2075;top:1450;width:2;height:1017" coordorigin="2075,1450" coordsize="2,1017">
              <v:shape style="position:absolute;left:2075;top:1450;width:2;height:1017" coordorigin="2075,1450" coordsize="0,1017" path="m2075,1450l2075,2466e" filled="false" stroked="true" strokeweight="1.140pt" strokecolor="#d2d2d2">
                <v:path arrowok="t"/>
              </v:shape>
            </v:group>
            <v:group style="position:absolute;left:1162;top:1450;width:902;height:353" coordorigin="1162,1450" coordsize="902,353">
              <v:shape style="position:absolute;left:1162;top:1450;width:902;height:353" coordorigin="1162,1450" coordsize="902,353" path="m1162,1802l2063,1802,2063,1450,1162,1450,1162,1802xe" filled="true" fillcolor="#d2d2d2" stroked="false">
                <v:path arrowok="t"/>
                <v:fill type="solid"/>
              </v:shape>
            </v:group>
            <v:group style="position:absolute;left:1162;top:1802;width:902;height:312" coordorigin="1162,1802" coordsize="902,312">
              <v:shape style="position:absolute;left:1162;top:1802;width:902;height:312" coordorigin="1162,1802" coordsize="902,312" path="m1162,2114l2063,2114,2063,1802,1162,1802,1162,2114xe" filled="true" fillcolor="#d2d2d2" stroked="false">
                <v:path arrowok="t"/>
                <v:fill type="solid"/>
              </v:shape>
            </v:group>
            <v:group style="position:absolute;left:1162;top:2114;width:902;height:352" coordorigin="1162,2114" coordsize="902,352">
              <v:shape style="position:absolute;left:1162;top:2114;width:902;height:352" coordorigin="1162,2114" coordsize="902,352" path="m1162,2466l2063,2466,2063,2114,1162,2114,1162,2466xe" filled="true" fillcolor="#d2d2d2" stroked="false">
                <v:path arrowok="t"/>
                <v:fill type="solid"/>
              </v:shape>
            </v:group>
            <v:group style="position:absolute;left:2097;top:1450;width:947;height:312" coordorigin="2097,1450" coordsize="947,312">
              <v:shape style="position:absolute;left:2097;top:1450;width:947;height:312" coordorigin="2097,1450" coordsize="947,312" path="m2097,1762l3044,1762,3044,1450,2097,1450,2097,1762xe" filled="true" fillcolor="#ffffff" stroked="false">
                <v:path arrowok="t"/>
                <v:fill type="solid"/>
              </v:shape>
            </v:group>
            <v:group style="position:absolute;left:1139;top:1445;width:949;height:2" coordorigin="1139,1445" coordsize="949,2">
              <v:shape style="position:absolute;left:1139;top:1445;width:949;height:2" coordorigin="1139,1445" coordsize="949,0" path="m1139,1445l2087,1445e" filled="false" stroked="true" strokeweight=".48pt" strokecolor="#000000">
                <v:path arrowok="t"/>
              </v:shape>
            </v:group>
            <v:group style="position:absolute;left:2097;top:1445;width:947;height:2" coordorigin="2097,1445" coordsize="947,2">
              <v:shape style="position:absolute;left:2097;top:1445;width:947;height:2" coordorigin="2097,1445" coordsize="947,0" path="m2097,1445l3044,1445e" filled="false" stroked="true" strokeweight=".48pt" strokecolor="#000000">
                <v:path arrowok="t"/>
              </v:shape>
            </v:group>
            <v:group style="position:absolute;left:3053;top:1445;width:948;height:2" coordorigin="3053,1445" coordsize="948,2">
              <v:shape style="position:absolute;left:3053;top:1445;width:948;height:2" coordorigin="3053,1445" coordsize="948,0" path="m3053,1445l4001,1445e" filled="false" stroked="true" strokeweight=".48pt" strokecolor="#000000">
                <v:path arrowok="t"/>
              </v:shape>
            </v:group>
            <v:group style="position:absolute;left:4011;top:1445;width:948;height:2" coordorigin="4011,1445" coordsize="948,2">
              <v:shape style="position:absolute;left:4011;top:1445;width:948;height:2" coordorigin="4011,1445" coordsize="948,0" path="m4011,1445l4958,1445e" filled="false" stroked="true" strokeweight=".48pt" strokecolor="#000000">
                <v:path arrowok="t"/>
              </v:shape>
            </v:group>
            <v:group style="position:absolute;left:4968;top:1445;width:948;height:2" coordorigin="4968,1445" coordsize="948,2">
              <v:shape style="position:absolute;left:4968;top:1445;width:948;height:2" coordorigin="4968,1445" coordsize="948,0" path="m4968,1445l5916,1445e" filled="false" stroked="true" strokeweight=".48pt" strokecolor="#000000">
                <v:path arrowok="t"/>
              </v:shape>
            </v:group>
            <v:group style="position:absolute;left:5925;top:1445;width:947;height:2" coordorigin="5925,1445" coordsize="947,2">
              <v:shape style="position:absolute;left:5925;top:1445;width:947;height:2" coordorigin="5925,1445" coordsize="947,0" path="m5925,1445l6872,1445e" filled="false" stroked="true" strokeweight=".48pt" strokecolor="#000000">
                <v:path arrowok="t"/>
              </v:shape>
            </v:group>
            <v:group style="position:absolute;left:6882;top:1445;width:948;height:2" coordorigin="6882,1445" coordsize="948,2">
              <v:shape style="position:absolute;left:6882;top:1445;width:948;height:2" coordorigin="6882,1445" coordsize="948,0" path="m6882,1445l7830,1445e" filled="false" stroked="true" strokeweight=".48pt" strokecolor="#000000">
                <v:path arrowok="t"/>
              </v:shape>
            </v:group>
            <v:group style="position:absolute;left:7839;top:1445;width:948;height:2" coordorigin="7839,1445" coordsize="948,2">
              <v:shape style="position:absolute;left:7839;top:1445;width:948;height:2" coordorigin="7839,1445" coordsize="948,0" path="m7839,1445l8786,1445e" filled="false" stroked="true" strokeweight=".48pt" strokecolor="#000000">
                <v:path arrowok="t"/>
              </v:shape>
            </v:group>
            <v:group style="position:absolute;left:8796;top:1445;width:948;height:2" coordorigin="8796,1445" coordsize="948,2">
              <v:shape style="position:absolute;left:8796;top:1445;width:948;height:2" coordorigin="8796,1445" coordsize="948,0" path="m8796,1445l9744,1445e" filled="false" stroked="true" strokeweight=".48pt" strokecolor="#000000">
                <v:path arrowok="t"/>
              </v:shape>
            </v:group>
            <v:group style="position:absolute;left:9754;top:1445;width:947;height:2" coordorigin="9754,1445" coordsize="947,2">
              <v:shape style="position:absolute;left:9754;top:1445;width:947;height:2" coordorigin="9754,1445" coordsize="947,0" path="m9754,1445l10700,1445e" filled="false" stroked="true" strokeweight=".48pt" strokecolor="#000000">
                <v:path arrowok="t"/>
              </v:shape>
            </v:group>
            <v:group style="position:absolute;left:1150;top:2476;width:2;height:393" coordorigin="1150,2476" coordsize="2,393">
              <v:shape style="position:absolute;left:1150;top:2476;width:2;height:393" coordorigin="1150,2476" coordsize="0,393" path="m1150,2476l1150,2868e" filled="false" stroked="true" strokeweight="1.140pt" strokecolor="#e0ffff">
                <v:path arrowok="t"/>
              </v:shape>
            </v:group>
            <v:group style="position:absolute;left:2075;top:2476;width:2;height:393" coordorigin="2075,2476" coordsize="2,393">
              <v:shape style="position:absolute;left:2075;top:2476;width:2;height:393" coordorigin="2075,2476" coordsize="0,393" path="m2075,2476l2075,2868e" filled="false" stroked="true" strokeweight="1.140pt" strokecolor="#e0ffff">
                <v:path arrowok="t"/>
              </v:shape>
            </v:group>
            <v:group style="position:absolute;left:1162;top:2476;width:902;height:393" coordorigin="1162,2476" coordsize="902,393">
              <v:shape style="position:absolute;left:1162;top:2476;width:902;height:393" coordorigin="1162,2476" coordsize="902,393" path="m1162,2868l2063,2868,2063,2476,1162,2476,1162,2868xe" filled="true" fillcolor="#e0ffff" stroked="false">
                <v:path arrowok="t"/>
                <v:fill type="solid"/>
              </v:shape>
            </v:group>
            <v:group style="position:absolute;left:1139;top:2471;width:949;height:2" coordorigin="1139,2471" coordsize="949,2">
              <v:shape style="position:absolute;left:1139;top:2471;width:949;height:2" coordorigin="1139,2471" coordsize="949,0" path="m1139,2471l2087,2471e" filled="false" stroked="true" strokeweight=".48pt" strokecolor="#000000">
                <v:path arrowok="t"/>
              </v:shape>
            </v:group>
            <v:group style="position:absolute;left:2097;top:2471;width:947;height:2" coordorigin="2097,2471" coordsize="947,2">
              <v:shape style="position:absolute;left:2097;top:2471;width:947;height:2" coordorigin="2097,2471" coordsize="947,0" path="m2097,2471l3044,2471e" filled="false" stroked="true" strokeweight=".48pt" strokecolor="#000000">
                <v:path arrowok="t"/>
              </v:shape>
            </v:group>
            <v:group style="position:absolute;left:3053;top:2471;width:948;height:2" coordorigin="3053,2471" coordsize="948,2">
              <v:shape style="position:absolute;left:3053;top:2471;width:948;height:2" coordorigin="3053,2471" coordsize="948,0" path="m3053,2471l4001,2471e" filled="false" stroked="true" strokeweight=".48pt" strokecolor="#000000">
                <v:path arrowok="t"/>
              </v:shape>
            </v:group>
            <v:group style="position:absolute;left:4011;top:2471;width:948;height:2" coordorigin="4011,2471" coordsize="948,2">
              <v:shape style="position:absolute;left:4011;top:2471;width:948;height:2" coordorigin="4011,2471" coordsize="948,0" path="m4011,2471l4958,2471e" filled="false" stroked="true" strokeweight=".48pt" strokecolor="#000000">
                <v:path arrowok="t"/>
              </v:shape>
            </v:group>
            <v:group style="position:absolute;left:4968;top:2471;width:948;height:2" coordorigin="4968,2471" coordsize="948,2">
              <v:shape style="position:absolute;left:4968;top:2471;width:948;height:2" coordorigin="4968,2471" coordsize="948,0" path="m4968,2471l5916,2471e" filled="false" stroked="true" strokeweight=".48pt" strokecolor="#000000">
                <v:path arrowok="t"/>
              </v:shape>
            </v:group>
            <v:group style="position:absolute;left:5925;top:2471;width:947;height:2" coordorigin="5925,2471" coordsize="947,2">
              <v:shape style="position:absolute;left:5925;top:2471;width:947;height:2" coordorigin="5925,2471" coordsize="947,0" path="m5925,2471l6872,2471e" filled="false" stroked="true" strokeweight=".48pt" strokecolor="#000000">
                <v:path arrowok="t"/>
              </v:shape>
            </v:group>
            <v:group style="position:absolute;left:6882;top:2471;width:948;height:2" coordorigin="6882,2471" coordsize="948,2">
              <v:shape style="position:absolute;left:6882;top:2471;width:948;height:2" coordorigin="6882,2471" coordsize="948,0" path="m6882,2471l7830,2471e" filled="false" stroked="true" strokeweight=".48pt" strokecolor="#000000">
                <v:path arrowok="t"/>
              </v:shape>
            </v:group>
            <v:group style="position:absolute;left:7839;top:2471;width:948;height:2" coordorigin="7839,2471" coordsize="948,2">
              <v:shape style="position:absolute;left:7839;top:2471;width:948;height:2" coordorigin="7839,2471" coordsize="948,0" path="m7839,2471l8786,2471e" filled="false" stroked="true" strokeweight=".48pt" strokecolor="#000000">
                <v:path arrowok="t"/>
              </v:shape>
            </v:group>
            <v:group style="position:absolute;left:8796;top:2471;width:948;height:2" coordorigin="8796,2471" coordsize="948,2">
              <v:shape style="position:absolute;left:8796;top:2471;width:948;height:2" coordorigin="8796,2471" coordsize="948,0" path="m8796,2471l9744,2471e" filled="false" stroked="true" strokeweight=".48pt" strokecolor="#000000">
                <v:path arrowok="t"/>
              </v:shape>
            </v:group>
            <v:group style="position:absolute;left:9754;top:2471;width:947;height:2" coordorigin="9754,2471" coordsize="947,2">
              <v:shape style="position:absolute;left:9754;top:2471;width:947;height:2" coordorigin="9754,2471" coordsize="947,0" path="m9754,2471l10700,2471e" filled="false" stroked="true" strokeweight=".48pt" strokecolor="#000000">
                <v:path arrowok="t"/>
              </v:shape>
            </v:group>
            <v:group style="position:absolute;left:1150;top:2878;width:2;height:705" coordorigin="1150,2878" coordsize="2,705">
              <v:shape style="position:absolute;left:1150;top:2878;width:2;height:705" coordorigin="1150,2878" coordsize="0,705" path="m1150,2878l1150,3582e" filled="false" stroked="true" strokeweight="1.140pt" strokecolor="#d2d2d2">
                <v:path arrowok="t"/>
              </v:shape>
            </v:group>
            <v:group style="position:absolute;left:2075;top:2878;width:2;height:705" coordorigin="2075,2878" coordsize="2,705">
              <v:shape style="position:absolute;left:2075;top:2878;width:2;height:705" coordorigin="2075,2878" coordsize="0,705" path="m2075,2878l2075,3582e" filled="false" stroked="true" strokeweight="1.140pt" strokecolor="#d2d2d2">
                <v:path arrowok="t"/>
              </v:shape>
            </v:group>
            <v:group style="position:absolute;left:1162;top:2878;width:902;height:353" coordorigin="1162,2878" coordsize="902,353">
              <v:shape style="position:absolute;left:1162;top:2878;width:902;height:353" coordorigin="1162,2878" coordsize="902,353" path="m1162,3231l2063,3231,2063,2878,1162,2878,1162,3231xe" filled="true" fillcolor="#d2d2d2" stroked="false">
                <v:path arrowok="t"/>
                <v:fill type="solid"/>
              </v:shape>
            </v:group>
            <v:group style="position:absolute;left:1162;top:3231;width:902;height:352" coordorigin="1162,3231" coordsize="902,352">
              <v:shape style="position:absolute;left:1162;top:3231;width:902;height:352" coordorigin="1162,3231" coordsize="902,352" path="m1162,3582l2063,3582,2063,3231,1162,3231,1162,3582xe" filled="true" fillcolor="#d2d2d2" stroked="false">
                <v:path arrowok="t"/>
                <v:fill type="solid"/>
              </v:shape>
            </v:group>
            <v:group style="position:absolute;left:1139;top:2873;width:949;height:2" coordorigin="1139,2873" coordsize="949,2">
              <v:shape style="position:absolute;left:1139;top:2873;width:949;height:2" coordorigin="1139,2873" coordsize="949,0" path="m1139,2873l2087,2873e" filled="false" stroked="true" strokeweight=".48pt" strokecolor="#000000">
                <v:path arrowok="t"/>
              </v:shape>
            </v:group>
            <v:group style="position:absolute;left:2097;top:2873;width:947;height:2" coordorigin="2097,2873" coordsize="947,2">
              <v:shape style="position:absolute;left:2097;top:2873;width:947;height:2" coordorigin="2097,2873" coordsize="947,0" path="m2097,2873l3044,2873e" filled="false" stroked="true" strokeweight=".48pt" strokecolor="#000000">
                <v:path arrowok="t"/>
              </v:shape>
            </v:group>
            <v:group style="position:absolute;left:3053;top:2873;width:948;height:2" coordorigin="3053,2873" coordsize="948,2">
              <v:shape style="position:absolute;left:3053;top:2873;width:948;height:2" coordorigin="3053,2873" coordsize="948,0" path="m3053,2873l4001,2873e" filled="false" stroked="true" strokeweight=".48pt" strokecolor="#000000">
                <v:path arrowok="t"/>
              </v:shape>
            </v:group>
            <v:group style="position:absolute;left:4011;top:2873;width:948;height:2" coordorigin="4011,2873" coordsize="948,2">
              <v:shape style="position:absolute;left:4011;top:2873;width:948;height:2" coordorigin="4011,2873" coordsize="948,0" path="m4011,2873l4958,2873e" filled="false" stroked="true" strokeweight=".48pt" strokecolor="#000000">
                <v:path arrowok="t"/>
              </v:shape>
            </v:group>
            <v:group style="position:absolute;left:4968;top:2873;width:948;height:2" coordorigin="4968,2873" coordsize="948,2">
              <v:shape style="position:absolute;left:4968;top:2873;width:948;height:2" coordorigin="4968,2873" coordsize="948,0" path="m4968,2873l5916,2873e" filled="false" stroked="true" strokeweight=".48pt" strokecolor="#000000">
                <v:path arrowok="t"/>
              </v:shape>
            </v:group>
            <v:group style="position:absolute;left:5925;top:2873;width:947;height:2" coordorigin="5925,2873" coordsize="947,2">
              <v:shape style="position:absolute;left:5925;top:2873;width:947;height:2" coordorigin="5925,2873" coordsize="947,0" path="m5925,2873l6872,2873e" filled="false" stroked="true" strokeweight=".48pt" strokecolor="#000000">
                <v:path arrowok="t"/>
              </v:shape>
            </v:group>
            <v:group style="position:absolute;left:6882;top:2873;width:948;height:2" coordorigin="6882,2873" coordsize="948,2">
              <v:shape style="position:absolute;left:6882;top:2873;width:948;height:2" coordorigin="6882,2873" coordsize="948,0" path="m6882,2873l7830,2873e" filled="false" stroked="true" strokeweight=".48pt" strokecolor="#000000">
                <v:path arrowok="t"/>
              </v:shape>
            </v:group>
            <v:group style="position:absolute;left:7839;top:2873;width:948;height:2" coordorigin="7839,2873" coordsize="948,2">
              <v:shape style="position:absolute;left:7839;top:2873;width:948;height:2" coordorigin="7839,2873" coordsize="948,0" path="m7839,2873l8786,2873e" filled="false" stroked="true" strokeweight=".48pt" strokecolor="#000000">
                <v:path arrowok="t"/>
              </v:shape>
            </v:group>
            <v:group style="position:absolute;left:8796;top:2873;width:948;height:2" coordorigin="8796,2873" coordsize="948,2">
              <v:shape style="position:absolute;left:8796;top:2873;width:948;height:2" coordorigin="8796,2873" coordsize="948,0" path="m8796,2873l9744,2873e" filled="false" stroked="true" strokeweight=".48pt" strokecolor="#000000">
                <v:path arrowok="t"/>
              </v:shape>
            </v:group>
            <v:group style="position:absolute;left:9754;top:2873;width:947;height:2" coordorigin="9754,2873" coordsize="947,2">
              <v:shape style="position:absolute;left:9754;top:2873;width:947;height:2" coordorigin="9754,2873" coordsize="947,0" path="m9754,2873l10700,2873e" filled="false" stroked="true" strokeweight=".48pt" strokecolor="#000000">
                <v:path arrowok="t"/>
              </v:shape>
            </v:group>
            <v:group style="position:absolute;left:1150;top:3592;width:2;height:705" coordorigin="1150,3592" coordsize="2,705">
              <v:shape style="position:absolute;left:1150;top:3592;width:2;height:705" coordorigin="1150,3592" coordsize="0,705" path="m1150,3592l1150,4296e" filled="false" stroked="true" strokeweight="1.140pt" strokecolor="#d2d2d2">
                <v:path arrowok="t"/>
              </v:shape>
            </v:group>
            <v:group style="position:absolute;left:2075;top:3592;width:2;height:705" coordorigin="2075,3592" coordsize="2,705">
              <v:shape style="position:absolute;left:2075;top:3592;width:2;height:705" coordorigin="2075,3592" coordsize="0,705" path="m2075,3592l2075,4296e" filled="false" stroked="true" strokeweight="1.140pt" strokecolor="#d2d2d2">
                <v:path arrowok="t"/>
              </v:shape>
            </v:group>
            <v:group style="position:absolute;left:1162;top:3592;width:902;height:353" coordorigin="1162,3592" coordsize="902,353">
              <v:shape style="position:absolute;left:1162;top:3592;width:902;height:353" coordorigin="1162,3592" coordsize="902,353" path="m1162,3945l2063,3945,2063,3592,1162,3592,1162,3945xe" filled="true" fillcolor="#d2d2d2" stroked="false">
                <v:path arrowok="t"/>
                <v:fill type="solid"/>
              </v:shape>
            </v:group>
            <v:group style="position:absolute;left:1162;top:3945;width:902;height:352" coordorigin="1162,3945" coordsize="902,352">
              <v:shape style="position:absolute;left:1162;top:3945;width:902;height:352" coordorigin="1162,3945" coordsize="902,352" path="m1162,4296l2063,4296,2063,3945,1162,3945,1162,4296xe" filled="true" fillcolor="#d2d2d2" stroked="false">
                <v:path arrowok="t"/>
                <v:fill type="solid"/>
              </v:shape>
            </v:group>
            <v:group style="position:absolute;left:2097;top:3592;width:947;height:156" coordorigin="2097,3592" coordsize="947,156">
              <v:shape style="position:absolute;left:2097;top:3592;width:947;height:156" coordorigin="2097,3592" coordsize="947,156" path="m2097,3748l3044,3748,3044,3592,2097,3592,2097,3748xe" filled="true" fillcolor="#ffffff" stroked="false">
                <v:path arrowok="t"/>
                <v:fill type="solid"/>
              </v:shape>
            </v:group>
            <v:group style="position:absolute;left:2108;top:3748;width:2;height:393" coordorigin="2108,3748" coordsize="2,393">
              <v:shape style="position:absolute;left:2108;top:3748;width:2;height:393" coordorigin="2108,3748" coordsize="0,393" path="m2108,3748l2108,4140e" filled="false" stroked="true" strokeweight="1.140pt" strokecolor="#ffffff">
                <v:path arrowok="t"/>
              </v:shape>
            </v:group>
            <v:group style="position:absolute;left:2120;top:3748;width:902;height:393" coordorigin="2120,3748" coordsize="902,393">
              <v:shape style="position:absolute;left:2120;top:3748;width:902;height:393" coordorigin="2120,3748" coordsize="902,393" path="m2120,4140l3021,4140,3021,3748,2120,3748,2120,4140xe" filled="true" fillcolor="#ffffff" stroked="false">
                <v:path arrowok="t"/>
                <v:fill type="solid"/>
              </v:shape>
            </v:group>
            <v:group style="position:absolute;left:1139;top:3587;width:949;height:2" coordorigin="1139,3587" coordsize="949,2">
              <v:shape style="position:absolute;left:1139;top:3587;width:949;height:2" coordorigin="1139,3587" coordsize="949,0" path="m1139,3587l2087,3587e" filled="false" stroked="true" strokeweight=".48pt" strokecolor="#000000">
                <v:path arrowok="t"/>
              </v:shape>
            </v:group>
            <v:group style="position:absolute;left:2097;top:3587;width:947;height:2" coordorigin="2097,3587" coordsize="947,2">
              <v:shape style="position:absolute;left:2097;top:3587;width:947;height:2" coordorigin="2097,3587" coordsize="947,0" path="m2097,3587l3044,3587e" filled="false" stroked="true" strokeweight=".48pt" strokecolor="#000000">
                <v:path arrowok="t"/>
              </v:shape>
            </v:group>
            <v:group style="position:absolute;left:3053;top:3587;width:948;height:2" coordorigin="3053,3587" coordsize="948,2">
              <v:shape style="position:absolute;left:3053;top:3587;width:948;height:2" coordorigin="3053,3587" coordsize="948,0" path="m3053,3587l4001,3587e" filled="false" stroked="true" strokeweight=".48pt" strokecolor="#000000">
                <v:path arrowok="t"/>
              </v:shape>
            </v:group>
            <v:group style="position:absolute;left:4011;top:3587;width:948;height:2" coordorigin="4011,3587" coordsize="948,2">
              <v:shape style="position:absolute;left:4011;top:3587;width:948;height:2" coordorigin="4011,3587" coordsize="948,0" path="m4011,3587l4958,3587e" filled="false" stroked="true" strokeweight=".48pt" strokecolor="#000000">
                <v:path arrowok="t"/>
              </v:shape>
            </v:group>
            <v:group style="position:absolute;left:4968;top:3587;width:948;height:2" coordorigin="4968,3587" coordsize="948,2">
              <v:shape style="position:absolute;left:4968;top:3587;width:948;height:2" coordorigin="4968,3587" coordsize="948,0" path="m4968,3587l5916,3587e" filled="false" stroked="true" strokeweight=".48pt" strokecolor="#000000">
                <v:path arrowok="t"/>
              </v:shape>
            </v:group>
            <v:group style="position:absolute;left:5925;top:3587;width:947;height:2" coordorigin="5925,3587" coordsize="947,2">
              <v:shape style="position:absolute;left:5925;top:3587;width:947;height:2" coordorigin="5925,3587" coordsize="947,0" path="m5925,3587l6872,3587e" filled="false" stroked="true" strokeweight=".48pt" strokecolor="#000000">
                <v:path arrowok="t"/>
              </v:shape>
            </v:group>
            <v:group style="position:absolute;left:6882;top:3587;width:948;height:2" coordorigin="6882,3587" coordsize="948,2">
              <v:shape style="position:absolute;left:6882;top:3587;width:948;height:2" coordorigin="6882,3587" coordsize="948,0" path="m6882,3587l7830,3587e" filled="false" stroked="true" strokeweight=".48pt" strokecolor="#000000">
                <v:path arrowok="t"/>
              </v:shape>
            </v:group>
            <v:group style="position:absolute;left:7839;top:3587;width:948;height:2" coordorigin="7839,3587" coordsize="948,2">
              <v:shape style="position:absolute;left:7839;top:3587;width:948;height:2" coordorigin="7839,3587" coordsize="948,0" path="m7839,3587l8786,3587e" filled="false" stroked="true" strokeweight=".48pt" strokecolor="#000000">
                <v:path arrowok="t"/>
              </v:shape>
            </v:group>
            <v:group style="position:absolute;left:8796;top:3587;width:948;height:2" coordorigin="8796,3587" coordsize="948,2">
              <v:shape style="position:absolute;left:8796;top:3587;width:948;height:2" coordorigin="8796,3587" coordsize="948,0" path="m8796,3587l9744,3587e" filled="false" stroked="true" strokeweight=".48pt" strokecolor="#000000">
                <v:path arrowok="t"/>
              </v:shape>
            </v:group>
            <v:group style="position:absolute;left:9754;top:3587;width:947;height:2" coordorigin="9754,3587" coordsize="947,2">
              <v:shape style="position:absolute;left:9754;top:3587;width:947;height:2" coordorigin="9754,3587" coordsize="947,0" path="m9754,3587l10700,3587e" filled="false" stroked="true" strokeweight=".48pt" strokecolor="#000000">
                <v:path arrowok="t"/>
              </v:shape>
            </v:group>
            <v:group style="position:absolute;left:1150;top:4306;width:2;height:393" coordorigin="1150,4306" coordsize="2,393">
              <v:shape style="position:absolute;left:1150;top:4306;width:2;height:393" coordorigin="1150,4306" coordsize="0,393" path="m1150,4306l1150,4698e" filled="false" stroked="true" strokeweight="1.140pt" strokecolor="#e0ffff">
                <v:path arrowok="t"/>
              </v:shape>
            </v:group>
            <v:group style="position:absolute;left:2075;top:4306;width:2;height:393" coordorigin="2075,4306" coordsize="2,393">
              <v:shape style="position:absolute;left:2075;top:4306;width:2;height:393" coordorigin="2075,4306" coordsize="0,393" path="m2075,4306l2075,4698e" filled="false" stroked="true" strokeweight="1.140pt" strokecolor="#e0ffff">
                <v:path arrowok="t"/>
              </v:shape>
            </v:group>
            <v:group style="position:absolute;left:1162;top:4306;width:902;height:393" coordorigin="1162,4306" coordsize="902,393">
              <v:shape style="position:absolute;left:1162;top:4306;width:902;height:393" coordorigin="1162,4306" coordsize="902,393" path="m1162,4698l2063,4698,2063,4306,1162,4306,1162,4698xe" filled="true" fillcolor="#e0ffff" stroked="false">
                <v:path arrowok="t"/>
                <v:fill type="solid"/>
              </v:shape>
            </v:group>
            <v:group style="position:absolute;left:1139;top:4301;width:949;height:2" coordorigin="1139,4301" coordsize="949,2">
              <v:shape style="position:absolute;left:1139;top:4301;width:949;height:2" coordorigin="1139,4301" coordsize="949,0" path="m1139,4301l2087,4301e" filled="false" stroked="true" strokeweight=".48pt" strokecolor="#000000">
                <v:path arrowok="t"/>
              </v:shape>
            </v:group>
            <v:group style="position:absolute;left:2097;top:4301;width:947;height:2" coordorigin="2097,4301" coordsize="947,2">
              <v:shape style="position:absolute;left:2097;top:4301;width:947;height:2" coordorigin="2097,4301" coordsize="947,0" path="m2097,4301l3044,4301e" filled="false" stroked="true" strokeweight=".48pt" strokecolor="#000000">
                <v:path arrowok="t"/>
              </v:shape>
            </v:group>
            <v:group style="position:absolute;left:3053;top:4301;width:948;height:2" coordorigin="3053,4301" coordsize="948,2">
              <v:shape style="position:absolute;left:3053;top:4301;width:948;height:2" coordorigin="3053,4301" coordsize="948,0" path="m3053,4301l4001,4301e" filled="false" stroked="true" strokeweight=".48pt" strokecolor="#000000">
                <v:path arrowok="t"/>
              </v:shape>
            </v:group>
            <v:group style="position:absolute;left:4011;top:4301;width:948;height:2" coordorigin="4011,4301" coordsize="948,2">
              <v:shape style="position:absolute;left:4011;top:4301;width:948;height:2" coordorigin="4011,4301" coordsize="948,0" path="m4011,4301l4958,4301e" filled="false" stroked="true" strokeweight=".48pt" strokecolor="#000000">
                <v:path arrowok="t"/>
              </v:shape>
            </v:group>
            <v:group style="position:absolute;left:4968;top:4301;width:948;height:2" coordorigin="4968,4301" coordsize="948,2">
              <v:shape style="position:absolute;left:4968;top:4301;width:948;height:2" coordorigin="4968,4301" coordsize="948,0" path="m4968,4301l5916,4301e" filled="false" stroked="true" strokeweight=".48pt" strokecolor="#000000">
                <v:path arrowok="t"/>
              </v:shape>
            </v:group>
            <v:group style="position:absolute;left:5925;top:4301;width:947;height:2" coordorigin="5925,4301" coordsize="947,2">
              <v:shape style="position:absolute;left:5925;top:4301;width:947;height:2" coordorigin="5925,4301" coordsize="947,0" path="m5925,4301l6872,4301e" filled="false" stroked="true" strokeweight=".48pt" strokecolor="#000000">
                <v:path arrowok="t"/>
              </v:shape>
            </v:group>
            <v:group style="position:absolute;left:6882;top:4301;width:948;height:2" coordorigin="6882,4301" coordsize="948,2">
              <v:shape style="position:absolute;left:6882;top:4301;width:948;height:2" coordorigin="6882,4301" coordsize="948,0" path="m6882,4301l7830,4301e" filled="false" stroked="true" strokeweight=".48pt" strokecolor="#000000">
                <v:path arrowok="t"/>
              </v:shape>
            </v:group>
            <v:group style="position:absolute;left:7839;top:4301;width:948;height:2" coordorigin="7839,4301" coordsize="948,2">
              <v:shape style="position:absolute;left:7839;top:4301;width:948;height:2" coordorigin="7839,4301" coordsize="948,0" path="m7839,4301l8786,4301e" filled="false" stroked="true" strokeweight=".48pt" strokecolor="#000000">
                <v:path arrowok="t"/>
              </v:shape>
            </v:group>
            <v:group style="position:absolute;left:8796;top:4301;width:948;height:2" coordorigin="8796,4301" coordsize="948,2">
              <v:shape style="position:absolute;left:8796;top:4301;width:948;height:2" coordorigin="8796,4301" coordsize="948,0" path="m8796,4301l9744,4301e" filled="false" stroked="true" strokeweight=".48pt" strokecolor="#000000">
                <v:path arrowok="t"/>
              </v:shape>
            </v:group>
            <v:group style="position:absolute;left:9754;top:4301;width:947;height:2" coordorigin="9754,4301" coordsize="947,2">
              <v:shape style="position:absolute;left:9754;top:4301;width:947;height:2" coordorigin="9754,4301" coordsize="947,0" path="m9754,4301l10700,4301e" filled="false" stroked="true" strokeweight=".48pt" strokecolor="#000000">
                <v:path arrowok="t"/>
              </v:shape>
            </v:group>
            <v:group style="position:absolute;left:1150;top:4708;width:2;height:705" coordorigin="1150,4708" coordsize="2,705">
              <v:shape style="position:absolute;left:1150;top:4708;width:2;height:705" coordorigin="1150,4708" coordsize="0,705" path="m1150,4708l1150,5412e" filled="false" stroked="true" strokeweight="1.140pt" strokecolor="#d2d2d2">
                <v:path arrowok="t"/>
              </v:shape>
            </v:group>
            <v:group style="position:absolute;left:2075;top:4708;width:2;height:705" coordorigin="2075,4708" coordsize="2,705">
              <v:shape style="position:absolute;left:2075;top:4708;width:2;height:705" coordorigin="2075,4708" coordsize="0,705" path="m2075,4708l2075,5412e" filled="false" stroked="true" strokeweight="1.140pt" strokecolor="#d2d2d2">
                <v:path arrowok="t"/>
              </v:shape>
            </v:group>
            <v:group style="position:absolute;left:1162;top:4708;width:902;height:353" coordorigin="1162,4708" coordsize="902,353">
              <v:shape style="position:absolute;left:1162;top:4708;width:902;height:353" coordorigin="1162,4708" coordsize="902,353" path="m1162,5061l2063,5061,2063,4708,1162,4708,1162,5061xe" filled="true" fillcolor="#d2d2d2" stroked="false">
                <v:path arrowok="t"/>
                <v:fill type="solid"/>
              </v:shape>
            </v:group>
            <v:group style="position:absolute;left:1162;top:5061;width:902;height:352" coordorigin="1162,5061" coordsize="902,352">
              <v:shape style="position:absolute;left:1162;top:5061;width:902;height:352" coordorigin="1162,5061" coordsize="902,352" path="m1162,5412l2063,5412,2063,5061,1162,5061,1162,5412xe" filled="true" fillcolor="#d2d2d2" stroked="false">
                <v:path arrowok="t"/>
                <v:fill type="solid"/>
              </v:shape>
            </v:group>
            <v:group style="position:absolute;left:1139;top:4703;width:949;height:2" coordorigin="1139,4703" coordsize="949,2">
              <v:shape style="position:absolute;left:1139;top:4703;width:949;height:2" coordorigin="1139,4703" coordsize="949,0" path="m1139,4703l2087,4703e" filled="false" stroked="true" strokeweight=".48pt" strokecolor="#000000">
                <v:path arrowok="t"/>
              </v:shape>
            </v:group>
            <v:group style="position:absolute;left:2097;top:4703;width:947;height:2" coordorigin="2097,4703" coordsize="947,2">
              <v:shape style="position:absolute;left:2097;top:4703;width:947;height:2" coordorigin="2097,4703" coordsize="947,0" path="m2097,4703l3044,4703e" filled="false" stroked="true" strokeweight=".48pt" strokecolor="#000000">
                <v:path arrowok="t"/>
              </v:shape>
            </v:group>
            <v:group style="position:absolute;left:3053;top:4703;width:948;height:2" coordorigin="3053,4703" coordsize="948,2">
              <v:shape style="position:absolute;left:3053;top:4703;width:948;height:2" coordorigin="3053,4703" coordsize="948,0" path="m3053,4703l4001,4703e" filled="false" stroked="true" strokeweight=".48pt" strokecolor="#000000">
                <v:path arrowok="t"/>
              </v:shape>
            </v:group>
            <v:group style="position:absolute;left:4011;top:4703;width:948;height:2" coordorigin="4011,4703" coordsize="948,2">
              <v:shape style="position:absolute;left:4011;top:4703;width:948;height:2" coordorigin="4011,4703" coordsize="948,0" path="m4011,4703l4958,4703e" filled="false" stroked="true" strokeweight=".48pt" strokecolor="#000000">
                <v:path arrowok="t"/>
              </v:shape>
            </v:group>
            <v:group style="position:absolute;left:4968;top:4703;width:948;height:2" coordorigin="4968,4703" coordsize="948,2">
              <v:shape style="position:absolute;left:4968;top:4703;width:948;height:2" coordorigin="4968,4703" coordsize="948,0" path="m4968,4703l5916,4703e" filled="false" stroked="true" strokeweight=".48pt" strokecolor="#000000">
                <v:path arrowok="t"/>
              </v:shape>
            </v:group>
            <v:group style="position:absolute;left:5925;top:4703;width:947;height:2" coordorigin="5925,4703" coordsize="947,2">
              <v:shape style="position:absolute;left:5925;top:4703;width:947;height:2" coordorigin="5925,4703" coordsize="947,0" path="m5925,4703l6872,4703e" filled="false" stroked="true" strokeweight=".48pt" strokecolor="#000000">
                <v:path arrowok="t"/>
              </v:shape>
            </v:group>
            <v:group style="position:absolute;left:6882;top:4703;width:948;height:2" coordorigin="6882,4703" coordsize="948,2">
              <v:shape style="position:absolute;left:6882;top:4703;width:948;height:2" coordorigin="6882,4703" coordsize="948,0" path="m6882,4703l7830,4703e" filled="false" stroked="true" strokeweight=".48pt" strokecolor="#000000">
                <v:path arrowok="t"/>
              </v:shape>
            </v:group>
            <v:group style="position:absolute;left:7839;top:4703;width:948;height:2" coordorigin="7839,4703" coordsize="948,2">
              <v:shape style="position:absolute;left:7839;top:4703;width:948;height:2" coordorigin="7839,4703" coordsize="948,0" path="m7839,4703l8786,4703e" filled="false" stroked="true" strokeweight=".48pt" strokecolor="#000000">
                <v:path arrowok="t"/>
              </v:shape>
            </v:group>
            <v:group style="position:absolute;left:8796;top:4703;width:948;height:2" coordorigin="8796,4703" coordsize="948,2">
              <v:shape style="position:absolute;left:8796;top:4703;width:948;height:2" coordorigin="8796,4703" coordsize="948,0" path="m8796,4703l9744,4703e" filled="false" stroked="true" strokeweight=".48pt" strokecolor="#000000">
                <v:path arrowok="t"/>
              </v:shape>
            </v:group>
            <v:group style="position:absolute;left:9754;top:4703;width:947;height:2" coordorigin="9754,4703" coordsize="947,2">
              <v:shape style="position:absolute;left:9754;top:4703;width:947;height:2" coordorigin="9754,4703" coordsize="947,0" path="m9754,4703l10700,4703e" filled="false" stroked="true" strokeweight=".48pt" strokecolor="#000000">
                <v:path arrowok="t"/>
              </v:shape>
            </v:group>
            <v:group style="position:absolute;left:1150;top:5422;width:2;height:705" coordorigin="1150,5422" coordsize="2,705">
              <v:shape style="position:absolute;left:1150;top:5422;width:2;height:705" coordorigin="1150,5422" coordsize="0,705" path="m1150,5422l1150,6126e" filled="false" stroked="true" strokeweight="1.140pt" strokecolor="#d2d2d2">
                <v:path arrowok="t"/>
              </v:shape>
            </v:group>
            <v:group style="position:absolute;left:2075;top:5422;width:2;height:705" coordorigin="2075,5422" coordsize="2,705">
              <v:shape style="position:absolute;left:2075;top:5422;width:2;height:705" coordorigin="2075,5422" coordsize="0,705" path="m2075,5422l2075,6126e" filled="false" stroked="true" strokeweight="1.140pt" strokecolor="#d2d2d2">
                <v:path arrowok="t"/>
              </v:shape>
            </v:group>
            <v:group style="position:absolute;left:1162;top:5422;width:902;height:353" coordorigin="1162,5422" coordsize="902,353">
              <v:shape style="position:absolute;left:1162;top:5422;width:902;height:353" coordorigin="1162,5422" coordsize="902,353" path="m1162,5775l2063,5775,2063,5422,1162,5422,1162,5775xe" filled="true" fillcolor="#d2d2d2" stroked="false">
                <v:path arrowok="t"/>
                <v:fill type="solid"/>
              </v:shape>
            </v:group>
            <v:group style="position:absolute;left:1162;top:5775;width:902;height:352" coordorigin="1162,5775" coordsize="902,352">
              <v:shape style="position:absolute;left:1162;top:5775;width:902;height:352" coordorigin="1162,5775" coordsize="902,352" path="m1162,6126l2063,6126,2063,5775,1162,5775,1162,6126xe" filled="true" fillcolor="#d2d2d2" stroked="false">
                <v:path arrowok="t"/>
                <v:fill type="solid"/>
              </v:shape>
            </v:group>
            <v:group style="position:absolute;left:1150;top:6136;width:2;height:705" coordorigin="1150,6136" coordsize="2,705">
              <v:shape style="position:absolute;left:1150;top:6136;width:2;height:705" coordorigin="1150,6136" coordsize="0,705" path="m1150,6136l1150,6840e" filled="false" stroked="true" strokeweight="1.140pt" strokecolor="#d2d2d2">
                <v:path arrowok="t"/>
              </v:shape>
            </v:group>
            <v:group style="position:absolute;left:2075;top:6136;width:2;height:705" coordorigin="2075,6136" coordsize="2,705">
              <v:shape style="position:absolute;left:2075;top:6136;width:2;height:705" coordorigin="2075,6136" coordsize="0,705" path="m2075,6136l2075,6840e" filled="false" stroked="true" strokeweight="1.140pt" strokecolor="#d2d2d2">
                <v:path arrowok="t"/>
              </v:shape>
            </v:group>
            <v:group style="position:absolute;left:1162;top:6136;width:902;height:353" coordorigin="1162,6136" coordsize="902,353">
              <v:shape style="position:absolute;left:1162;top:6136;width:902;height:353" coordorigin="1162,6136" coordsize="902,353" path="m1162,6489l2063,6489,2063,6136,1162,6136,1162,6489xe" filled="true" fillcolor="#d2d2d2" stroked="false">
                <v:path arrowok="t"/>
                <v:fill type="solid"/>
              </v:shape>
            </v:group>
            <v:group style="position:absolute;left:1162;top:6489;width:902;height:352" coordorigin="1162,6489" coordsize="902,352">
              <v:shape style="position:absolute;left:1162;top:6489;width:902;height:352" coordorigin="1162,6489" coordsize="902,352" path="m1162,6840l2063,6840,2063,6489,1162,6489,1162,6840xe" filled="true" fillcolor="#d2d2d2" stroked="false">
                <v:path arrowok="t"/>
                <v:fill type="solid"/>
              </v:shape>
            </v:group>
            <v:group style="position:absolute;left:1150;top:6850;width:2;height:705" coordorigin="1150,6850" coordsize="2,705">
              <v:shape style="position:absolute;left:1150;top:6850;width:2;height:705" coordorigin="1150,6850" coordsize="0,705" path="m1150,6850l1150,7554e" filled="false" stroked="true" strokeweight="1.140pt" strokecolor="#d2d2d2">
                <v:path arrowok="t"/>
              </v:shape>
            </v:group>
            <v:group style="position:absolute;left:2075;top:6850;width:2;height:705" coordorigin="2075,6850" coordsize="2,705">
              <v:shape style="position:absolute;left:2075;top:6850;width:2;height:705" coordorigin="2075,6850" coordsize="0,705" path="m2075,6850l2075,7554e" filled="false" stroked="true" strokeweight="1.140pt" strokecolor="#d2d2d2">
                <v:path arrowok="t"/>
              </v:shape>
            </v:group>
            <v:group style="position:absolute;left:1162;top:6850;width:902;height:353" coordorigin="1162,6850" coordsize="902,353">
              <v:shape style="position:absolute;left:1162;top:6850;width:902;height:353" coordorigin="1162,6850" coordsize="902,353" path="m1162,7203l2063,7203,2063,6850,1162,6850,1162,7203xe" filled="true" fillcolor="#d2d2d2" stroked="false">
                <v:path arrowok="t"/>
                <v:fill type="solid"/>
              </v:shape>
            </v:group>
            <v:group style="position:absolute;left:1162;top:7203;width:902;height:352" coordorigin="1162,7203" coordsize="902,352">
              <v:shape style="position:absolute;left:1162;top:7203;width:902;height:352" coordorigin="1162,7203" coordsize="902,352" path="m1162,7554l2063,7554,2063,7203,1162,7203,1162,7554xe" filled="true" fillcolor="#d2d2d2" stroked="false">
                <v:path arrowok="t"/>
                <v:fill type="solid"/>
              </v:shape>
            </v:group>
            <v:group style="position:absolute;left:1150;top:7564;width:2;height:705" coordorigin="1150,7564" coordsize="2,705">
              <v:shape style="position:absolute;left:1150;top:7564;width:2;height:705" coordorigin="1150,7564" coordsize="0,705" path="m1150,7564l1150,8268e" filled="false" stroked="true" strokeweight="1.140pt" strokecolor="#d2d2d2">
                <v:path arrowok="t"/>
              </v:shape>
            </v:group>
            <v:group style="position:absolute;left:2075;top:7564;width:2;height:705" coordorigin="2075,7564" coordsize="2,705">
              <v:shape style="position:absolute;left:2075;top:7564;width:2;height:705" coordorigin="2075,7564" coordsize="0,705" path="m2075,7564l2075,8268e" filled="false" stroked="true" strokeweight="1.140pt" strokecolor="#d2d2d2">
                <v:path arrowok="t"/>
              </v:shape>
            </v:group>
            <v:group style="position:absolute;left:1162;top:7564;width:902;height:353" coordorigin="1162,7564" coordsize="902,353">
              <v:shape style="position:absolute;left:1162;top:7564;width:902;height:353" coordorigin="1162,7564" coordsize="902,353" path="m1162,7917l2063,7917,2063,7564,1162,7564,1162,7917xe" filled="true" fillcolor="#d2d2d2" stroked="false">
                <v:path arrowok="t"/>
                <v:fill type="solid"/>
              </v:shape>
            </v:group>
            <v:group style="position:absolute;left:1162;top:7917;width:902;height:352" coordorigin="1162,7917" coordsize="902,352">
              <v:shape style="position:absolute;left:1162;top:7917;width:902;height:352" coordorigin="1162,7917" coordsize="902,352" path="m1162,8268l2063,8268,2063,7917,1162,7917,1162,8268xe" filled="true" fillcolor="#d2d2d2" stroked="false">
                <v:path arrowok="t"/>
                <v:fill type="solid"/>
              </v:shape>
            </v:group>
            <v:group style="position:absolute;left:2097;top:7564;width:947;height:156" coordorigin="2097,7564" coordsize="947,156">
              <v:shape style="position:absolute;left:2097;top:7564;width:947;height:156" coordorigin="2097,7564" coordsize="947,156" path="m2097,7720l3044,7720,3044,7564,2097,7564,2097,7720xe" filled="true" fillcolor="#ffffff" stroked="false">
                <v:path arrowok="t"/>
                <v:fill type="solid"/>
              </v:shape>
            </v:group>
            <v:group style="position:absolute;left:2108;top:7720;width:2;height:393" coordorigin="2108,7720" coordsize="2,393">
              <v:shape style="position:absolute;left:2108;top:7720;width:2;height:393" coordorigin="2108,7720" coordsize="0,393" path="m2108,7720l2108,8112e" filled="false" stroked="true" strokeweight="1.140pt" strokecolor="#ffffff">
                <v:path arrowok="t"/>
              </v:shape>
            </v:group>
            <v:group style="position:absolute;left:2120;top:7720;width:902;height:393" coordorigin="2120,7720" coordsize="902,393">
              <v:shape style="position:absolute;left:2120;top:7720;width:902;height:393" coordorigin="2120,7720" coordsize="902,393" path="m2120,8112l3021,8112,3021,7720,2120,7720,2120,8112xe" filled="true" fillcolor="#ffffff" stroked="false">
                <v:path arrowok="t"/>
                <v:fill type="solid"/>
              </v:shape>
            </v:group>
            <v:group style="position:absolute;left:1150;top:8278;width:2;height:393" coordorigin="1150,8278" coordsize="2,393">
              <v:shape style="position:absolute;left:1150;top:8278;width:2;height:393" coordorigin="1150,8278" coordsize="0,393" path="m1150,8278l1150,8671e" filled="false" stroked="true" strokeweight="1.140pt" strokecolor="#e0ffff">
                <v:path arrowok="t"/>
              </v:shape>
            </v:group>
            <v:group style="position:absolute;left:2075;top:8278;width:2;height:393" coordorigin="2075,8278" coordsize="2,393">
              <v:shape style="position:absolute;left:2075;top:8278;width:2;height:393" coordorigin="2075,8278" coordsize="0,393" path="m2075,8278l2075,8671e" filled="false" stroked="true" strokeweight="1.140pt" strokecolor="#e0ffff">
                <v:path arrowok="t"/>
              </v:shape>
            </v:group>
            <v:group style="position:absolute;left:1162;top:8278;width:902;height:393" coordorigin="1162,8278" coordsize="902,393">
              <v:shape style="position:absolute;left:1162;top:8278;width:902;height:393" coordorigin="1162,8278" coordsize="902,393" path="m1162,8671l2063,8671,2063,8278,1162,8278,1162,8671xe" filled="true" fillcolor="#e0ffff" stroked="false">
                <v:path arrowok="t"/>
                <v:fill type="solid"/>
              </v:shape>
            </v:group>
            <v:group style="position:absolute;left:1139;top:8273;width:949;height:2" coordorigin="1139,8273" coordsize="949,2">
              <v:shape style="position:absolute;left:1139;top:8273;width:949;height:2" coordorigin="1139,8273" coordsize="949,0" path="m1139,8273l2087,8273e" filled="false" stroked="true" strokeweight=".48pt" strokecolor="#000000">
                <v:path arrowok="t"/>
              </v:shape>
            </v:group>
            <v:group style="position:absolute;left:2097;top:8273;width:947;height:2" coordorigin="2097,8273" coordsize="947,2">
              <v:shape style="position:absolute;left:2097;top:8273;width:947;height:2" coordorigin="2097,8273" coordsize="947,0" path="m2097,8273l3044,8273e" filled="false" stroked="true" strokeweight=".48pt" strokecolor="#000000">
                <v:path arrowok="t"/>
              </v:shape>
            </v:group>
            <v:group style="position:absolute;left:3053;top:8273;width:948;height:2" coordorigin="3053,8273" coordsize="948,2">
              <v:shape style="position:absolute;left:3053;top:8273;width:948;height:2" coordorigin="3053,8273" coordsize="948,0" path="m3053,8273l4001,8273e" filled="false" stroked="true" strokeweight=".48pt" strokecolor="#000000">
                <v:path arrowok="t"/>
              </v:shape>
            </v:group>
            <v:group style="position:absolute;left:4011;top:8273;width:948;height:2" coordorigin="4011,8273" coordsize="948,2">
              <v:shape style="position:absolute;left:4011;top:8273;width:948;height:2" coordorigin="4011,8273" coordsize="948,0" path="m4011,8273l4958,8273e" filled="false" stroked="true" strokeweight=".48pt" strokecolor="#000000">
                <v:path arrowok="t"/>
              </v:shape>
            </v:group>
            <v:group style="position:absolute;left:4968;top:8273;width:948;height:2" coordorigin="4968,8273" coordsize="948,2">
              <v:shape style="position:absolute;left:4968;top:8273;width:948;height:2" coordorigin="4968,8273" coordsize="948,0" path="m4968,8273l5916,8273e" filled="false" stroked="true" strokeweight=".48pt" strokecolor="#000000">
                <v:path arrowok="t"/>
              </v:shape>
            </v:group>
            <v:group style="position:absolute;left:5925;top:8273;width:947;height:2" coordorigin="5925,8273" coordsize="947,2">
              <v:shape style="position:absolute;left:5925;top:8273;width:947;height:2" coordorigin="5925,8273" coordsize="947,0" path="m5925,8273l6872,8273e" filled="false" stroked="true" strokeweight=".48pt" strokecolor="#000000">
                <v:path arrowok="t"/>
              </v:shape>
            </v:group>
            <v:group style="position:absolute;left:6882;top:8273;width:948;height:2" coordorigin="6882,8273" coordsize="948,2">
              <v:shape style="position:absolute;left:6882;top:8273;width:948;height:2" coordorigin="6882,8273" coordsize="948,0" path="m6882,8273l7830,8273e" filled="false" stroked="true" strokeweight=".48pt" strokecolor="#000000">
                <v:path arrowok="t"/>
              </v:shape>
            </v:group>
            <v:group style="position:absolute;left:7839;top:8273;width:948;height:2" coordorigin="7839,8273" coordsize="948,2">
              <v:shape style="position:absolute;left:7839;top:8273;width:948;height:2" coordorigin="7839,8273" coordsize="948,0" path="m7839,8273l8786,8273e" filled="false" stroked="true" strokeweight=".48pt" strokecolor="#000000">
                <v:path arrowok="t"/>
              </v:shape>
            </v:group>
            <v:group style="position:absolute;left:8796;top:8273;width:948;height:2" coordorigin="8796,8273" coordsize="948,2">
              <v:shape style="position:absolute;left:8796;top:8273;width:948;height:2" coordorigin="8796,8273" coordsize="948,0" path="m8796,8273l9744,8273e" filled="false" stroked="true" strokeweight=".48pt" strokecolor="#000000">
                <v:path arrowok="t"/>
              </v:shape>
            </v:group>
            <v:group style="position:absolute;left:9754;top:8273;width:947;height:2" coordorigin="9754,8273" coordsize="947,2">
              <v:shape style="position:absolute;left:9754;top:8273;width:947;height:2" coordorigin="9754,8273" coordsize="947,0" path="m9754,8273l10700,8273e" filled="false" stroked="true" strokeweight=".48pt" strokecolor="#000000">
                <v:path arrowok="t"/>
              </v:shape>
            </v:group>
            <v:group style="position:absolute;left:1150;top:8680;width:2;height:705" coordorigin="1150,8680" coordsize="2,705">
              <v:shape style="position:absolute;left:1150;top:8680;width:2;height:705" coordorigin="1150,8680" coordsize="0,705" path="m1150,8680l1150,9385e" filled="false" stroked="true" strokeweight="1.140pt" strokecolor="#d2d2d2">
                <v:path arrowok="t"/>
              </v:shape>
            </v:group>
            <v:group style="position:absolute;left:2075;top:8680;width:2;height:705" coordorigin="2075,8680" coordsize="2,705">
              <v:shape style="position:absolute;left:2075;top:8680;width:2;height:705" coordorigin="2075,8680" coordsize="0,705" path="m2075,8680l2075,9385e" filled="false" stroked="true" strokeweight="1.140pt" strokecolor="#d2d2d2">
                <v:path arrowok="t"/>
              </v:shape>
            </v:group>
            <v:group style="position:absolute;left:1162;top:8680;width:902;height:353" coordorigin="1162,8680" coordsize="902,353">
              <v:shape style="position:absolute;left:1162;top:8680;width:902;height:353" coordorigin="1162,8680" coordsize="902,353" path="m1162,9033l2063,9033,2063,8680,1162,8680,1162,9033xe" filled="true" fillcolor="#d2d2d2" stroked="false">
                <v:path arrowok="t"/>
                <v:fill type="solid"/>
              </v:shape>
            </v:group>
            <v:group style="position:absolute;left:1162;top:9033;width:902;height:352" coordorigin="1162,9033" coordsize="902,352">
              <v:shape style="position:absolute;left:1162;top:9033;width:902;height:352" coordorigin="1162,9033" coordsize="902,352" path="m1162,9385l2063,9385,2063,9033,1162,9033,1162,9385xe" filled="true" fillcolor="#d2d2d2" stroked="false">
                <v:path arrowok="t"/>
                <v:fill type="solid"/>
              </v:shape>
            </v:group>
            <v:group style="position:absolute;left:1139;top:8676;width:949;height:2" coordorigin="1139,8676" coordsize="949,2">
              <v:shape style="position:absolute;left:1139;top:8676;width:949;height:2" coordorigin="1139,8676" coordsize="949,0" path="m1139,8676l2087,8676e" filled="false" stroked="true" strokeweight=".48pt" strokecolor="#000000">
                <v:path arrowok="t"/>
              </v:shape>
            </v:group>
            <v:group style="position:absolute;left:2097;top:8676;width:947;height:2" coordorigin="2097,8676" coordsize="947,2">
              <v:shape style="position:absolute;left:2097;top:8676;width:947;height:2" coordorigin="2097,8676" coordsize="947,0" path="m2097,8676l3044,8676e" filled="false" stroked="true" strokeweight=".48pt" strokecolor="#000000">
                <v:path arrowok="t"/>
              </v:shape>
            </v:group>
            <v:group style="position:absolute;left:3053;top:8676;width:948;height:2" coordorigin="3053,8676" coordsize="948,2">
              <v:shape style="position:absolute;left:3053;top:8676;width:948;height:2" coordorigin="3053,8676" coordsize="948,0" path="m3053,8676l4001,8676e" filled="false" stroked="true" strokeweight=".48pt" strokecolor="#000000">
                <v:path arrowok="t"/>
              </v:shape>
            </v:group>
            <v:group style="position:absolute;left:4011;top:8676;width:948;height:2" coordorigin="4011,8676" coordsize="948,2">
              <v:shape style="position:absolute;left:4011;top:8676;width:948;height:2" coordorigin="4011,8676" coordsize="948,0" path="m4011,8676l4958,8676e" filled="false" stroked="true" strokeweight=".48pt" strokecolor="#000000">
                <v:path arrowok="t"/>
              </v:shape>
            </v:group>
            <v:group style="position:absolute;left:4968;top:8676;width:948;height:2" coordorigin="4968,8676" coordsize="948,2">
              <v:shape style="position:absolute;left:4968;top:8676;width:948;height:2" coordorigin="4968,8676" coordsize="948,0" path="m4968,8676l5916,8676e" filled="false" stroked="true" strokeweight=".48pt" strokecolor="#000000">
                <v:path arrowok="t"/>
              </v:shape>
            </v:group>
            <v:group style="position:absolute;left:5925;top:8676;width:947;height:2" coordorigin="5925,8676" coordsize="947,2">
              <v:shape style="position:absolute;left:5925;top:8676;width:947;height:2" coordorigin="5925,8676" coordsize="947,0" path="m5925,8676l6872,8676e" filled="false" stroked="true" strokeweight=".48pt" strokecolor="#000000">
                <v:path arrowok="t"/>
              </v:shape>
            </v:group>
            <v:group style="position:absolute;left:6882;top:8676;width:948;height:2" coordorigin="6882,8676" coordsize="948,2">
              <v:shape style="position:absolute;left:6882;top:8676;width:948;height:2" coordorigin="6882,8676" coordsize="948,0" path="m6882,8676l7830,8676e" filled="false" stroked="true" strokeweight=".48pt" strokecolor="#000000">
                <v:path arrowok="t"/>
              </v:shape>
            </v:group>
            <v:group style="position:absolute;left:7839;top:8676;width:948;height:2" coordorigin="7839,8676" coordsize="948,2">
              <v:shape style="position:absolute;left:7839;top:8676;width:948;height:2" coordorigin="7839,8676" coordsize="948,0" path="m7839,8676l8786,8676e" filled="false" stroked="true" strokeweight=".48pt" strokecolor="#000000">
                <v:path arrowok="t"/>
              </v:shape>
            </v:group>
            <v:group style="position:absolute;left:8796;top:8676;width:948;height:2" coordorigin="8796,8676" coordsize="948,2">
              <v:shape style="position:absolute;left:8796;top:8676;width:948;height:2" coordorigin="8796,8676" coordsize="948,0" path="m8796,8676l9744,8676e" filled="false" stroked="true" strokeweight=".48pt" strokecolor="#000000">
                <v:path arrowok="t"/>
              </v:shape>
            </v:group>
            <v:group style="position:absolute;left:9754;top:8676;width:947;height:2" coordorigin="9754,8676" coordsize="947,2">
              <v:shape style="position:absolute;left:9754;top:8676;width:947;height:2" coordorigin="9754,8676" coordsize="947,0" path="m9754,8676l10700,8676e" filled="false" stroked="true" strokeweight=".48pt" strokecolor="#000000">
                <v:path arrowok="t"/>
              </v:shape>
            </v:group>
            <v:group style="position:absolute;left:1150;top:9394;width:2;height:705" coordorigin="1150,9394" coordsize="2,705">
              <v:shape style="position:absolute;left:1150;top:9394;width:2;height:705" coordorigin="1150,9394" coordsize="0,705" path="m1150,9394l1150,10099e" filled="false" stroked="true" strokeweight="1.140pt" strokecolor="#d2d2d2">
                <v:path arrowok="t"/>
              </v:shape>
            </v:group>
            <v:group style="position:absolute;left:2075;top:9394;width:2;height:705" coordorigin="2075,9394" coordsize="2,705">
              <v:shape style="position:absolute;left:2075;top:9394;width:2;height:705" coordorigin="2075,9394" coordsize="0,705" path="m2075,9394l2075,10099e" filled="false" stroked="true" strokeweight="1.140pt" strokecolor="#d2d2d2">
                <v:path arrowok="t"/>
              </v:shape>
            </v:group>
            <v:group style="position:absolute;left:1162;top:9394;width:902;height:353" coordorigin="1162,9394" coordsize="902,353">
              <v:shape style="position:absolute;left:1162;top:9394;width:902;height:353" coordorigin="1162,9394" coordsize="902,353" path="m1162,9747l2063,9747,2063,9394,1162,9394,1162,9747xe" filled="true" fillcolor="#d2d2d2" stroked="false">
                <v:path arrowok="t"/>
                <v:fill type="solid"/>
              </v:shape>
            </v:group>
            <v:group style="position:absolute;left:1162;top:9747;width:902;height:352" coordorigin="1162,9747" coordsize="902,352">
              <v:shape style="position:absolute;left:1162;top:9747;width:902;height:352" coordorigin="1162,9747" coordsize="902,352" path="m1162,10099l2063,10099,2063,9747,1162,9747,1162,10099xe" filled="true" fillcolor="#d2d2d2" stroked="false">
                <v:path arrowok="t"/>
                <v:fill type="solid"/>
              </v:shape>
            </v:group>
            <v:group style="position:absolute;left:2097;top:9394;width:947;height:156" coordorigin="2097,9394" coordsize="947,156">
              <v:shape style="position:absolute;left:2097;top:9394;width:947;height:156" coordorigin="2097,9394" coordsize="947,156" path="m2097,9550l3044,9550,3044,9394,2097,9394,2097,9550xe" filled="true" fillcolor="#ffffff" stroked="false">
                <v:path arrowok="t"/>
                <v:fill type="solid"/>
              </v:shape>
            </v:group>
            <v:group style="position:absolute;left:2108;top:9550;width:2;height:393" coordorigin="2108,9550" coordsize="2,393">
              <v:shape style="position:absolute;left:2108;top:9550;width:2;height:393" coordorigin="2108,9550" coordsize="0,393" path="m2108,9550l2108,9943e" filled="false" stroked="true" strokeweight="1.140pt" strokecolor="#ffffff">
                <v:path arrowok="t"/>
              </v:shape>
            </v:group>
            <v:group style="position:absolute;left:2120;top:9550;width:902;height:393" coordorigin="2120,9550" coordsize="902,393">
              <v:shape style="position:absolute;left:2120;top:9550;width:902;height:393" coordorigin="2120,9550" coordsize="902,393" path="m2120,9943l3021,9943,3021,9550,2120,9550,2120,9943xe" filled="true" fillcolor="#ffffff" stroked="false">
                <v:path arrowok="t"/>
                <v:fill type="solid"/>
              </v:shape>
            </v:group>
            <v:group style="position:absolute;left:1150;top:10108;width:2;height:393" coordorigin="1150,10108" coordsize="2,393">
              <v:shape style="position:absolute;left:1150;top:10108;width:2;height:393" coordorigin="1150,10108" coordsize="0,393" path="m1150,10108l1150,10501e" filled="false" stroked="true" strokeweight="1.140pt" strokecolor="#e0ffff">
                <v:path arrowok="t"/>
              </v:shape>
            </v:group>
            <v:group style="position:absolute;left:2075;top:10108;width:2;height:393" coordorigin="2075,10108" coordsize="2,393">
              <v:shape style="position:absolute;left:2075;top:10108;width:2;height:393" coordorigin="2075,10108" coordsize="0,393" path="m2075,10108l2075,10501e" filled="false" stroked="true" strokeweight="1.140pt" strokecolor="#e0ffff">
                <v:path arrowok="t"/>
              </v:shape>
            </v:group>
            <v:group style="position:absolute;left:1162;top:10108;width:902;height:393" coordorigin="1162,10108" coordsize="902,393">
              <v:shape style="position:absolute;left:1162;top:10108;width:902;height:393" coordorigin="1162,10108" coordsize="902,393" path="m1162,10501l2063,10501,2063,10108,1162,10108,1162,10501xe" filled="true" fillcolor="#e0ffff" stroked="false">
                <v:path arrowok="t"/>
                <v:fill type="solid"/>
              </v:shape>
            </v:group>
            <v:group style="position:absolute;left:1139;top:10104;width:949;height:2" coordorigin="1139,10104" coordsize="949,2">
              <v:shape style="position:absolute;left:1139;top:10104;width:949;height:2" coordorigin="1139,10104" coordsize="949,0" path="m1139,10104l2087,10104e" filled="false" stroked="true" strokeweight=".48pt" strokecolor="#000000">
                <v:path arrowok="t"/>
              </v:shape>
            </v:group>
            <v:group style="position:absolute;left:2097;top:10104;width:947;height:2" coordorigin="2097,10104" coordsize="947,2">
              <v:shape style="position:absolute;left:2097;top:10104;width:947;height:2" coordorigin="2097,10104" coordsize="947,0" path="m2097,10104l3044,10104e" filled="false" stroked="true" strokeweight=".48pt" strokecolor="#000000">
                <v:path arrowok="t"/>
              </v:shape>
            </v:group>
            <v:group style="position:absolute;left:3053;top:10104;width:948;height:2" coordorigin="3053,10104" coordsize="948,2">
              <v:shape style="position:absolute;left:3053;top:10104;width:948;height:2" coordorigin="3053,10104" coordsize="948,0" path="m3053,10104l4001,10104e" filled="false" stroked="true" strokeweight=".48pt" strokecolor="#000000">
                <v:path arrowok="t"/>
              </v:shape>
            </v:group>
            <v:group style="position:absolute;left:4011;top:10104;width:948;height:2" coordorigin="4011,10104" coordsize="948,2">
              <v:shape style="position:absolute;left:4011;top:10104;width:948;height:2" coordorigin="4011,10104" coordsize="948,0" path="m4011,10104l4958,10104e" filled="false" stroked="true" strokeweight=".48pt" strokecolor="#000000">
                <v:path arrowok="t"/>
              </v:shape>
            </v:group>
            <v:group style="position:absolute;left:4968;top:10104;width:948;height:2" coordorigin="4968,10104" coordsize="948,2">
              <v:shape style="position:absolute;left:4968;top:10104;width:948;height:2" coordorigin="4968,10104" coordsize="948,0" path="m4968,10104l5916,10104e" filled="false" stroked="true" strokeweight=".48pt" strokecolor="#000000">
                <v:path arrowok="t"/>
              </v:shape>
            </v:group>
            <v:group style="position:absolute;left:5925;top:10104;width:947;height:2" coordorigin="5925,10104" coordsize="947,2">
              <v:shape style="position:absolute;left:5925;top:10104;width:947;height:2" coordorigin="5925,10104" coordsize="947,0" path="m5925,10104l6872,10104e" filled="false" stroked="true" strokeweight=".48pt" strokecolor="#000000">
                <v:path arrowok="t"/>
              </v:shape>
            </v:group>
            <v:group style="position:absolute;left:6882;top:10104;width:948;height:2" coordorigin="6882,10104" coordsize="948,2">
              <v:shape style="position:absolute;left:6882;top:10104;width:948;height:2" coordorigin="6882,10104" coordsize="948,0" path="m6882,10104l7830,10104e" filled="false" stroked="true" strokeweight=".48pt" strokecolor="#000000">
                <v:path arrowok="t"/>
              </v:shape>
            </v:group>
            <v:group style="position:absolute;left:7839;top:10104;width:948;height:2" coordorigin="7839,10104" coordsize="948,2">
              <v:shape style="position:absolute;left:7839;top:10104;width:948;height:2" coordorigin="7839,10104" coordsize="948,0" path="m7839,10104l8786,10104e" filled="false" stroked="true" strokeweight=".48pt" strokecolor="#000000">
                <v:path arrowok="t"/>
              </v:shape>
            </v:group>
            <v:group style="position:absolute;left:8796;top:10104;width:948;height:2" coordorigin="8796,10104" coordsize="948,2">
              <v:shape style="position:absolute;left:8796;top:10104;width:948;height:2" coordorigin="8796,10104" coordsize="948,0" path="m8796,10104l9744,10104e" filled="false" stroked="true" strokeweight=".48pt" strokecolor="#000000">
                <v:path arrowok="t"/>
              </v:shape>
            </v:group>
            <v:group style="position:absolute;left:9754;top:10104;width:947;height:2" coordorigin="9754,10104" coordsize="947,2">
              <v:shape style="position:absolute;left:9754;top:10104;width:947;height:2" coordorigin="9754,10104" coordsize="947,0" path="m9754,10104l10700,10104e" filled="false" stroked="true" strokeweight=".48pt" strokecolor="#000000">
                <v:path arrowok="t"/>
              </v:shape>
            </v:group>
            <v:group style="position:absolute;left:1150;top:10510;width:2;height:705" coordorigin="1150,10510" coordsize="2,705">
              <v:shape style="position:absolute;left:1150;top:10510;width:2;height:705" coordorigin="1150,10510" coordsize="0,705" path="m1150,10510l1150,11215e" filled="false" stroked="true" strokeweight="1.140pt" strokecolor="#d2d2d2">
                <v:path arrowok="t"/>
              </v:shape>
            </v:group>
            <v:group style="position:absolute;left:2075;top:10510;width:2;height:705" coordorigin="2075,10510" coordsize="2,705">
              <v:shape style="position:absolute;left:2075;top:10510;width:2;height:705" coordorigin="2075,10510" coordsize="0,705" path="m2075,10510l2075,11215e" filled="false" stroked="true" strokeweight="1.140pt" strokecolor="#d2d2d2">
                <v:path arrowok="t"/>
              </v:shape>
            </v:group>
            <v:group style="position:absolute;left:1162;top:10510;width:902;height:353" coordorigin="1162,10510" coordsize="902,353">
              <v:shape style="position:absolute;left:1162;top:10510;width:902;height:353" coordorigin="1162,10510" coordsize="902,353" path="m1162,10863l2063,10863,2063,10510,1162,10510,1162,10863xe" filled="true" fillcolor="#d2d2d2" stroked="false">
                <v:path arrowok="t"/>
                <v:fill type="solid"/>
              </v:shape>
            </v:group>
            <v:group style="position:absolute;left:1162;top:10863;width:902;height:352" coordorigin="1162,10863" coordsize="902,352">
              <v:shape style="position:absolute;left:1162;top:10863;width:902;height:352" coordorigin="1162,10863" coordsize="902,352" path="m1162,11215l2063,11215,2063,10863,1162,10863,1162,11215xe" filled="true" fillcolor="#d2d2d2" stroked="false">
                <v:path arrowok="t"/>
                <v:fill type="solid"/>
              </v:shape>
            </v:group>
            <v:group style="position:absolute;left:1139;top:10506;width:949;height:2" coordorigin="1139,10506" coordsize="949,2">
              <v:shape style="position:absolute;left:1139;top:10506;width:949;height:2" coordorigin="1139,10506" coordsize="949,0" path="m1139,10506l2087,10506e" filled="false" stroked="true" strokeweight=".48pt" strokecolor="#000000">
                <v:path arrowok="t"/>
              </v:shape>
            </v:group>
            <v:group style="position:absolute;left:2097;top:10506;width:947;height:2" coordorigin="2097,10506" coordsize="947,2">
              <v:shape style="position:absolute;left:2097;top:10506;width:947;height:2" coordorigin="2097,10506" coordsize="947,0" path="m2097,10506l3044,10506e" filled="false" stroked="true" strokeweight=".48pt" strokecolor="#000000">
                <v:path arrowok="t"/>
              </v:shape>
            </v:group>
            <v:group style="position:absolute;left:3053;top:10506;width:948;height:2" coordorigin="3053,10506" coordsize="948,2">
              <v:shape style="position:absolute;left:3053;top:10506;width:948;height:2" coordorigin="3053,10506" coordsize="948,0" path="m3053,10506l4001,10506e" filled="false" stroked="true" strokeweight=".48pt" strokecolor="#000000">
                <v:path arrowok="t"/>
              </v:shape>
            </v:group>
            <v:group style="position:absolute;left:4011;top:10506;width:948;height:2" coordorigin="4011,10506" coordsize="948,2">
              <v:shape style="position:absolute;left:4011;top:10506;width:948;height:2" coordorigin="4011,10506" coordsize="948,0" path="m4011,10506l4958,10506e" filled="false" stroked="true" strokeweight=".48pt" strokecolor="#000000">
                <v:path arrowok="t"/>
              </v:shape>
            </v:group>
            <v:group style="position:absolute;left:4968;top:10506;width:948;height:2" coordorigin="4968,10506" coordsize="948,2">
              <v:shape style="position:absolute;left:4968;top:10506;width:948;height:2" coordorigin="4968,10506" coordsize="948,0" path="m4968,10506l5916,10506e" filled="false" stroked="true" strokeweight=".48pt" strokecolor="#000000">
                <v:path arrowok="t"/>
              </v:shape>
            </v:group>
            <v:group style="position:absolute;left:5925;top:10506;width:947;height:2" coordorigin="5925,10506" coordsize="947,2">
              <v:shape style="position:absolute;left:5925;top:10506;width:947;height:2" coordorigin="5925,10506" coordsize="947,0" path="m5925,10506l6872,10506e" filled="false" stroked="true" strokeweight=".48pt" strokecolor="#000000">
                <v:path arrowok="t"/>
              </v:shape>
            </v:group>
            <v:group style="position:absolute;left:6882;top:10506;width:948;height:2" coordorigin="6882,10506" coordsize="948,2">
              <v:shape style="position:absolute;left:6882;top:10506;width:948;height:2" coordorigin="6882,10506" coordsize="948,0" path="m6882,10506l7830,10506e" filled="false" stroked="true" strokeweight=".48pt" strokecolor="#000000">
                <v:path arrowok="t"/>
              </v:shape>
            </v:group>
            <v:group style="position:absolute;left:7839;top:10506;width:948;height:2" coordorigin="7839,10506" coordsize="948,2">
              <v:shape style="position:absolute;left:7839;top:10506;width:948;height:2" coordorigin="7839,10506" coordsize="948,0" path="m7839,10506l8786,10506e" filled="false" stroked="true" strokeweight=".48pt" strokecolor="#000000">
                <v:path arrowok="t"/>
              </v:shape>
            </v:group>
            <v:group style="position:absolute;left:8796;top:10506;width:948;height:2" coordorigin="8796,10506" coordsize="948,2">
              <v:shape style="position:absolute;left:8796;top:10506;width:948;height:2" coordorigin="8796,10506" coordsize="948,0" path="m8796,10506l9744,10506e" filled="false" stroked="true" strokeweight=".48pt" strokecolor="#000000">
                <v:path arrowok="t"/>
              </v:shape>
            </v:group>
            <v:group style="position:absolute;left:9754;top:10506;width:947;height:2" coordorigin="9754,10506" coordsize="947,2">
              <v:shape style="position:absolute;left:9754;top:10506;width:947;height:2" coordorigin="9754,10506" coordsize="947,0" path="m9754,10506l10700,10506e" filled="false" stroked="true" strokeweight=".48pt" strokecolor="#000000">
                <v:path arrowok="t"/>
              </v:shape>
            </v:group>
            <v:group style="position:absolute;left:1150;top:11224;width:2;height:705" coordorigin="1150,11224" coordsize="2,705">
              <v:shape style="position:absolute;left:1150;top:11224;width:2;height:705" coordorigin="1150,11224" coordsize="0,705" path="m1150,11224l1150,11929e" filled="false" stroked="true" strokeweight="1.140pt" strokecolor="#d2d2d2">
                <v:path arrowok="t"/>
              </v:shape>
            </v:group>
            <v:group style="position:absolute;left:2075;top:11224;width:2;height:705" coordorigin="2075,11224" coordsize="2,705">
              <v:shape style="position:absolute;left:2075;top:11224;width:2;height:705" coordorigin="2075,11224" coordsize="0,705" path="m2075,11224l2075,11929e" filled="false" stroked="true" strokeweight="1.140pt" strokecolor="#d2d2d2">
                <v:path arrowok="t"/>
              </v:shape>
            </v:group>
            <v:group style="position:absolute;left:1162;top:11224;width:902;height:353" coordorigin="1162,11224" coordsize="902,353">
              <v:shape style="position:absolute;left:1162;top:11224;width:902;height:353" coordorigin="1162,11224" coordsize="902,353" path="m1162,11577l2063,11577,2063,11224,1162,11224,1162,11577xe" filled="true" fillcolor="#d2d2d2" stroked="false">
                <v:path arrowok="t"/>
                <v:fill type="solid"/>
              </v:shape>
            </v:group>
            <v:group style="position:absolute;left:1162;top:11577;width:902;height:352" coordorigin="1162,11577" coordsize="902,352">
              <v:shape style="position:absolute;left:1162;top:11577;width:902;height:352" coordorigin="1162,11577" coordsize="902,352" path="m1162,11929l2063,11929,2063,11577,1162,11577,1162,11929xe" filled="true" fillcolor="#d2d2d2" stroked="false">
                <v:path arrowok="t"/>
                <v:fill type="solid"/>
              </v:shape>
            </v:group>
            <v:group style="position:absolute;left:1150;top:11938;width:2;height:705" coordorigin="1150,11938" coordsize="2,705">
              <v:shape style="position:absolute;left:1150;top:11938;width:2;height:705" coordorigin="1150,11938" coordsize="0,705" path="m1150,11938l1150,12643e" filled="false" stroked="true" strokeweight="1.140pt" strokecolor="#d2d2d2">
                <v:path arrowok="t"/>
              </v:shape>
            </v:group>
            <v:group style="position:absolute;left:2075;top:11938;width:2;height:705" coordorigin="2075,11938" coordsize="2,705">
              <v:shape style="position:absolute;left:2075;top:11938;width:2;height:705" coordorigin="2075,11938" coordsize="0,705" path="m2075,11938l2075,12643e" filled="false" stroked="true" strokeweight="1.140pt" strokecolor="#d2d2d2">
                <v:path arrowok="t"/>
              </v:shape>
            </v:group>
            <v:group style="position:absolute;left:1162;top:11938;width:902;height:353" coordorigin="1162,11938" coordsize="902,353">
              <v:shape style="position:absolute;left:1162;top:11938;width:902;height:353" coordorigin="1162,11938" coordsize="902,353" path="m1162,12291l2063,12291,2063,11938,1162,11938,1162,12291xe" filled="true" fillcolor="#d2d2d2" stroked="false">
                <v:path arrowok="t"/>
                <v:fill type="solid"/>
              </v:shape>
            </v:group>
            <v:group style="position:absolute;left:1162;top:12291;width:902;height:352" coordorigin="1162,12291" coordsize="902,352">
              <v:shape style="position:absolute;left:1162;top:12291;width:902;height:352" coordorigin="1162,12291" coordsize="902,352" path="m1162,12643l2063,12643,2063,12291,1162,12291,1162,12643xe" filled="true" fillcolor="#d2d2d2" stroked="false">
                <v:path arrowok="t"/>
                <v:fill type="solid"/>
              </v:shape>
            </v:group>
            <v:group style="position:absolute;left:1150;top:12652;width:2;height:705" coordorigin="1150,12652" coordsize="2,705">
              <v:shape style="position:absolute;left:1150;top:12652;width:2;height:705" coordorigin="1150,12652" coordsize="0,705" path="m1150,12652l1150,13357e" filled="false" stroked="true" strokeweight="1.140pt" strokecolor="#d2d2d2">
                <v:path arrowok="t"/>
              </v:shape>
            </v:group>
            <v:group style="position:absolute;left:2075;top:12652;width:2;height:705" coordorigin="2075,12652" coordsize="2,705">
              <v:shape style="position:absolute;left:2075;top:12652;width:2;height:705" coordorigin="2075,12652" coordsize="0,705" path="m2075,12652l2075,13357e" filled="false" stroked="true" strokeweight="1.140pt" strokecolor="#d2d2d2">
                <v:path arrowok="t"/>
              </v:shape>
            </v:group>
            <v:group style="position:absolute;left:1162;top:12652;width:902;height:353" coordorigin="1162,12652" coordsize="902,353">
              <v:shape style="position:absolute;left:1162;top:12652;width:902;height:353" coordorigin="1162,12652" coordsize="902,353" path="m1162,13005l2063,13005,2063,12652,1162,12652,1162,13005xe" filled="true" fillcolor="#d2d2d2" stroked="false">
                <v:path arrowok="t"/>
                <v:fill type="solid"/>
              </v:shape>
            </v:group>
            <v:group style="position:absolute;left:1162;top:13005;width:902;height:352" coordorigin="1162,13005" coordsize="902,352">
              <v:shape style="position:absolute;left:1162;top:13005;width:902;height:352" coordorigin="1162,13005" coordsize="902,352" path="m1162,13357l2063,13357,2063,13005,1162,13005,1162,13357xe" filled="true" fillcolor="#d2d2d2" stroked="false">
                <v:path arrowok="t"/>
                <v:fill type="solid"/>
              </v:shape>
            </v:group>
            <v:group style="position:absolute;left:1150;top:13366;width:2;height:705" coordorigin="1150,13366" coordsize="2,705">
              <v:shape style="position:absolute;left:1150;top:13366;width:2;height:705" coordorigin="1150,13366" coordsize="0,705" path="m1150,13366l1150,14071e" filled="false" stroked="true" strokeweight="1.140pt" strokecolor="#d2d2d2">
                <v:path arrowok="t"/>
              </v:shape>
            </v:group>
            <v:group style="position:absolute;left:2075;top:13366;width:2;height:705" coordorigin="2075,13366" coordsize="2,705">
              <v:shape style="position:absolute;left:2075;top:13366;width:2;height:705" coordorigin="2075,13366" coordsize="0,705" path="m2075,13366l2075,14071e" filled="false" stroked="true" strokeweight="1.140pt" strokecolor="#d2d2d2">
                <v:path arrowok="t"/>
              </v:shape>
            </v:group>
            <v:group style="position:absolute;left:1162;top:13366;width:902;height:353" coordorigin="1162,13366" coordsize="902,353">
              <v:shape style="position:absolute;left:1162;top:13366;width:902;height:353" coordorigin="1162,13366" coordsize="902,353" path="m1162,13719l2063,13719,2063,13366,1162,13366,1162,13719xe" filled="true" fillcolor="#d2d2d2" stroked="false">
                <v:path arrowok="t"/>
                <v:fill type="solid"/>
              </v:shape>
            </v:group>
            <v:group style="position:absolute;left:1162;top:13719;width:902;height:352" coordorigin="1162,13719" coordsize="902,352">
              <v:shape style="position:absolute;left:1162;top:13719;width:902;height:352" coordorigin="1162,13719" coordsize="902,352" path="m1162,14071l2063,14071,2063,13719,1162,13719,1162,14071xe" filled="true" fillcolor="#d2d2d2" stroked="false">
                <v:path arrowok="t"/>
                <v:fill type="solid"/>
              </v:shape>
            </v:group>
            <v:group style="position:absolute;left:2097;top:13366;width:947;height:156" coordorigin="2097,13366" coordsize="947,156">
              <v:shape style="position:absolute;left:2097;top:13366;width:947;height:156" coordorigin="2097,13366" coordsize="947,156" path="m2097,13522l3044,13522,3044,13366,2097,13366,2097,13522xe" filled="true" fillcolor="#ffffff" stroked="false">
                <v:path arrowok="t"/>
                <v:fill type="solid"/>
              </v:shape>
            </v:group>
            <v:group style="position:absolute;left:2108;top:13522;width:2;height:393" coordorigin="2108,13522" coordsize="2,393">
              <v:shape style="position:absolute;left:2108;top:13522;width:2;height:393" coordorigin="2108,13522" coordsize="0,393" path="m2108,13522l2108,13915e" filled="false" stroked="true" strokeweight="1.140pt" strokecolor="#ffffff">
                <v:path arrowok="t"/>
              </v:shape>
            </v:group>
            <v:group style="position:absolute;left:2120;top:13522;width:902;height:393" coordorigin="2120,13522" coordsize="902,393">
              <v:shape style="position:absolute;left:2120;top:13522;width:902;height:393" coordorigin="2120,13522" coordsize="902,393" path="m2120,13915l3021,13915,3021,13522,2120,13522,2120,13915xe" filled="true" fillcolor="#ffffff" stroked="false">
                <v:path arrowok="t"/>
                <v:fill type="solid"/>
              </v:shape>
            </v:group>
            <v:group style="position:absolute;left:1150;top:14081;width:2;height:393" coordorigin="1150,14081" coordsize="2,393">
              <v:shape style="position:absolute;left:1150;top:14081;width:2;height:393" coordorigin="1150,14081" coordsize="0,393" path="m1150,14081l1150,14473e" filled="false" stroked="true" strokeweight="1.140pt" strokecolor="#e0ffff">
                <v:path arrowok="t"/>
              </v:shape>
            </v:group>
            <v:group style="position:absolute;left:2075;top:14081;width:2;height:393" coordorigin="2075,14081" coordsize="2,393">
              <v:shape style="position:absolute;left:2075;top:14081;width:2;height:393" coordorigin="2075,14081" coordsize="0,393" path="m2075,14081l2075,14473e" filled="false" stroked="true" strokeweight="1.140pt" strokecolor="#e0ffff">
                <v:path arrowok="t"/>
              </v:shape>
            </v:group>
            <v:group style="position:absolute;left:1162;top:14081;width:902;height:393" coordorigin="1162,14081" coordsize="902,393">
              <v:shape style="position:absolute;left:1162;top:14081;width:902;height:393" coordorigin="1162,14081" coordsize="902,393" path="m1162,14473l2063,14473,2063,14081,1162,14081,1162,14473xe" filled="true" fillcolor="#e0ffff" stroked="false">
                <v:path arrowok="t"/>
                <v:fill type="solid"/>
              </v:shape>
            </v:group>
            <v:group style="position:absolute;left:1139;top:14076;width:949;height:2" coordorigin="1139,14076" coordsize="949,2">
              <v:shape style="position:absolute;left:1139;top:14076;width:949;height:2" coordorigin="1139,14076" coordsize="949,0" path="m1139,14076l2087,14076e" filled="false" stroked="true" strokeweight=".48pt" strokecolor="#000000">
                <v:path arrowok="t"/>
              </v:shape>
            </v:group>
            <v:group style="position:absolute;left:2097;top:14076;width:947;height:2" coordorigin="2097,14076" coordsize="947,2">
              <v:shape style="position:absolute;left:2097;top:14076;width:947;height:2" coordorigin="2097,14076" coordsize="947,0" path="m2097,14076l3044,14076e" filled="false" stroked="true" strokeweight=".48pt" strokecolor="#000000">
                <v:path arrowok="t"/>
              </v:shape>
            </v:group>
            <v:group style="position:absolute;left:3053;top:14076;width:948;height:2" coordorigin="3053,14076" coordsize="948,2">
              <v:shape style="position:absolute;left:3053;top:14076;width:948;height:2" coordorigin="3053,14076" coordsize="948,0" path="m3053,14076l4001,14076e" filled="false" stroked="true" strokeweight=".48pt" strokecolor="#000000">
                <v:path arrowok="t"/>
              </v:shape>
            </v:group>
            <v:group style="position:absolute;left:4011;top:14076;width:948;height:2" coordorigin="4011,14076" coordsize="948,2">
              <v:shape style="position:absolute;left:4011;top:14076;width:948;height:2" coordorigin="4011,14076" coordsize="948,0" path="m4011,14076l4958,14076e" filled="false" stroked="true" strokeweight=".48pt" strokecolor="#000000">
                <v:path arrowok="t"/>
              </v:shape>
            </v:group>
            <v:group style="position:absolute;left:4968;top:14076;width:948;height:2" coordorigin="4968,14076" coordsize="948,2">
              <v:shape style="position:absolute;left:4968;top:14076;width:948;height:2" coordorigin="4968,14076" coordsize="948,0" path="m4968,14076l5916,14076e" filled="false" stroked="true" strokeweight=".48pt" strokecolor="#000000">
                <v:path arrowok="t"/>
              </v:shape>
            </v:group>
            <v:group style="position:absolute;left:5925;top:14076;width:947;height:2" coordorigin="5925,14076" coordsize="947,2">
              <v:shape style="position:absolute;left:5925;top:14076;width:947;height:2" coordorigin="5925,14076" coordsize="947,0" path="m5925,14076l6872,14076e" filled="false" stroked="true" strokeweight=".48pt" strokecolor="#000000">
                <v:path arrowok="t"/>
              </v:shape>
            </v:group>
            <v:group style="position:absolute;left:6882;top:14076;width:948;height:2" coordorigin="6882,14076" coordsize="948,2">
              <v:shape style="position:absolute;left:6882;top:14076;width:948;height:2" coordorigin="6882,14076" coordsize="948,0" path="m6882,14076l7830,14076e" filled="false" stroked="true" strokeweight=".48pt" strokecolor="#000000">
                <v:path arrowok="t"/>
              </v:shape>
            </v:group>
            <v:group style="position:absolute;left:7839;top:14076;width:948;height:2" coordorigin="7839,14076" coordsize="948,2">
              <v:shape style="position:absolute;left:7839;top:14076;width:948;height:2" coordorigin="7839,14076" coordsize="948,0" path="m7839,14076l8786,14076e" filled="false" stroked="true" strokeweight=".48pt" strokecolor="#000000">
                <v:path arrowok="t"/>
              </v:shape>
            </v:group>
            <v:group style="position:absolute;left:8796;top:14076;width:948;height:2" coordorigin="8796,14076" coordsize="948,2">
              <v:shape style="position:absolute;left:8796;top:14076;width:948;height:2" coordorigin="8796,14076" coordsize="948,0" path="m8796,14076l9744,14076e" filled="false" stroked="true" strokeweight=".48pt" strokecolor="#000000">
                <v:path arrowok="t"/>
              </v:shape>
            </v:group>
            <v:group style="position:absolute;left:9754;top:14076;width:947;height:2" coordorigin="9754,14076" coordsize="947,2">
              <v:shape style="position:absolute;left:9754;top:14076;width:947;height:2" coordorigin="9754,14076" coordsize="947,0" path="m9754,14076l10700,14076e" filled="false" stroked="true" strokeweight=".48pt" strokecolor="#000000">
                <v:path arrowok="t"/>
              </v:shape>
            </v:group>
            <v:group style="position:absolute;left:1150;top:14483;width:2;height:705" coordorigin="1150,14483" coordsize="2,705">
              <v:shape style="position:absolute;left:1150;top:14483;width:2;height:705" coordorigin="1150,14483" coordsize="0,705" path="m1150,14483l1150,15187e" filled="false" stroked="true" strokeweight="1.140pt" strokecolor="#d2d2d2">
                <v:path arrowok="t"/>
              </v:shape>
            </v:group>
            <v:group style="position:absolute;left:2075;top:14483;width:2;height:705" coordorigin="2075,14483" coordsize="2,705">
              <v:shape style="position:absolute;left:2075;top:14483;width:2;height:705" coordorigin="2075,14483" coordsize="0,705" path="m2075,14483l2075,15187e" filled="false" stroked="true" strokeweight="1.140pt" strokecolor="#d2d2d2">
                <v:path arrowok="t"/>
              </v:shape>
            </v:group>
            <v:group style="position:absolute;left:1162;top:14483;width:902;height:353" coordorigin="1162,14483" coordsize="902,353">
              <v:shape style="position:absolute;left:1162;top:14483;width:902;height:353" coordorigin="1162,14483" coordsize="902,353" path="m1162,14836l2063,14836,2063,14483,1162,14483,1162,14836xe" filled="true" fillcolor="#d2d2d2" stroked="false">
                <v:path arrowok="t"/>
                <v:fill type="solid"/>
              </v:shape>
            </v:group>
            <v:group style="position:absolute;left:1162;top:14836;width:902;height:352" coordorigin="1162,14836" coordsize="902,352">
              <v:shape style="position:absolute;left:1162;top:14836;width:902;height:352" coordorigin="1162,14836" coordsize="902,352" path="m1162,15187l2063,15187,2063,14836,1162,14836,1162,15187xe" filled="true" fillcolor="#d2d2d2" stroked="false">
                <v:path arrowok="t"/>
                <v:fill type="solid"/>
              </v:shape>
            </v:group>
            <v:group style="position:absolute;left:1139;top:14478;width:949;height:2" coordorigin="1139,14478" coordsize="949,2">
              <v:shape style="position:absolute;left:1139;top:14478;width:949;height:2" coordorigin="1139,14478" coordsize="949,0" path="m1139,14478l2087,14478e" filled="false" stroked="true" strokeweight=".48pt" strokecolor="#000000">
                <v:path arrowok="t"/>
              </v:shape>
            </v:group>
            <v:group style="position:absolute;left:2097;top:14478;width:947;height:2" coordorigin="2097,14478" coordsize="947,2">
              <v:shape style="position:absolute;left:2097;top:14478;width:947;height:2" coordorigin="2097,14478" coordsize="947,0" path="m2097,14478l3044,14478e" filled="false" stroked="true" strokeweight=".48pt" strokecolor="#000000">
                <v:path arrowok="t"/>
              </v:shape>
            </v:group>
            <v:group style="position:absolute;left:3053;top:14478;width:948;height:2" coordorigin="3053,14478" coordsize="948,2">
              <v:shape style="position:absolute;left:3053;top:14478;width:948;height:2" coordorigin="3053,14478" coordsize="948,0" path="m3053,14478l4001,14478e" filled="false" stroked="true" strokeweight=".48pt" strokecolor="#000000">
                <v:path arrowok="t"/>
              </v:shape>
            </v:group>
            <v:group style="position:absolute;left:4011;top:14478;width:948;height:2" coordorigin="4011,14478" coordsize="948,2">
              <v:shape style="position:absolute;left:4011;top:14478;width:948;height:2" coordorigin="4011,14478" coordsize="948,0" path="m4011,14478l4958,14478e" filled="false" stroked="true" strokeweight=".48pt" strokecolor="#000000">
                <v:path arrowok="t"/>
              </v:shape>
            </v:group>
            <v:group style="position:absolute;left:4968;top:14478;width:948;height:2" coordorigin="4968,14478" coordsize="948,2">
              <v:shape style="position:absolute;left:4968;top:14478;width:948;height:2" coordorigin="4968,14478" coordsize="948,0" path="m4968,14478l5916,14478e" filled="false" stroked="true" strokeweight=".48pt" strokecolor="#000000">
                <v:path arrowok="t"/>
              </v:shape>
            </v:group>
            <v:group style="position:absolute;left:5925;top:14478;width:947;height:2" coordorigin="5925,14478" coordsize="947,2">
              <v:shape style="position:absolute;left:5925;top:14478;width:947;height:2" coordorigin="5925,14478" coordsize="947,0" path="m5925,14478l6872,14478e" filled="false" stroked="true" strokeweight=".48pt" strokecolor="#000000">
                <v:path arrowok="t"/>
              </v:shape>
            </v:group>
            <v:group style="position:absolute;left:6882;top:14478;width:948;height:2" coordorigin="6882,14478" coordsize="948,2">
              <v:shape style="position:absolute;left:6882;top:14478;width:948;height:2" coordorigin="6882,14478" coordsize="948,0" path="m6882,14478l7830,14478e" filled="false" stroked="true" strokeweight=".48pt" strokecolor="#000000">
                <v:path arrowok="t"/>
              </v:shape>
            </v:group>
            <v:group style="position:absolute;left:7839;top:14478;width:948;height:2" coordorigin="7839,14478" coordsize="948,2">
              <v:shape style="position:absolute;left:7839;top:14478;width:948;height:2" coordorigin="7839,14478" coordsize="948,0" path="m7839,14478l8786,14478e" filled="false" stroked="true" strokeweight=".48pt" strokecolor="#000000">
                <v:path arrowok="t"/>
              </v:shape>
            </v:group>
            <v:group style="position:absolute;left:8796;top:14478;width:948;height:2" coordorigin="8796,14478" coordsize="948,2">
              <v:shape style="position:absolute;left:8796;top:14478;width:948;height:2" coordorigin="8796,14478" coordsize="948,0" path="m8796,14478l9744,14478e" filled="false" stroked="true" strokeweight=".48pt" strokecolor="#000000">
                <v:path arrowok="t"/>
              </v:shape>
            </v:group>
            <v:group style="position:absolute;left:9754;top:14478;width:947;height:2" coordorigin="9754,14478" coordsize="947,2">
              <v:shape style="position:absolute;left:9754;top:14478;width:947;height:2" coordorigin="9754,14478" coordsize="947,0" path="m9754,14478l10700,14478e" filled="false" stroked="true" strokeweight=".48pt" strokecolor="#000000">
                <v:path arrowok="t"/>
              </v:shape>
            </v:group>
            <v:group style="position:absolute;left:1134;top:1440;width:2;height:13757" coordorigin="1134,1440" coordsize="2,13757">
              <v:shape style="position:absolute;left:1134;top:1440;width:2;height:13757" coordorigin="1134,1440" coordsize="0,13757" path="m1134,1440l1134,15197e" filled="false" stroked="true" strokeweight=".48pt" strokecolor="#000000">
                <v:path arrowok="t"/>
              </v:shape>
            </v:group>
            <v:group style="position:absolute;left:1139;top:15192;width:949;height:2" coordorigin="1139,15192" coordsize="949,2">
              <v:shape style="position:absolute;left:1139;top:15192;width:949;height:2" coordorigin="1139,15192" coordsize="949,0" path="m1139,15192l2087,15192e" filled="false" stroked="true" strokeweight=".48pt" strokecolor="#000000">
                <v:path arrowok="t"/>
              </v:shape>
            </v:group>
            <v:group style="position:absolute;left:2092;top:1440;width:2;height:13757" coordorigin="2092,1440" coordsize="2,13757">
              <v:shape style="position:absolute;left:2092;top:1440;width:2;height:13757" coordorigin="2092,1440" coordsize="0,13757" path="m2092,1440l2092,15197e" filled="false" stroked="true" strokeweight=".48pt" strokecolor="#000000">
                <v:path arrowok="t"/>
              </v:shape>
            </v:group>
            <v:group style="position:absolute;left:2097;top:15192;width:947;height:2" coordorigin="2097,15192" coordsize="947,2">
              <v:shape style="position:absolute;left:2097;top:15192;width:947;height:2" coordorigin="2097,15192" coordsize="947,0" path="m2097,15192l3044,15192e" filled="false" stroked="true" strokeweight=".48pt" strokecolor="#000000">
                <v:path arrowok="t"/>
              </v:shape>
            </v:group>
            <v:group style="position:absolute;left:3048;top:1440;width:2;height:13757" coordorigin="3048,1440" coordsize="2,13757">
              <v:shape style="position:absolute;left:3048;top:1440;width:2;height:13757" coordorigin="3048,1440" coordsize="0,13757" path="m3048,1440l3048,15197e" filled="false" stroked="true" strokeweight=".48pt" strokecolor="#000000">
                <v:path arrowok="t"/>
              </v:shape>
            </v:group>
            <v:group style="position:absolute;left:3053;top:15192;width:948;height:2" coordorigin="3053,15192" coordsize="948,2">
              <v:shape style="position:absolute;left:3053;top:15192;width:948;height:2" coordorigin="3053,15192" coordsize="948,0" path="m3053,15192l4001,15192e" filled="false" stroked="true" strokeweight=".48pt" strokecolor="#000000">
                <v:path arrowok="t"/>
              </v:shape>
            </v:group>
            <v:group style="position:absolute;left:4006;top:1440;width:2;height:13757" coordorigin="4006,1440" coordsize="2,13757">
              <v:shape style="position:absolute;left:4006;top:1440;width:2;height:13757" coordorigin="4006,1440" coordsize="0,13757" path="m4006,1440l4006,15197e" filled="false" stroked="true" strokeweight=".48pt" strokecolor="#000000">
                <v:path arrowok="t"/>
              </v:shape>
            </v:group>
            <v:group style="position:absolute;left:4011;top:15192;width:948;height:2" coordorigin="4011,15192" coordsize="948,2">
              <v:shape style="position:absolute;left:4011;top:15192;width:948;height:2" coordorigin="4011,15192" coordsize="948,0" path="m4011,15192l4958,15192e" filled="false" stroked="true" strokeweight=".48pt" strokecolor="#000000">
                <v:path arrowok="t"/>
              </v:shape>
            </v:group>
            <v:group style="position:absolute;left:4963;top:1440;width:2;height:13757" coordorigin="4963,1440" coordsize="2,13757">
              <v:shape style="position:absolute;left:4963;top:1440;width:2;height:13757" coordorigin="4963,1440" coordsize="0,13757" path="m4963,1440l4963,15197e" filled="false" stroked="true" strokeweight=".48pt" strokecolor="#000000">
                <v:path arrowok="t"/>
              </v:shape>
            </v:group>
            <v:group style="position:absolute;left:4968;top:15192;width:948;height:2" coordorigin="4968,15192" coordsize="948,2">
              <v:shape style="position:absolute;left:4968;top:15192;width:948;height:2" coordorigin="4968,15192" coordsize="948,0" path="m4968,15192l5916,15192e" filled="false" stroked="true" strokeweight=".48pt" strokecolor="#000000">
                <v:path arrowok="t"/>
              </v:shape>
            </v:group>
            <v:group style="position:absolute;left:5920;top:1440;width:2;height:13757" coordorigin="5920,1440" coordsize="2,13757">
              <v:shape style="position:absolute;left:5920;top:1440;width:2;height:13757" coordorigin="5920,1440" coordsize="0,13757" path="m5920,1440l5920,15197e" filled="false" stroked="true" strokeweight=".48pt" strokecolor="#000000">
                <v:path arrowok="t"/>
              </v:shape>
            </v:group>
            <v:group style="position:absolute;left:5925;top:15192;width:947;height:2" coordorigin="5925,15192" coordsize="947,2">
              <v:shape style="position:absolute;left:5925;top:15192;width:947;height:2" coordorigin="5925,15192" coordsize="947,0" path="m5925,15192l6872,15192e" filled="false" stroked="true" strokeweight=".48pt" strokecolor="#000000">
                <v:path arrowok="t"/>
              </v:shape>
            </v:group>
            <v:group style="position:absolute;left:6877;top:1440;width:2;height:13757" coordorigin="6877,1440" coordsize="2,13757">
              <v:shape style="position:absolute;left:6877;top:1440;width:2;height:13757" coordorigin="6877,1440" coordsize="0,13757" path="m6877,1440l6877,15197e" filled="false" stroked="true" strokeweight=".48pt" strokecolor="#000000">
                <v:path arrowok="t"/>
              </v:shape>
            </v:group>
            <v:group style="position:absolute;left:6882;top:15192;width:948;height:2" coordorigin="6882,15192" coordsize="948,2">
              <v:shape style="position:absolute;left:6882;top:15192;width:948;height:2" coordorigin="6882,15192" coordsize="948,0" path="m6882,15192l7830,15192e" filled="false" stroked="true" strokeweight=".48pt" strokecolor="#000000">
                <v:path arrowok="t"/>
              </v:shape>
            </v:group>
            <v:group style="position:absolute;left:7834;top:1440;width:2;height:13757" coordorigin="7834,1440" coordsize="2,13757">
              <v:shape style="position:absolute;left:7834;top:1440;width:2;height:13757" coordorigin="7834,1440" coordsize="0,13757" path="m7834,1440l7834,15197e" filled="false" stroked="true" strokeweight=".48pt" strokecolor="#000000">
                <v:path arrowok="t"/>
              </v:shape>
            </v:group>
            <v:group style="position:absolute;left:7839;top:15192;width:948;height:2" coordorigin="7839,15192" coordsize="948,2">
              <v:shape style="position:absolute;left:7839;top:15192;width:948;height:2" coordorigin="7839,15192" coordsize="948,0" path="m7839,15192l8786,15192e" filled="false" stroked="true" strokeweight=".48pt" strokecolor="#000000">
                <v:path arrowok="t"/>
              </v:shape>
            </v:group>
            <v:group style="position:absolute;left:8791;top:1440;width:2;height:13757" coordorigin="8791,1440" coordsize="2,13757">
              <v:shape style="position:absolute;left:8791;top:1440;width:2;height:13757" coordorigin="8791,1440" coordsize="0,13757" path="m8791,1440l8791,15197e" filled="false" stroked="true" strokeweight=".48pt" strokecolor="#000000">
                <v:path arrowok="t"/>
              </v:shape>
            </v:group>
            <v:group style="position:absolute;left:8796;top:15192;width:948;height:2" coordorigin="8796,15192" coordsize="948,2">
              <v:shape style="position:absolute;left:8796;top:15192;width:948;height:2" coordorigin="8796,15192" coordsize="948,0" path="m8796,15192l9744,15192e" filled="false" stroked="true" strokeweight=".48pt" strokecolor="#000000">
                <v:path arrowok="t"/>
              </v:shape>
            </v:group>
            <v:group style="position:absolute;left:9749;top:1440;width:2;height:13757" coordorigin="9749,1440" coordsize="2,13757">
              <v:shape style="position:absolute;left:9749;top:1440;width:2;height:13757" coordorigin="9749,1440" coordsize="0,13757" path="m9749,1440l9749,15197e" filled="false" stroked="true" strokeweight=".48pt" strokecolor="#000000">
                <v:path arrowok="t"/>
              </v:shape>
            </v:group>
            <v:group style="position:absolute;left:9754;top:15192;width:947;height:2" coordorigin="9754,15192" coordsize="947,2">
              <v:shape style="position:absolute;left:9754;top:15192;width:947;height:2" coordorigin="9754,15192" coordsize="947,0" path="m9754,15192l10700,15192e" filled="false" stroked="true" strokeweight=".48pt" strokecolor="#000000">
                <v:path arrowok="t"/>
              </v:shape>
            </v:group>
            <v:group style="position:absolute;left:10705;top:1440;width:2;height:13757" coordorigin="10705,1440" coordsize="2,13757">
              <v:shape style="position:absolute;left:10705;top:1440;width:2;height:13757" coordorigin="10705,1440" coordsize="0,13757" path="m10705,1440l10705,15197e" filled="false" stroked="true" strokeweight=".48pt" strokecolor="#000000">
                <v:path arrowok="t"/>
              </v:shape>
            </v:group>
            <w10:wrap type="none"/>
          </v:group>
        </w:pict>
      </w:r>
      <w:r>
        <w:rPr/>
        <w:pict>
          <v:shape style="position:absolute;margin-left:56.700001pt;margin-top:67.239983pt;width:479.75pt;height:692.4pt;mso-position-horizontal-relative:page;mso-position-vertical-relative:page;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6"/>
                    <w:gridCol w:w="958"/>
                    <w:gridCol w:w="957"/>
                    <w:gridCol w:w="958"/>
                    <w:gridCol w:w="956"/>
                    <w:gridCol w:w="958"/>
                    <w:gridCol w:w="957"/>
                    <w:gridCol w:w="958"/>
                    <w:gridCol w:w="980"/>
                  </w:tblGrid>
                  <w:tr>
                    <w:trPr>
                      <w:trHeight w:val="622" w:hRule="exact"/>
                    </w:trPr>
                    <w:tc>
                      <w:tcPr>
                        <w:tcW w:w="7657" w:type="dxa"/>
                        <w:gridSpan w:val="8"/>
                        <w:tcBorders>
                          <w:top w:val="nil" w:sz="6" w:space="0" w:color="auto"/>
                          <w:left w:val="nil" w:sz="6" w:space="0" w:color="auto"/>
                          <w:bottom w:val="nil" w:sz="6" w:space="0" w:color="auto"/>
                          <w:right w:val="nil" w:sz="6" w:space="0" w:color="auto"/>
                        </w:tcBorders>
                      </w:tcPr>
                      <w:p>
                        <w:pPr>
                          <w:pStyle w:val="TableParagraph"/>
                          <w:spacing w:line="222" w:lineRule="exact" w:before="156"/>
                          <w:ind w:left="5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p>
                      <w:p>
                        <w:pPr>
                          <w:pStyle w:val="TableParagraph"/>
                          <w:spacing w:line="180" w:lineRule="exact"/>
                          <w:ind w:right="25"/>
                          <w:jc w:val="right"/>
                          <w:rPr>
                            <w:rFonts w:ascii="Times New Roman" w:hAnsi="Times New Roman" w:cs="Times New Roman" w:eastAsia="Times New Roman" w:hint="default"/>
                            <w:sz w:val="18"/>
                            <w:szCs w:val="18"/>
                          </w:rPr>
                        </w:pPr>
                        <w:r>
                          <w:rPr>
                            <w:rFonts w:ascii="Times New Roman"/>
                            <w:spacing w:val="-1"/>
                            <w:sz w:val="18"/>
                          </w:rPr>
                          <w:t>6,882,481.0</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3,011,770.0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9,894,251.0</w:t>
                        </w:r>
                      </w:p>
                    </w:tc>
                  </w:tr>
                  <w:tr>
                    <w:trPr>
                      <w:trHeight w:val="247" w:hRule="exact"/>
                    </w:trPr>
                    <w:tc>
                      <w:tcPr>
                        <w:tcW w:w="7657"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43"/>
                          <w:ind w:right="25"/>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4</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9"/>
                          <w:jc w:val="right"/>
                          <w:rPr>
                            <w:rFonts w:ascii="Times New Roman" w:hAnsi="Times New Roman" w:cs="Times New Roman" w:eastAsia="Times New Roman" w:hint="default"/>
                            <w:sz w:val="18"/>
                            <w:szCs w:val="18"/>
                          </w:rPr>
                        </w:pPr>
                        <w:r>
                          <w:rPr>
                            <w:rFonts w:ascii="Times New Roman"/>
                            <w:sz w:val="18"/>
                          </w:rPr>
                          <w:t>9</w:t>
                        </w:r>
                      </w:p>
                    </w:tc>
                  </w:tr>
                  <w:tr>
                    <w:trPr>
                      <w:trHeight w:val="2922" w:hRule="exact"/>
                    </w:trPr>
                    <w:tc>
                      <w:tcPr>
                        <w:tcW w:w="7657" w:type="dxa"/>
                        <w:gridSpan w:val="8"/>
                        <w:tcBorders>
                          <w:top w:val="nil" w:sz="6" w:space="0" w:color="auto"/>
                          <w:left w:val="nil" w:sz="6" w:space="0" w:color="auto"/>
                          <w:bottom w:val="nil" w:sz="6" w:space="0" w:color="auto"/>
                          <w:right w:val="nil" w:sz="6" w:space="0" w:color="auto"/>
                        </w:tcBorders>
                      </w:tcPr>
                      <w:p>
                        <w:pPr>
                          <w:pStyle w:val="TableParagraph"/>
                          <w:spacing w:line="149" w:lineRule="exact"/>
                          <w:ind w:left="27" w:right="0"/>
                          <w:jc w:val="left"/>
                          <w:rPr>
                            <w:rFonts w:ascii="宋体" w:hAnsi="宋体" w:cs="宋体" w:eastAsia="宋体" w:hint="default"/>
                            <w:sz w:val="18"/>
                            <w:szCs w:val="18"/>
                          </w:rPr>
                        </w:pPr>
                        <w:r>
                          <w:rPr>
                            <w:rFonts w:ascii="宋体" w:hAnsi="宋体" w:cs="宋体" w:eastAsia="宋体" w:hint="default"/>
                            <w:sz w:val="18"/>
                            <w:szCs w:val="18"/>
                          </w:rPr>
                          <w:t>加</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02" w:lineRule="auto"/>
                          <w:ind w:left="27" w:right="67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p>
                        <w:pPr>
                          <w:pStyle w:val="TableParagraph"/>
                          <w:spacing w:line="240" w:lineRule="auto" w:before="118"/>
                          <w:ind w:left="5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处置</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tabs>
                            <w:tab w:pos="3903" w:val="left" w:leader="none"/>
                          </w:tabs>
                          <w:spacing w:line="240" w:lineRule="auto"/>
                          <w:ind w:left="38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tab/>
                        </w:r>
                        <w:r>
                          <w:rPr>
                            <w:rFonts w:ascii="Times New Roman" w:hAnsi="Times New Roman" w:cs="Times New Roman" w:eastAsia="Times New Roman" w:hint="default"/>
                            <w:sz w:val="18"/>
                            <w:szCs w:val="18"/>
                          </w:rPr>
                          <w:t>57,570,000.  1,359,035.4  3,046,576.6 </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z w:val="18"/>
                            <w:szCs w:val="18"/>
                          </w:rPr>
                          <w:t>6,882,481.0</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3,011,770.0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1"/>
                            <w:sz w:val="18"/>
                          </w:rPr>
                          <w:t>71,869,863.</w:t>
                        </w:r>
                      </w:p>
                    </w:tc>
                  </w:tr>
                  <w:tr>
                    <w:trPr>
                      <w:trHeight w:val="282" w:hRule="exact"/>
                    </w:trPr>
                    <w:tc>
                      <w:tcPr>
                        <w:tcW w:w="958" w:type="dxa"/>
                        <w:tcBorders>
                          <w:top w:val="nil" w:sz="6" w:space="0" w:color="auto"/>
                          <w:left w:val="nil" w:sz="6" w:space="0" w:color="auto"/>
                          <w:bottom w:val="single" w:sz="4" w:space="0" w:color="000000"/>
                          <w:right w:val="nil" w:sz="6" w:space="0" w:color="auto"/>
                        </w:tcBorders>
                        <w:shd w:val="clear" w:color="auto" w:fill="D2D2D2"/>
                      </w:tcPr>
                      <w:p>
                        <w:pPr>
                          <w:pStyle w:val="TableParagraph"/>
                          <w:spacing w:line="173" w:lineRule="exact"/>
                          <w:ind w:left="27"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956" w:type="dxa"/>
                        <w:tcBorders>
                          <w:top w:val="nil" w:sz="6" w:space="0" w:color="auto"/>
                          <w:left w:val="nil" w:sz="6" w:space="0" w:color="auto"/>
                          <w:bottom w:val="single" w:sz="4" w:space="0" w:color="000000"/>
                          <w:right w:val="nil" w:sz="6" w:space="0" w:color="auto"/>
                        </w:tcBorders>
                      </w:tcPr>
                      <w:p>
                        <w:pPr/>
                      </w:p>
                    </w:tc>
                    <w:tc>
                      <w:tcPr>
                        <w:tcW w:w="958" w:type="dxa"/>
                        <w:tcBorders>
                          <w:top w:val="nil" w:sz="6" w:space="0" w:color="auto"/>
                          <w:left w:val="nil" w:sz="6" w:space="0" w:color="auto"/>
                          <w:bottom w:val="single" w:sz="4" w:space="0" w:color="000000"/>
                          <w:right w:val="nil" w:sz="6" w:space="0" w:color="auto"/>
                        </w:tcBorders>
                      </w:tcPr>
                      <w:p>
                        <w:pPr/>
                      </w:p>
                    </w:tc>
                    <w:tc>
                      <w:tcPr>
                        <w:tcW w:w="957" w:type="dxa"/>
                        <w:tcBorders>
                          <w:top w:val="nil" w:sz="6" w:space="0" w:color="auto"/>
                          <w:left w:val="nil" w:sz="6" w:space="0" w:color="auto"/>
                          <w:bottom w:val="single" w:sz="4" w:space="0" w:color="000000"/>
                          <w:right w:val="nil" w:sz="6" w:space="0" w:color="auto"/>
                        </w:tcBorders>
                      </w:tcPr>
                      <w:p>
                        <w:pPr/>
                      </w:p>
                    </w:tc>
                    <w:tc>
                      <w:tcPr>
                        <w:tcW w:w="958" w:type="dxa"/>
                        <w:tcBorders>
                          <w:top w:val="nil" w:sz="6" w:space="0" w:color="auto"/>
                          <w:left w:val="nil" w:sz="6" w:space="0" w:color="auto"/>
                          <w:bottom w:val="single" w:sz="4" w:space="0" w:color="000000"/>
                          <w:right w:val="nil" w:sz="6" w:space="0" w:color="auto"/>
                        </w:tcBorders>
                      </w:tcPr>
                      <w:p>
                        <w:pPr>
                          <w:pStyle w:val="TableParagraph"/>
                          <w:spacing w:line="184" w:lineRule="exact"/>
                          <w:ind w:right="26"/>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nil" w:sz="6" w:space="0" w:color="auto"/>
                          <w:left w:val="nil" w:sz="6" w:space="0" w:color="auto"/>
                          <w:bottom w:val="single" w:sz="4" w:space="0" w:color="000000"/>
                          <w:right w:val="nil" w:sz="6" w:space="0" w:color="auto"/>
                        </w:tcBorders>
                      </w:tcPr>
                      <w:p>
                        <w:pPr>
                          <w:pStyle w:val="TableParagraph"/>
                          <w:spacing w:line="184" w:lineRule="exact"/>
                          <w:ind w:right="25"/>
                          <w:jc w:val="right"/>
                          <w:rPr>
                            <w:rFonts w:ascii="Times New Roman" w:hAnsi="Times New Roman" w:cs="Times New Roman" w:eastAsia="Times New Roman" w:hint="default"/>
                            <w:sz w:val="18"/>
                            <w:szCs w:val="18"/>
                          </w:rPr>
                        </w:pPr>
                        <w:r>
                          <w:rPr>
                            <w:rFonts w:ascii="Times New Roman"/>
                            <w:sz w:val="18"/>
                          </w:rPr>
                          <w:t>1</w:t>
                        </w:r>
                      </w:p>
                    </w:tc>
                    <w:tc>
                      <w:tcPr>
                        <w:tcW w:w="958" w:type="dxa"/>
                        <w:tcBorders>
                          <w:top w:val="nil" w:sz="6" w:space="0" w:color="auto"/>
                          <w:left w:val="nil" w:sz="6" w:space="0" w:color="auto"/>
                          <w:bottom w:val="single" w:sz="4" w:space="0" w:color="000000"/>
                          <w:right w:val="nil" w:sz="6" w:space="0" w:color="auto"/>
                        </w:tcBorders>
                      </w:tcPr>
                      <w:p>
                        <w:pPr>
                          <w:pStyle w:val="TableParagraph"/>
                          <w:spacing w:line="184" w:lineRule="exact"/>
                          <w:ind w:right="26"/>
                          <w:jc w:val="right"/>
                          <w:rPr>
                            <w:rFonts w:ascii="Times New Roman" w:hAnsi="Times New Roman" w:cs="Times New Roman" w:eastAsia="Times New Roman" w:hint="default"/>
                            <w:sz w:val="18"/>
                            <w:szCs w:val="18"/>
                          </w:rPr>
                        </w:pPr>
                        <w:r>
                          <w:rPr>
                            <w:rFonts w:ascii="Times New Roman"/>
                            <w:sz w:val="18"/>
                          </w:rPr>
                          <w:t>1</w:t>
                        </w:r>
                      </w:p>
                    </w:tc>
                    <w:tc>
                      <w:tcPr>
                        <w:tcW w:w="957" w:type="dxa"/>
                        <w:tcBorders>
                          <w:top w:val="nil" w:sz="6" w:space="0" w:color="auto"/>
                          <w:left w:val="nil" w:sz="6" w:space="0" w:color="auto"/>
                          <w:bottom w:val="single" w:sz="4" w:space="0" w:color="000000"/>
                          <w:right w:val="nil" w:sz="6" w:space="0" w:color="auto"/>
                        </w:tcBorders>
                      </w:tcPr>
                      <w:p>
                        <w:pPr>
                          <w:pStyle w:val="TableParagraph"/>
                          <w:spacing w:line="184" w:lineRule="exact"/>
                          <w:ind w:right="25"/>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nil" w:sz="6" w:space="0" w:color="auto"/>
                          <w:left w:val="nil" w:sz="6" w:space="0" w:color="auto"/>
                          <w:bottom w:val="single" w:sz="4" w:space="0" w:color="000000"/>
                          <w:right w:val="nil" w:sz="6" w:space="0" w:color="auto"/>
                        </w:tcBorders>
                      </w:tcPr>
                      <w:p>
                        <w:pPr>
                          <w:pStyle w:val="TableParagraph"/>
                          <w:spacing w:line="184" w:lineRule="exact"/>
                          <w:ind w:right="26"/>
                          <w:jc w:val="right"/>
                          <w:rPr>
                            <w:rFonts w:ascii="Times New Roman" w:hAnsi="Times New Roman" w:cs="Times New Roman" w:eastAsia="Times New Roman" w:hint="default"/>
                            <w:sz w:val="18"/>
                            <w:szCs w:val="18"/>
                          </w:rPr>
                        </w:pPr>
                        <w:r>
                          <w:rPr>
                            <w:rFonts w:ascii="Times New Roman"/>
                            <w:sz w:val="18"/>
                          </w:rPr>
                          <w:t>4</w:t>
                        </w:r>
                      </w:p>
                    </w:tc>
                    <w:tc>
                      <w:tcPr>
                        <w:tcW w:w="980" w:type="dxa"/>
                        <w:tcBorders>
                          <w:top w:val="nil" w:sz="6" w:space="0" w:color="auto"/>
                          <w:left w:val="nil" w:sz="6" w:space="0" w:color="auto"/>
                          <w:bottom w:val="single" w:sz="4" w:space="0" w:color="000000"/>
                          <w:right w:val="nil" w:sz="6" w:space="0" w:color="auto"/>
                        </w:tcBorders>
                      </w:tcPr>
                      <w:p>
                        <w:pPr>
                          <w:pStyle w:val="TableParagraph"/>
                          <w:spacing w:line="184" w:lineRule="exact"/>
                          <w:ind w:right="56"/>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714" w:hRule="exact"/>
                    </w:trPr>
                    <w:tc>
                      <w:tcPr>
                        <w:tcW w:w="95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319" w:lineRule="auto" w:before="51"/>
                          <w:ind w:left="27" w:right="28"/>
                          <w:jc w:val="left"/>
                          <w:rPr>
                            <w:rFonts w:ascii="宋体" w:hAnsi="宋体" w:cs="宋体" w:eastAsia="宋体" w:hint="default"/>
                            <w:sz w:val="18"/>
                            <w:szCs w:val="18"/>
                          </w:rPr>
                        </w:pPr>
                        <w:r>
                          <w:rPr>
                            <w:rFonts w:ascii="宋体" w:hAnsi="宋体" w:cs="宋体" w:eastAsia="宋体" w:hint="default"/>
                            <w:sz w:val="18"/>
                            <w:szCs w:val="18"/>
                          </w:rPr>
                          <w:t>二、累计摊 销</w:t>
                        </w:r>
                      </w:p>
                    </w:tc>
                    <w:tc>
                      <w:tcPr>
                        <w:tcW w:w="956" w:type="dxa"/>
                        <w:tcBorders>
                          <w:top w:val="single" w:sz="4" w:space="0" w:color="000000"/>
                          <w:left w:val="nil" w:sz="6" w:space="0" w:color="auto"/>
                          <w:bottom w:val="single" w:sz="4" w:space="0" w:color="000000"/>
                          <w:right w:val="nil" w:sz="6" w:space="0" w:color="auto"/>
                        </w:tcBorders>
                      </w:tcPr>
                      <w:p>
                        <w:pPr/>
                      </w:p>
                    </w:tc>
                    <w:tc>
                      <w:tcPr>
                        <w:tcW w:w="958" w:type="dxa"/>
                        <w:tcBorders>
                          <w:top w:val="single" w:sz="4" w:space="0" w:color="000000"/>
                          <w:left w:val="nil" w:sz="6" w:space="0" w:color="auto"/>
                          <w:bottom w:val="single" w:sz="4" w:space="0" w:color="000000"/>
                          <w:right w:val="nil" w:sz="6" w:space="0" w:color="auto"/>
                        </w:tcBorders>
                      </w:tcPr>
                      <w:p>
                        <w:pPr/>
                      </w:p>
                    </w:tc>
                    <w:tc>
                      <w:tcPr>
                        <w:tcW w:w="957" w:type="dxa"/>
                        <w:tcBorders>
                          <w:top w:val="single" w:sz="4" w:space="0" w:color="000000"/>
                          <w:left w:val="nil" w:sz="6" w:space="0" w:color="auto"/>
                          <w:bottom w:val="single" w:sz="4" w:space="0" w:color="000000"/>
                          <w:right w:val="nil" w:sz="6" w:space="0" w:color="auto"/>
                        </w:tcBorders>
                      </w:tcPr>
                      <w:p>
                        <w:pPr/>
                      </w:p>
                    </w:tc>
                    <w:tc>
                      <w:tcPr>
                        <w:tcW w:w="958" w:type="dxa"/>
                        <w:tcBorders>
                          <w:top w:val="single" w:sz="4" w:space="0" w:color="000000"/>
                          <w:left w:val="nil" w:sz="6" w:space="0" w:color="auto"/>
                          <w:bottom w:val="single" w:sz="4" w:space="0" w:color="000000"/>
                          <w:right w:val="nil" w:sz="6" w:space="0" w:color="auto"/>
                        </w:tcBorders>
                      </w:tcPr>
                      <w:p>
                        <w:pPr/>
                      </w:p>
                    </w:tc>
                    <w:tc>
                      <w:tcPr>
                        <w:tcW w:w="956" w:type="dxa"/>
                        <w:tcBorders>
                          <w:top w:val="single" w:sz="4" w:space="0" w:color="000000"/>
                          <w:left w:val="nil" w:sz="6" w:space="0" w:color="auto"/>
                          <w:bottom w:val="single" w:sz="4" w:space="0" w:color="000000"/>
                          <w:right w:val="nil" w:sz="6" w:space="0" w:color="auto"/>
                        </w:tcBorders>
                      </w:tcPr>
                      <w:p>
                        <w:pPr/>
                      </w:p>
                    </w:tc>
                    <w:tc>
                      <w:tcPr>
                        <w:tcW w:w="958" w:type="dxa"/>
                        <w:tcBorders>
                          <w:top w:val="single" w:sz="4" w:space="0" w:color="000000"/>
                          <w:left w:val="nil" w:sz="6" w:space="0" w:color="auto"/>
                          <w:bottom w:val="single" w:sz="4" w:space="0" w:color="000000"/>
                          <w:right w:val="nil" w:sz="6" w:space="0" w:color="auto"/>
                        </w:tcBorders>
                      </w:tcPr>
                      <w:p>
                        <w:pPr/>
                      </w:p>
                    </w:tc>
                    <w:tc>
                      <w:tcPr>
                        <w:tcW w:w="957" w:type="dxa"/>
                        <w:tcBorders>
                          <w:top w:val="single" w:sz="4" w:space="0" w:color="000000"/>
                          <w:left w:val="nil" w:sz="6" w:space="0" w:color="auto"/>
                          <w:bottom w:val="single" w:sz="4" w:space="0" w:color="000000"/>
                          <w:right w:val="nil" w:sz="6" w:space="0" w:color="auto"/>
                        </w:tcBorders>
                      </w:tcPr>
                      <w:p>
                        <w:pPr/>
                      </w:p>
                    </w:tc>
                    <w:tc>
                      <w:tcPr>
                        <w:tcW w:w="958" w:type="dxa"/>
                        <w:tcBorders>
                          <w:top w:val="single" w:sz="4" w:space="0" w:color="000000"/>
                          <w:left w:val="nil" w:sz="6" w:space="0" w:color="auto"/>
                          <w:bottom w:val="single" w:sz="4" w:space="0" w:color="000000"/>
                          <w:right w:val="nil" w:sz="6" w:space="0" w:color="auto"/>
                        </w:tcBorders>
                      </w:tcPr>
                      <w:p>
                        <w:pPr/>
                      </w:p>
                    </w:tc>
                    <w:tc>
                      <w:tcPr>
                        <w:tcW w:w="980" w:type="dxa"/>
                        <w:tcBorders>
                          <w:top w:val="single" w:sz="4" w:space="0" w:color="000000"/>
                          <w:left w:val="nil" w:sz="6" w:space="0" w:color="auto"/>
                          <w:bottom w:val="single" w:sz="4" w:space="0" w:color="000000"/>
                          <w:right w:val="nil" w:sz="6" w:space="0" w:color="auto"/>
                        </w:tcBorders>
                      </w:tcPr>
                      <w:p>
                        <w:pPr/>
                      </w:p>
                    </w:tc>
                  </w:tr>
                  <w:tr>
                    <w:trPr>
                      <w:trHeight w:val="714" w:hRule="exact"/>
                    </w:trPr>
                    <w:tc>
                      <w:tcPr>
                        <w:tcW w:w="95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302" w:lineRule="auto" w:before="51"/>
                          <w:ind w:left="27" w:right="7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956" w:type="dxa"/>
                        <w:tcBorders>
                          <w:top w:val="single" w:sz="4" w:space="0" w:color="000000"/>
                          <w:left w:val="nil" w:sz="6" w:space="0" w:color="auto"/>
                          <w:bottom w:val="single" w:sz="4" w:space="0" w:color="000000"/>
                          <w:right w:val="nil" w:sz="6" w:space="0" w:color="auto"/>
                        </w:tcBorders>
                      </w:tcPr>
                      <w:p>
                        <w:pPr/>
                      </w:p>
                    </w:tc>
                    <w:tc>
                      <w:tcPr>
                        <w:tcW w:w="958" w:type="dxa"/>
                        <w:tcBorders>
                          <w:top w:val="single" w:sz="4" w:space="0" w:color="000000"/>
                          <w:left w:val="nil" w:sz="6" w:space="0" w:color="auto"/>
                          <w:bottom w:val="single" w:sz="4" w:space="0" w:color="000000"/>
                          <w:right w:val="nil" w:sz="6" w:space="0" w:color="auto"/>
                        </w:tcBorders>
                      </w:tcPr>
                      <w:p>
                        <w:pPr/>
                      </w:p>
                    </w:tc>
                    <w:tc>
                      <w:tcPr>
                        <w:tcW w:w="957" w:type="dxa"/>
                        <w:tcBorders>
                          <w:top w:val="single" w:sz="4" w:space="0" w:color="000000"/>
                          <w:left w:val="nil" w:sz="6" w:space="0" w:color="auto"/>
                          <w:bottom w:val="single" w:sz="4" w:space="0" w:color="000000"/>
                          <w:right w:val="nil" w:sz="6" w:space="0" w:color="auto"/>
                        </w:tcBorders>
                      </w:tcPr>
                      <w:p>
                        <w:pPr/>
                      </w:p>
                    </w:tc>
                    <w:tc>
                      <w:tcPr>
                        <w:tcW w:w="958"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2,007,822.0</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7</w:t>
                        </w:r>
                      </w:p>
                    </w:tc>
                    <w:tc>
                      <w:tcPr>
                        <w:tcW w:w="956"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34,888.13</w:t>
                        </w:r>
                      </w:p>
                    </w:tc>
                    <w:tc>
                      <w:tcPr>
                        <w:tcW w:w="95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964,749.32</w:t>
                        </w:r>
                      </w:p>
                    </w:tc>
                    <w:tc>
                      <w:tcPr>
                        <w:tcW w:w="957" w:type="dxa"/>
                        <w:tcBorders>
                          <w:top w:val="single" w:sz="4" w:space="0" w:color="000000"/>
                          <w:left w:val="nil" w:sz="6" w:space="0" w:color="auto"/>
                          <w:bottom w:val="single" w:sz="4" w:space="0" w:color="000000"/>
                          <w:right w:val="nil" w:sz="6" w:space="0" w:color="auto"/>
                        </w:tcBorders>
                      </w:tcPr>
                      <w:p>
                        <w:pPr/>
                      </w:p>
                    </w:tc>
                    <w:tc>
                      <w:tcPr>
                        <w:tcW w:w="958" w:type="dxa"/>
                        <w:tcBorders>
                          <w:top w:val="single" w:sz="4" w:space="0" w:color="000000"/>
                          <w:left w:val="nil" w:sz="6" w:space="0" w:color="auto"/>
                          <w:bottom w:val="single" w:sz="4" w:space="0" w:color="000000"/>
                          <w:right w:val="nil" w:sz="6" w:space="0" w:color="auto"/>
                        </w:tcBorders>
                      </w:tcPr>
                      <w:p>
                        <w:pPr/>
                      </w:p>
                    </w:tc>
                    <w:tc>
                      <w:tcPr>
                        <w:tcW w:w="98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50"/>
                          <w:jc w:val="right"/>
                          <w:rPr>
                            <w:rFonts w:ascii="Times New Roman" w:hAnsi="Times New Roman" w:cs="Times New Roman" w:eastAsia="Times New Roman" w:hint="default"/>
                            <w:sz w:val="18"/>
                            <w:szCs w:val="18"/>
                          </w:rPr>
                        </w:pPr>
                        <w:r>
                          <w:rPr>
                            <w:rFonts w:ascii="Times New Roman"/>
                            <w:spacing w:val="-1"/>
                            <w:sz w:val="18"/>
                          </w:rPr>
                          <w:t>3,007,459.5</w:t>
                        </w:r>
                      </w:p>
                      <w:p>
                        <w:pPr>
                          <w:pStyle w:val="TableParagraph"/>
                          <w:spacing w:line="240" w:lineRule="auto" w:before="106"/>
                          <w:ind w:right="49"/>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95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302" w:lineRule="auto" w:before="51"/>
                          <w:ind w:left="27" w:right="7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56" w:type="dxa"/>
                        <w:tcBorders>
                          <w:top w:val="single" w:sz="4" w:space="0" w:color="000000"/>
                          <w:left w:val="nil" w:sz="6" w:space="0" w:color="auto"/>
                          <w:bottom w:val="single" w:sz="4" w:space="0" w:color="000000"/>
                          <w:right w:val="nil" w:sz="6" w:space="0" w:color="auto"/>
                        </w:tcBorders>
                      </w:tcPr>
                      <w:p>
                        <w:pPr/>
                      </w:p>
                    </w:tc>
                    <w:tc>
                      <w:tcPr>
                        <w:tcW w:w="958" w:type="dxa"/>
                        <w:tcBorders>
                          <w:top w:val="single" w:sz="4" w:space="0" w:color="000000"/>
                          <w:left w:val="nil" w:sz="6" w:space="0" w:color="auto"/>
                          <w:bottom w:val="single" w:sz="4" w:space="0" w:color="000000"/>
                          <w:right w:val="nil" w:sz="6" w:space="0" w:color="auto"/>
                        </w:tcBorders>
                      </w:tcPr>
                      <w:p>
                        <w:pPr/>
                      </w:p>
                    </w:tc>
                    <w:tc>
                      <w:tcPr>
                        <w:tcW w:w="957" w:type="dxa"/>
                        <w:tcBorders>
                          <w:top w:val="single" w:sz="4" w:space="0" w:color="000000"/>
                          <w:left w:val="nil" w:sz="6" w:space="0" w:color="auto"/>
                          <w:bottom w:val="single" w:sz="4" w:space="0" w:color="000000"/>
                          <w:right w:val="nil" w:sz="6" w:space="0" w:color="auto"/>
                        </w:tcBorders>
                      </w:tcPr>
                      <w:p>
                        <w:pPr/>
                      </w:p>
                    </w:tc>
                    <w:tc>
                      <w:tcPr>
                        <w:tcW w:w="958"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2,190,421.9</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4</w:t>
                        </w:r>
                      </w:p>
                    </w:tc>
                    <w:tc>
                      <w:tcPr>
                        <w:tcW w:w="956"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42,341.18</w:t>
                        </w:r>
                      </w:p>
                    </w:tc>
                    <w:tc>
                      <w:tcPr>
                        <w:tcW w:w="95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619,345.87</w:t>
                        </w:r>
                      </w:p>
                    </w:tc>
                    <w:tc>
                      <w:tcPr>
                        <w:tcW w:w="957"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862,670.38</w:t>
                        </w:r>
                      </w:p>
                    </w:tc>
                    <w:tc>
                      <w:tcPr>
                        <w:tcW w:w="95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175,686.58</w:t>
                        </w:r>
                      </w:p>
                    </w:tc>
                    <w:tc>
                      <w:tcPr>
                        <w:tcW w:w="98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50"/>
                          <w:jc w:val="right"/>
                          <w:rPr>
                            <w:rFonts w:ascii="Times New Roman" w:hAnsi="Times New Roman" w:cs="Times New Roman" w:eastAsia="Times New Roman" w:hint="default"/>
                            <w:sz w:val="18"/>
                            <w:szCs w:val="18"/>
                          </w:rPr>
                        </w:pPr>
                        <w:r>
                          <w:rPr>
                            <w:rFonts w:ascii="Times New Roman"/>
                            <w:spacing w:val="-1"/>
                            <w:sz w:val="18"/>
                          </w:rPr>
                          <w:t>3,890,465.9</w:t>
                        </w:r>
                      </w:p>
                      <w:p>
                        <w:pPr>
                          <w:pStyle w:val="TableParagraph"/>
                          <w:spacing w:line="240" w:lineRule="auto" w:before="106"/>
                          <w:ind w:right="49"/>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914" w:type="dxa"/>
                        <w:gridSpan w:val="2"/>
                        <w:tcBorders>
                          <w:top w:val="single" w:sz="4" w:space="0" w:color="000000"/>
                          <w:left w:val="nil" w:sz="6" w:space="0" w:color="auto"/>
                          <w:bottom w:val="nil" w:sz="6" w:space="0" w:color="auto"/>
                          <w:right w:val="nil" w:sz="6" w:space="0" w:color="auto"/>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958" w:type="dxa"/>
                        <w:tcBorders>
                          <w:top w:val="single" w:sz="4" w:space="0" w:color="000000"/>
                          <w:left w:val="nil" w:sz="6" w:space="0" w:color="auto"/>
                          <w:bottom w:val="nil" w:sz="6" w:space="0" w:color="auto"/>
                          <w:right w:val="nil" w:sz="6" w:space="0" w:color="auto"/>
                        </w:tcBorders>
                      </w:tcPr>
                      <w:p>
                        <w:pPr/>
                      </w:p>
                    </w:tc>
                    <w:tc>
                      <w:tcPr>
                        <w:tcW w:w="957" w:type="dxa"/>
                        <w:tcBorders>
                          <w:top w:val="single" w:sz="4" w:space="0" w:color="000000"/>
                          <w:left w:val="nil" w:sz="6" w:space="0" w:color="auto"/>
                          <w:bottom w:val="nil" w:sz="6" w:space="0" w:color="auto"/>
                          <w:right w:val="nil" w:sz="6" w:space="0" w:color="auto"/>
                        </w:tcBorders>
                      </w:tcPr>
                      <w:p>
                        <w:pPr/>
                      </w:p>
                    </w:tc>
                    <w:tc>
                      <w:tcPr>
                        <w:tcW w:w="958"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2,190,421.9</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4</w:t>
                        </w:r>
                      </w:p>
                    </w:tc>
                    <w:tc>
                      <w:tcPr>
                        <w:tcW w:w="95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42,341.18</w:t>
                        </w:r>
                      </w:p>
                    </w:tc>
                    <w:tc>
                      <w:tcPr>
                        <w:tcW w:w="95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619,345.87</w:t>
                        </w:r>
                      </w:p>
                    </w:tc>
                    <w:tc>
                      <w:tcPr>
                        <w:tcW w:w="95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862,670.38</w:t>
                        </w:r>
                      </w:p>
                    </w:tc>
                    <w:tc>
                      <w:tcPr>
                        <w:tcW w:w="95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175,686.58</w:t>
                        </w:r>
                      </w:p>
                    </w:tc>
                    <w:tc>
                      <w:tcPr>
                        <w:tcW w:w="980"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50"/>
                          <w:jc w:val="right"/>
                          <w:rPr>
                            <w:rFonts w:ascii="Times New Roman" w:hAnsi="Times New Roman" w:cs="Times New Roman" w:eastAsia="Times New Roman" w:hint="default"/>
                            <w:sz w:val="18"/>
                            <w:szCs w:val="18"/>
                          </w:rPr>
                        </w:pPr>
                        <w:r>
                          <w:rPr>
                            <w:rFonts w:ascii="Times New Roman"/>
                            <w:spacing w:val="-1"/>
                            <w:sz w:val="18"/>
                          </w:rPr>
                          <w:t>3,890,465.9</w:t>
                        </w:r>
                      </w:p>
                      <w:p>
                        <w:pPr>
                          <w:pStyle w:val="TableParagraph"/>
                          <w:spacing w:line="240" w:lineRule="auto" w:before="106"/>
                          <w:ind w:right="49"/>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958" w:type="dxa"/>
                        <w:tcBorders>
                          <w:top w:val="nil" w:sz="6" w:space="0" w:color="auto"/>
                          <w:left w:val="nil" w:sz="6" w:space="0" w:color="auto"/>
                          <w:bottom w:val="nil" w:sz="6" w:space="0" w:color="auto"/>
                          <w:right w:val="nil" w:sz="6" w:space="0" w:color="auto"/>
                        </w:tcBorders>
                        <w:shd w:val="clear" w:color="auto" w:fill="E0FFFF"/>
                      </w:tcPr>
                      <w:p>
                        <w:pPr/>
                      </w:p>
                    </w:tc>
                    <w:tc>
                      <w:tcPr>
                        <w:tcW w:w="956"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r>
                  <w:tr>
                    <w:trPr>
                      <w:trHeight w:val="714" w:hRule="exact"/>
                    </w:trPr>
                    <w:tc>
                      <w:tcPr>
                        <w:tcW w:w="958" w:type="dxa"/>
                        <w:tcBorders>
                          <w:top w:val="nil" w:sz="6" w:space="0" w:color="auto"/>
                          <w:left w:val="nil" w:sz="6" w:space="0" w:color="auto"/>
                          <w:bottom w:val="single" w:sz="4" w:space="0" w:color="000000"/>
                          <w:right w:val="nil" w:sz="6" w:space="0" w:color="auto"/>
                        </w:tcBorders>
                        <w:shd w:val="clear" w:color="auto" w:fill="D2D2D2"/>
                      </w:tcPr>
                      <w:p>
                        <w:pPr>
                          <w:pStyle w:val="TableParagraph"/>
                          <w:spacing w:line="302" w:lineRule="auto" w:before="56"/>
                          <w:ind w:left="27" w:right="7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956" w:type="dxa"/>
                        <w:tcBorders>
                          <w:top w:val="nil" w:sz="6" w:space="0" w:color="auto"/>
                          <w:left w:val="nil" w:sz="6" w:space="0" w:color="auto"/>
                          <w:bottom w:val="single" w:sz="4" w:space="0" w:color="000000"/>
                          <w:right w:val="nil" w:sz="6" w:space="0" w:color="auto"/>
                        </w:tcBorders>
                      </w:tcPr>
                      <w:p>
                        <w:pPr/>
                      </w:p>
                    </w:tc>
                    <w:tc>
                      <w:tcPr>
                        <w:tcW w:w="958" w:type="dxa"/>
                        <w:tcBorders>
                          <w:top w:val="nil" w:sz="6" w:space="0" w:color="auto"/>
                          <w:left w:val="nil" w:sz="6" w:space="0" w:color="auto"/>
                          <w:bottom w:val="single" w:sz="4" w:space="0" w:color="000000"/>
                          <w:right w:val="nil" w:sz="6" w:space="0" w:color="auto"/>
                        </w:tcBorders>
                      </w:tcPr>
                      <w:p>
                        <w:pPr/>
                      </w:p>
                    </w:tc>
                    <w:tc>
                      <w:tcPr>
                        <w:tcW w:w="957" w:type="dxa"/>
                        <w:tcBorders>
                          <w:top w:val="nil" w:sz="6" w:space="0" w:color="auto"/>
                          <w:left w:val="nil" w:sz="6" w:space="0" w:color="auto"/>
                          <w:bottom w:val="single" w:sz="4" w:space="0" w:color="000000"/>
                          <w:right w:val="nil" w:sz="6" w:space="0" w:color="auto"/>
                        </w:tcBorders>
                      </w:tcPr>
                      <w:p>
                        <w:pPr/>
                      </w:p>
                    </w:tc>
                    <w:tc>
                      <w:tcPr>
                        <w:tcW w:w="958" w:type="dxa"/>
                        <w:tcBorders>
                          <w:top w:val="nil" w:sz="6" w:space="0" w:color="auto"/>
                          <w:left w:val="nil" w:sz="6" w:space="0" w:color="auto"/>
                          <w:bottom w:val="single" w:sz="4" w:space="0" w:color="000000"/>
                          <w:right w:val="nil" w:sz="6" w:space="0" w:color="auto"/>
                        </w:tcBorders>
                      </w:tcPr>
                      <w:p>
                        <w:pPr/>
                      </w:p>
                    </w:tc>
                    <w:tc>
                      <w:tcPr>
                        <w:tcW w:w="956" w:type="dxa"/>
                        <w:tcBorders>
                          <w:top w:val="nil" w:sz="6" w:space="0" w:color="auto"/>
                          <w:left w:val="nil" w:sz="6" w:space="0" w:color="auto"/>
                          <w:bottom w:val="single" w:sz="4" w:space="0" w:color="000000"/>
                          <w:right w:val="nil" w:sz="6" w:space="0" w:color="auto"/>
                        </w:tcBorders>
                      </w:tcPr>
                      <w:p>
                        <w:pPr/>
                      </w:p>
                    </w:tc>
                    <w:tc>
                      <w:tcPr>
                        <w:tcW w:w="958" w:type="dxa"/>
                        <w:tcBorders>
                          <w:top w:val="nil" w:sz="6" w:space="0" w:color="auto"/>
                          <w:left w:val="nil" w:sz="6" w:space="0" w:color="auto"/>
                          <w:bottom w:val="single" w:sz="4" w:space="0" w:color="000000"/>
                          <w:right w:val="nil" w:sz="6" w:space="0" w:color="auto"/>
                        </w:tcBorders>
                      </w:tcPr>
                      <w:p>
                        <w:pPr/>
                      </w:p>
                    </w:tc>
                    <w:tc>
                      <w:tcPr>
                        <w:tcW w:w="957" w:type="dxa"/>
                        <w:tcBorders>
                          <w:top w:val="nil" w:sz="6" w:space="0" w:color="auto"/>
                          <w:left w:val="nil" w:sz="6" w:space="0" w:color="auto"/>
                          <w:bottom w:val="single" w:sz="4" w:space="0" w:color="000000"/>
                          <w:right w:val="nil" w:sz="6" w:space="0" w:color="auto"/>
                        </w:tcBorders>
                      </w:tcPr>
                      <w:p>
                        <w:pPr/>
                      </w:p>
                    </w:tc>
                    <w:tc>
                      <w:tcPr>
                        <w:tcW w:w="958" w:type="dxa"/>
                        <w:tcBorders>
                          <w:top w:val="nil" w:sz="6" w:space="0" w:color="auto"/>
                          <w:left w:val="nil" w:sz="6" w:space="0" w:color="auto"/>
                          <w:bottom w:val="single" w:sz="4" w:space="0" w:color="000000"/>
                          <w:right w:val="nil" w:sz="6" w:space="0" w:color="auto"/>
                        </w:tcBorders>
                      </w:tcPr>
                      <w:p>
                        <w:pPr/>
                      </w:p>
                    </w:tc>
                    <w:tc>
                      <w:tcPr>
                        <w:tcW w:w="980" w:type="dxa"/>
                        <w:tcBorders>
                          <w:top w:val="nil" w:sz="6" w:space="0" w:color="auto"/>
                          <w:left w:val="nil" w:sz="6" w:space="0" w:color="auto"/>
                          <w:bottom w:val="single" w:sz="4" w:space="0" w:color="000000"/>
                          <w:right w:val="nil" w:sz="6" w:space="0" w:color="auto"/>
                        </w:tcBorders>
                      </w:tcPr>
                      <w:p>
                        <w:pPr/>
                      </w:p>
                    </w:tc>
                  </w:tr>
                  <w:tr>
                    <w:trPr>
                      <w:trHeight w:val="714" w:hRule="exact"/>
                    </w:trPr>
                    <w:tc>
                      <w:tcPr>
                        <w:tcW w:w="1914" w:type="dxa"/>
                        <w:gridSpan w:val="2"/>
                        <w:tcBorders>
                          <w:top w:val="single" w:sz="4" w:space="0" w:color="000000"/>
                          <w:left w:val="nil" w:sz="6" w:space="0" w:color="auto"/>
                          <w:bottom w:val="nil" w:sz="6" w:space="0" w:color="auto"/>
                          <w:right w:val="nil" w:sz="6" w:space="0" w:color="auto"/>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58" w:type="dxa"/>
                        <w:tcBorders>
                          <w:top w:val="single" w:sz="4" w:space="0" w:color="000000"/>
                          <w:left w:val="nil" w:sz="6" w:space="0" w:color="auto"/>
                          <w:bottom w:val="nil" w:sz="6" w:space="0" w:color="auto"/>
                          <w:right w:val="nil" w:sz="6" w:space="0" w:color="auto"/>
                        </w:tcBorders>
                      </w:tcPr>
                      <w:p>
                        <w:pPr/>
                      </w:p>
                    </w:tc>
                    <w:tc>
                      <w:tcPr>
                        <w:tcW w:w="957" w:type="dxa"/>
                        <w:tcBorders>
                          <w:top w:val="single" w:sz="4" w:space="0" w:color="000000"/>
                          <w:left w:val="nil" w:sz="6" w:space="0" w:color="auto"/>
                          <w:bottom w:val="nil" w:sz="6" w:space="0" w:color="auto"/>
                          <w:right w:val="nil" w:sz="6" w:space="0" w:color="auto"/>
                        </w:tcBorders>
                      </w:tcPr>
                      <w:p>
                        <w:pPr/>
                      </w:p>
                    </w:tc>
                    <w:tc>
                      <w:tcPr>
                        <w:tcW w:w="958" w:type="dxa"/>
                        <w:tcBorders>
                          <w:top w:val="single" w:sz="4" w:space="0" w:color="000000"/>
                          <w:left w:val="nil" w:sz="6" w:space="0" w:color="auto"/>
                          <w:bottom w:val="nil" w:sz="6" w:space="0" w:color="auto"/>
                          <w:right w:val="nil" w:sz="6" w:space="0" w:color="auto"/>
                        </w:tcBorders>
                      </w:tcPr>
                      <w:p>
                        <w:pPr/>
                      </w:p>
                    </w:tc>
                    <w:tc>
                      <w:tcPr>
                        <w:tcW w:w="956" w:type="dxa"/>
                        <w:tcBorders>
                          <w:top w:val="single" w:sz="4" w:space="0" w:color="000000"/>
                          <w:left w:val="nil" w:sz="6" w:space="0" w:color="auto"/>
                          <w:bottom w:val="nil" w:sz="6" w:space="0" w:color="auto"/>
                          <w:right w:val="nil" w:sz="6" w:space="0" w:color="auto"/>
                        </w:tcBorders>
                      </w:tcPr>
                      <w:p>
                        <w:pPr/>
                      </w:p>
                    </w:tc>
                    <w:tc>
                      <w:tcPr>
                        <w:tcW w:w="958" w:type="dxa"/>
                        <w:tcBorders>
                          <w:top w:val="single" w:sz="4" w:space="0" w:color="000000"/>
                          <w:left w:val="nil" w:sz="6" w:space="0" w:color="auto"/>
                          <w:bottom w:val="nil" w:sz="6" w:space="0" w:color="auto"/>
                          <w:right w:val="nil" w:sz="6" w:space="0" w:color="auto"/>
                        </w:tcBorders>
                      </w:tcPr>
                      <w:p>
                        <w:pPr/>
                      </w:p>
                    </w:tc>
                    <w:tc>
                      <w:tcPr>
                        <w:tcW w:w="957" w:type="dxa"/>
                        <w:tcBorders>
                          <w:top w:val="single" w:sz="4" w:space="0" w:color="000000"/>
                          <w:left w:val="nil" w:sz="6" w:space="0" w:color="auto"/>
                          <w:bottom w:val="nil" w:sz="6" w:space="0" w:color="auto"/>
                          <w:right w:val="nil" w:sz="6" w:space="0" w:color="auto"/>
                        </w:tcBorders>
                      </w:tcPr>
                      <w:p>
                        <w:pPr/>
                      </w:p>
                    </w:tc>
                    <w:tc>
                      <w:tcPr>
                        <w:tcW w:w="958" w:type="dxa"/>
                        <w:tcBorders>
                          <w:top w:val="single" w:sz="4" w:space="0" w:color="000000"/>
                          <w:left w:val="nil" w:sz="6" w:space="0" w:color="auto"/>
                          <w:bottom w:val="nil" w:sz="6" w:space="0" w:color="auto"/>
                          <w:right w:val="nil" w:sz="6" w:space="0" w:color="auto"/>
                        </w:tcBorders>
                      </w:tcPr>
                      <w:p>
                        <w:pPr/>
                      </w:p>
                    </w:tc>
                    <w:tc>
                      <w:tcPr>
                        <w:tcW w:w="980" w:type="dxa"/>
                        <w:tcBorders>
                          <w:top w:val="single" w:sz="4" w:space="0" w:color="000000"/>
                          <w:left w:val="nil" w:sz="6" w:space="0" w:color="auto"/>
                          <w:bottom w:val="nil" w:sz="6" w:space="0" w:color="auto"/>
                          <w:right w:val="nil" w:sz="6" w:space="0" w:color="auto"/>
                        </w:tcBorders>
                      </w:tcPr>
                      <w:p>
                        <w:pPr/>
                      </w:p>
                    </w:tc>
                  </w:tr>
                  <w:tr>
                    <w:trPr>
                      <w:trHeight w:val="402" w:hRule="exact"/>
                    </w:trPr>
                    <w:tc>
                      <w:tcPr>
                        <w:tcW w:w="958" w:type="dxa"/>
                        <w:tcBorders>
                          <w:top w:val="nil" w:sz="6" w:space="0" w:color="auto"/>
                          <w:left w:val="nil" w:sz="6" w:space="0" w:color="auto"/>
                          <w:bottom w:val="nil" w:sz="6" w:space="0" w:color="auto"/>
                          <w:right w:val="nil" w:sz="6" w:space="0" w:color="auto"/>
                        </w:tcBorders>
                        <w:shd w:val="clear" w:color="auto" w:fill="E0FFFF"/>
                      </w:tcPr>
                      <w:p>
                        <w:pPr/>
                      </w:p>
                    </w:tc>
                    <w:tc>
                      <w:tcPr>
                        <w:tcW w:w="956"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
                    </w:tc>
                  </w:tr>
                  <w:tr>
                    <w:trPr>
                      <w:trHeight w:val="714" w:hRule="exact"/>
                    </w:trPr>
                    <w:tc>
                      <w:tcPr>
                        <w:tcW w:w="958" w:type="dxa"/>
                        <w:tcBorders>
                          <w:top w:val="nil" w:sz="6" w:space="0" w:color="auto"/>
                          <w:left w:val="nil" w:sz="6" w:space="0" w:color="auto"/>
                          <w:bottom w:val="single" w:sz="4" w:space="0" w:color="000000"/>
                          <w:right w:val="nil" w:sz="6" w:space="0" w:color="auto"/>
                        </w:tcBorders>
                        <w:shd w:val="clear" w:color="auto" w:fill="D2D2D2"/>
                      </w:tcPr>
                      <w:p>
                        <w:pPr>
                          <w:pStyle w:val="TableParagraph"/>
                          <w:spacing w:line="302" w:lineRule="auto" w:before="56"/>
                          <w:ind w:left="27" w:right="7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956" w:type="dxa"/>
                        <w:tcBorders>
                          <w:top w:val="nil" w:sz="6" w:space="0" w:color="auto"/>
                          <w:left w:val="nil" w:sz="6" w:space="0" w:color="auto"/>
                          <w:bottom w:val="single" w:sz="4" w:space="0" w:color="000000"/>
                          <w:right w:val="nil" w:sz="6" w:space="0" w:color="auto"/>
                        </w:tcBorders>
                      </w:tcPr>
                      <w:p>
                        <w:pPr/>
                      </w:p>
                    </w:tc>
                    <w:tc>
                      <w:tcPr>
                        <w:tcW w:w="958" w:type="dxa"/>
                        <w:tcBorders>
                          <w:top w:val="nil" w:sz="6" w:space="0" w:color="auto"/>
                          <w:left w:val="nil" w:sz="6" w:space="0" w:color="auto"/>
                          <w:bottom w:val="single" w:sz="4" w:space="0" w:color="000000"/>
                          <w:right w:val="nil" w:sz="6" w:space="0" w:color="auto"/>
                        </w:tcBorders>
                      </w:tcPr>
                      <w:p>
                        <w:pPr/>
                      </w:p>
                    </w:tc>
                    <w:tc>
                      <w:tcPr>
                        <w:tcW w:w="957" w:type="dxa"/>
                        <w:tcBorders>
                          <w:top w:val="nil" w:sz="6" w:space="0" w:color="auto"/>
                          <w:left w:val="nil" w:sz="6" w:space="0" w:color="auto"/>
                          <w:bottom w:val="single" w:sz="4" w:space="0" w:color="000000"/>
                          <w:right w:val="nil" w:sz="6" w:space="0" w:color="auto"/>
                        </w:tcBorders>
                      </w:tcPr>
                      <w:p>
                        <w:pPr/>
                      </w:p>
                    </w:tc>
                    <w:tc>
                      <w:tcPr>
                        <w:tcW w:w="958"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4,198,244.0</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1</w:t>
                        </w:r>
                      </w:p>
                    </w:tc>
                    <w:tc>
                      <w:tcPr>
                        <w:tcW w:w="95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77,229.31</w:t>
                        </w:r>
                      </w:p>
                    </w:tc>
                    <w:tc>
                      <w:tcPr>
                        <w:tcW w:w="958"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1,584,095.1</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9</w:t>
                        </w:r>
                      </w:p>
                    </w:tc>
                    <w:tc>
                      <w:tcPr>
                        <w:tcW w:w="95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862,670.38</w:t>
                        </w:r>
                      </w:p>
                    </w:tc>
                    <w:tc>
                      <w:tcPr>
                        <w:tcW w:w="95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175,686.58</w:t>
                        </w:r>
                      </w:p>
                    </w:tc>
                    <w:tc>
                      <w:tcPr>
                        <w:tcW w:w="980"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50"/>
                          <w:jc w:val="right"/>
                          <w:rPr>
                            <w:rFonts w:ascii="Times New Roman" w:hAnsi="Times New Roman" w:cs="Times New Roman" w:eastAsia="Times New Roman" w:hint="default"/>
                            <w:sz w:val="18"/>
                            <w:szCs w:val="18"/>
                          </w:rPr>
                        </w:pPr>
                        <w:r>
                          <w:rPr>
                            <w:rFonts w:ascii="Times New Roman"/>
                            <w:spacing w:val="-1"/>
                            <w:sz w:val="18"/>
                          </w:rPr>
                          <w:t>6,897,925.4</w:t>
                        </w:r>
                      </w:p>
                      <w:p>
                        <w:pPr>
                          <w:pStyle w:val="TableParagraph"/>
                          <w:spacing w:line="240" w:lineRule="auto" w:before="106"/>
                          <w:ind w:right="49"/>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95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319" w:lineRule="auto" w:before="51"/>
                          <w:ind w:left="27" w:right="28"/>
                          <w:jc w:val="left"/>
                          <w:rPr>
                            <w:rFonts w:ascii="宋体" w:hAnsi="宋体" w:cs="宋体" w:eastAsia="宋体" w:hint="default"/>
                            <w:sz w:val="18"/>
                            <w:szCs w:val="18"/>
                          </w:rPr>
                        </w:pPr>
                        <w:r>
                          <w:rPr>
                            <w:rFonts w:ascii="宋体" w:hAnsi="宋体" w:cs="宋体" w:eastAsia="宋体" w:hint="default"/>
                            <w:sz w:val="18"/>
                            <w:szCs w:val="18"/>
                          </w:rPr>
                          <w:t>三、减值准 备</w:t>
                        </w:r>
                      </w:p>
                    </w:tc>
                    <w:tc>
                      <w:tcPr>
                        <w:tcW w:w="956" w:type="dxa"/>
                        <w:tcBorders>
                          <w:top w:val="single" w:sz="4" w:space="0" w:color="000000"/>
                          <w:left w:val="nil" w:sz="6" w:space="0" w:color="auto"/>
                          <w:bottom w:val="single" w:sz="4" w:space="0" w:color="000000"/>
                          <w:right w:val="nil" w:sz="6" w:space="0" w:color="auto"/>
                        </w:tcBorders>
                      </w:tcPr>
                      <w:p>
                        <w:pPr/>
                      </w:p>
                    </w:tc>
                    <w:tc>
                      <w:tcPr>
                        <w:tcW w:w="7681" w:type="dxa"/>
                        <w:gridSpan w:val="8"/>
                        <w:vMerge w:val="restart"/>
                        <w:tcBorders>
                          <w:top w:val="single" w:sz="4" w:space="0" w:color="000000"/>
                          <w:left w:val="nil" w:sz="6" w:space="0" w:color="auto"/>
                          <w:right w:val="nil" w:sz="6" w:space="0" w:color="auto"/>
                        </w:tcBorders>
                      </w:tcPr>
                      <w:p>
                        <w:pPr/>
                      </w:p>
                    </w:tc>
                  </w:tr>
                  <w:tr>
                    <w:trPr>
                      <w:trHeight w:val="714" w:hRule="exact"/>
                    </w:trPr>
                    <w:tc>
                      <w:tcPr>
                        <w:tcW w:w="95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302" w:lineRule="auto" w:before="51"/>
                          <w:ind w:left="27" w:right="7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956" w:type="dxa"/>
                        <w:tcBorders>
                          <w:top w:val="single" w:sz="4" w:space="0" w:color="000000"/>
                          <w:left w:val="nil" w:sz="6" w:space="0" w:color="auto"/>
                          <w:bottom w:val="single" w:sz="4" w:space="0" w:color="000000"/>
                          <w:right w:val="nil" w:sz="6" w:space="0" w:color="auto"/>
                        </w:tcBorders>
                      </w:tcPr>
                      <w:p>
                        <w:pPr/>
                      </w:p>
                    </w:tc>
                    <w:tc>
                      <w:tcPr>
                        <w:tcW w:w="7681" w:type="dxa"/>
                        <w:gridSpan w:val="8"/>
                        <w:vMerge/>
                        <w:tcBorders>
                          <w:left w:val="nil" w:sz="6" w:space="0" w:color="auto"/>
                          <w:right w:val="nil" w:sz="6" w:space="0" w:color="auto"/>
                        </w:tcBorders>
                      </w:tcPr>
                      <w:p>
                        <w:pPr/>
                      </w:p>
                    </w:tc>
                  </w:tr>
                  <w:tr>
                    <w:trPr>
                      <w:trHeight w:val="714" w:hRule="exact"/>
                    </w:trPr>
                    <w:tc>
                      <w:tcPr>
                        <w:tcW w:w="958" w:type="dxa"/>
                        <w:tcBorders>
                          <w:top w:val="single" w:sz="4" w:space="0" w:color="000000"/>
                          <w:left w:val="nil" w:sz="6" w:space="0" w:color="auto"/>
                          <w:bottom w:val="single" w:sz="4" w:space="0" w:color="000000"/>
                          <w:right w:val="nil" w:sz="6" w:space="0" w:color="auto"/>
                        </w:tcBorders>
                        <w:shd w:val="clear" w:color="auto" w:fill="D2D2D2"/>
                      </w:tcPr>
                      <w:p>
                        <w:pPr>
                          <w:pStyle w:val="TableParagraph"/>
                          <w:spacing w:line="302" w:lineRule="auto" w:before="51"/>
                          <w:ind w:left="27" w:right="7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56" w:type="dxa"/>
                        <w:tcBorders>
                          <w:top w:val="single" w:sz="4" w:space="0" w:color="000000"/>
                          <w:left w:val="nil" w:sz="6" w:space="0" w:color="auto"/>
                          <w:bottom w:val="single" w:sz="4" w:space="0" w:color="000000"/>
                          <w:right w:val="nil" w:sz="6" w:space="0" w:color="auto"/>
                        </w:tcBorders>
                      </w:tcPr>
                      <w:p>
                        <w:pPr/>
                      </w:p>
                    </w:tc>
                    <w:tc>
                      <w:tcPr>
                        <w:tcW w:w="7681" w:type="dxa"/>
                        <w:gridSpan w:val="8"/>
                        <w:vMerge/>
                        <w:tcBorders>
                          <w:left w:val="nil" w:sz="6" w:space="0" w:color="auto"/>
                          <w:right w:val="nil" w:sz="6" w:space="0" w:color="auto"/>
                        </w:tcBorders>
                      </w:tcPr>
                      <w:p>
                        <w:pPr/>
                      </w:p>
                    </w:tc>
                  </w:tr>
                  <w:tr>
                    <w:trPr>
                      <w:trHeight w:val="714" w:hRule="exact"/>
                    </w:trPr>
                    <w:tc>
                      <w:tcPr>
                        <w:tcW w:w="1914" w:type="dxa"/>
                        <w:gridSpan w:val="2"/>
                        <w:tcBorders>
                          <w:top w:val="single" w:sz="4" w:space="0" w:color="000000"/>
                          <w:left w:val="nil" w:sz="6" w:space="0" w:color="auto"/>
                          <w:bottom w:val="nil" w:sz="6" w:space="0" w:color="auto"/>
                          <w:right w:val="nil" w:sz="6" w:space="0" w:color="auto"/>
                        </w:tcBorders>
                        <w:shd w:val="clear" w:color="auto" w:fill="D2D2D2"/>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7681" w:type="dxa"/>
                        <w:gridSpan w:val="8"/>
                        <w:vMerge/>
                        <w:tcBorders>
                          <w:left w:val="nil" w:sz="6" w:space="0" w:color="auto"/>
                          <w:right w:val="nil" w:sz="6" w:space="0" w:color="auto"/>
                        </w:tcBorders>
                      </w:tcPr>
                      <w:p>
                        <w:pPr/>
                      </w:p>
                    </w:tc>
                  </w:tr>
                  <w:tr>
                    <w:trPr>
                      <w:trHeight w:val="402" w:hRule="exact"/>
                    </w:trPr>
                    <w:tc>
                      <w:tcPr>
                        <w:tcW w:w="958" w:type="dxa"/>
                        <w:tcBorders>
                          <w:top w:val="nil" w:sz="6" w:space="0" w:color="auto"/>
                          <w:left w:val="nil" w:sz="6" w:space="0" w:color="auto"/>
                          <w:bottom w:val="nil" w:sz="6" w:space="0" w:color="auto"/>
                          <w:right w:val="nil" w:sz="6" w:space="0" w:color="auto"/>
                        </w:tcBorders>
                        <w:shd w:val="clear" w:color="auto" w:fill="E0FFFF"/>
                      </w:tcPr>
                      <w:p>
                        <w:pPr/>
                      </w:p>
                    </w:tc>
                    <w:tc>
                      <w:tcPr>
                        <w:tcW w:w="956" w:type="dxa"/>
                        <w:tcBorders>
                          <w:top w:val="nil" w:sz="6" w:space="0" w:color="auto"/>
                          <w:left w:val="nil" w:sz="6" w:space="0" w:color="auto"/>
                          <w:bottom w:val="nil" w:sz="6" w:space="0" w:color="auto"/>
                          <w:right w:val="nil" w:sz="6" w:space="0" w:color="auto"/>
                        </w:tcBorders>
                      </w:tcPr>
                      <w:p>
                        <w:pPr/>
                      </w:p>
                    </w:tc>
                    <w:tc>
                      <w:tcPr>
                        <w:tcW w:w="7681" w:type="dxa"/>
                        <w:gridSpan w:val="8"/>
                        <w:vMerge/>
                        <w:tcBorders>
                          <w:left w:val="nil" w:sz="6" w:space="0" w:color="auto"/>
                          <w:right w:val="nil" w:sz="6" w:space="0" w:color="auto"/>
                        </w:tcBorders>
                      </w:tcPr>
                      <w:p>
                        <w:pPr/>
                      </w:p>
                    </w:tc>
                  </w:tr>
                  <w:tr>
                    <w:trPr>
                      <w:trHeight w:val="714" w:hRule="exact"/>
                    </w:trPr>
                    <w:tc>
                      <w:tcPr>
                        <w:tcW w:w="95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302" w:lineRule="auto" w:before="56"/>
                          <w:ind w:left="27" w:right="7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956" w:type="dxa"/>
                        <w:tcBorders>
                          <w:top w:val="nil" w:sz="6" w:space="0" w:color="auto"/>
                          <w:left w:val="nil" w:sz="6" w:space="0" w:color="auto"/>
                          <w:bottom w:val="nil" w:sz="6" w:space="0" w:color="auto"/>
                          <w:right w:val="nil" w:sz="6" w:space="0" w:color="auto"/>
                        </w:tcBorders>
                      </w:tcPr>
                      <w:p>
                        <w:pPr/>
                      </w:p>
                    </w:tc>
                    <w:tc>
                      <w:tcPr>
                        <w:tcW w:w="7681" w:type="dxa"/>
                        <w:gridSpan w:val="8"/>
                        <w:vMerge/>
                        <w:tcBorders>
                          <w:left w:val="nil" w:sz="6" w:space="0" w:color="auto"/>
                          <w:bottom w:val="nil" w:sz="6" w:space="0" w:color="auto"/>
                          <w:right w:val="nil" w:sz="6" w:space="0" w:color="auto"/>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left="181" w:right="0"/>
        <w:jc w:val="left"/>
      </w:pPr>
      <w:r>
        <w:rPr/>
        <w:pict>
          <v:shape style="position:absolute;margin-left:98.599998pt;margin-top:-18.168272pt;width:53.6pt;height:15.6pt;mso-position-horizontal-relative:page;mso-position-vertical-relative:paragraph;z-index:-859240" type="#_x0000_t202" filled="false" stroked="false">
            <v:textbox inset="0,0,0,0">
              <w:txbxContent>
                <w:p>
                  <w:pPr>
                    <w:pStyle w:val="BodyText"/>
                    <w:spacing w:line="240" w:lineRule="auto" w:before="51"/>
                    <w:ind w:left="0" w:right="0"/>
                    <w:jc w:val="left"/>
                  </w:pPr>
                  <w:r>
                    <w:rPr/>
                    <w:t>）</w:t>
                  </w:r>
                </w:p>
              </w:txbxContent>
            </v:textbox>
            <w10:wrap type="none"/>
          </v:shape>
        </w:pict>
      </w:r>
      <w:r>
        <w:rPr/>
        <w:t>企业合并增</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7"/>
        <w:gridCol w:w="957"/>
        <w:gridCol w:w="958"/>
        <w:gridCol w:w="957"/>
        <w:gridCol w:w="958"/>
        <w:gridCol w:w="956"/>
        <w:gridCol w:w="958"/>
        <w:gridCol w:w="957"/>
        <w:gridCol w:w="958"/>
        <w:gridCol w:w="956"/>
      </w:tblGrid>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pacing w:val="-23"/>
                <w:sz w:val="18"/>
                <w:szCs w:val="18"/>
              </w:rPr>
              <w:t>（</w:t>
            </w: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）处</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四、账面价 值</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53,371,755.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1,281,806.1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1,462,481.4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6,019,810.6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2,836,083.4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64,971,937.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55,562,177.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262,459.25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2,081,827.2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57,906,464.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47</w:t>
            </w:r>
          </w:p>
        </w:tc>
      </w:tr>
    </w:tbl>
    <w:p>
      <w:pPr>
        <w:pStyle w:val="BodyText"/>
        <w:spacing w:line="240" w:lineRule="auto" w:before="51"/>
        <w:ind w:left="15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3、商誉" w:id="257"/>
      <w:bookmarkEnd w:id="257"/>
      <w:r>
        <w:rPr>
          <w:b w:val="0"/>
          <w:bCs w:val="0"/>
        </w:rPr>
      </w:r>
      <w:r>
        <w:rPr>
          <w:rFonts w:ascii="Times New Roman" w:hAnsi="Times New Roman" w:cs="Times New Roman" w:eastAsia="Times New Roman" w:hint="default"/>
        </w:rPr>
        <w:t>13</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商誉账面原值" w:id="258"/>
      <w:bookmarkEnd w:id="25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冉十科技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918,243,613.35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918,243,613.35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浙江视科文化传 播有限公司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1,366,045,158.39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1,366,045,158.39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北京赛鸽天地广 告有限公司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24,384,874.07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24,384,874.07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2,284,288,771.74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24,384,874.07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2,308,673,645.81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商誉减值准备" w:id="259"/>
      <w:bookmarkEnd w:id="25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冉十科技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浙江视科文化传 播有限公司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北京赛鸽天地广</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告有限公司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0" w:lineRule="auto" w:before="51"/>
        <w:ind w:left="154" w:right="6080"/>
        <w:jc w:val="both"/>
      </w:pPr>
      <w:r>
        <w:rPr/>
        <w:t>说明商誉减值测试过程、参数及商誉减值损失的确认方法： 本期形成的商誉说明详见本附注八</w:t>
      </w:r>
      <w:r>
        <w:rPr>
          <w:rFonts w:ascii="Times New Roman" w:hAnsi="Times New Roman" w:cs="Times New Roman" w:eastAsia="Times New Roman" w:hint="default"/>
        </w:rPr>
        <w:t>(</w:t>
      </w:r>
      <w:r>
        <w:rPr/>
        <w:t>一</w:t>
      </w:r>
      <w:r>
        <w:rPr>
          <w:rFonts w:ascii="Times New Roman" w:hAnsi="Times New Roman" w:cs="Times New Roman" w:eastAsia="Times New Roman" w:hint="default"/>
        </w:rPr>
        <w:t>)2“</w:t>
      </w:r>
      <w:r>
        <w:rPr/>
        <w:t>合并成本及商誉</w:t>
      </w:r>
      <w:r>
        <w:rPr>
          <w:rFonts w:ascii="Times New Roman" w:hAnsi="Times New Roman" w:cs="Times New Roman" w:eastAsia="Times New Roman" w:hint="default"/>
        </w:rPr>
        <w:t>”</w:t>
      </w:r>
      <w:r>
        <w:rPr/>
        <w:t>。 其他说明</w:t>
      </w:r>
    </w:p>
    <w:p>
      <w:pPr>
        <w:pStyle w:val="BodyText"/>
        <w:spacing w:line="307" w:lineRule="auto" w:before="32"/>
        <w:ind w:right="1130"/>
        <w:jc w:val="both"/>
      </w:pPr>
      <w:r>
        <w:rPr>
          <w:spacing w:val="-2"/>
        </w:rPr>
        <w:t>北京中同华资产评估有限公司和深圳市世华资产评估有限公司接受本公司委托，根据有关法律、法规和资产评估准则、资产</w:t>
      </w:r>
      <w:r>
        <w:rPr>
          <w:spacing w:val="-66"/>
        </w:rPr>
        <w:t> </w:t>
      </w:r>
      <w:r>
        <w:rPr>
          <w:spacing w:val="-66"/>
        </w:rPr>
      </w:r>
      <w:r>
        <w:rPr>
          <w:spacing w:val="-2"/>
        </w:rPr>
        <w:t>评估原则，采用收益法，按照必要的评估程序，对本公司拟进行商誉减值测试所涉及的冉十科技、视科传媒和北京赛鸽天地</w:t>
      </w:r>
      <w:r>
        <w:rPr>
          <w:spacing w:val="-66"/>
        </w:rPr>
        <w:t> </w:t>
      </w:r>
      <w:r>
        <w:rPr>
          <w:spacing w:val="-66"/>
        </w:rPr>
      </w:r>
      <w:r>
        <w:rPr/>
        <w:t>资产组在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日的可回收价值进行了评估。根据评估结果，冉十科技、视科传媒和北京赛鸽天地广告有限公司</w:t>
      </w:r>
      <w:r>
        <w:rPr>
          <w:rFonts w:ascii="Times New Roman" w:hAnsi="Times New Roman" w:cs="Times New Roman" w:eastAsia="Times New Roman" w:hint="default"/>
        </w:rPr>
        <w:t>(</w:t>
      </w:r>
      <w:r>
        <w:rPr/>
        <w:t>以 </w:t>
      </w:r>
      <w:r>
        <w:rPr>
          <w:spacing w:val="-1"/>
        </w:rPr>
        <w:t>下简称北京赛鸽天地</w:t>
      </w:r>
      <w:r>
        <w:rPr>
          <w:rFonts w:ascii="Times New Roman" w:hAnsi="Times New Roman" w:cs="Times New Roman" w:eastAsia="Times New Roman" w:hint="default"/>
          <w:spacing w:val="-1"/>
        </w:rPr>
        <w:t>)</w:t>
      </w:r>
      <w:r>
        <w:rPr>
          <w:spacing w:val="-1"/>
        </w:rPr>
        <w:t>资产组的可回收价值分别为</w:t>
      </w:r>
      <w:r>
        <w:rPr>
          <w:rFonts w:ascii="Times New Roman" w:hAnsi="Times New Roman" w:cs="Times New Roman" w:eastAsia="Times New Roman" w:hint="default"/>
          <w:spacing w:val="-1"/>
        </w:rPr>
        <w:t>118,300.00</w:t>
      </w:r>
      <w:r>
        <w:rPr>
          <w:spacing w:val="-1"/>
        </w:rPr>
        <w:t>万元、</w:t>
      </w:r>
      <w:r>
        <w:rPr>
          <w:rFonts w:ascii="Times New Roman" w:hAnsi="Times New Roman" w:cs="Times New Roman" w:eastAsia="Times New Roman" w:hint="default"/>
          <w:spacing w:val="-1"/>
        </w:rPr>
        <w:t>189,600.00</w:t>
      </w:r>
      <w:r>
        <w:rPr>
          <w:spacing w:val="-1"/>
        </w:rPr>
        <w:t>万元和</w:t>
      </w:r>
      <w:r>
        <w:rPr>
          <w:rFonts w:ascii="Times New Roman" w:hAnsi="Times New Roman" w:cs="Times New Roman" w:eastAsia="Times New Roman" w:hint="default"/>
          <w:spacing w:val="-1"/>
        </w:rPr>
        <w:t>2,730.00</w:t>
      </w:r>
      <w:r>
        <w:rPr>
          <w:spacing w:val="-1"/>
        </w:rPr>
        <w:t>万元，比其账面净资产值分别高</w:t>
      </w:r>
      <w:r>
        <w:rPr>
          <w:spacing w:val="-77"/>
        </w:rPr>
        <w:t> </w:t>
      </w:r>
      <w:r>
        <w:rPr>
          <w:spacing w:val="-77"/>
        </w:rPr>
      </w:r>
      <w:r>
        <w:rPr>
          <w:spacing w:val="-2"/>
        </w:rPr>
        <w:t>出</w:t>
      </w:r>
      <w:r>
        <w:rPr>
          <w:rFonts w:ascii="Times New Roman" w:hAnsi="Times New Roman" w:cs="Times New Roman" w:eastAsia="Times New Roman" w:hint="default"/>
          <w:spacing w:val="-2"/>
        </w:rPr>
        <w:t>91,971.49</w:t>
      </w:r>
      <w:r>
        <w:rPr>
          <w:spacing w:val="-2"/>
        </w:rPr>
        <w:t>万元、</w:t>
      </w:r>
      <w:r>
        <w:rPr>
          <w:rFonts w:ascii="Times New Roman" w:hAnsi="Times New Roman" w:cs="Times New Roman" w:eastAsia="Times New Roman" w:hint="default"/>
          <w:spacing w:val="-2"/>
        </w:rPr>
        <w:t>136,826.92</w:t>
      </w:r>
      <w:r>
        <w:rPr>
          <w:spacing w:val="-2"/>
        </w:rPr>
        <w:t>万元和</w:t>
      </w:r>
      <w:r>
        <w:rPr>
          <w:rFonts w:ascii="Times New Roman" w:hAnsi="Times New Roman" w:cs="Times New Roman" w:eastAsia="Times New Roman" w:hint="default"/>
          <w:spacing w:val="-2"/>
        </w:rPr>
        <w:t>2,491.83</w:t>
      </w:r>
      <w:r>
        <w:rPr>
          <w:spacing w:val="-2"/>
        </w:rPr>
        <w:t>万元。经测试，本公司收购冉十科技、视科传媒和北京赛鸽天地形成的商誉均不</w:t>
      </w:r>
      <w:r>
        <w:rPr>
          <w:spacing w:val="-40"/>
        </w:rPr>
        <w:t> </w:t>
      </w:r>
      <w:r>
        <w:rPr>
          <w:spacing w:val="-40"/>
        </w:rPr>
      </w:r>
      <w:r>
        <w:rPr/>
        <w:t>存在减值情形，无须计提减值准备。</w:t>
      </w:r>
    </w:p>
    <w:p>
      <w:pPr>
        <w:spacing w:line="240" w:lineRule="auto" w:before="1"/>
        <w:rPr>
          <w:rFonts w:ascii="宋体" w:hAnsi="宋体" w:cs="宋体" w:eastAsia="宋体" w:hint="default"/>
          <w:sz w:val="23"/>
          <w:szCs w:val="23"/>
        </w:rPr>
      </w:pPr>
    </w:p>
    <w:p>
      <w:pPr>
        <w:pStyle w:val="Heading3"/>
        <w:spacing w:line="240" w:lineRule="auto"/>
        <w:ind w:right="0"/>
        <w:jc w:val="both"/>
        <w:rPr>
          <w:b w:val="0"/>
          <w:bCs w:val="0"/>
        </w:rPr>
      </w:pPr>
      <w:bookmarkStart w:name="14、长期待摊费用" w:id="260"/>
      <w:bookmarkEnd w:id="260"/>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租入固定资产改良 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1,186,471.20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777,484.11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408,987.09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信息接入费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245,282.98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245,282.98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刊号费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wifi </w:t>
            </w:r>
            <w:r>
              <w:rPr>
                <w:rFonts w:ascii="宋体" w:hAnsi="宋体" w:cs="宋体" w:eastAsia="宋体" w:hint="default"/>
                <w:sz w:val="18"/>
                <w:szCs w:val="18"/>
              </w:rPr>
              <w:t>探针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32,051.26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32,051.26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杭州火车东站灯箱 改造工程</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414,417.28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21,811.44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392,605.84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企业邮箱</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50,485.44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3,599.03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46,886.41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办公室装修费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1,170,019.47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292,504.87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877,514.60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1,738,805.44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1,634,922.19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1,432,733.69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1,940,993.94</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5、递延所得税资产/递延所得税负债" w:id="261"/>
      <w:bookmarkEnd w:id="261"/>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62"/>
      <w:bookmarkEnd w:id="26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42,107,161.80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9,194,803.90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34,206,446.08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8,414,121.69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预提业绩承诺奖励及费 用的所得税影响</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16,196,824.37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3,810,347.96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29,568,082.10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6,955,785.95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预收款项的所得税影响</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22,021,311.26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5,505,327.82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预计负债的所得税影响</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6,607,162.48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825,895.31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6,605,528.24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825,691.03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64,911,148.65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13,831,047.17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92,401,367.68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21,700,926.49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未经抵销的递延所得税负债" w:id="263"/>
      <w:bookmarkEnd w:id="26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评估增值额的所得税影 响</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53,442,506.04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13,360,626.51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56,539,766.16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14,134,941.54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53,442,506.04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13,360,626.51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56,539,766.16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14,134,941.54</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以抵销后净额列示的递延所得税资产或负债" w:id="264"/>
      <w:bookmarkEnd w:id="26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13,831,047.17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21,700,926.49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13,360,626.51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14,134,941.54</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未确认递延所得税资产明细" w:id="265"/>
      <w:bookmarkEnd w:id="26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1,055,305.26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416,014.42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32,369,109.46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27,157,756.40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33,424,414.72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27,573,770.82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未确认递延所得税资产的可抵扣亏损将于以下年度到期" w:id="266"/>
      <w:bookmarkEnd w:id="26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1,941,114.04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5,789,689.19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5,789,689.19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2,516,350.61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2,516,350.61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12,837,073.27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12,218,956.34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7,212,397.98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4,691,646.22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4,013,598.41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2"/>
        <w:gridCol w:w="2396"/>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7" w:right="0"/>
              <w:jc w:val="left"/>
              <w:rPr>
                <w:rFonts w:ascii="Times New Roman" w:hAnsi="Times New Roman" w:cs="Times New Roman" w:eastAsia="Times New Roman" w:hint="default"/>
                <w:sz w:val="18"/>
                <w:szCs w:val="18"/>
              </w:rPr>
            </w:pPr>
            <w:r>
              <w:rPr>
                <w:rFonts w:ascii="Times New Roman"/>
                <w:sz w:val="18"/>
              </w:rPr>
              <w:t>32,369,109.46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27,157,756.40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6、其他非流动资产" w:id="267"/>
      <w:bookmarkEnd w:id="267"/>
      <w:r>
        <w:rPr>
          <w:b w:val="0"/>
          <w:bCs w:val="0"/>
        </w:rPr>
      </w:r>
      <w:r>
        <w:rPr>
          <w:rFonts w:ascii="Times New Roman" w:hAnsi="Times New Roman" w:cs="Times New Roman" w:eastAsia="Times New Roman" w:hint="default"/>
        </w:rPr>
        <w:t>16</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预缴税款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29,549,910.93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预付购买股权款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预付固定资产采购款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6,971,562.28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13,784,955.88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预付购买太平洋游戏网资产与业务款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预付金蝶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系统建设费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6,971,562.28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77,994,366.81</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7、应付账款" w:id="268"/>
      <w:bookmarkEnd w:id="268"/>
      <w:r>
        <w:rPr>
          <w:b w:val="0"/>
          <w:bCs w:val="0"/>
        </w:rPr>
      </w:r>
      <w:r>
        <w:rPr>
          <w:rFonts w:ascii="Times New Roman" w:hAnsi="Times New Roman" w:cs="Times New Roman" w:eastAsia="Times New Roman" w:hint="default"/>
        </w:rPr>
        <w:t>17</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账款列示" w:id="269"/>
      <w:bookmarkEnd w:id="26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78,317,051.10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261,043,220.73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7,734,351.45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10,257,107.55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1,162,547.82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71,793,419.00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10,485,161.98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25,294,053.73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97,699,112.35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368,387,801.01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应付账款" w:id="270"/>
      <w:bookmarkEnd w:id="27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香港益通电子有限公司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3,606,173.87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年股权分置改革前遗留</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郑州平凡实业有限公司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2,177,361.26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年股权分置改革前遗留</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5,783,535.13</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8、预收款项" w:id="271"/>
      <w:bookmarkEnd w:id="271"/>
      <w:r>
        <w:rPr>
          <w:b w:val="0"/>
          <w:bCs w:val="0"/>
        </w:rPr>
      </w:r>
      <w:r>
        <w:rPr>
          <w:rFonts w:ascii="Times New Roman" w:hAnsi="Times New Roman" w:cs="Times New Roman" w:eastAsia="Times New Roman" w:hint="default"/>
        </w:rPr>
        <w:t>18</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预收款项列示" w:id="272"/>
      <w:bookmarkEnd w:id="27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32,710,727.75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278,914,757.71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1,587,973.15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156,038,941.93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10,926,223.77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34,298,700.90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445,879,923.41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9、应付职工薪酬" w:id="273"/>
      <w:bookmarkEnd w:id="273"/>
      <w:r>
        <w:rPr>
          <w:b w:val="0"/>
          <w:bCs w:val="0"/>
        </w:rPr>
      </w:r>
      <w:r>
        <w:rPr>
          <w:rFonts w:ascii="Times New Roman" w:hAnsi="Times New Roman" w:cs="Times New Roman" w:eastAsia="Times New Roman" w:hint="default"/>
        </w:rPr>
        <w:t>19</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职工薪酬列示" w:id="274"/>
      <w:bookmarkEnd w:id="27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6,501,968.28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48,123,446.50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46,137,317.35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8,488,097.43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50,966.92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3,746,269.07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3,765,977.17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31,258.82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491,306.68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200,616.68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290,690.00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6,552,935.20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52,361,022.25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50,103,911.20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8,810,046.25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短期薪酬列示" w:id="275"/>
      <w:bookmarkEnd w:id="27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6,403,278.41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42,658,783.61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40,676,812.30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8,385,249.72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60,878.00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1,532,671.09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1,516,579.09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76,970.00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36,111.87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2,198,121.13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2,208,355.29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25,877.71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32,964.72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1,953,921.72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1,963,119.15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23,767.29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70,726.40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71,224.01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173,473.01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174,012.13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2,003.42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1,614,469.68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1,616,169.68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105,859.57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105,859.57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13,541.42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13,541.42</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9" w:right="0"/>
              <w:jc w:val="left"/>
              <w:rPr>
                <w:rFonts w:ascii="Times New Roman" w:hAnsi="Times New Roman" w:cs="Times New Roman" w:eastAsia="Times New Roman" w:hint="default"/>
                <w:sz w:val="18"/>
                <w:szCs w:val="18"/>
              </w:rPr>
            </w:pPr>
            <w:r>
              <w:rPr>
                <w:rFonts w:ascii="Times New Roman"/>
                <w:sz w:val="18"/>
              </w:rPr>
              <w:t>6,501,968.28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48,123,446.50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46,137,317.35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8,488,097.43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设定提存计划列示" w:id="276"/>
      <w:bookmarkEnd w:id="27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48,491.96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3,599,152.46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3,617,977.01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29,667.41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147,116.61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148,000.16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1,591.41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50,966.92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3,746,269.07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3,765,977.17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31,258.82</w:t>
            </w:r>
          </w:p>
        </w:tc>
      </w:tr>
    </w:tbl>
    <w:p>
      <w:pPr>
        <w:pStyle w:val="BodyText"/>
        <w:spacing w:line="357" w:lineRule="auto" w:before="51"/>
        <w:ind w:right="8413"/>
        <w:jc w:val="left"/>
      </w:pPr>
      <w:r>
        <w:rPr/>
        <w:t>其他说明： 期末无拖欠性质的职工薪酬。</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20、应交税费" w:id="277"/>
      <w:bookmarkEnd w:id="277"/>
      <w:r>
        <w:rPr>
          <w:b w:val="0"/>
          <w:bCs w:val="0"/>
        </w:rPr>
      </w:r>
      <w:r>
        <w:rPr>
          <w:rFonts w:ascii="Times New Roman" w:hAnsi="Times New Roman" w:cs="Times New Roman" w:eastAsia="Times New Roman" w:hint="default"/>
        </w:rPr>
        <w:t>20</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7,688,578.84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9,865,978.81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40,654,645.06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50,842,566.57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602,641.96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361,677.94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738,603.84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818,744.95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4,421,789.17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4,421,789.17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1,299,764.96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3,571,410.39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28,805.39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243,753.96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128,984.32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5,802,278.08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11,022,889.57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3,892.98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228,768.95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315,166.82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395,125.29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210,111.25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264,927.95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水利建设专项资金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5,916.55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5,916.55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8,725.53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61,987,143.47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81,966,311.38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1、应付股利" w:id="278"/>
      <w:bookmarkEnd w:id="278"/>
      <w:r>
        <w:rPr>
          <w:b w:val="0"/>
          <w:bCs w:val="0"/>
        </w:rPr>
      </w:r>
      <w:r>
        <w:rPr>
          <w:rFonts w:ascii="Times New Roman" w:hAnsi="Times New Roman" w:cs="Times New Roman" w:eastAsia="Times New Roman" w:hint="default"/>
        </w:rPr>
        <w:t>21</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206,029.02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206,029.02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206,029.02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206,029.02</w:t>
            </w:r>
          </w:p>
        </w:tc>
      </w:tr>
    </w:tbl>
    <w:p>
      <w:pPr>
        <w:pStyle w:val="BodyText"/>
        <w:spacing w:line="240" w:lineRule="auto" w:before="51"/>
        <w:ind w:left="15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2、其他应付款" w:id="279"/>
      <w:bookmarkEnd w:id="279"/>
      <w:r>
        <w:rPr>
          <w:b w:val="0"/>
          <w:bCs w:val="0"/>
        </w:rPr>
      </w:r>
      <w:r>
        <w:rPr>
          <w:rFonts w:ascii="Times New Roman" w:hAnsi="Times New Roman" w:cs="Times New Roman" w:eastAsia="Times New Roman" w:hint="default"/>
        </w:rPr>
        <w:t>22</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其他应付款" w:id="280"/>
      <w:bookmarkEnd w:id="280"/>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2,284,227.68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4,427,567.01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1,348,733.19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4,225,288.11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应付未付费用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1,061,143.64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5,165,299.05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28,520,324.14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27,765,830.73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33,214,428.65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41,583,984.90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其他应付款" w:id="281"/>
      <w:bookmarkEnd w:id="28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河南方正信息技术有限公司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10,524,938.43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年股权分置改革前遗留</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4"/>
                <w:sz w:val="18"/>
              </w:rPr>
              <w:t>OATLAND </w:t>
            </w:r>
            <w:r>
              <w:rPr>
                <w:rFonts w:ascii="Times New Roman"/>
                <w:sz w:val="18"/>
              </w:rPr>
              <w:t>WORLD WIDE</w:t>
            </w:r>
            <w:r>
              <w:rPr>
                <w:rFonts w:ascii="Times New Roman"/>
                <w:spacing w:val="-2"/>
                <w:sz w:val="18"/>
              </w:rPr>
              <w:t> </w:t>
            </w:r>
            <w:r>
              <w:rPr>
                <w:rFonts w:ascii="Times New Roman"/>
                <w:sz w:val="18"/>
              </w:rPr>
              <w:t>LIMITED</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年股权分置改革前遗留</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遵义新华能源有限公司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3,509,157.72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年股权分置改革前遗留</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深圳力光电子有限公司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1,041,256.80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年股权分置改革前遗留</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21,170,352.95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3、一年内到期的非流动负债" w:id="282"/>
      <w:bookmarkEnd w:id="282"/>
      <w:r>
        <w:rPr>
          <w:b w:val="0"/>
          <w:bCs w:val="0"/>
        </w:rPr>
      </w:r>
      <w:r>
        <w:rPr>
          <w:rFonts w:ascii="Times New Roman" w:hAnsi="Times New Roman" w:cs="Times New Roman" w:eastAsia="Times New Roman" w:hint="default"/>
        </w:rPr>
        <w:t>23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其中：修涞贵</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70,125,000.00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黄艳红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13,148,437.50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29,445,312.50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28,078,750.00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蒋纪平</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21,037,500.00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23,876,250.00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华夏嘉源</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21,037,500.00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21,042,500.00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龚莉蓉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10,518,750.00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10,518,750.00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1" w:right="0"/>
              <w:jc w:val="left"/>
              <w:rPr>
                <w:rFonts w:ascii="Times New Roman" w:hAnsi="Times New Roman" w:cs="Times New Roman" w:eastAsia="Times New Roman" w:hint="default"/>
                <w:sz w:val="18"/>
                <w:szCs w:val="18"/>
              </w:rPr>
            </w:pPr>
            <w:r>
              <w:rPr>
                <w:rFonts w:ascii="Times New Roman"/>
                <w:sz w:val="18"/>
              </w:rPr>
              <w:t>114,362,187.50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183,086,562.50</w:t>
            </w:r>
          </w:p>
        </w:tc>
      </w:tr>
    </w:tbl>
    <w:p>
      <w:pPr>
        <w:pStyle w:val="BodyText"/>
        <w:spacing w:line="357" w:lineRule="auto" w:before="51"/>
        <w:ind w:right="2743"/>
        <w:jc w:val="left"/>
      </w:pPr>
      <w:r>
        <w:rPr/>
        <w:t>其他说明： 一年内到期的长期应付款为应付视科传媒原股东股权收购现金对价，已于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日前全部付清。</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bookmarkStart w:name="24、长期应付款" w:id="283"/>
      <w:bookmarkEnd w:id="283"/>
      <w:r>
        <w:rPr>
          <w:b w:val="0"/>
          <w:bCs w:val="0"/>
        </w:rPr>
      </w:r>
      <w:r>
        <w:rPr>
          <w:rFonts w:ascii="Times New Roman" w:hAnsi="Times New Roman" w:cs="Times New Roman" w:eastAsia="Times New Roman" w:hint="default"/>
        </w:rPr>
        <w:t>24</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长期应付款" w:id="284"/>
      <w:bookmarkEnd w:id="284"/>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应付视科传媒原股东收购现金对价</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其中：修涞贵</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23,375,000.00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黄艳红</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13,148,437.50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罗承</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25,245,000.00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蒋纪平</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21,037,500.00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华夏嘉源</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21,037,500.00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龚莉蓉</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10,518,750.00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114,362,187.50</w:t>
            </w:r>
          </w:p>
        </w:tc>
      </w:tr>
    </w:tbl>
    <w:p>
      <w:pPr>
        <w:pStyle w:val="BodyText"/>
        <w:spacing w:line="357" w:lineRule="auto" w:before="51"/>
        <w:ind w:right="5173"/>
        <w:jc w:val="left"/>
      </w:pPr>
      <w:r>
        <w:rPr/>
        <w:t>其他说明： 一年内到期的长期应付款为应付视科传媒原股东的股权收购现金对价。</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5、长期应付职工薪酬" w:id="285"/>
      <w:bookmarkEnd w:id="285"/>
      <w:r>
        <w:rPr>
          <w:b w:val="0"/>
          <w:bCs w:val="0"/>
        </w:rPr>
      </w:r>
      <w:r>
        <w:rPr>
          <w:rFonts w:ascii="Times New Roman" w:hAnsi="Times New Roman" w:cs="Times New Roman" w:eastAsia="Times New Roman" w:hint="default"/>
        </w:rPr>
        <w:t>25</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286"/>
      <w:bookmarkEnd w:id="286"/>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超额业绩奖励报酬</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4,515,907.65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7,504,157.88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4,515,907.65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7,504,157.88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6、预计负债" w:id="287"/>
      <w:bookmarkEnd w:id="287"/>
      <w:r>
        <w:rPr>
          <w:b w:val="0"/>
          <w:bCs w:val="0"/>
        </w:rPr>
      </w:r>
      <w:r>
        <w:rPr>
          <w:rFonts w:ascii="Times New Roman" w:hAnsi="Times New Roman" w:cs="Times New Roman" w:eastAsia="Times New Roman" w:hint="default"/>
        </w:rPr>
        <w:t>26</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6,607,162.52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6,605,528.21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预计未来支付的成本</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6,607,162.52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6,605,528.21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6,607,162.52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6,605,528.21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其他说明，包括重要预计负债的相关重要假设、估计说明：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48"/>
        <w:jc w:val="both"/>
      </w:pPr>
      <w:r>
        <w:rPr/>
        <w:t>期末确认的预计负债均由视赚</w:t>
      </w:r>
      <w:r>
        <w:rPr>
          <w:rFonts w:ascii="Times New Roman" w:hAnsi="Times New Roman" w:cs="Times New Roman" w:eastAsia="Times New Roman" w:hint="default"/>
        </w:rPr>
        <w:t>APP</w:t>
      </w:r>
      <w:r>
        <w:rPr/>
        <w:t>广告业务产生。客户在子公司杭州视赚视赚</w:t>
      </w:r>
      <w:r>
        <w:rPr>
          <w:rFonts w:ascii="Times New Roman" w:hAnsi="Times New Roman" w:cs="Times New Roman" w:eastAsia="Times New Roman" w:hint="default"/>
        </w:rPr>
        <w:t>APP</w:t>
      </w:r>
      <w:r>
        <w:rPr/>
        <w:t>投放广告，注册用户点击观看成功后由杭 州视赚给予其一定数量的元宝奖励</w:t>
      </w:r>
      <w:r>
        <w:rPr>
          <w:rFonts w:ascii="Times New Roman" w:hAnsi="Times New Roman" w:cs="Times New Roman" w:eastAsia="Times New Roman" w:hint="default"/>
        </w:rPr>
        <w:t>(</w:t>
      </w:r>
      <w:r>
        <w:rPr/>
        <w:t>用户可使用元宝在视赚</w:t>
      </w:r>
      <w:r>
        <w:rPr>
          <w:rFonts w:ascii="Times New Roman" w:hAnsi="Times New Roman" w:cs="Times New Roman" w:eastAsia="Times New Roman" w:hint="default"/>
        </w:rPr>
        <w:t>APP</w:t>
      </w:r>
      <w:r>
        <w:rPr/>
        <w:t>上兑换商品</w:t>
      </w:r>
      <w:r>
        <w:rPr>
          <w:rFonts w:ascii="Times New Roman" w:hAnsi="Times New Roman" w:cs="Times New Roman" w:eastAsia="Times New Roman" w:hint="default"/>
        </w:rPr>
        <w:t>),</w:t>
      </w:r>
      <w:r>
        <w:rPr/>
        <w:t>杭州视赚在确认广告服务收入的同时，按照每个 元宝</w:t>
      </w:r>
      <w:r>
        <w:rPr>
          <w:rFonts w:ascii="Times New Roman" w:hAnsi="Times New Roman" w:cs="Times New Roman" w:eastAsia="Times New Roman" w:hint="default"/>
        </w:rPr>
        <w:t>0.01</w:t>
      </w:r>
      <w:r>
        <w:rPr/>
        <w:t>元的价值确认相应的成本和预计负债，待用户实际兑换商品时，再根据实际兑换商品的价值冲销相应的预计负债。</w:t>
      </w:r>
    </w:p>
    <w:p>
      <w:pPr>
        <w:spacing w:line="240" w:lineRule="auto" w:before="1"/>
        <w:rPr>
          <w:rFonts w:ascii="宋体" w:hAnsi="宋体" w:cs="宋体" w:eastAsia="宋体" w:hint="default"/>
          <w:sz w:val="22"/>
          <w:szCs w:val="22"/>
        </w:rPr>
      </w:pPr>
    </w:p>
    <w:p>
      <w:pPr>
        <w:pStyle w:val="Heading3"/>
        <w:spacing w:line="240" w:lineRule="auto"/>
        <w:ind w:left="154" w:right="0"/>
        <w:jc w:val="both"/>
        <w:rPr>
          <w:b w:val="0"/>
          <w:bCs w:val="0"/>
        </w:rPr>
      </w:pPr>
      <w:bookmarkStart w:name="27、递延收益" w:id="288"/>
      <w:bookmarkEnd w:id="288"/>
      <w:r>
        <w:rPr>
          <w:b w:val="0"/>
          <w:bCs w:val="0"/>
        </w:rPr>
      </w:r>
      <w:r>
        <w:rPr>
          <w:rFonts w:ascii="Times New Roman" w:hAnsi="Times New Roman" w:cs="Times New Roman" w:eastAsia="Times New Roman" w:hint="default"/>
        </w:rPr>
        <w:t>27</w:t>
      </w:r>
      <w:r>
        <w:rPr/>
        <w:t>、递延收益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9,433,942.45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9,433,942.45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9,433,942.45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9,433,942.45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338" w:lineRule="auto" w:before="51"/>
        <w:ind w:right="1118"/>
        <w:jc w:val="left"/>
      </w:pPr>
      <w:r>
        <w:rPr/>
        <w:t>其他说明： </w:t>
      </w:r>
      <w:r>
        <w:rPr>
          <w:spacing w:val="-2"/>
        </w:rPr>
        <w:t>期初数系杭州棋瑞贸易有限公司、浙江皇台实业发展有限公司与子公司视科传媒、杭州联屏文化策划有限公司以皇台酒置换</w:t>
      </w:r>
      <w:r>
        <w:rPr>
          <w:spacing w:val="-64"/>
        </w:rPr>
        <w:t> </w:t>
      </w:r>
      <w:r>
        <w:rPr>
          <w:spacing w:val="-64"/>
        </w:rPr>
      </w:r>
      <w:r>
        <w:rPr>
          <w:spacing w:val="-2"/>
        </w:rPr>
        <w:t>广告服务所形成，在广告发布完成并收到置换商品时确认递延收益，待置换商品对外销售或内部领用后，再将递延收益结转</w:t>
      </w:r>
    </w:p>
    <w:p>
      <w:pPr>
        <w:pStyle w:val="BodyText"/>
        <w:spacing w:line="240" w:lineRule="auto" w:before="2"/>
        <w:ind w:right="0"/>
        <w:jc w:val="left"/>
      </w:pPr>
      <w:r>
        <w:rPr/>
        <w:t>确认收入。本期已全部对外销售。</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8、股本" w:id="289"/>
      <w:bookmarkEnd w:id="289"/>
      <w:r>
        <w:rPr>
          <w:b w:val="0"/>
          <w:bCs w:val="0"/>
        </w:rPr>
      </w:r>
      <w:r>
        <w:rPr>
          <w:rFonts w:ascii="Times New Roman" w:hAnsi="Times New Roman" w:cs="Times New Roman" w:eastAsia="Times New Roman" w:hint="default"/>
        </w:rPr>
        <w:t>28</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326,735,887.00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196,041,532.00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196,041,532.00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522,777,419.00</w:t>
            </w:r>
          </w:p>
        </w:tc>
      </w:tr>
    </w:tbl>
    <w:p>
      <w:pPr>
        <w:pStyle w:val="BodyText"/>
        <w:spacing w:line="357" w:lineRule="auto" w:before="51"/>
        <w:ind w:right="6633"/>
        <w:jc w:val="left"/>
      </w:pPr>
      <w:r>
        <w:rPr/>
        <w:t>其他说明： 本期股权变动情况详见本附注三</w:t>
      </w:r>
      <w:r>
        <w:rPr>
          <w:rFonts w:ascii="Times New Roman" w:hAnsi="Times New Roman" w:cs="Times New Roman" w:eastAsia="Times New Roman" w:hint="default"/>
        </w:rPr>
        <w:t>“</w:t>
      </w:r>
      <w:r>
        <w:rPr/>
        <w:t>公司概况</w:t>
      </w:r>
      <w:r>
        <w:rPr>
          <w:rFonts w:ascii="Times New Roman" w:hAnsi="Times New Roman" w:cs="Times New Roman" w:eastAsia="Times New Roman" w:hint="default"/>
        </w:rPr>
        <w:t>”</w:t>
      </w:r>
      <w:r>
        <w:rPr/>
        <w:t>之说明。</w:t>
      </w:r>
    </w:p>
    <w:p>
      <w:pPr>
        <w:spacing w:line="240" w:lineRule="auto" w:before="5"/>
        <w:rPr>
          <w:rFonts w:ascii="宋体" w:hAnsi="宋体" w:cs="宋体" w:eastAsia="宋体" w:hint="default"/>
          <w:sz w:val="18"/>
          <w:szCs w:val="18"/>
        </w:rPr>
      </w:pPr>
    </w:p>
    <w:p>
      <w:pPr>
        <w:pStyle w:val="Heading3"/>
        <w:spacing w:line="240" w:lineRule="auto"/>
        <w:ind w:left="154" w:right="0"/>
        <w:jc w:val="left"/>
        <w:rPr>
          <w:b w:val="0"/>
          <w:bCs w:val="0"/>
        </w:rPr>
      </w:pPr>
      <w:bookmarkStart w:name="29、资本公积" w:id="290"/>
      <w:bookmarkEnd w:id="290"/>
      <w:r>
        <w:rPr>
          <w:b w:val="0"/>
          <w:bCs w:val="0"/>
        </w:rPr>
      </w:r>
      <w:r>
        <w:rPr>
          <w:rFonts w:ascii="Times New Roman" w:hAnsi="Times New Roman" w:cs="Times New Roman" w:eastAsia="Times New Roman" w:hint="default"/>
        </w:rPr>
        <w:t>29</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4,487,646,001.65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196,041,532.00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4,291,604,469.65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22,348,223.79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584,458.83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21,763,764.96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4,509,994,225.44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196,625,990.83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4,313,368,234.61</w:t>
            </w:r>
          </w:p>
        </w:tc>
      </w:tr>
    </w:tbl>
    <w:p>
      <w:pPr>
        <w:pStyle w:val="BodyText"/>
        <w:spacing w:line="357" w:lineRule="auto" w:before="51"/>
        <w:ind w:left="154" w:right="1752"/>
        <w:jc w:val="left"/>
      </w:pPr>
      <w:r>
        <w:rPr/>
        <w:t>其他说明，包括本期增减变动情况、变动原因说明： 股本溢价本期减少系将其转增股本；其他资本公积本期减少系地产子公司剥离后将前期确认的资本公积予以结转。</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0、盈余公积" w:id="291"/>
      <w:bookmarkEnd w:id="291"/>
      <w:r>
        <w:rPr>
          <w:b w:val="0"/>
          <w:bCs w:val="0"/>
        </w:rPr>
      </w:r>
      <w:r>
        <w:rPr>
          <w:rFonts w:ascii="Times New Roman" w:hAnsi="Times New Roman" w:cs="Times New Roman" w:eastAsia="Times New Roman" w:hint="default"/>
        </w:rPr>
        <w:t>30</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26,091,477.00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11,299,003.30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37,390,480.30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26,091,477.00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11,299,003.30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37,390,480.30</w:t>
            </w:r>
          </w:p>
        </w:tc>
      </w:tr>
    </w:tbl>
    <w:p>
      <w:pPr>
        <w:pStyle w:val="BodyText"/>
        <w:spacing w:line="240" w:lineRule="auto" w:before="51"/>
        <w:ind w:left="154" w:right="0"/>
        <w:jc w:val="left"/>
      </w:pPr>
      <w:r>
        <w:rPr/>
        <w:t>盈余公积说明，包括本期增减变动情况、变动原因说明：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1、未分配利润" w:id="292"/>
      <w:bookmarkEnd w:id="292"/>
      <w:r>
        <w:rPr>
          <w:b w:val="0"/>
          <w:bCs w:val="0"/>
        </w:rPr>
      </w:r>
      <w:r>
        <w:rPr>
          <w:rFonts w:ascii="Times New Roman" w:hAnsi="Times New Roman" w:cs="Times New Roman" w:eastAsia="Times New Roman" w:hint="default"/>
        </w:rPr>
        <w:t>31</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204,352,243.73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-8,697,743.36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204,352,243.73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b/>
                <w:spacing w:val="-1"/>
                <w:sz w:val="18"/>
              </w:rPr>
              <w:t>357,930,132.37</w:t>
            </w:r>
            <w:r>
              <w:rPr>
                <w:rFonts w:ascii="Times New Roman"/>
                <w:spacing w:val="-1"/>
                <w:sz w:val="18"/>
              </w:rPr>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233,254,396.14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11,299,003.30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20,204,409.05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32,673,588.70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b/>
                <w:spacing w:val="-1"/>
                <w:sz w:val="18"/>
              </w:rPr>
              <w:t>518,309,784.10</w:t>
            </w:r>
            <w:r>
              <w:rPr>
                <w:rFonts w:ascii="Times New Roman"/>
                <w:spacing w:val="-1"/>
                <w:sz w:val="18"/>
              </w:rPr>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204,352,243.73</w:t>
            </w:r>
          </w:p>
        </w:tc>
      </w:tr>
    </w:tbl>
    <w:p>
      <w:pPr>
        <w:pStyle w:val="BodyText"/>
        <w:spacing w:line="240" w:lineRule="auto" w:before="51"/>
        <w:ind w:left="154" w:right="0"/>
        <w:jc w:val="left"/>
      </w:pPr>
      <w:r>
        <w:rPr/>
        <w:t>调整期初未分配利润明细：</w:t>
      </w:r>
    </w:p>
    <w:p>
      <w:pPr>
        <w:pStyle w:val="BodyText"/>
        <w:spacing w:line="240" w:lineRule="auto" w:before="116"/>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32、营业收入和营业成本" w:id="293"/>
      <w:bookmarkEnd w:id="293"/>
      <w:r>
        <w:rPr>
          <w:b w:val="0"/>
          <w:bCs w:val="0"/>
        </w:rPr>
      </w:r>
      <w:r>
        <w:rPr>
          <w:rFonts w:ascii="Times New Roman" w:hAnsi="Times New Roman" w:cs="Times New Roman" w:eastAsia="Times New Roman" w:hint="default"/>
        </w:rPr>
        <w:t>32</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1,502,539,678.91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990,703,411.35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1,011,706,782.78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601,976,742.87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7,826,826.60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9,347,656.38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17,489,512.96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14,739,529.50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1,510,366,505.51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1,000,051,067.73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1,029,196,295.74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616,716,272.37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3、税金及附加" w:id="294"/>
      <w:bookmarkEnd w:id="294"/>
      <w:r>
        <w:rPr>
          <w:b w:val="0"/>
          <w:bCs w:val="0"/>
        </w:rPr>
      </w:r>
      <w:r>
        <w:rPr>
          <w:rFonts w:ascii="Times New Roman" w:hAnsi="Times New Roman" w:cs="Times New Roman" w:eastAsia="Times New Roman" w:hint="default"/>
        </w:rPr>
        <w:t>33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2,675,581.31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2,613,885.10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1,186,128.25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1,188,858.99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175,226.29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79,215.01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375,957.85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823,511.73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1,163,411.51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3,046,964.33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9,735,264.93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4,911,853.95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11,669,156.65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15,307,700.86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10,545,274.96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15,795,582.29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181,039.58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302,999.13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788,810.43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792,572.69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29,010.11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81,954.33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38,528,701.87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44,945,098.41</w:t>
            </w:r>
          </w:p>
        </w:tc>
      </w:tr>
    </w:tbl>
    <w:p>
      <w:pPr>
        <w:pStyle w:val="BodyText"/>
        <w:spacing w:line="240" w:lineRule="auto" w:before="51"/>
        <w:ind w:left="154" w:right="0"/>
        <w:jc w:val="left"/>
      </w:pPr>
      <w:r>
        <w:rPr/>
        <w:t>其他说明：</w:t>
      </w:r>
    </w:p>
    <w:p>
      <w:pPr>
        <w:pStyle w:val="BodyText"/>
        <w:spacing w:line="240" w:lineRule="auto" w:before="116"/>
        <w:ind w:right="0"/>
        <w:jc w:val="left"/>
      </w:pPr>
      <w:r>
        <w:rPr>
          <w:rFonts w:ascii="Times New Roman" w:hAnsi="Times New Roman" w:cs="Times New Roman" w:eastAsia="Times New Roman" w:hint="default"/>
        </w:rPr>
        <w:t>1.</w:t>
      </w:r>
      <w:r>
        <w:rPr/>
        <w:t>计缴标准详见本附注六</w:t>
      </w:r>
      <w:r>
        <w:rPr>
          <w:rFonts w:ascii="Times New Roman" w:hAnsi="Times New Roman" w:cs="Times New Roman" w:eastAsia="Times New Roman" w:hint="default"/>
        </w:rPr>
        <w:t>“</w:t>
      </w:r>
      <w:r>
        <w:rPr/>
        <w:t>税项</w:t>
      </w:r>
      <w:r>
        <w:rPr>
          <w:rFonts w:ascii="Times New Roman" w:hAnsi="Times New Roman" w:cs="Times New Roman" w:eastAsia="Times New Roman" w:hint="default"/>
        </w:rPr>
        <w:t>”</w:t>
      </w:r>
      <w:r>
        <w:rPr/>
        <w:t>之说明。</w:t>
      </w:r>
    </w:p>
    <w:p>
      <w:pPr>
        <w:pStyle w:val="BodyText"/>
        <w:spacing w:line="240" w:lineRule="auto" w:before="63"/>
        <w:ind w:right="0"/>
        <w:jc w:val="left"/>
      </w:pPr>
      <w:r>
        <w:rPr>
          <w:rFonts w:ascii="Times New Roman" w:hAnsi="Times New Roman" w:cs="Times New Roman" w:eastAsia="Times New Roman" w:hint="default"/>
        </w:rPr>
        <w:t>2.</w:t>
      </w:r>
      <w:r>
        <w:rPr/>
        <w:t>营业税系地产子公司以前年度预收房款预缴的营业税，本期交房结转收入后从其他非流动资产结转到税金及附加。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left="154" w:right="0"/>
        <w:jc w:val="left"/>
        <w:rPr>
          <w:b w:val="0"/>
          <w:bCs w:val="0"/>
        </w:rPr>
      </w:pPr>
      <w:bookmarkStart w:name="34、销售费用" w:id="295"/>
      <w:bookmarkEnd w:id="295"/>
      <w:r>
        <w:rPr>
          <w:b w:val="0"/>
          <w:bCs w:val="0"/>
        </w:rPr>
      </w:r>
      <w:r>
        <w:rPr>
          <w:rFonts w:ascii="Times New Roman" w:hAnsi="Times New Roman" w:cs="Times New Roman" w:eastAsia="Times New Roman" w:hint="default"/>
        </w:rPr>
        <w:t>34</w:t>
      </w:r>
      <w:r>
        <w:rPr/>
        <w:t>、销售费用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14,940,403.74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12,344,144.46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营销推广费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602,297.18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1,106,089.13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售后维修费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161,030.89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1,127,800.60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租赁及物业水电费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1,335,732.35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917,596.69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1,922,411.05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3,516,458.06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437,735.44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626,288.39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房屋交易、办证环节的规费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253,376.25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508,868.92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138,173.56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264,180.66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差旅及交通费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19,791,160.46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20,411,426.91</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5、管理费用" w:id="296"/>
      <w:bookmarkEnd w:id="296"/>
      <w:r>
        <w:rPr>
          <w:b w:val="0"/>
          <w:bCs w:val="0"/>
        </w:rPr>
      </w:r>
      <w:r>
        <w:rPr>
          <w:rFonts w:ascii="Times New Roman" w:hAnsi="Times New Roman" w:cs="Times New Roman" w:eastAsia="Times New Roman" w:hint="default"/>
        </w:rPr>
        <w:t>35</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24,761,469.78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24,613,269.00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租赁及物业水电费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9,953,618.04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6,907,762.87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7,552,784.21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8,078,871.84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7,096,935.48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10,126,815.78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4,309,354.45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4,097,990.92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差旅及交通费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2,982,310.56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2,600,529.04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2,179,022.74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3,512,704.95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2,178,768.28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1,592,926.71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1,594,114.71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1,338,224.62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1,323,873.50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2,237,040.47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2,019,070.99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1,785,768.13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3,121,872.17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65,718,019.88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70,247,079.36</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6、财务费用" w:id="297"/>
      <w:bookmarkEnd w:id="297"/>
      <w:r>
        <w:rPr>
          <w:b w:val="0"/>
          <w:bCs w:val="0"/>
        </w:rPr>
      </w:r>
      <w:r>
        <w:rPr>
          <w:rFonts w:ascii="Times New Roman" w:hAnsi="Times New Roman" w:cs="Times New Roman" w:eastAsia="Times New Roman" w:hint="default"/>
        </w:rPr>
        <w:t>36</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现金折扣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-9,845.00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359,233.75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61,961.40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38,415,101.82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7,476,779.71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81,859.62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44,099.99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134,097.06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179,700.47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-37,850,494.66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-7,279,217.83</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7、资产减值损失" w:id="298"/>
      <w:bookmarkEnd w:id="298"/>
      <w:r>
        <w:rPr>
          <w:b w:val="0"/>
          <w:bCs w:val="0"/>
        </w:rPr>
      </w:r>
      <w:r>
        <w:rPr>
          <w:rFonts w:ascii="Times New Roman" w:hAnsi="Times New Roman" w:cs="Times New Roman" w:eastAsia="Times New Roman" w:hint="default"/>
        </w:rPr>
        <w:t>37</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37,617,575.74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5,947,294.83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-8,393,144.12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1,478,880.17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8,393,144.12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29,224,431.62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16,274,319.12</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8、公允价值变动收益" w:id="299"/>
      <w:bookmarkEnd w:id="299"/>
      <w:r>
        <w:rPr>
          <w:b w:val="0"/>
          <w:bCs w:val="0"/>
        </w:rPr>
      </w:r>
      <w:r>
        <w:rPr>
          <w:rFonts w:ascii="Times New Roman" w:hAnsi="Times New Roman" w:cs="Times New Roman" w:eastAsia="Times New Roman" w:hint="default"/>
        </w:rPr>
        <w:t>38</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9、投资收益" w:id="300"/>
      <w:bookmarkEnd w:id="300"/>
      <w:r>
        <w:rPr>
          <w:b w:val="0"/>
          <w:bCs w:val="0"/>
        </w:rPr>
      </w:r>
      <w:r>
        <w:rPr>
          <w:rFonts w:ascii="Times New Roman" w:hAnsi="Times New Roman" w:cs="Times New Roman" w:eastAsia="Times New Roman" w:hint="default"/>
        </w:rPr>
        <w:t>39</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-2,031,027.19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-856,011.46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24,579,759.85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投资银行理财产品收益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29,128,946.09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4,425,585.44</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51,677,678.75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3,569,573.98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0、资产处置收益" w:id="301"/>
      <w:bookmarkEnd w:id="301"/>
      <w:r>
        <w:rPr>
          <w:b w:val="0"/>
          <w:bCs w:val="0"/>
        </w:rPr>
      </w:r>
      <w:r>
        <w:rPr>
          <w:rFonts w:ascii="Times New Roman" w:hAnsi="Times New Roman" w:cs="Times New Roman" w:eastAsia="Times New Roman" w:hint="default"/>
        </w:rPr>
        <w:t>40</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处置未划分为持有待售的非流动资产时 确认的收益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-324,256.67</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-324,256.67</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1、营业外收入" w:id="302"/>
      <w:bookmarkEnd w:id="302"/>
      <w:r>
        <w:rPr>
          <w:b w:val="0"/>
          <w:bCs w:val="0"/>
        </w:rPr>
      </w:r>
      <w:r>
        <w:rPr>
          <w:rFonts w:ascii="Times New Roman" w:hAnsi="Times New Roman" w:cs="Times New Roman" w:eastAsia="Times New Roman" w:hint="default"/>
        </w:rPr>
        <w:t>41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1,694,083.90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2,644,168.83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1,694,083.90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土地处置利得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24,193,568.59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85,436.80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10,539,200.00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85,436.80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受让股权支付对价收益</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435,857.78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59,801.39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59,801.39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162,587.17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101,935.35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162,587.17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2,001,909.26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37,914,730.55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计入当期损益的政府补助：</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850"/>
        <w:gridCol w:w="1277"/>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代扣代缴个 税手续费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27"/>
              <w:jc w:val="right"/>
              <w:rPr>
                <w:rFonts w:ascii="宋体" w:hAnsi="宋体" w:cs="宋体" w:eastAsia="宋体" w:hint="default"/>
                <w:sz w:val="18"/>
                <w:szCs w:val="18"/>
              </w:rPr>
            </w:pPr>
            <w:r>
              <w:rPr>
                <w:rFonts w:ascii="宋体" w:hAnsi="宋体" w:cs="宋体" w:eastAsia="宋体" w:hint="default"/>
                <w:sz w:val="18"/>
                <w:szCs w:val="18"/>
              </w:rPr>
              <w:t>当地税务局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2"/>
              <w:jc w:val="both"/>
              <w:rPr>
                <w:rFonts w:ascii="宋体" w:hAnsi="宋体" w:cs="宋体" w:eastAsia="宋体" w:hint="default"/>
                <w:sz w:val="18"/>
                <w:szCs w:val="18"/>
              </w:rPr>
            </w:pPr>
            <w:r>
              <w:rPr>
                <w:rFonts w:ascii="宋体" w:hAnsi="宋体" w:cs="宋体" w:eastAsia="宋体" w:hint="default"/>
                <w:sz w:val="18"/>
                <w:szCs w:val="18"/>
              </w:rPr>
              <w:t>因承担国家为 保障某种公用 事业或社会必 要产品供应或 价格控制职能 而获得的补助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1,590,734.70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财政扶持资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江西金凤凰 产业园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2"/>
              <w:jc w:val="both"/>
              <w:rPr>
                <w:rFonts w:ascii="宋体" w:hAnsi="宋体" w:cs="宋体" w:eastAsia="宋体" w:hint="default"/>
                <w:sz w:val="18"/>
                <w:szCs w:val="18"/>
              </w:rPr>
            </w:pPr>
            <w:r>
              <w:rPr>
                <w:rFonts w:ascii="宋体" w:hAnsi="宋体" w:cs="宋体" w:eastAsia="宋体" w:hint="default"/>
                <w:sz w:val="18"/>
                <w:szCs w:val="18"/>
              </w:rPr>
              <w:t>因符合地方政 府招商引资等 地方性扶持政 策而获得的补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103,349.20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1,774,168.83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年度朝 阳区</w:t>
            </w:r>
            <w:r>
              <w:rPr>
                <w:rFonts w:ascii="Times New Roman" w:hAnsi="Times New Roman" w:cs="Times New Roman" w:eastAsia="Times New Roman" w:hint="default"/>
                <w:sz w:val="18"/>
                <w:szCs w:val="18"/>
              </w:rPr>
              <w:t>-</w:t>
            </w:r>
            <w:r>
              <w:rPr>
                <w:rFonts w:ascii="宋体" w:hAnsi="宋体" w:cs="宋体" w:eastAsia="宋体" w:hint="default"/>
                <w:sz w:val="18"/>
                <w:szCs w:val="18"/>
              </w:rPr>
              <w:t>摩托罗 拉科技发展 合作资金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北京市朝阳 区科学技术 委员会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6"/>
                <w:sz w:val="18"/>
                <w:szCs w:val="18"/>
              </w:rPr>
              <w:t>因研究开发、技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奖励款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杭州市西湖 区财政局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2"/>
              <w:jc w:val="both"/>
              <w:rPr>
                <w:rFonts w:ascii="宋体" w:hAnsi="宋体" w:cs="宋体" w:eastAsia="宋体" w:hint="default"/>
                <w:sz w:val="18"/>
                <w:szCs w:val="18"/>
              </w:rPr>
            </w:pPr>
            <w:r>
              <w:rPr>
                <w:rFonts w:ascii="宋体" w:hAnsi="宋体" w:cs="宋体" w:eastAsia="宋体" w:hint="default"/>
                <w:sz w:val="18"/>
                <w:szCs w:val="18"/>
              </w:rPr>
              <w:t>因承担国家为 保障某种公用 事业或社会必 要产品供应或 价格控制职能 而获得的补助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1,694,083.90</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2,644,168.83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154" w:right="0"/>
        <w:jc w:val="left"/>
      </w:pPr>
      <w:r>
        <w:rPr/>
        <w:t>其他说明：</w:t>
      </w:r>
    </w:p>
    <w:p>
      <w:pPr>
        <w:pStyle w:val="BodyText"/>
        <w:spacing w:line="300" w:lineRule="auto" w:before="115"/>
        <w:ind w:right="0"/>
        <w:jc w:val="left"/>
      </w:pPr>
      <w:r>
        <w:rPr/>
        <w:t>计入当期营业外收入的政府补助文件依据及会计处理详见本附注五</w:t>
      </w:r>
      <w:r>
        <w:rPr>
          <w:rFonts w:ascii="Times New Roman" w:hAnsi="Times New Roman" w:cs="Times New Roman" w:eastAsia="Times New Roman" w:hint="default"/>
        </w:rPr>
        <w:t>(26)“</w:t>
      </w:r>
      <w:r>
        <w:rPr/>
        <w:t>政府补助</w:t>
      </w:r>
      <w:r>
        <w:rPr>
          <w:rFonts w:ascii="Times New Roman" w:hAnsi="Times New Roman" w:cs="Times New Roman" w:eastAsia="Times New Roman" w:hint="default"/>
        </w:rPr>
        <w:t>”</w:t>
      </w:r>
      <w:r>
        <w:rPr/>
        <w:t>之说明。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日，子公司冉十科技与广东太平洋互联网信息服务有限公司签署《资产收购协议》，冉十科技向广东太平洋互</w:t>
      </w:r>
      <w:r>
        <w:rPr>
          <w:spacing w:val="-58"/>
        </w:rPr>
        <w:t> </w:t>
      </w:r>
      <w:r>
        <w:rPr>
          <w:spacing w:val="-58"/>
        </w:rPr>
      </w:r>
      <w:r>
        <w:rPr>
          <w:spacing w:val="-4"/>
        </w:rPr>
        <w:t>联网信息服务有限公司收购其拥有的太平洋游戏网的资产与业务，包括太平洋游戏网知识产权</w:t>
      </w:r>
      <w:r>
        <w:rPr>
          <w:rFonts w:ascii="Times New Roman" w:hAnsi="Times New Roman" w:cs="Times New Roman" w:eastAsia="Times New Roman" w:hint="default"/>
          <w:spacing w:val="-4"/>
        </w:rPr>
        <w:t>(</w:t>
      </w:r>
      <w:r>
        <w:rPr>
          <w:spacing w:val="-4"/>
        </w:rPr>
        <w:t>注册商标、域名</w:t>
      </w:r>
      <w:r>
        <w:rPr>
          <w:rFonts w:ascii="Times New Roman" w:hAnsi="Times New Roman" w:cs="Times New Roman" w:eastAsia="Times New Roman" w:hint="default"/>
          <w:spacing w:val="-4"/>
        </w:rPr>
        <w:t>)</w:t>
      </w:r>
      <w:r>
        <w:rPr>
          <w:spacing w:val="-4"/>
        </w:rPr>
        <w:t>、应用列表、</w:t>
      </w:r>
      <w:r>
        <w:rPr>
          <w:spacing w:val="-69"/>
        </w:rPr>
        <w:t> </w:t>
      </w:r>
      <w:r>
        <w:rPr>
          <w:spacing w:val="-69"/>
        </w:rPr>
      </w:r>
      <w:r>
        <w:rPr>
          <w:spacing w:val="-1"/>
        </w:rPr>
        <w:t>硬件设备及服务器等，购买价格为</w:t>
      </w:r>
      <w:r>
        <w:rPr>
          <w:rFonts w:ascii="Times New Roman" w:hAnsi="Times New Roman" w:cs="Times New Roman" w:eastAsia="Times New Roman" w:hint="default"/>
          <w:spacing w:val="-1"/>
        </w:rPr>
        <w:t>1,080</w:t>
      </w:r>
      <w:r>
        <w:rPr>
          <w:spacing w:val="-1"/>
        </w:rPr>
        <w:t>万元。根据北京中诚正信资产评估事务所</w:t>
      </w:r>
      <w:r>
        <w:rPr>
          <w:rFonts w:ascii="Times New Roman" w:hAnsi="Times New Roman" w:cs="Times New Roman" w:eastAsia="Times New Roman" w:hint="default"/>
          <w:spacing w:val="-1"/>
        </w:rPr>
        <w:t>(</w:t>
      </w:r>
      <w:r>
        <w:rPr>
          <w:spacing w:val="-1"/>
        </w:rPr>
        <w:t>普通合伙</w:t>
      </w:r>
      <w:r>
        <w:rPr>
          <w:rFonts w:ascii="Times New Roman" w:hAnsi="Times New Roman" w:cs="Times New Roman" w:eastAsia="Times New Roman" w:hint="default"/>
          <w:spacing w:val="-1"/>
        </w:rPr>
        <w:t>)</w:t>
      </w:r>
      <w:r>
        <w:rPr>
          <w:spacing w:val="-1"/>
        </w:rPr>
        <w:t>出具的中诚正信评报字</w:t>
      </w:r>
      <w:r>
        <w:rPr>
          <w:rFonts w:ascii="Times New Roman" w:hAnsi="Times New Roman" w:cs="Times New Roman" w:eastAsia="Times New Roman" w:hint="default"/>
          <w:spacing w:val="-1"/>
        </w:rPr>
        <w:t>[2017]</w:t>
      </w:r>
      <w:r>
        <w:rPr>
          <w:spacing w:val="-1"/>
        </w:rPr>
        <w:t>第</w:t>
      </w:r>
      <w:r>
        <w:rPr>
          <w:spacing w:val="-41"/>
        </w:rPr>
        <w:t> </w:t>
      </w:r>
      <w:r>
        <w:rPr>
          <w:rFonts w:ascii="Times New Roman" w:hAnsi="Times New Roman" w:cs="Times New Roman" w:eastAsia="Times New Roman" w:hint="default"/>
          <w:spacing w:val="-5"/>
        </w:rPr>
        <w:t>045</w:t>
      </w:r>
      <w:r>
        <w:rPr>
          <w:spacing w:val="-5"/>
        </w:rPr>
        <w:t>号《评估报告》，此次收购业务的相关资产于购买日</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30</w:t>
      </w:r>
      <w:r>
        <w:rPr>
          <w:spacing w:val="-5"/>
        </w:rPr>
        <w:t>日的公允价值为</w:t>
      </w:r>
      <w:r>
        <w:rPr>
          <w:rFonts w:ascii="Times New Roman" w:hAnsi="Times New Roman" w:cs="Times New Roman" w:eastAsia="Times New Roman" w:hint="default"/>
          <w:spacing w:val="-5"/>
        </w:rPr>
        <w:t>10,930,100.12</w:t>
      </w:r>
      <w:r>
        <w:rPr>
          <w:spacing w:val="-5"/>
        </w:rPr>
        <w:t>元，其中固定资产</w:t>
      </w:r>
      <w:r>
        <w:rPr>
          <w:rFonts w:ascii="Times New Roman" w:hAnsi="Times New Roman" w:cs="Times New Roman" w:eastAsia="Times New Roman" w:hint="default"/>
          <w:spacing w:val="-5"/>
        </w:rPr>
        <w:t>450,000.00</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spacing w:val="-1"/>
        </w:rPr>
        <w:t>元，无形资产</w:t>
      </w:r>
      <w:r>
        <w:rPr>
          <w:rFonts w:ascii="Times New Roman" w:hAnsi="Times New Roman" w:cs="Times New Roman" w:eastAsia="Times New Roman" w:hint="default"/>
          <w:spacing w:val="-1"/>
        </w:rPr>
        <w:t>10,480,100.12</w:t>
      </w:r>
      <w:r>
        <w:rPr>
          <w:spacing w:val="-1"/>
        </w:rPr>
        <w:t>元。冉十科技对此次业务合并参照非同一控制下的企业合并进行会计处理，将合并成本低于收购</w:t>
      </w:r>
      <w:r>
        <w:rPr>
          <w:spacing w:val="-72"/>
        </w:rPr>
        <w:t> </w:t>
      </w:r>
      <w:r>
        <w:rPr>
          <w:spacing w:val="-72"/>
        </w:rPr>
      </w:r>
      <w:r>
        <w:rPr/>
        <w:t>业务相关资产于购买日公允价值的差额</w:t>
      </w:r>
      <w:r>
        <w:rPr>
          <w:rFonts w:ascii="Times New Roman" w:hAnsi="Times New Roman" w:cs="Times New Roman" w:eastAsia="Times New Roman" w:hint="default"/>
        </w:rPr>
        <w:t>130,100.12</w:t>
      </w:r>
      <w:r>
        <w:rPr/>
        <w:t>元计入营业外收入。</w:t>
      </w:r>
      <w:r>
        <w:rPr>
          <w:rFonts w:ascii="Times New Roman" w:hAnsi="Times New Roman" w:cs="Times New Roman" w:eastAsia="Times New Roman" w:hint="default"/>
        </w:rPr>
        <w:t>32,487.05</w:t>
      </w:r>
      <w:r>
        <w:rPr/>
        <w:t>元系本期发生的其他零星营业外收入。</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2、营业外支出" w:id="303"/>
      <w:bookmarkEnd w:id="303"/>
      <w:r>
        <w:rPr>
          <w:b w:val="0"/>
          <w:bCs w:val="0"/>
        </w:rPr>
      </w:r>
      <w:r>
        <w:rPr>
          <w:rFonts w:ascii="Times New Roman" w:hAnsi="Times New Roman" w:cs="Times New Roman" w:eastAsia="Times New Roman" w:hint="default"/>
        </w:rPr>
        <w:t>42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3,171.00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赔偿金、违约金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88,996.73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986,161.00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88,996.73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税收滞纳金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77,622.33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694,162.99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77,622.33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资产报废、毁损损失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25,243.54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25,243.54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83.80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192,662.60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1,684,728.79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3、所得税费用" w:id="304"/>
      <w:bookmarkEnd w:id="304"/>
      <w:r>
        <w:rPr>
          <w:b w:val="0"/>
          <w:bCs w:val="0"/>
        </w:rPr>
      </w:r>
      <w:r>
        <w:rPr>
          <w:rFonts w:ascii="Times New Roman" w:hAnsi="Times New Roman" w:cs="Times New Roman" w:eastAsia="Times New Roman" w:hint="default"/>
        </w:rPr>
        <w:t>43</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所得税费用表" w:id="305"/>
      <w:bookmarkEnd w:id="30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87,840,392.11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74,339,659.37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2,172,019.08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-7,459,550.96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90,012,411.19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66,880,108.41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会计利润与所得税费用调整过程" w:id="306"/>
      <w:bookmarkEnd w:id="30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448,390,544.02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112,097,636.01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-20,557,442.16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-3,278,722.07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-20,899,689.38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3,670,005.27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-321,444.31</w:t>
            </w:r>
            <w:r>
              <w:rPr>
                <w:rFonts w:ascii="Times New Roman"/>
                <w:sz w:val="18"/>
              </w:rPr>
            </w:r>
          </w:p>
        </w:tc>
      </w:tr>
      <w:tr>
        <w:trPr>
          <w:trHeight w:val="71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11,043,271.33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公允价值调整的所得税影响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8,258,917.58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-121.08</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90,012,411.19</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4、现金流量表项目" w:id="307"/>
      <w:bookmarkEnd w:id="307"/>
      <w:r>
        <w:rPr>
          <w:b w:val="0"/>
          <w:bCs w:val="0"/>
        </w:rPr>
      </w:r>
      <w:r>
        <w:rPr>
          <w:rFonts w:ascii="Times New Roman" w:hAnsi="Times New Roman" w:cs="Times New Roman" w:eastAsia="Times New Roman" w:hint="default"/>
        </w:rPr>
        <w:t>44</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08"/>
      <w:bookmarkEnd w:id="30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38,415,101.82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7,476,779.71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收回的押金保证金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8,085,891.95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7,887,803.09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绵阳卖地收入</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57,009,900.00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3,960,285.83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8,763,641.58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3,218,846.07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318,922.35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131,272.59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165,260.23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53,811,398.26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81,622,306.96</w:t>
            </w:r>
          </w:p>
        </w:tc>
      </w:tr>
    </w:tbl>
    <w:p>
      <w:pPr>
        <w:pStyle w:val="BodyText"/>
        <w:spacing w:line="240" w:lineRule="auto" w:before="51"/>
        <w:ind w:left="154"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2）支付的其他与经营活动有关的现金" w:id="309"/>
      <w:bookmarkEnd w:id="30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26,761,336.27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28,602,565.09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134,097.06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179,700.47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支付的违约金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453,390.37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7,926,920.48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12,521,479.98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9,631,491.95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11,893,307.99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支付的滞纳金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77,622.33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694,162.99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87,587.03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44,531,468.09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54,432,193.92</w:t>
            </w:r>
          </w:p>
        </w:tc>
      </w:tr>
    </w:tbl>
    <w:p>
      <w:pPr>
        <w:pStyle w:val="BodyText"/>
        <w:spacing w:line="240" w:lineRule="auto" w:before="51"/>
        <w:ind w:left="154" w:right="0"/>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收到的其他与投资活动有关的现金" w:id="310"/>
      <w:bookmarkEnd w:id="31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311"/>
      <w:bookmarkEnd w:id="31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处置子公司支付的现金净额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70,123,422.47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70,123,422.47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5）收到的其他与筹资活动有关的现金" w:id="312"/>
      <w:bookmarkEnd w:id="31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收回外部关联单位款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1,098,525.34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2,482,394.84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1,098,525.34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2,482,394.84</w:t>
            </w:r>
          </w:p>
        </w:tc>
      </w:tr>
    </w:tbl>
    <w:p>
      <w:pPr>
        <w:pStyle w:val="BodyText"/>
        <w:spacing w:line="240" w:lineRule="auto" w:before="51"/>
        <w:ind w:left="154"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6）支付的其他与筹资活动有关的现金" w:id="313"/>
      <w:bookmarkEnd w:id="31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偿还外部关联单位款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3,975,080.26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9,039,117.51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发行股票支付的相关费用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14,213,404.50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3,975,080.26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23,252,522.01</w:t>
            </w:r>
          </w:p>
        </w:tc>
      </w:tr>
    </w:tbl>
    <w:p>
      <w:pPr>
        <w:pStyle w:val="BodyText"/>
        <w:spacing w:line="240" w:lineRule="auto" w:before="51"/>
        <w:ind w:left="154"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5、现金流量表补充资料" w:id="314"/>
      <w:bookmarkEnd w:id="314"/>
      <w:r>
        <w:rPr>
          <w:b w:val="0"/>
          <w:bCs w:val="0"/>
        </w:rPr>
      </w:r>
      <w:r>
        <w:rPr>
          <w:rFonts w:ascii="Times New Roman" w:hAnsi="Times New Roman" w:cs="Times New Roman" w:eastAsia="Times New Roman" w:hint="default"/>
        </w:rPr>
        <w:t>45</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15"/>
      <w:bookmarkEnd w:id="31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358,378,132.83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240,476,528.06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29,224,431.62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16,274,319.12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33,113,699.71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18,064,664.65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3,890,465.95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2,592,434.69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167.929977pt;width:151.25pt;height:40.9pt;mso-position-horizontal-relative:page;mso-position-vertical-relative:page;z-index:-859168" coordorigin="4467,3359" coordsize="3025,818">
            <v:group style="position:absolute;left:4478;top:3370;width:2;height:393" coordorigin="4478,3370" coordsize="2,393">
              <v:shape style="position:absolute;left:4478;top:3370;width:2;height:393" coordorigin="4478,3370" coordsize="0,393" path="m4478,3370l4478,3762e" filled="false" stroked="true" strokeweight="1.140pt" strokecolor="#ffffff">
                <v:path arrowok="t"/>
              </v:shape>
            </v:group>
            <v:group style="position:absolute;left:4490;top:3370;width:3002;height:393" coordorigin="4490,3370" coordsize="3002,393">
              <v:shape style="position:absolute;left:4490;top:3370;width:3002;height:393" coordorigin="4490,3370" coordsize="3002,393" path="m4490,3762l7491,3762,7491,3370,4490,3370,4490,3762xe" filled="true" fillcolor="#ffffff" stroked="false">
                <v:path arrowok="t"/>
                <v:fill type="solid"/>
              </v:shape>
            </v:group>
            <v:group style="position:absolute;left:4478;top:3772;width:2;height:393" coordorigin="4478,3772" coordsize="2,393">
              <v:shape style="position:absolute;left:4478;top:3772;width:2;height:393" coordorigin="4478,3772" coordsize="0,393" path="m4478,3772l4478,4164e" filled="false" stroked="true" strokeweight="1.140pt" strokecolor="#ffffff">
                <v:path arrowok="t"/>
              </v:shape>
            </v:group>
            <v:group style="position:absolute;left:4490;top:3772;width:3002;height:393" coordorigin="4490,3772" coordsize="3002,393">
              <v:shape style="position:absolute;left:4490;top:3772;width:3002;height:393" coordorigin="4490,3772" coordsize="3002,393" path="m4490,4164l7491,4164,7491,3772,4490,3772,4490,416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88"/>
        <w:gridCol w:w="1981"/>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1,432,733.69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1,558,185.87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324,256.67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440,355.10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10,498.81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-51,677,678.75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-3,569,573.98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2,946,334.11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-6,203,552.63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8"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-774,315.03</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-1,255,998.33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283,618,388.22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15,716,705.05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-360,975,974.31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-220,086,535.34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-373,399,735.37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289,946,420.52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-130,100.12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2,069,409.79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-73,913,262.35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355,917,762.95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1,900,892,199.51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2,143,066,724.60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2,143,066,724.60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105,550,369.85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-242,174,525.09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2,037,516,354.75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本期支付的取得子公司的现金净额" w:id="316"/>
      <w:bookmarkEnd w:id="31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1,284.69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其中：北京赛鸽天地和北京三吉嘉喜</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1,284.69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183,086,562.50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其中：浙江视科文化传播有限公司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183,086,562.50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183,085,277.81</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本期收到的处置子公司的现金净额" w:id="317"/>
      <w:bookmarkEnd w:id="31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104,260,000.00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济宁海情置业有限公司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79,300,000.00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青岛广顺房地产有限公司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24,960,000.00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174,383,422.47</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济宁海情置业有限公司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124,470,730.46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青岛广顺房地产有限公司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49,912,692.01</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-70,123,422.47</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18"/>
      <w:bookmarkEnd w:id="31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1,900,892,199.51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2,143,066,724.60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28,582.27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74,907.59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1,900,863,617.24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2,142,991,817.01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1,900,892,199.51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2,143,066,724.60</w:t>
            </w:r>
          </w:p>
        </w:tc>
      </w:tr>
    </w:tbl>
    <w:p>
      <w:pPr>
        <w:pStyle w:val="BodyText"/>
        <w:spacing w:line="240" w:lineRule="auto" w:before="51"/>
        <w:ind w:left="154" w:right="0"/>
        <w:jc w:val="left"/>
      </w:pPr>
      <w:r>
        <w:rPr/>
        <w:t>其他说明：</w:t>
      </w:r>
    </w:p>
    <w:p>
      <w:pPr>
        <w:pStyle w:val="BodyText"/>
        <w:spacing w:line="300" w:lineRule="auto" w:before="115"/>
        <w:ind w:right="1118"/>
        <w:jc w:val="left"/>
      </w:pPr>
      <w:r>
        <w:rPr>
          <w:rFonts w:ascii="Times New Roman" w:hAnsi="Times New Roman" w:cs="Times New Roman" w:eastAsia="Times New Roman" w:hint="default"/>
        </w:rPr>
        <w:t>2016</w:t>
      </w:r>
      <w:r>
        <w:rPr/>
        <w:t>年度现金流量表中现金期末数为</w:t>
      </w:r>
      <w:r>
        <w:rPr>
          <w:rFonts w:ascii="Times New Roman" w:hAnsi="Times New Roman" w:cs="Times New Roman" w:eastAsia="Times New Roman" w:hint="default"/>
        </w:rPr>
        <w:t>2,143,066,724.60</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日资产负债表中货币资金期末数为</w:t>
      </w:r>
      <w:r>
        <w:rPr>
          <w:rFonts w:ascii="Times New Roman" w:hAnsi="Times New Roman" w:cs="Times New Roman" w:eastAsia="Times New Roman" w:hint="default"/>
        </w:rPr>
        <w:t>2,146,393,123.76 </w:t>
      </w:r>
      <w:r>
        <w:rPr>
          <w:spacing w:val="-3"/>
        </w:rPr>
        <w:t>元，差额</w:t>
      </w:r>
      <w:r>
        <w:rPr>
          <w:rFonts w:ascii="Times New Roman" w:hAnsi="Times New Roman" w:cs="Times New Roman" w:eastAsia="Times New Roman" w:hint="default"/>
          <w:spacing w:val="-3"/>
        </w:rPr>
        <w:t>3,326,399.16</w:t>
      </w:r>
      <w:r>
        <w:rPr>
          <w:spacing w:val="-3"/>
        </w:rPr>
        <w:t>元，系现金流量表现金期末数扣除了不符合现金及现金等价物标准的使用受限制的银行存款</w:t>
      </w:r>
      <w:r>
        <w:rPr>
          <w:rFonts w:ascii="Times New Roman" w:hAnsi="Times New Roman" w:cs="Times New Roman" w:eastAsia="Times New Roman" w:hint="default"/>
          <w:spacing w:val="-3"/>
        </w:rPr>
        <w:t>3,326,399.16</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元。</w:t>
      </w:r>
    </w:p>
    <w:p>
      <w:pPr>
        <w:spacing w:line="240" w:lineRule="auto" w:before="9"/>
        <w:rPr>
          <w:rFonts w:ascii="宋体" w:hAnsi="宋体" w:cs="宋体" w:eastAsia="宋体" w:hint="default"/>
          <w:sz w:val="21"/>
          <w:szCs w:val="21"/>
        </w:rPr>
      </w:pPr>
    </w:p>
    <w:p>
      <w:pPr>
        <w:pStyle w:val="Heading2"/>
        <w:spacing w:line="240" w:lineRule="auto"/>
        <w:ind w:left="154" w:right="0"/>
        <w:jc w:val="left"/>
        <w:rPr>
          <w:b w:val="0"/>
          <w:bCs w:val="0"/>
        </w:rPr>
      </w:pPr>
      <w:bookmarkStart w:name="八、合并范围的变更" w:id="319"/>
      <w:bookmarkEnd w:id="319"/>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320"/>
      <w:bookmarkEnd w:id="320"/>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非同一控制下企业合并" w:id="321"/>
      <w:bookmarkEnd w:id="321"/>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北京三吉嘉 喜传媒科技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20,116.25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-20,795.48</w:t>
            </w:r>
            <w:r>
              <w:rPr>
                <w:rFonts w:ascii="Times New Roman"/>
                <w:sz w:val="18"/>
              </w:rPr>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北京赛鸽天 地广告有限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24,379,883.7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支付现金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3,883,495.16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2,386,739.72</w:t>
            </w:r>
          </w:p>
        </w:tc>
      </w:tr>
    </w:tbl>
    <w:p>
      <w:pPr>
        <w:pStyle w:val="BodyText"/>
        <w:spacing w:line="240" w:lineRule="auto" w:before="51"/>
        <w:ind w:left="154" w:right="0"/>
        <w:jc w:val="left"/>
      </w:pPr>
      <w:r>
        <w:rPr/>
        <w:t>其他说明：</w:t>
      </w:r>
    </w:p>
    <w:p>
      <w:pPr>
        <w:pStyle w:val="BodyText"/>
        <w:spacing w:line="302" w:lineRule="auto" w:before="116"/>
        <w:ind w:right="1033" w:firstLine="73"/>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根据本公司之全资子公司杭州视赚股东会决议，杭州视赚与程一笑、杨帆于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日签订《股权转让协议》，以</w:t>
      </w:r>
      <w:r>
        <w:rPr>
          <w:w w:val="99"/>
        </w:rPr>
        <w:t> </w:t>
      </w:r>
      <w:r>
        <w:rPr>
          <w:rFonts w:ascii="Times New Roman" w:hAnsi="Times New Roman" w:cs="Times New Roman" w:eastAsia="Times New Roman" w:hint="default"/>
        </w:rPr>
        <w:t>1,220</w:t>
      </w:r>
      <w:r>
        <w:rPr/>
        <w:t>万元受让程一笑、杨帆持有的北京赛鸽天地</w:t>
      </w:r>
      <w:r>
        <w:rPr>
          <w:rFonts w:ascii="Times New Roman" w:hAnsi="Times New Roman" w:cs="Times New Roman" w:eastAsia="Times New Roman" w:hint="default"/>
        </w:rPr>
        <w:t>100%</w:t>
      </w:r>
      <w:r>
        <w:rPr/>
        <w:t>股权；与王罗云、王毅夫于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日签订《股权转让协议》，</w:t>
      </w:r>
      <w:r>
        <w:rPr>
          <w:w w:val="99"/>
        </w:rPr>
        <w:t> </w:t>
      </w:r>
      <w:r>
        <w:rPr>
          <w:spacing w:val="-3"/>
        </w:rPr>
        <w:t>以</w:t>
      </w:r>
      <w:r>
        <w:rPr>
          <w:rFonts w:ascii="Times New Roman" w:hAnsi="Times New Roman" w:cs="Times New Roman" w:eastAsia="Times New Roman" w:hint="default"/>
          <w:spacing w:val="-3"/>
        </w:rPr>
        <w:t>1,220</w:t>
      </w:r>
      <w:r>
        <w:rPr>
          <w:spacing w:val="-3"/>
        </w:rPr>
        <w:t>万元受让王罗云、王毅夫持有的北京三吉嘉喜传媒科技有限公司</w:t>
      </w:r>
      <w:r>
        <w:rPr>
          <w:rFonts w:ascii="Times New Roman" w:hAnsi="Times New Roman" w:cs="Times New Roman" w:eastAsia="Times New Roman" w:hint="default"/>
          <w:spacing w:val="-3"/>
        </w:rPr>
        <w:t>(</w:t>
      </w:r>
      <w:r>
        <w:rPr>
          <w:spacing w:val="-3"/>
        </w:rPr>
        <w:t>以下简称北京三吉嘉喜</w:t>
      </w:r>
      <w:r>
        <w:rPr>
          <w:rFonts w:ascii="Times New Roman" w:hAnsi="Times New Roman" w:cs="Times New Roman" w:eastAsia="Times New Roman" w:hint="default"/>
          <w:spacing w:val="-3"/>
        </w:rPr>
        <w:t>)100%</w:t>
      </w:r>
      <w:r>
        <w:rPr>
          <w:spacing w:val="-3"/>
        </w:rPr>
        <w:t>股权。杭州视赚于</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日支付完毕上述股权转让款，北京赛鸽天地、北京三吉嘉喜分别于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日办妥工商变更登记手续，</w:t>
      </w:r>
      <w:r>
        <w:rPr>
          <w:spacing w:val="-85"/>
        </w:rPr>
        <w:t> </w:t>
      </w:r>
      <w:r>
        <w:rPr>
          <w:spacing w:val="-85"/>
        </w:rPr>
      </w:r>
      <w:r>
        <w:rPr>
          <w:spacing w:val="-2"/>
        </w:rPr>
        <w:t>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月办理完成必要的交接手续，故杭州视赚在</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月末已拥有该两家公司的实质控制权。为便于核算，将</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8"/>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日确定为购买日，自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日起将该两家公司纳入合并财务报表范围。</w:t>
      </w:r>
      <w:r>
        <w:rPr>
          <w:w w:val="99"/>
        </w:rPr>
        <w:t> </w:t>
      </w:r>
      <w:r>
        <w:rPr>
          <w:spacing w:val="-2"/>
          <w:w w:val="99"/>
        </w:rPr>
        <w:t>上述两项股权购买事项实际系一揽子交易，本次购买上述两家公司的股权实际是为取得北京赛鸽天地的广播电视节目制作经</w:t>
      </w:r>
      <w:r>
        <w:rPr>
          <w:spacing w:val="-64"/>
          <w:w w:val="99"/>
        </w:rPr>
        <w:t> </w:t>
      </w:r>
      <w:r>
        <w:rPr>
          <w:spacing w:val="-64"/>
          <w:w w:val="99"/>
        </w:rPr>
      </w:r>
      <w:r>
        <w:rPr/>
        <w:t>营、信息网络传播视听节目资质。根据股权转让方的要求，杭州视赚同时收购北京赛鸽天地、北京三吉嘉喜两家公司</w:t>
      </w:r>
      <w:r>
        <w:rPr>
          <w:rFonts w:ascii="Times New Roman" w:hAnsi="Times New Roman" w:cs="Times New Roman" w:eastAsia="Times New Roman" w:hint="default"/>
        </w:rPr>
        <w:t>100%</w:t>
      </w:r>
      <w:r>
        <w:rPr>
          <w:rFonts w:ascii="Times New Roman" w:hAnsi="Times New Roman" w:cs="Times New Roman" w:eastAsia="Times New Roman" w:hint="default"/>
          <w:w w:val="99"/>
        </w:rPr>
        <w:t> </w:t>
      </w:r>
      <w:r>
        <w:rPr/>
        <w:t>股权。鉴于北京三吉嘉喜截至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日无实际业务，故本次交易中，按购买日北京三吉嘉喜账面净资产</w:t>
      </w:r>
      <w:r>
        <w:rPr>
          <w:rFonts w:ascii="Times New Roman" w:hAnsi="Times New Roman" w:cs="Times New Roman" w:eastAsia="Times New Roman" w:hint="default"/>
        </w:rPr>
        <w:t>20,116.25</w:t>
      </w:r>
      <w:r>
        <w:rPr/>
        <w:t>元确</w:t>
      </w:r>
      <w:r>
        <w:rPr>
          <w:w w:val="99"/>
        </w:rPr>
        <w:t> </w:t>
      </w:r>
      <w:r>
        <w:rPr/>
        <w:t>认对其的投资成本，与购买价款</w:t>
      </w:r>
      <w:r>
        <w:rPr>
          <w:rFonts w:ascii="Times New Roman" w:hAnsi="Times New Roman" w:cs="Times New Roman" w:eastAsia="Times New Roman" w:hint="default"/>
        </w:rPr>
        <w:t>1,220</w:t>
      </w:r>
      <w:r>
        <w:rPr/>
        <w:t>万元的差额</w:t>
      </w:r>
      <w:r>
        <w:rPr>
          <w:rFonts w:ascii="Times New Roman" w:hAnsi="Times New Roman" w:cs="Times New Roman" w:eastAsia="Times New Roman" w:hint="default"/>
        </w:rPr>
        <w:t>12,179,883.75</w:t>
      </w:r>
      <w:r>
        <w:rPr/>
        <w:t>元确认为对北京赛鸽天地的投资成本。</w:t>
      </w:r>
    </w:p>
    <w:p>
      <w:pPr>
        <w:spacing w:line="240" w:lineRule="auto" w:before="12"/>
        <w:rPr>
          <w:rFonts w:ascii="宋体" w:hAnsi="宋体" w:cs="宋体" w:eastAsia="宋体" w:hint="default"/>
          <w:sz w:val="21"/>
          <w:szCs w:val="21"/>
        </w:rPr>
      </w:pPr>
    </w:p>
    <w:p>
      <w:pPr>
        <w:pStyle w:val="Heading3"/>
        <w:spacing w:line="240" w:lineRule="auto"/>
        <w:ind w:left="154" w:right="0"/>
        <w:jc w:val="left"/>
        <w:rPr>
          <w:b w:val="0"/>
          <w:bCs w:val="0"/>
        </w:rPr>
      </w:pPr>
      <w:bookmarkStart w:name="（2）合并成本及商誉" w:id="322"/>
      <w:bookmarkEnd w:id="322"/>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11" w:right="0"/>
              <w:jc w:val="left"/>
              <w:rPr>
                <w:rFonts w:ascii="宋体" w:hAnsi="宋体" w:cs="宋体" w:eastAsia="宋体" w:hint="default"/>
                <w:sz w:val="18"/>
                <w:szCs w:val="18"/>
              </w:rPr>
            </w:pPr>
            <w:r>
              <w:rPr>
                <w:rFonts w:ascii="宋体" w:hAnsi="宋体" w:cs="宋体" w:eastAsia="宋体" w:hint="default"/>
                <w:sz w:val="18"/>
                <w:szCs w:val="18"/>
              </w:rPr>
              <w:t>北京赛鸽天地广告有限公司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北京三吉嘉喜传媒科技有限公司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24,379,883.75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20,116.25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24,379,883.75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20,116.25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-4,990.32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20,116.25</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4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24,384,874.07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6072"/>
        <w:jc w:val="left"/>
      </w:pPr>
      <w:r>
        <w:rPr/>
        <w:t>合并成本公允价值的确定方法、或有对价及其变动的说明： 大额商誉形成的主要原因：</w:t>
      </w:r>
    </w:p>
    <w:p>
      <w:pPr>
        <w:pStyle w:val="BodyText"/>
        <w:spacing w:line="240" w:lineRule="auto" w:before="29"/>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3）被购买方于购买日可辨认资产、负债" w:id="323"/>
      <w:bookmarkEnd w:id="323"/>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397" w:hRule="exact"/>
        </w:trPr>
        <w:tc>
          <w:tcPr>
            <w:tcW w:w="1892"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3840"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827" w:right="0"/>
              <w:jc w:val="left"/>
              <w:rPr>
                <w:rFonts w:ascii="宋体" w:hAnsi="宋体" w:cs="宋体" w:eastAsia="宋体" w:hint="default"/>
                <w:sz w:val="18"/>
                <w:szCs w:val="18"/>
              </w:rPr>
            </w:pPr>
            <w:r>
              <w:rPr>
                <w:rFonts w:ascii="宋体" w:hAnsi="宋体" w:cs="宋体" w:eastAsia="宋体" w:hint="default"/>
                <w:sz w:val="18"/>
                <w:szCs w:val="18"/>
              </w:rPr>
              <w:t>北京赛鸽天地广告有限公司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47" w:right="0"/>
              <w:jc w:val="left"/>
              <w:rPr>
                <w:rFonts w:ascii="宋体" w:hAnsi="宋体" w:cs="宋体" w:eastAsia="宋体" w:hint="default"/>
                <w:sz w:val="18"/>
                <w:szCs w:val="18"/>
              </w:rPr>
            </w:pPr>
            <w:r>
              <w:rPr>
                <w:rFonts w:ascii="宋体" w:hAnsi="宋体" w:cs="宋体" w:eastAsia="宋体" w:hint="default"/>
                <w:sz w:val="18"/>
                <w:szCs w:val="18"/>
              </w:rPr>
              <w:t>北京三吉嘉喜传媒科技有限公司</w:t>
            </w:r>
          </w:p>
        </w:tc>
      </w:tr>
      <w:tr>
        <w:trPr>
          <w:trHeight w:val="407"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3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116.25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6,158.76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-4,990.32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-4,990.32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20,116.25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0" w:right="0"/>
              <w:jc w:val="left"/>
              <w:rPr>
                <w:rFonts w:ascii="Times New Roman" w:hAnsi="Times New Roman" w:cs="Times New Roman" w:eastAsia="Times New Roman" w:hint="default"/>
                <w:sz w:val="18"/>
                <w:szCs w:val="18"/>
              </w:rPr>
            </w:pPr>
            <w:r>
              <w:rPr>
                <w:rFonts w:ascii="Times New Roman"/>
                <w:sz w:val="18"/>
              </w:rPr>
              <w:t>-4,990.32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0" w:right="0"/>
              <w:jc w:val="left"/>
              <w:rPr>
                <w:rFonts w:ascii="Times New Roman" w:hAnsi="Times New Roman" w:cs="Times New Roman" w:eastAsia="Times New Roman" w:hint="default"/>
                <w:sz w:val="18"/>
                <w:szCs w:val="18"/>
              </w:rPr>
            </w:pPr>
            <w:r>
              <w:rPr>
                <w:rFonts w:ascii="Times New Roman"/>
                <w:sz w:val="18"/>
              </w:rPr>
              <w:t>-4,990.32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7" w:right="0"/>
              <w:jc w:val="left"/>
              <w:rPr>
                <w:rFonts w:ascii="Times New Roman" w:hAnsi="Times New Roman" w:cs="Times New Roman" w:eastAsia="Times New Roman" w:hint="default"/>
                <w:sz w:val="18"/>
                <w:szCs w:val="18"/>
              </w:rPr>
            </w:pPr>
            <w:r>
              <w:rPr>
                <w:rFonts w:ascii="Times New Roman"/>
                <w:sz w:val="18"/>
              </w:rPr>
              <w:t>20,116.25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7" w:right="0"/>
              <w:jc w:val="left"/>
              <w:rPr>
                <w:rFonts w:ascii="Times New Roman" w:hAnsi="Times New Roman" w:cs="Times New Roman" w:eastAsia="Times New Roman" w:hint="default"/>
                <w:sz w:val="18"/>
                <w:szCs w:val="18"/>
              </w:rPr>
            </w:pPr>
            <w:r>
              <w:rPr>
                <w:rFonts w:ascii="Times New Roman"/>
                <w:sz w:val="18"/>
              </w:rPr>
              <w:t>20,116.25</w:t>
            </w:r>
          </w:p>
        </w:tc>
      </w:tr>
    </w:tbl>
    <w:p>
      <w:pPr>
        <w:pStyle w:val="BodyText"/>
        <w:spacing w:line="338" w:lineRule="auto" w:before="51"/>
        <w:ind w:left="154" w:right="0"/>
        <w:jc w:val="left"/>
      </w:pPr>
      <w:r>
        <w:rPr/>
        <w:t>可辨认资产、负债公允价值的确定方法： </w:t>
      </w:r>
      <w:r>
        <w:rPr>
          <w:spacing w:val="-2"/>
        </w:rPr>
        <w:t>上述北京赛鸽天地、北京三吉嘉喜于购买日可辨认资产、负债的公允价值系依据深圳市世华资产评估有限公司按资产基础法</w:t>
      </w:r>
      <w:r>
        <w:rPr>
          <w:spacing w:val="-64"/>
        </w:rPr>
        <w:t> </w:t>
      </w:r>
      <w:r>
        <w:rPr>
          <w:spacing w:val="-64"/>
        </w:rPr>
      </w:r>
      <w:r>
        <w:rPr/>
        <w:t>估值的结果确定。</w:t>
      </w:r>
    </w:p>
    <w:p>
      <w:pPr>
        <w:spacing w:line="240" w:lineRule="auto" w:before="0"/>
        <w:rPr>
          <w:rFonts w:ascii="宋体" w:hAnsi="宋体" w:cs="宋体" w:eastAsia="宋体" w:hint="default"/>
          <w:sz w:val="18"/>
          <w:szCs w:val="18"/>
        </w:rPr>
      </w:pPr>
    </w:p>
    <w:p>
      <w:pPr>
        <w:pStyle w:val="BodyText"/>
        <w:spacing w:line="360" w:lineRule="auto" w:before="120"/>
        <w:ind w:left="154" w:right="7512"/>
        <w:jc w:val="left"/>
      </w:pPr>
      <w:r>
        <w:rPr/>
        <w:t>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left="154" w:right="0"/>
        <w:jc w:val="left"/>
        <w:rPr>
          <w:b w:val="0"/>
          <w:bCs w:val="0"/>
        </w:rPr>
      </w:pPr>
      <w:bookmarkStart w:name="（4）购买日之前持有的股权按照公允价值重新计量产生的利得或损失" w:id="324"/>
      <w:bookmarkEnd w:id="324"/>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是否存在通过多次交易分步实现企业合并且在报告期内取得控制权的交易</w:t>
      </w:r>
    </w:p>
    <w:p>
      <w:pPr>
        <w:pStyle w:val="BodyText"/>
        <w:spacing w:line="240" w:lineRule="auto" w:before="116"/>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购买日或合并当期期末无法合理确定合并对价或被购买方可辨认资产、负债公允价值" w:id="325"/>
      <w:bookmarkEnd w:id="325"/>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326"/>
      <w:bookmarkEnd w:id="326"/>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327"/>
      <w:bookmarkEnd w:id="327"/>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328"/>
      <w:bookmarkEnd w:id="328"/>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 w:id="329"/>
      <w:bookmarkEnd w:id="329"/>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54" w:right="8592"/>
        <w:jc w:val="left"/>
      </w:pPr>
      <w:r>
        <w:rPr/>
        <w:t>或有对价及其变动的说明：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合并日被合并方资产、负债的账面价值" w:id="330"/>
      <w:bookmarkEnd w:id="330"/>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8"/>
        <w:rPr>
          <w:rFonts w:ascii="宋体" w:hAnsi="宋体" w:cs="宋体" w:eastAsia="宋体" w:hint="default"/>
          <w:sz w:val="7"/>
          <w:szCs w:val="7"/>
        </w:rPr>
      </w:pPr>
    </w:p>
    <w:p>
      <w:pPr>
        <w:spacing w:line="824"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6" coordorigin="5,5" coordsize="2,816">
              <v:shape style="position:absolute;left:5;top:5;width:2;height:816" coordorigin="5,5" coordsize="0,816"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pt" strokecolor="#000000">
                <v:path arrowok="t"/>
              </v:shape>
            </v:group>
            <v:group style="position:absolute;left:3195;top:5;width:2;height:816" coordorigin="3195,5" coordsize="2,816">
              <v:shape style="position:absolute;left:3195;top:5;width:2;height:816" coordorigin="3195,5" coordsize="0,816" path="m3195,5l3195,820e" filled="false" stroked="true" strokeweight=".48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pt" strokecolor="#000000">
                <v:path arrowok="t"/>
              </v:shape>
            </v:group>
            <v:group style="position:absolute;left:9576;top:5;width:2;height:816" coordorigin="9576,5" coordsize="2,816">
              <v:shape style="position:absolute;left:9576;top:5;width:2;height:816" coordorigin="9576,5" coordsize="0,816" path="m9576,5l9576,820e" filled="false" stroked="true" strokeweight=".48pt" strokecolor="#000000">
                <v:path arrowok="t"/>
              </v:shape>
              <v:shape style="position:absolute;left:3183;top:413;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7"/>
        <w:ind w:left="154" w:right="7512"/>
        <w:jc w:val="left"/>
      </w:pPr>
      <w:r>
        <w:rPr/>
        <w:t>企业合并中承担的被合并方的或有负债： 其他说明：</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反向购买" w:id="331"/>
      <w:bookmarkEnd w:id="331"/>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4、处置子公司" w:id="332"/>
      <w:bookmarkEnd w:id="332"/>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是否存在单次处置对子公司投资即丧失控制权的情形</w:t>
      </w:r>
    </w:p>
    <w:p>
      <w:pPr>
        <w:pStyle w:val="BodyText"/>
        <w:spacing w:line="240" w:lineRule="auto" w:before="116"/>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295" w:space="462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济宁海 情置业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132,150,</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21,126,7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94.71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青岛广 顺房地 产有限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41,596,0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pStyle w:val="BodyText"/>
        <w:spacing w:line="300" w:lineRule="auto" w:before="116"/>
        <w:ind w:right="1123"/>
        <w:jc w:val="left"/>
      </w:pPr>
      <w:r>
        <w:rPr>
          <w:rFonts w:ascii="Times New Roman" w:hAnsi="Times New Roman" w:cs="Times New Roman" w:eastAsia="Times New Roman" w:hint="default"/>
          <w:spacing w:val="-1"/>
        </w:rPr>
        <w:t>[</w:t>
      </w:r>
      <w:r>
        <w:rPr>
          <w:spacing w:val="-1"/>
        </w:rPr>
        <w:t>注</w:t>
      </w:r>
      <w:r>
        <w:rPr>
          <w:rFonts w:ascii="Times New Roman" w:hAnsi="Times New Roman" w:cs="Times New Roman" w:eastAsia="Times New Roman" w:hint="default"/>
          <w:spacing w:val="-1"/>
        </w:rPr>
        <w:t>]</w:t>
      </w:r>
      <w:r>
        <w:rPr>
          <w:spacing w:val="-1"/>
        </w:rPr>
        <w:t>根据本公司与控股股东青岛亚星实业有限公司</w:t>
      </w:r>
      <w:r>
        <w:rPr>
          <w:rFonts w:ascii="Times New Roman" w:hAnsi="Times New Roman" w:cs="Times New Roman" w:eastAsia="Times New Roman" w:hint="default"/>
          <w:spacing w:val="-1"/>
        </w:rPr>
        <w:t>(</w:t>
      </w:r>
      <w:r>
        <w:rPr>
          <w:spacing w:val="-1"/>
        </w:rPr>
        <w:t>以下简称青岛亚星</w:t>
      </w:r>
      <w:r>
        <w:rPr>
          <w:rFonts w:ascii="Times New Roman" w:hAnsi="Times New Roman" w:cs="Times New Roman" w:eastAsia="Times New Roman" w:hint="default"/>
          <w:spacing w:val="-1"/>
        </w:rPr>
        <w:t>)</w:t>
      </w:r>
      <w:r>
        <w:rPr>
          <w:spacing w:val="-1"/>
        </w:rPr>
        <w:t>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15</w:t>
      </w:r>
      <w:r>
        <w:rPr>
          <w:spacing w:val="-1"/>
        </w:rPr>
        <w:t>日签订的《股权转让协议》，本公司将</w:t>
      </w:r>
      <w:r>
        <w:rPr>
          <w:spacing w:val="-85"/>
        </w:rPr>
        <w:t> </w:t>
      </w:r>
      <w:r>
        <w:rPr>
          <w:spacing w:val="-85"/>
        </w:rPr>
      </w:r>
      <w:r>
        <w:rPr/>
        <w:t>所持有的济宁海情置业有限公司</w:t>
      </w:r>
      <w:r>
        <w:rPr>
          <w:rFonts w:ascii="Times New Roman" w:hAnsi="Times New Roman" w:cs="Times New Roman" w:eastAsia="Times New Roman" w:hint="default"/>
        </w:rPr>
        <w:t>(</w:t>
      </w:r>
      <w:r>
        <w:rPr/>
        <w:t>以下简称济宁海情</w:t>
      </w:r>
      <w:r>
        <w:rPr>
          <w:rFonts w:ascii="Times New Roman" w:hAnsi="Times New Roman" w:cs="Times New Roman" w:eastAsia="Times New Roman" w:hint="default"/>
        </w:rPr>
        <w:t>)90%</w:t>
      </w:r>
      <w:r>
        <w:rPr/>
        <w:t>股权以评估后净资产作价计</w:t>
      </w:r>
      <w:r>
        <w:rPr>
          <w:rFonts w:ascii="Times New Roman" w:hAnsi="Times New Roman" w:cs="Times New Roman" w:eastAsia="Times New Roman" w:hint="default"/>
        </w:rPr>
        <w:t>13,215</w:t>
      </w:r>
      <w:r>
        <w:rPr/>
        <w:t>万元、青岛广顺房地产有限公司</w:t>
      </w:r>
      <w:r>
        <w:rPr>
          <w:w w:val="99"/>
        </w:rPr>
        <w:t> </w:t>
      </w:r>
      <w:r>
        <w:rPr>
          <w:rFonts w:ascii="Times New Roman" w:hAnsi="Times New Roman" w:cs="Times New Roman" w:eastAsia="Times New Roman" w:hint="default"/>
          <w:spacing w:val="-2"/>
        </w:rPr>
        <w:t>(</w:t>
      </w:r>
      <w:r>
        <w:rPr>
          <w:spacing w:val="-2"/>
        </w:rPr>
        <w:t>以下简称青岛广顺</w:t>
      </w:r>
      <w:r>
        <w:rPr>
          <w:rFonts w:ascii="Times New Roman" w:hAnsi="Times New Roman" w:cs="Times New Roman" w:eastAsia="Times New Roman" w:hint="default"/>
          <w:spacing w:val="-2"/>
        </w:rPr>
        <w:t>)83%</w:t>
      </w:r>
      <w:r>
        <w:rPr>
          <w:spacing w:val="-2"/>
        </w:rPr>
        <w:t>股权以评估后净资产作价计</w:t>
      </w:r>
      <w:r>
        <w:rPr>
          <w:rFonts w:ascii="Times New Roman" w:hAnsi="Times New Roman" w:cs="Times New Roman" w:eastAsia="Times New Roman" w:hint="default"/>
          <w:spacing w:val="-2"/>
        </w:rPr>
        <w:t>4,159.6</w:t>
      </w:r>
      <w:r>
        <w:rPr>
          <w:spacing w:val="-2"/>
        </w:rPr>
        <w:t>万元转让给青岛亚星，股权转让基准日为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日。济宁海</w:t>
      </w:r>
      <w:r>
        <w:rPr>
          <w:spacing w:val="-47"/>
        </w:rPr>
        <w:t> </w:t>
      </w:r>
      <w:r>
        <w:rPr>
          <w:spacing w:val="-47"/>
        </w:rPr>
      </w:r>
      <w:r>
        <w:rPr/>
        <w:t>情、青岛广顺分别于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日办妥了工商变更登记手续。为便于核算，根据重要性原则，确定出售日</w:t>
      </w:r>
      <w:r>
        <w:rPr>
          <w:w w:val="99"/>
        </w:rPr>
        <w:t> </w:t>
      </w:r>
      <w:r>
        <w:rPr/>
        <w:t>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日。本公司自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月起，不再将该两家公司纳入合并财务报表范围。</w:t>
      </w:r>
      <w:r>
        <w:rPr>
          <w:w w:val="99"/>
        </w:rPr>
        <w:t> </w:t>
      </w:r>
      <w:r>
        <w:rPr/>
        <w:t>泗水海情置业有限公司为济宁海情的全资子公司，随同济宁海情一并被出售，自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月起亦不再纳入本公司合并财务报</w:t>
      </w:r>
      <w:r>
        <w:rPr>
          <w:w w:val="99"/>
        </w:rPr>
        <w:t> </w:t>
      </w:r>
      <w:r>
        <w:rPr/>
        <w:t>表范围。</w:t>
      </w:r>
    </w:p>
    <w:p>
      <w:pPr>
        <w:spacing w:line="240" w:lineRule="auto" w:before="0"/>
        <w:rPr>
          <w:rFonts w:ascii="宋体" w:hAnsi="宋体" w:cs="宋体" w:eastAsia="宋体" w:hint="default"/>
          <w:sz w:val="18"/>
          <w:szCs w:val="18"/>
        </w:rPr>
      </w:pPr>
    </w:p>
    <w:p>
      <w:pPr>
        <w:pStyle w:val="BodyText"/>
        <w:spacing w:line="240" w:lineRule="auto" w:before="149"/>
        <w:ind w:right="0"/>
        <w:jc w:val="left"/>
      </w:pPr>
      <w:r>
        <w:rPr/>
        <w:t>是否存在通过多次交易分步处置对子公司投资且在本期丧失控制权的情形</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其他原因的合并范围变动" w:id="333"/>
      <w:bookmarkEnd w:id="333"/>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240" w:lineRule="auto" w:before="115"/>
        <w:ind w:left="513" w:right="0"/>
        <w:jc w:val="left"/>
      </w:pPr>
      <w:r>
        <w:rPr>
          <w:rFonts w:ascii="Times New Roman" w:hAnsi="Times New Roman" w:cs="Times New Roman" w:eastAsia="Times New Roman" w:hint="default"/>
        </w:rPr>
        <w:t>1</w:t>
      </w:r>
      <w:r>
        <w:rPr/>
        <w:t>．以直接设立或投资等方式增加的子公司</w:t>
      </w:r>
    </w:p>
    <w:p>
      <w:pPr>
        <w:pStyle w:val="BodyText"/>
        <w:spacing w:line="300" w:lineRule="auto" w:before="63"/>
        <w:ind w:right="0"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月，本公司之全资子公司青岛大通资本有限公司</w:t>
      </w:r>
      <w:r>
        <w:rPr>
          <w:rFonts w:ascii="Times New Roman" w:hAnsi="Times New Roman" w:cs="Times New Roman" w:eastAsia="Times New Roman" w:hint="default"/>
        </w:rPr>
        <w:t>(</w:t>
      </w:r>
      <w:r>
        <w:rPr/>
        <w:t>以下简称青岛大通资本</w:t>
      </w:r>
      <w:r>
        <w:rPr>
          <w:rFonts w:ascii="Times New Roman" w:hAnsi="Times New Roman" w:cs="Times New Roman" w:eastAsia="Times New Roman" w:hint="default"/>
        </w:rPr>
        <w:t>)</w:t>
      </w:r>
      <w:r>
        <w:rPr/>
        <w:t>单独出资设立青岛大通佳合资产管理 </w:t>
      </w:r>
      <w:r>
        <w:rPr>
          <w:spacing w:val="-2"/>
        </w:rPr>
        <w:t>有限公司</w:t>
      </w:r>
      <w:r>
        <w:rPr>
          <w:rFonts w:ascii="Times New Roman" w:hAnsi="Times New Roman" w:cs="Times New Roman" w:eastAsia="Times New Roman" w:hint="default"/>
          <w:spacing w:val="-2"/>
        </w:rPr>
        <w:t>(</w:t>
      </w:r>
      <w:r>
        <w:rPr>
          <w:spacing w:val="-2"/>
        </w:rPr>
        <w:t>以下简称青岛大通佳合</w:t>
      </w:r>
      <w:r>
        <w:rPr>
          <w:rFonts w:ascii="Times New Roman" w:hAnsi="Times New Roman" w:cs="Times New Roman" w:eastAsia="Times New Roman" w:hint="default"/>
          <w:spacing w:val="-2"/>
        </w:rPr>
        <w:t>)</w:t>
      </w:r>
      <w:r>
        <w:rPr>
          <w:spacing w:val="-2"/>
        </w:rPr>
        <w:t>。该公司于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5</w:t>
      </w:r>
      <w:r>
        <w:rPr>
          <w:spacing w:val="-2"/>
        </w:rPr>
        <w:t>日完成工商设立登记，注册资本为人民币</w:t>
      </w:r>
      <w:r>
        <w:rPr>
          <w:rFonts w:ascii="Times New Roman" w:hAnsi="Times New Roman" w:cs="Times New Roman" w:eastAsia="Times New Roman" w:hint="default"/>
          <w:spacing w:val="-2"/>
        </w:rPr>
        <w:t>1,000</w:t>
      </w:r>
      <w:r>
        <w:rPr>
          <w:spacing w:val="-2"/>
        </w:rPr>
        <w:t>万元。青岛大通资本</w:t>
      </w:r>
      <w:r>
        <w:rPr>
          <w:spacing w:val="-37"/>
        </w:rPr>
        <w:t> </w:t>
      </w:r>
      <w:r>
        <w:rPr>
          <w:spacing w:val="-37"/>
        </w:rPr>
      </w:r>
      <w:r>
        <w:rPr>
          <w:spacing w:val="-2"/>
        </w:rPr>
        <w:t>拥有对其的实质控制权，故自该公司成立之日起，将其纳入合并财务报表范围。截止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日，青岛大通佳合的净资</w:t>
      </w:r>
      <w:r>
        <w:rPr>
          <w:spacing w:val="-58"/>
        </w:rPr>
        <w:t> </w:t>
      </w:r>
      <w:r>
        <w:rPr>
          <w:spacing w:val="-58"/>
        </w:rPr>
      </w:r>
      <w:r>
        <w:rPr/>
        <w:t>产为</w:t>
      </w:r>
      <w:r>
        <w:rPr>
          <w:rFonts w:ascii="Times New Roman" w:hAnsi="Times New Roman" w:cs="Times New Roman" w:eastAsia="Times New Roman" w:hint="default"/>
        </w:rPr>
        <w:t>0</w:t>
      </w:r>
      <w:r>
        <w:rPr/>
        <w:t>元，成立日至期末的净利润为</w:t>
      </w:r>
      <w:r>
        <w:rPr>
          <w:rFonts w:ascii="Times New Roman" w:hAnsi="Times New Roman" w:cs="Times New Roman" w:eastAsia="Times New Roman" w:hint="default"/>
        </w:rPr>
        <w:t>0</w:t>
      </w:r>
      <w:r>
        <w:rPr/>
        <w:t>元。</w:t>
      </w:r>
    </w:p>
    <w:p>
      <w:pPr>
        <w:pStyle w:val="BodyText"/>
        <w:spacing w:line="300" w:lineRule="auto" w:before="13"/>
        <w:ind w:right="1130" w:firstLine="36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月，本公司单独出资设立深圳大通信息科技有限公司</w:t>
      </w:r>
      <w:r>
        <w:rPr>
          <w:rFonts w:ascii="Times New Roman" w:hAnsi="Times New Roman" w:cs="Times New Roman" w:eastAsia="Times New Roman" w:hint="default"/>
          <w:spacing w:val="-1"/>
        </w:rPr>
        <w:t>(</w:t>
      </w:r>
      <w:r>
        <w:rPr>
          <w:spacing w:val="-1"/>
        </w:rPr>
        <w:t>以下简称深圳大通信息</w:t>
      </w:r>
      <w:r>
        <w:rPr>
          <w:rFonts w:ascii="Times New Roman" w:hAnsi="Times New Roman" w:cs="Times New Roman" w:eastAsia="Times New Roman" w:hint="default"/>
          <w:spacing w:val="-1"/>
        </w:rPr>
        <w:t>)</w:t>
      </w:r>
      <w:r>
        <w:rPr>
          <w:spacing w:val="-1"/>
        </w:rPr>
        <w:t>。该公司于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23</w:t>
      </w:r>
      <w:r>
        <w:rPr>
          <w:spacing w:val="-1"/>
        </w:rPr>
        <w:t>日完成工</w:t>
      </w:r>
      <w:r>
        <w:rPr/>
        <w:t> 商设立登记，注册资本为人民币</w:t>
      </w:r>
      <w:r>
        <w:rPr>
          <w:rFonts w:ascii="Times New Roman" w:hAnsi="Times New Roman" w:cs="Times New Roman" w:eastAsia="Times New Roman" w:hint="default"/>
        </w:rPr>
        <w:t>1,000</w:t>
      </w:r>
      <w:r>
        <w:rPr/>
        <w:t>万元。本公司拥有对其的实质控制权，故自该公司成立之日起，将其纳入合并财务报 表范围。截止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日，深圳大通信息的净资产为</w:t>
      </w:r>
      <w:r>
        <w:rPr>
          <w:rFonts w:ascii="Times New Roman" w:hAnsi="Times New Roman" w:cs="Times New Roman" w:eastAsia="Times New Roman" w:hint="default"/>
        </w:rPr>
        <w:t>5,954,581.73</w:t>
      </w:r>
      <w:r>
        <w:rPr/>
        <w:t>元，成立日至期末的净利润为</w:t>
      </w:r>
      <w:r>
        <w:rPr>
          <w:rFonts w:ascii="Times New Roman" w:hAnsi="Times New Roman" w:cs="Times New Roman" w:eastAsia="Times New Roman" w:hint="default"/>
        </w:rPr>
        <w:t>-45,418.27</w:t>
      </w:r>
      <w:r>
        <w:rPr/>
        <w:t>元。</w:t>
      </w:r>
    </w:p>
    <w:p>
      <w:pPr>
        <w:pStyle w:val="BodyText"/>
        <w:spacing w:line="300" w:lineRule="auto" w:before="13"/>
        <w:ind w:right="1040"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月，本公司单独出资设立深圳大通致远供应链管理有限公司</w:t>
      </w:r>
      <w:r>
        <w:rPr>
          <w:rFonts w:ascii="Times New Roman" w:hAnsi="Times New Roman" w:cs="Times New Roman" w:eastAsia="Times New Roman" w:hint="default"/>
        </w:rPr>
        <w:t>(</w:t>
      </w:r>
      <w:r>
        <w:rPr/>
        <w:t>以下简称深圳大通致远</w:t>
      </w:r>
      <w:r>
        <w:rPr>
          <w:rFonts w:ascii="Times New Roman" w:hAnsi="Times New Roman" w:cs="Times New Roman" w:eastAsia="Times New Roman" w:hint="default"/>
        </w:rPr>
        <w:t>)</w:t>
      </w:r>
      <w:r>
        <w:rPr/>
        <w:t>。该公司于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 完成工商设立登记，注册资本为人民币</w:t>
      </w:r>
      <w:r>
        <w:rPr>
          <w:rFonts w:ascii="Times New Roman" w:hAnsi="Times New Roman" w:cs="Times New Roman" w:eastAsia="Times New Roman" w:hint="default"/>
        </w:rPr>
        <w:t>1,000</w:t>
      </w:r>
      <w:r>
        <w:rPr/>
        <w:t>万元。本公司拥有对其的实质控制权，故自该公司成立之日起，将其纳入合并 财务报表范围。截止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日，深圳大通信息的净资产为</w:t>
      </w:r>
      <w:r>
        <w:rPr>
          <w:rFonts w:ascii="Times New Roman" w:hAnsi="Times New Roman" w:cs="Times New Roman" w:eastAsia="Times New Roman" w:hint="default"/>
        </w:rPr>
        <w:t>7,494,738.21</w:t>
      </w:r>
      <w:r>
        <w:rPr/>
        <w:t>元，成立日至期末的净利润为</w:t>
      </w:r>
      <w:r>
        <w:rPr>
          <w:rFonts w:ascii="Times New Roman" w:hAnsi="Times New Roman" w:cs="Times New Roman" w:eastAsia="Times New Roman" w:hint="default"/>
        </w:rPr>
        <w:t>-2,505,261.79</w:t>
      </w:r>
      <w:r>
        <w:rPr/>
        <w:t>元。</w:t>
      </w:r>
    </w:p>
    <w:p>
      <w:pPr>
        <w:pStyle w:val="BodyText"/>
        <w:spacing w:line="300" w:lineRule="auto" w:before="13"/>
        <w:ind w:right="1132"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月，本公司之全资子公司冉十科技单独出资设立霍尔果斯聚交。该公司于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日完成工商设立登记，注 </w:t>
      </w:r>
      <w:r>
        <w:rPr>
          <w:spacing w:val="-4"/>
        </w:rPr>
        <w:t>册资本为人民币</w:t>
      </w:r>
      <w:r>
        <w:rPr>
          <w:rFonts w:ascii="Times New Roman" w:hAnsi="Times New Roman" w:cs="Times New Roman" w:eastAsia="Times New Roman" w:hint="default"/>
          <w:spacing w:val="-4"/>
        </w:rPr>
        <w:t>100</w:t>
      </w:r>
      <w:r>
        <w:rPr>
          <w:spacing w:val="-4"/>
        </w:rPr>
        <w:t>万元。冉十科技拥有对其的实质控制权，故自该公司成立之日起，将其纳入合并财务报表范围。截止</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1"/>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日，霍尔果斯聚交的净资产为</w:t>
      </w:r>
      <w:r>
        <w:rPr>
          <w:rFonts w:ascii="Times New Roman" w:hAnsi="Times New Roman" w:cs="Times New Roman" w:eastAsia="Times New Roman" w:hint="default"/>
        </w:rPr>
        <w:t>14,157,017.54</w:t>
      </w:r>
      <w:r>
        <w:rPr/>
        <w:t>元，成立日至期末的净利润为</w:t>
      </w:r>
      <w:r>
        <w:rPr>
          <w:rFonts w:ascii="Times New Roman" w:hAnsi="Times New Roman" w:cs="Times New Roman" w:eastAsia="Times New Roman" w:hint="default"/>
        </w:rPr>
        <w:t>14,057,017.54</w:t>
      </w:r>
      <w:r>
        <w:rPr/>
        <w:t>元。</w:t>
      </w:r>
    </w:p>
    <w:p>
      <w:pPr>
        <w:pStyle w:val="BodyText"/>
        <w:spacing w:line="300" w:lineRule="auto" w:before="13"/>
        <w:ind w:right="1130" w:firstLine="36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月，本公司之全资子公司杭州视赚和北京赛鸽天地共同出资设立浙江视赚赛鸽科技有限公司</w:t>
      </w:r>
      <w:r>
        <w:rPr>
          <w:rFonts w:ascii="Times New Roman" w:hAnsi="Times New Roman" w:cs="Times New Roman" w:eastAsia="Times New Roman" w:hint="default"/>
          <w:spacing w:val="-1"/>
        </w:rPr>
        <w:t>(</w:t>
      </w:r>
      <w:r>
        <w:rPr>
          <w:spacing w:val="-1"/>
        </w:rPr>
        <w:t>以下简称浙江视赚</w:t>
      </w:r>
      <w:r>
        <w:rPr/>
        <w:t> </w:t>
      </w:r>
      <w:r>
        <w:rPr>
          <w:spacing w:val="-1"/>
        </w:rPr>
        <w:t>赛鸽</w:t>
      </w:r>
      <w:r>
        <w:rPr>
          <w:rFonts w:ascii="Times New Roman" w:hAnsi="Times New Roman" w:cs="Times New Roman" w:eastAsia="Times New Roman" w:hint="default"/>
          <w:spacing w:val="-1"/>
        </w:rPr>
        <w:t>)</w:t>
      </w:r>
      <w:r>
        <w:rPr>
          <w:spacing w:val="-1"/>
        </w:rPr>
        <w:t>。该公司于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11</w:t>
      </w:r>
      <w:r>
        <w:rPr>
          <w:spacing w:val="-1"/>
        </w:rPr>
        <w:t>日完成工商设立登记，注册资本为人民币</w:t>
      </w:r>
      <w:r>
        <w:rPr>
          <w:rFonts w:ascii="Times New Roman" w:hAnsi="Times New Roman" w:cs="Times New Roman" w:eastAsia="Times New Roman" w:hint="default"/>
          <w:spacing w:val="-1"/>
        </w:rPr>
        <w:t>1,000</w:t>
      </w:r>
      <w:r>
        <w:rPr>
          <w:spacing w:val="-1"/>
        </w:rPr>
        <w:t>万元，其中杭州视赚认缴</w:t>
      </w:r>
      <w:r>
        <w:rPr>
          <w:rFonts w:ascii="Times New Roman" w:hAnsi="Times New Roman" w:cs="Times New Roman" w:eastAsia="Times New Roman" w:hint="default"/>
          <w:spacing w:val="-1"/>
        </w:rPr>
        <w:t>900</w:t>
      </w:r>
      <w:r>
        <w:rPr>
          <w:spacing w:val="-1"/>
        </w:rPr>
        <w:t>万元，北京赛鸽天</w:t>
      </w:r>
      <w:r>
        <w:rPr>
          <w:spacing w:val="-39"/>
        </w:rPr>
        <w:t> </w:t>
      </w:r>
      <w:r>
        <w:rPr>
          <w:spacing w:val="-39"/>
        </w:rPr>
      </w:r>
      <w:r>
        <w:rPr/>
        <w:t>地认缴</w:t>
      </w:r>
      <w:r>
        <w:rPr>
          <w:rFonts w:ascii="Times New Roman" w:hAnsi="Times New Roman" w:cs="Times New Roman" w:eastAsia="Times New Roman" w:hint="default"/>
        </w:rPr>
        <w:t>100</w:t>
      </w:r>
      <w:r>
        <w:rPr/>
        <w:t>万元。杭州视赚和北京赛鸽天地拥有对其的实质控制权，故自该公司成立之日起，将其纳入合并财务报表范围。 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日，浙江视赚赛鸽的净资产为</w:t>
      </w:r>
      <w:r>
        <w:rPr>
          <w:rFonts w:ascii="Times New Roman" w:hAnsi="Times New Roman" w:cs="Times New Roman" w:eastAsia="Times New Roman" w:hint="default"/>
        </w:rPr>
        <w:t>10,539,116.55</w:t>
      </w:r>
      <w:r>
        <w:rPr/>
        <w:t>元，成立日至期末的净利润为</w:t>
      </w:r>
      <w:r>
        <w:rPr>
          <w:rFonts w:ascii="Times New Roman" w:hAnsi="Times New Roman" w:cs="Times New Roman" w:eastAsia="Times New Roman" w:hint="default"/>
        </w:rPr>
        <w:t>9,689,116.55</w:t>
      </w:r>
      <w:r>
        <w:rPr/>
        <w:t>元。</w:t>
      </w:r>
    </w:p>
    <w:p>
      <w:pPr>
        <w:pStyle w:val="BodyText"/>
        <w:spacing w:line="300" w:lineRule="auto" w:before="13"/>
        <w:ind w:left="514" w:right="0"/>
        <w:jc w:val="left"/>
      </w:pPr>
      <w:r>
        <w:rPr>
          <w:rFonts w:ascii="Times New Roman" w:hAnsi="Times New Roman" w:cs="Times New Roman" w:eastAsia="Times New Roman" w:hint="default"/>
        </w:rPr>
        <w:t>2</w:t>
      </w:r>
      <w:r>
        <w:rPr/>
        <w:t>．因注销而减少子公司的情况 </w:t>
      </w:r>
      <w:r>
        <w:rPr>
          <w:spacing w:val="-2"/>
        </w:rPr>
        <w:t>本公司之全资子公司冉十科技的全资子公司美国冉十科技于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24</w:t>
      </w:r>
      <w:r>
        <w:rPr>
          <w:spacing w:val="-2"/>
        </w:rPr>
        <w:t>日办妥注销手续，并于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日收到北京</w:t>
      </w:r>
    </w:p>
    <w:p>
      <w:pPr>
        <w:pStyle w:val="BodyText"/>
        <w:spacing w:line="240" w:lineRule="auto" w:before="13"/>
        <w:ind w:right="0"/>
        <w:jc w:val="left"/>
      </w:pPr>
      <w:r>
        <w:rPr/>
        <w:t>市商务委员会出具的企业境外投资注销确认函。故自该公司注销时起，不再将其纳入合并财务报表范围。</w:t>
      </w:r>
    </w:p>
    <w:p>
      <w:pPr>
        <w:spacing w:line="240" w:lineRule="auto" w:before="12"/>
        <w:rPr>
          <w:rFonts w:ascii="宋体" w:hAnsi="宋体" w:cs="宋体" w:eastAsia="宋体" w:hint="default"/>
          <w:sz w:val="26"/>
          <w:szCs w:val="26"/>
        </w:rPr>
      </w:pPr>
    </w:p>
    <w:p>
      <w:pPr>
        <w:spacing w:line="487" w:lineRule="auto" w:before="0"/>
        <w:ind w:left="153" w:right="7693" w:firstLine="0"/>
        <w:jc w:val="left"/>
        <w:rPr>
          <w:rFonts w:ascii="宋体" w:hAnsi="宋体" w:cs="宋体" w:eastAsia="宋体" w:hint="default"/>
          <w:sz w:val="21"/>
          <w:szCs w:val="21"/>
        </w:rPr>
      </w:pPr>
      <w:bookmarkStart w:name="6、其他" w:id="334"/>
      <w:bookmarkEnd w:id="334"/>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35"/>
      <w:bookmarkEnd w:id="335"/>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36"/>
      <w:bookmarkEnd w:id="33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337"/>
      <w:bookmarkEnd w:id="33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绵阳亿嘉合投资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浙江视科文化传 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冉十科技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杭州联屏文化策 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杭州视赚网络技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杭州视赚优嘉电 子商务有限公司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批发和零售业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杭州俏动营销策 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义乌视科文化传 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义乌市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聚交科技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青岛冉十科技有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青岛大通资本有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股权投资及管理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青岛大通佳合资 产管理有限公司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股权投资及管理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深圳大通信息科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网络技术开发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深圳大通致远供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北京赛鸽天地广 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北京三吉嘉喜传 媒科技有限公司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浙江视赚赛鸽科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霍尔果斯聚交信 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left="154" w:right="7692"/>
        <w:jc w:val="left"/>
      </w:pPr>
      <w:r>
        <w:rPr/>
        <w:t>确定公司是代理人还是委托人的依据： 其他说明：</w:t>
      </w:r>
    </w:p>
    <w:p>
      <w:pPr>
        <w:spacing w:line="240" w:lineRule="auto" w:before="3"/>
        <w:rPr>
          <w:rFonts w:ascii="宋体" w:hAnsi="宋体" w:cs="宋体" w:eastAsia="宋体" w:hint="default"/>
          <w:sz w:val="18"/>
          <w:szCs w:val="18"/>
        </w:rPr>
      </w:pPr>
    </w:p>
    <w:p>
      <w:pPr>
        <w:pStyle w:val="Heading2"/>
        <w:spacing w:line="240" w:lineRule="auto"/>
        <w:ind w:left="154" w:right="0"/>
        <w:jc w:val="left"/>
        <w:rPr>
          <w:b w:val="0"/>
          <w:bCs w:val="0"/>
        </w:rPr>
      </w:pPr>
      <w:bookmarkStart w:name="十、与金融工具相关的风险" w:id="338"/>
      <w:bookmarkEnd w:id="338"/>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32" w:firstLine="360"/>
        <w:jc w:val="left"/>
      </w:pPr>
      <w:r>
        <w:rPr/>
        <w:t>本公司在经营过程中面临着各种金融风险：信用风险、市场风险和流动性风险。本公司的主要金融工具包括货币资金、 </w:t>
      </w:r>
      <w:r>
        <w:rPr>
          <w:spacing w:val="-2"/>
        </w:rPr>
        <w:t>应收账款、预付款项、应付账款等，各项金融工具的详细情况说明见本附注五相关项目。与这些金融工具有关的风险，以及</w:t>
      </w:r>
      <w:r>
        <w:rPr>
          <w:spacing w:val="-66"/>
        </w:rPr>
        <w:t> </w:t>
      </w:r>
      <w:r>
        <w:rPr>
          <w:spacing w:val="-66"/>
        </w:rPr>
      </w:r>
      <w:r>
        <w:rPr>
          <w:spacing w:val="-2"/>
        </w:rPr>
        <w:t>本公司为降低这些风险所采取的风险管理政策如下所述。本公司管理层对这些风险敞口进行管理和监控以确保将上述风险控</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制在限定的范围之内。</w:t>
      </w:r>
    </w:p>
    <w:p>
      <w:pPr>
        <w:pStyle w:val="BodyText"/>
        <w:spacing w:line="300" w:lineRule="auto" w:before="76"/>
        <w:ind w:left="513"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风险管理目标和政策</w:t>
      </w:r>
      <w:r>
        <w:rPr>
          <w:w w:val="99"/>
        </w:rPr>
        <w:t> </w:t>
      </w:r>
      <w:r>
        <w:rPr>
          <w:spacing w:val="-2"/>
          <w:w w:val="99"/>
        </w:rPr>
        <w:t>本公司从事风险管理的目标是在风险和收益之间取得适当的平衡，将风险对本公司经营业绩的负面影响降低到最低水平，</w:t>
      </w:r>
      <w:r>
        <w:rPr>
          <w:spacing w:val="-2"/>
        </w:rPr>
      </w:r>
    </w:p>
    <w:p>
      <w:pPr>
        <w:pStyle w:val="BodyText"/>
        <w:spacing w:line="319" w:lineRule="auto" w:before="31"/>
        <w:ind w:right="1131"/>
        <w:jc w:val="both"/>
      </w:pPr>
      <w:r>
        <w:rPr>
          <w:spacing w:val="-2"/>
        </w:rPr>
        <w:t>使股东及其其他权益投资者的利益最大化。基于该风险管理目标，本公司风险管理的基本策略是确定和分析本公司所面临的</w:t>
      </w:r>
      <w:r>
        <w:rPr>
          <w:spacing w:val="-64"/>
        </w:rPr>
        <w:t> </w:t>
      </w:r>
      <w:r>
        <w:rPr>
          <w:spacing w:val="-64"/>
        </w:rPr>
      </w:r>
      <w:r>
        <w:rPr>
          <w:spacing w:val="-2"/>
        </w:rPr>
        <w:t>各种风险，建立适当的风险承受底线并进行风险管理，本公司定期审阅这些风险管理政策及有关内部控制系统，以适应市场</w:t>
      </w:r>
      <w:r>
        <w:rPr>
          <w:spacing w:val="-66"/>
        </w:rPr>
        <w:t> </w:t>
      </w:r>
      <w:r>
        <w:rPr>
          <w:spacing w:val="-66"/>
        </w:rPr>
      </w:r>
      <w:r>
        <w:rPr/>
        <w:t>情况或本公司经营活动的改变，同时及时有效地对各种风险进行监督，将风险控制在限定的范围之内。</w:t>
      </w:r>
    </w:p>
    <w:p>
      <w:pPr>
        <w:pStyle w:val="BodyText"/>
        <w:spacing w:line="309" w:lineRule="auto" w:before="17"/>
        <w:ind w:left="513" w:right="3553"/>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信用风险</w:t>
      </w:r>
      <w:r>
        <w:rPr>
          <w:w w:val="99"/>
        </w:rPr>
        <w:t> </w:t>
      </w:r>
      <w:r>
        <w:rPr/>
        <w:t>信用风险，是指交易对手方未能履行合同义务而导致本公司产生财务损失的风险。</w:t>
      </w:r>
      <w:r>
        <w:rPr>
          <w:w w:val="99"/>
        </w:rPr>
        <w:t> </w:t>
      </w:r>
      <w:r>
        <w:rPr/>
        <w:t>本公司对信用风险按组合分类进行管理。信用风险主要产生于银行存款和应收款项等。</w:t>
      </w:r>
    </w:p>
    <w:p>
      <w:pPr>
        <w:pStyle w:val="BodyText"/>
        <w:spacing w:line="316" w:lineRule="auto" w:before="24"/>
        <w:ind w:left="513" w:right="0"/>
        <w:jc w:val="left"/>
      </w:pPr>
      <w:r>
        <w:rPr/>
        <w:t>本公司银行存款主要存放于国有银行和其它大中型银行，本公司预期银行存款不存在重大的信用风险。 </w:t>
      </w:r>
      <w:r>
        <w:rPr>
          <w:spacing w:val="-2"/>
        </w:rPr>
        <w:t>对于应收款项，本公司设定相关政策以控制信用风险敞口。本公司基于对债务人的财务状况、外部评级、从第三方获取</w:t>
      </w:r>
    </w:p>
    <w:p>
      <w:pPr>
        <w:pStyle w:val="BodyText"/>
        <w:spacing w:line="316" w:lineRule="auto" w:before="19"/>
        <w:ind w:right="1033"/>
        <w:jc w:val="left"/>
      </w:pPr>
      <w:r>
        <w:rPr>
          <w:spacing w:val="-2"/>
        </w:rPr>
        <w:t>担保的可能性、信用记录及其它因素诸如目前市场状况等评估债务人的信用资质并设置相应欠款额度与信用期限。本公司会</w:t>
      </w:r>
      <w:r>
        <w:rPr>
          <w:spacing w:val="-64"/>
        </w:rPr>
        <w:t> </w:t>
      </w:r>
      <w:r>
        <w:rPr>
          <w:spacing w:val="-64"/>
        </w:rPr>
      </w:r>
      <w:r>
        <w:rPr/>
        <w:t>定期对债务人信用记录进行监控，对于信用记录不良的债务人，本公司会采用书面催款、缩短信用期或取消信用期等方式，</w:t>
      </w:r>
      <w:r>
        <w:rPr>
          <w:spacing w:val="-85"/>
        </w:rPr>
        <w:t> </w:t>
      </w:r>
      <w:r>
        <w:rPr>
          <w:spacing w:val="-85"/>
        </w:rPr>
      </w:r>
      <w:r>
        <w:rPr/>
        <w:t>以确保本公司的整体信用风险在可控的范围内。</w:t>
      </w:r>
    </w:p>
    <w:p>
      <w:pPr>
        <w:pStyle w:val="BodyText"/>
        <w:spacing w:line="300" w:lineRule="auto" w:before="19"/>
        <w:ind w:right="0" w:firstLine="360"/>
        <w:jc w:val="left"/>
      </w:pPr>
      <w:r>
        <w:rPr/>
        <w:t>本公司所承受的最大信用风险敞口为资产负债表中每项金融资产的账面金额，详细见本部分</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流动风险的相关列示。 本公司没有提供任何其他可能令本公司承受信用风险的担保。</w:t>
      </w:r>
    </w:p>
    <w:p>
      <w:pPr>
        <w:pStyle w:val="BodyText"/>
        <w:spacing w:line="300" w:lineRule="auto" w:before="31"/>
        <w:ind w:left="513" w:right="111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流动风险</w:t>
      </w:r>
      <w:r>
        <w:rPr>
          <w:w w:val="99"/>
        </w:rPr>
        <w:t> </w:t>
      </w:r>
      <w:r>
        <w:rPr>
          <w:spacing w:val="-2"/>
        </w:rPr>
        <w:t>流动风险，是指企业在履行以交付现金或其他金融资产的方式结算的义务时发生资金短缺的风险。流动性风险由本公司</w:t>
      </w:r>
    </w:p>
    <w:p>
      <w:pPr>
        <w:pStyle w:val="BodyText"/>
        <w:spacing w:line="316" w:lineRule="auto" w:before="31"/>
        <w:ind w:right="1132"/>
        <w:jc w:val="both"/>
      </w:pPr>
      <w:r>
        <w:rPr>
          <w:spacing w:val="-2"/>
        </w:rPr>
        <w:t>的财务部门集中控制。财务部门通过监控现金余额、可随时变现的有价证券等确保公司在所有合理的情况下拥有充足的资金</w:t>
      </w:r>
      <w:r>
        <w:rPr>
          <w:spacing w:val="-64"/>
        </w:rPr>
        <w:t> </w:t>
      </w:r>
      <w:r>
        <w:rPr>
          <w:spacing w:val="-64"/>
        </w:rPr>
      </w:r>
      <w:r>
        <w:rPr/>
        <w:t>偿还债务，满足本公司经营需要，并降低现金流量波动的影响。</w:t>
      </w:r>
    </w:p>
    <w:p>
      <w:pPr>
        <w:pStyle w:val="BodyText"/>
        <w:spacing w:line="300" w:lineRule="auto" w:before="19"/>
        <w:ind w:left="513" w:right="1118"/>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资本管理</w:t>
      </w:r>
      <w:r>
        <w:rPr>
          <w:w w:val="99"/>
        </w:rPr>
        <w:t> </w:t>
      </w:r>
      <w:r>
        <w:rPr>
          <w:spacing w:val="-2"/>
        </w:rPr>
        <w:t>本公司资本管理政策的目标是为了保障本公司能够持续经营，从而为股东提供回报，并使其他利益相关者获益，同时维</w:t>
      </w:r>
    </w:p>
    <w:p>
      <w:pPr>
        <w:pStyle w:val="BodyText"/>
        <w:spacing w:line="309" w:lineRule="auto" w:before="32"/>
        <w:ind w:right="1130"/>
        <w:jc w:val="both"/>
      </w:pPr>
      <w:r>
        <w:rPr>
          <w:spacing w:val="-5"/>
        </w:rPr>
        <w:t>持最佳的资本结构以降低资本成本。为了维持或调整资本结构，本公司可能会调整支付给股东的股利金额、向股东返还资本、</w:t>
      </w:r>
      <w:r>
        <w:rPr>
          <w:spacing w:val="-79"/>
        </w:rPr>
        <w:t> </w:t>
      </w:r>
      <w:r>
        <w:rPr>
          <w:spacing w:val="-79"/>
        </w:rPr>
      </w:r>
      <w:r>
        <w:rPr>
          <w:spacing w:val="-1"/>
        </w:rPr>
        <w:t>发行新股或出售资产以减低债务。本公司以资产负债率</w:t>
      </w:r>
      <w:r>
        <w:rPr>
          <w:rFonts w:ascii="Times New Roman" w:hAnsi="Times New Roman" w:cs="Times New Roman" w:eastAsia="Times New Roman" w:hint="default"/>
          <w:spacing w:val="-1"/>
        </w:rPr>
        <w:t>(</w:t>
      </w:r>
      <w:r>
        <w:rPr>
          <w:spacing w:val="-1"/>
        </w:rPr>
        <w:t>即总负债除以总资产</w:t>
      </w:r>
      <w:r>
        <w:rPr>
          <w:rFonts w:ascii="Times New Roman" w:hAnsi="Times New Roman" w:cs="Times New Roman" w:eastAsia="Times New Roman" w:hint="default"/>
          <w:spacing w:val="-1"/>
        </w:rPr>
        <w:t>)</w:t>
      </w:r>
      <w:r>
        <w:rPr>
          <w:spacing w:val="-1"/>
        </w:rPr>
        <w:t>为基础对资本结构进行监控。于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8"/>
        </w:rPr>
        <w:t> </w:t>
      </w:r>
      <w:r>
        <w:rPr/>
        <w:t>日，本公司的资产负债率为</w:t>
      </w:r>
      <w:r>
        <w:rPr>
          <w:rFonts w:ascii="Times New Roman" w:hAnsi="Times New Roman" w:cs="Times New Roman" w:eastAsia="Times New Roman" w:hint="default"/>
        </w:rPr>
        <w:t>3.39%(2016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7.19%)</w:t>
      </w:r>
      <w:r>
        <w:rPr/>
        <w:t>。</w:t>
      </w:r>
    </w:p>
    <w:p>
      <w:pPr>
        <w:spacing w:line="240" w:lineRule="auto" w:before="9"/>
        <w:rPr>
          <w:rFonts w:ascii="宋体" w:hAnsi="宋体" w:cs="宋体" w:eastAsia="宋体" w:hint="default"/>
          <w:sz w:val="19"/>
          <w:szCs w:val="19"/>
        </w:rPr>
      </w:pPr>
    </w:p>
    <w:p>
      <w:pPr>
        <w:pStyle w:val="Heading2"/>
        <w:spacing w:line="240" w:lineRule="auto"/>
        <w:ind w:left="154" w:right="0"/>
        <w:jc w:val="both"/>
        <w:rPr>
          <w:b w:val="0"/>
          <w:bCs w:val="0"/>
        </w:rPr>
      </w:pPr>
      <w:bookmarkStart w:name="十一、关联方及关联交易" w:id="339"/>
      <w:bookmarkEnd w:id="339"/>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本企业的母公司情况" w:id="340"/>
      <w:bookmarkEnd w:id="340"/>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1"/>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青岛亚星实业有限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13.57%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13.57%</w:t>
            </w:r>
          </w:p>
        </w:tc>
      </w:tr>
    </w:tbl>
    <w:p>
      <w:pPr>
        <w:pStyle w:val="BodyText"/>
        <w:spacing w:line="240" w:lineRule="auto" w:before="51"/>
        <w:ind w:left="154" w:right="0"/>
        <w:jc w:val="both"/>
      </w:pPr>
      <w:r>
        <w:rPr/>
        <w:t>本企业的母公司情况的说明</w:t>
      </w:r>
    </w:p>
    <w:p>
      <w:pPr>
        <w:pStyle w:val="BodyText"/>
        <w:spacing w:line="300" w:lineRule="auto" w:before="116"/>
        <w:ind w:right="1156"/>
        <w:jc w:val="both"/>
      </w:pPr>
      <w:r>
        <w:rPr/>
        <w:t>姜剑直接持有本公司</w:t>
      </w:r>
      <w:r>
        <w:rPr>
          <w:rFonts w:ascii="Times New Roman" w:hAnsi="Times New Roman" w:cs="Times New Roman" w:eastAsia="Times New Roman" w:hint="default"/>
        </w:rPr>
        <w:t>21.42%</w:t>
      </w:r>
      <w:r>
        <w:rPr/>
        <w:t>股权，并通过北京天和智远投资有限公司和北京信泽至恒投资有限公司对青岛亚星的投资间接 持有本公司</w:t>
      </w:r>
      <w:r>
        <w:rPr>
          <w:rFonts w:ascii="Times New Roman" w:hAnsi="Times New Roman" w:cs="Times New Roman" w:eastAsia="Times New Roman" w:hint="default"/>
        </w:rPr>
        <w:t>7.74%</w:t>
      </w:r>
      <w:r>
        <w:rPr/>
        <w:t>股权，合计持股</w:t>
      </w:r>
      <w:r>
        <w:rPr>
          <w:rFonts w:ascii="Times New Roman" w:hAnsi="Times New Roman" w:cs="Times New Roman" w:eastAsia="Times New Roman" w:hint="default"/>
        </w:rPr>
        <w:t>29.16%</w:t>
      </w:r>
      <w:r>
        <w:rPr/>
        <w:t>。另加上其一致行动人朱兰英</w:t>
      </w:r>
      <w:r>
        <w:rPr>
          <w:rFonts w:ascii="Times New Roman" w:hAnsi="Times New Roman" w:cs="Times New Roman" w:eastAsia="Times New Roman" w:hint="default"/>
        </w:rPr>
        <w:t>(</w:t>
      </w:r>
      <w:r>
        <w:rPr/>
        <w:t>姜剑之岳母</w:t>
      </w:r>
      <w:r>
        <w:rPr>
          <w:rFonts w:ascii="Times New Roman" w:hAnsi="Times New Roman" w:cs="Times New Roman" w:eastAsia="Times New Roman" w:hint="default"/>
        </w:rPr>
        <w:t>)</w:t>
      </w:r>
      <w:r>
        <w:rPr/>
        <w:t>持有的本公司</w:t>
      </w:r>
      <w:r>
        <w:rPr>
          <w:rFonts w:ascii="Times New Roman" w:hAnsi="Times New Roman" w:cs="Times New Roman" w:eastAsia="Times New Roman" w:hint="default"/>
        </w:rPr>
        <w:t>25.53%</w:t>
      </w:r>
      <w:r>
        <w:rPr/>
        <w:t>股权的表决权，姜 剑实际拥有本公司</w:t>
      </w:r>
      <w:r>
        <w:rPr>
          <w:rFonts w:ascii="Times New Roman" w:hAnsi="Times New Roman" w:cs="Times New Roman" w:eastAsia="Times New Roman" w:hint="default"/>
        </w:rPr>
        <w:t>54.69%</w:t>
      </w:r>
      <w:r>
        <w:rPr/>
        <w:t>的表决权，为本公司实际控制人。</w:t>
      </w:r>
    </w:p>
    <w:p>
      <w:pPr>
        <w:spacing w:line="240" w:lineRule="auto" w:before="0"/>
        <w:rPr>
          <w:rFonts w:ascii="宋体" w:hAnsi="宋体" w:cs="宋体" w:eastAsia="宋体" w:hint="default"/>
          <w:sz w:val="18"/>
          <w:szCs w:val="18"/>
        </w:rPr>
      </w:pPr>
    </w:p>
    <w:p>
      <w:pPr>
        <w:pStyle w:val="BodyText"/>
        <w:spacing w:line="360" w:lineRule="auto" w:before="130"/>
        <w:ind w:right="8593"/>
        <w:jc w:val="left"/>
      </w:pPr>
      <w:r>
        <w:rPr/>
        <w:t>本企业最终控制方是姜剑。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547" w:lineRule="auto" w:before="35"/>
        <w:ind w:left="153" w:right="4686" w:firstLine="0"/>
        <w:jc w:val="left"/>
        <w:rPr>
          <w:rFonts w:ascii="宋体" w:hAnsi="宋体" w:cs="宋体" w:eastAsia="宋体" w:hint="default"/>
          <w:sz w:val="21"/>
          <w:szCs w:val="21"/>
        </w:rPr>
      </w:pPr>
      <w:bookmarkStart w:name="2、本企业的子公司情况" w:id="341"/>
      <w:bookmarkEnd w:id="34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在子公司中的权益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342"/>
      <w:bookmarkEnd w:id="342"/>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1"/>
        <w:ind w:right="2293"/>
        <w:jc w:val="left"/>
      </w:pPr>
      <w:r>
        <w:rPr/>
        <w:t>本企业重要的合营或联营企业详见附注七（</w:t>
      </w:r>
      <w:r>
        <w:rPr>
          <w:rFonts w:ascii="Times New Roman" w:hAnsi="Times New Roman" w:cs="Times New Roman" w:eastAsia="Times New Roman" w:hint="default"/>
        </w:rPr>
        <w:t>8</w:t>
      </w:r>
      <w:r>
        <w:rPr/>
        <w:t>）</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343"/>
      <w:bookmarkEnd w:id="34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夏东明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修正健康饮品股份有限公司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本公司董事担任其法定代表人的公司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杭州修舍酒店管理有限公司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本公司董事担任其法定代表人的公司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姜世春</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实际控制人直系亲属</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青岛广顺房地产有限公司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本公司控股股东之控股子公司</w:t>
            </w:r>
          </w:p>
        </w:tc>
      </w:tr>
    </w:tbl>
    <w:p>
      <w:pPr>
        <w:pStyle w:val="BodyText"/>
        <w:spacing w:line="240" w:lineRule="auto" w:before="51"/>
        <w:ind w:left="154" w:right="0"/>
        <w:jc w:val="left"/>
      </w:pPr>
      <w:r>
        <w:rPr/>
        <w:t>其他说明</w:t>
      </w:r>
    </w:p>
    <w:p>
      <w:pPr>
        <w:pStyle w:val="BodyText"/>
        <w:spacing w:line="300" w:lineRule="auto" w:before="116"/>
        <w:ind w:left="154" w:right="0"/>
        <w:jc w:val="left"/>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日，本公司将所持有的青岛广顺</w:t>
      </w:r>
      <w:r>
        <w:rPr>
          <w:rFonts w:ascii="Times New Roman" w:hAnsi="Times New Roman" w:cs="Times New Roman" w:eastAsia="Times New Roman" w:hint="default"/>
          <w:spacing w:val="-2"/>
        </w:rPr>
        <w:t>83%</w:t>
      </w:r>
      <w:r>
        <w:rPr>
          <w:spacing w:val="-2"/>
        </w:rPr>
        <w:t>股权转让给控股股东青岛亚星。至此，青岛广顺成为本公司合并报表范</w:t>
      </w:r>
      <w:r>
        <w:rPr>
          <w:spacing w:val="-56"/>
        </w:rPr>
        <w:t> </w:t>
      </w:r>
      <w:r>
        <w:rPr>
          <w:spacing w:val="-56"/>
        </w:rPr>
      </w:r>
      <w:r>
        <w:rPr/>
        <w:t>围外的关联方。</w:t>
      </w:r>
    </w:p>
    <w:p>
      <w:pPr>
        <w:spacing w:line="240" w:lineRule="auto" w:before="6"/>
        <w:rPr>
          <w:rFonts w:ascii="宋体" w:hAnsi="宋体" w:cs="宋体" w:eastAsia="宋体" w:hint="default"/>
          <w:sz w:val="23"/>
          <w:szCs w:val="23"/>
        </w:rPr>
      </w:pPr>
    </w:p>
    <w:p>
      <w:pPr>
        <w:pStyle w:val="Heading3"/>
        <w:spacing w:line="240" w:lineRule="auto"/>
        <w:ind w:left="154" w:right="0"/>
        <w:jc w:val="left"/>
        <w:rPr>
          <w:b w:val="0"/>
          <w:bCs w:val="0"/>
        </w:rPr>
      </w:pPr>
      <w:bookmarkStart w:name="5、关联交易情况" w:id="344"/>
      <w:bookmarkEnd w:id="34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购销商品、提供和接受劳务的关联交易" w:id="345"/>
      <w:bookmarkEnd w:id="34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修正健康饮品股份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1,217,993.39</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杭州修舍酒店管理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34,015.00</w:t>
            </w:r>
          </w:p>
        </w:tc>
      </w:tr>
      <w:tr>
        <w:trPr>
          <w:trHeight w:val="403"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1,252,008.39</w:t>
            </w: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购销商品、提供和接受劳务的关联交易说明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关联租赁情况" w:id="346"/>
      <w:bookmarkEnd w:id="346"/>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0" w:right="0"/>
              <w:jc w:val="left"/>
              <w:rPr>
                <w:rFonts w:ascii="Times New Roman" w:hAnsi="Times New Roman" w:cs="Times New Roman" w:eastAsia="Times New Roman" w:hint="default"/>
                <w:sz w:val="18"/>
                <w:szCs w:val="18"/>
              </w:rPr>
            </w:pPr>
            <w:r>
              <w:rPr>
                <w:rFonts w:ascii="Times New Roman"/>
                <w:sz w:val="18"/>
              </w:rPr>
              <w:t>192,380.95</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本公司作为承租方：</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190,476.19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3）关联担保情况" w:id="347"/>
      <w:bookmarkEnd w:id="347"/>
      <w:r>
        <w:rPr>
          <w:b w:val="0"/>
          <w:bCs w:val="0"/>
        </w:rPr>
      </w:r>
      <w:r>
        <w:rPr/>
        <w:t>（</w:t>
      </w:r>
      <w:r>
        <w:rPr>
          <w:rFonts w:ascii="Times New Roman" w:hAnsi="Times New Roman" w:cs="Times New Roman" w:eastAsia="Times New Roman" w:hint="default"/>
        </w:rPr>
        <w:t>3</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本公司作为担保方</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苏州大通箐鹰投资合伙 企业（有限合伙）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杭州通锐投资合伙企业</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本公司作为被担保方</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54"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left="154" w:right="0"/>
        <w:jc w:val="left"/>
        <w:rPr>
          <w:b w:val="0"/>
          <w:bCs w:val="0"/>
        </w:rPr>
      </w:pPr>
      <w:bookmarkStart w:name="（4）关联方资金拆借" w:id="348"/>
      <w:bookmarkEnd w:id="348"/>
      <w:r>
        <w:rPr>
          <w:b w:val="0"/>
          <w:bCs w:val="0"/>
        </w:rPr>
      </w:r>
      <w:r>
        <w:rPr/>
        <w:t>（</w:t>
      </w:r>
      <w:r>
        <w:rPr>
          <w:rFonts w:ascii="Times New Roman" w:hAnsi="Times New Roman" w:cs="Times New Roman" w:eastAsia="Times New Roman" w:hint="default"/>
        </w:rPr>
        <w:t>4</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深圳大通实业股份有限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-3,975,080.26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偿还关联方款项</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绵阳亿嘉合投资有限公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3,151.76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垫付款项</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深圳大通信息科技有限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34,550.00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代发工资</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-3,975,080.26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偿还关联方款项</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3,151.76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垫付款项</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34,550.00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代发工资</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5）关联方资产转让、债务重组情况" w:id="349"/>
      <w:bookmarkEnd w:id="349"/>
      <w:r>
        <w:rPr>
          <w:b w:val="0"/>
          <w:bCs w:val="0"/>
        </w:rPr>
      </w:r>
      <w:r>
        <w:rPr/>
        <w:t>（</w:t>
      </w:r>
      <w:r>
        <w:rPr>
          <w:rFonts w:ascii="Times New Roman" w:hAnsi="Times New Roman" w:cs="Times New Roman" w:eastAsia="Times New Roman" w:hint="default"/>
        </w:rPr>
        <w:t>5</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173,746,000.00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关键管理人员报酬" w:id="350"/>
      <w:bookmarkEnd w:id="350"/>
      <w:r>
        <w:rPr>
          <w:b w:val="0"/>
          <w:bCs w:val="0"/>
        </w:rPr>
      </w:r>
      <w:r>
        <w:rPr/>
        <w:t>（</w:t>
      </w:r>
      <w:r>
        <w:rPr>
          <w:rFonts w:ascii="Times New Roman" w:hAnsi="Times New Roman" w:cs="Times New Roman" w:eastAsia="Times New Roman" w:hint="default"/>
        </w:rPr>
        <w:t>6</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关键管理人员人数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在本公司领取报酬人数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报酬总额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327.55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168.83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关联方应收应付款项" w:id="351"/>
      <w:bookmarkEnd w:id="35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项目" w:id="352"/>
      <w:bookmarkEnd w:id="35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青岛亚星实业有限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青岛亚星实业有限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69,486,000.00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应付项目" w:id="353"/>
      <w:bookmarkEnd w:id="35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青岛广顺房地产有限公司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1,060,823.58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287,909.61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0" w:right="0"/>
              <w:jc w:val="left"/>
              <w:rPr>
                <w:rFonts w:ascii="Times New Roman" w:hAnsi="Times New Roman" w:cs="Times New Roman" w:eastAsia="Times New Roman" w:hint="default"/>
                <w:sz w:val="18"/>
                <w:szCs w:val="18"/>
              </w:rPr>
            </w:pPr>
            <w:r>
              <w:rPr>
                <w:rFonts w:ascii="Times New Roman"/>
                <w:sz w:val="18"/>
              </w:rPr>
              <w:t>4,225,288.11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二、承诺及或有事项" w:id="354"/>
      <w:bookmarkEnd w:id="354"/>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355"/>
      <w:bookmarkEnd w:id="355"/>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资产负债表日存在的重要承诺</w:t>
      </w:r>
    </w:p>
    <w:p>
      <w:pPr>
        <w:pStyle w:val="BodyText"/>
        <w:spacing w:line="300" w:lineRule="auto" w:before="115"/>
        <w:ind w:left="513" w:right="1119" w:firstLine="2"/>
        <w:jc w:val="left"/>
      </w:pPr>
      <w:r>
        <w:rPr>
          <w:rFonts w:ascii="Times New Roman" w:hAnsi="Times New Roman" w:cs="Times New Roman" w:eastAsia="Times New Roman" w:hint="default"/>
        </w:rPr>
        <w:t>1</w:t>
      </w:r>
      <w:r>
        <w:rPr/>
        <w:t>．已批准尚未履行的对外担保 </w:t>
      </w:r>
      <w:r>
        <w:rPr>
          <w:spacing w:val="-1"/>
        </w:rPr>
        <w:t>根据本公司</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w:t>
      </w:r>
      <w:r>
        <w:rPr>
          <w:spacing w:val="-1"/>
        </w:rPr>
        <w:t>日第九届第三次董事会决议，本公司拟为关联方西藏鑫大通信息科技有限公司</w:t>
      </w:r>
      <w:r>
        <w:rPr>
          <w:rFonts w:ascii="Times New Roman" w:hAnsi="Times New Roman" w:cs="Times New Roman" w:eastAsia="Times New Roman" w:hint="default"/>
          <w:spacing w:val="-1"/>
        </w:rPr>
        <w:t>(</w:t>
      </w:r>
      <w:r>
        <w:rPr>
          <w:spacing w:val="-1"/>
        </w:rPr>
        <w:t>以下简称西藏鑫</w:t>
      </w:r>
    </w:p>
    <w:p>
      <w:pPr>
        <w:pStyle w:val="BodyText"/>
        <w:spacing w:line="300" w:lineRule="auto" w:before="13"/>
        <w:ind w:right="1213"/>
        <w:jc w:val="left"/>
      </w:pPr>
      <w:r>
        <w:rPr/>
        <w:t>大通，本公司实际控制人姜剑持有其</w:t>
      </w:r>
      <w:r>
        <w:rPr>
          <w:rFonts w:ascii="Times New Roman" w:hAnsi="Times New Roman" w:cs="Times New Roman" w:eastAsia="Times New Roman" w:hint="default"/>
        </w:rPr>
        <w:t>57%</w:t>
      </w:r>
      <w:r>
        <w:rPr/>
        <w:t>股权，姜剑一致行动人朱兰英持有其</w:t>
      </w:r>
      <w:r>
        <w:rPr>
          <w:rFonts w:ascii="Times New Roman" w:hAnsi="Times New Roman" w:cs="Times New Roman" w:eastAsia="Times New Roman" w:hint="default"/>
        </w:rPr>
        <w:t>43%</w:t>
      </w:r>
      <w:r>
        <w:rPr/>
        <w:t>股权</w:t>
      </w:r>
      <w:r>
        <w:rPr>
          <w:rFonts w:ascii="Times New Roman" w:hAnsi="Times New Roman" w:cs="Times New Roman" w:eastAsia="Times New Roman" w:hint="default"/>
        </w:rPr>
        <w:t>)</w:t>
      </w:r>
      <w:r>
        <w:rPr/>
        <w:t>提供担保，本次担保事项已经</w:t>
      </w:r>
      <w:r>
        <w:rPr>
          <w:rFonts w:ascii="Times New Roman" w:hAnsi="Times New Roman" w:cs="Times New Roman" w:eastAsia="Times New Roman" w:hint="default"/>
        </w:rPr>
        <w:t>2016 </w:t>
      </w:r>
      <w:r>
        <w:rPr/>
        <w:t>年第七次临时股东大审议批准。</w:t>
      </w:r>
    </w:p>
    <w:p>
      <w:pPr>
        <w:pStyle w:val="BodyText"/>
        <w:spacing w:line="300" w:lineRule="auto" w:before="31"/>
        <w:ind w:right="1138" w:firstLine="360"/>
        <w:jc w:val="left"/>
      </w:pPr>
      <w:r>
        <w:rPr/>
        <w:t>本次关联担保的具体内容为：西藏鑫大通拟与境内金融机构</w:t>
      </w:r>
      <w:r>
        <w:rPr>
          <w:rFonts w:ascii="Times New Roman" w:hAnsi="Times New Roman" w:cs="Times New Roman" w:eastAsia="Times New Roman" w:hint="default"/>
        </w:rPr>
        <w:t>(</w:t>
      </w:r>
      <w:r>
        <w:rPr/>
        <w:t>以下简称债权人</w:t>
      </w:r>
      <w:r>
        <w:rPr>
          <w:rFonts w:ascii="Times New Roman" w:hAnsi="Times New Roman" w:cs="Times New Roman" w:eastAsia="Times New Roman" w:hint="default"/>
        </w:rPr>
        <w:t>)</w:t>
      </w:r>
      <w:r>
        <w:rPr/>
        <w:t>签订融资协议，拟融资不超过人民币 </w:t>
      </w:r>
      <w:r>
        <w:rPr>
          <w:rFonts w:ascii="Times New Roman" w:hAnsi="Times New Roman" w:cs="Times New Roman" w:eastAsia="Times New Roman" w:hint="default"/>
        </w:rPr>
        <w:t>240,000</w:t>
      </w:r>
      <w:r>
        <w:rPr/>
        <w:t>万元，融资期限为</w:t>
      </w:r>
      <w:r>
        <w:rPr>
          <w:rFonts w:ascii="Times New Roman" w:hAnsi="Times New Roman" w:cs="Times New Roman" w:eastAsia="Times New Roman" w:hint="default"/>
        </w:rPr>
        <w:t>2</w:t>
      </w:r>
      <w:r>
        <w:rPr/>
        <w:t>年，用于跨境直贷</w:t>
      </w:r>
      <w:r>
        <w:rPr>
          <w:rFonts w:ascii="Times New Roman" w:hAnsi="Times New Roman" w:cs="Times New Roman" w:eastAsia="Times New Roman" w:hint="default"/>
        </w:rPr>
        <w:t>(</w:t>
      </w:r>
      <w:r>
        <w:rPr/>
        <w:t>名称待定</w:t>
      </w:r>
      <w:r>
        <w:rPr>
          <w:rFonts w:ascii="Times New Roman" w:hAnsi="Times New Roman" w:cs="Times New Roman" w:eastAsia="Times New Roman" w:hint="default"/>
        </w:rPr>
        <w:t>)</w:t>
      </w:r>
      <w:r>
        <w:rPr/>
        <w:t>，做跨境并购业务。本公司拟为西藏鑫大通提供担保，向债权人提 供不可撤销的连带责任担保。同时，姜剑以其个人信用为本次担保提供反担保。</w:t>
      </w:r>
    </w:p>
    <w:p>
      <w:pPr>
        <w:pStyle w:val="BodyText"/>
        <w:spacing w:line="300" w:lineRule="auto" w:before="31"/>
        <w:ind w:left="154" w:right="1122" w:firstLine="360"/>
        <w:jc w:val="left"/>
      </w:pP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月收到西藏鑫大通的通知，不再需要本公司为其跨境直贷提供担保。鉴于担保协议尚未签署，担保行 为并未实际发生，因此本公司取消了为西藏鑫大通提供的担保额度，取消担保额度为</w:t>
      </w:r>
      <w:r>
        <w:rPr>
          <w:rFonts w:ascii="Times New Roman" w:hAnsi="Times New Roman" w:cs="Times New Roman" w:eastAsia="Times New Roman" w:hint="default"/>
        </w:rPr>
        <w:t>240,000</w:t>
      </w:r>
      <w:r>
        <w:rPr/>
        <w:t>万元。</w:t>
      </w:r>
    </w:p>
    <w:p>
      <w:pPr>
        <w:pStyle w:val="BodyText"/>
        <w:spacing w:line="300" w:lineRule="auto" w:before="13"/>
        <w:ind w:right="4813" w:firstLine="362"/>
        <w:jc w:val="left"/>
      </w:pPr>
      <w:r>
        <w:rPr>
          <w:rFonts w:ascii="Times New Roman" w:hAnsi="Times New Roman" w:cs="Times New Roman" w:eastAsia="Times New Roman" w:hint="default"/>
        </w:rPr>
        <w:t>2</w:t>
      </w:r>
      <w:r>
        <w:rPr/>
        <w:t>．已签订的正在或准备履行的租赁合同及财务影响 至资产负债表日止，本公司对外签订的不可撤销的经营租赁合约情况如下：</w:t>
      </w:r>
    </w:p>
    <w:tbl>
      <w:tblPr>
        <w:tblW w:w="0" w:type="auto"/>
        <w:jc w:val="left"/>
        <w:tblInd w:w="146" w:type="dxa"/>
        <w:tblLayout w:type="fixed"/>
        <w:tblCellMar>
          <w:top w:w="0" w:type="dxa"/>
          <w:left w:w="0" w:type="dxa"/>
          <w:bottom w:w="0" w:type="dxa"/>
          <w:right w:w="0" w:type="dxa"/>
        </w:tblCellMar>
        <w:tblLook w:val="01E0"/>
      </w:tblPr>
      <w:tblGrid>
        <w:gridCol w:w="2956"/>
        <w:gridCol w:w="2955"/>
        <w:gridCol w:w="2956"/>
      </w:tblGrid>
      <w:tr>
        <w:trPr>
          <w:trHeight w:val="34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期末数</w:t>
            </w:r>
          </w:p>
        </w:tc>
        <w:tc>
          <w:tcPr>
            <w:tcW w:w="295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期初数</w:t>
            </w:r>
          </w:p>
        </w:tc>
      </w:tr>
      <w:tr>
        <w:trPr>
          <w:trHeight w:val="659"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3"/>
              <w:jc w:val="left"/>
              <w:rPr>
                <w:rFonts w:ascii="宋体" w:hAnsi="宋体" w:cs="宋体" w:eastAsia="宋体" w:hint="default"/>
                <w:sz w:val="18"/>
                <w:szCs w:val="18"/>
              </w:rPr>
            </w:pPr>
            <w:r>
              <w:rPr>
                <w:rFonts w:ascii="宋体" w:hAnsi="宋体" w:cs="宋体" w:eastAsia="宋体" w:hint="default"/>
                <w:spacing w:val="14"/>
                <w:sz w:val="18"/>
                <w:szCs w:val="18"/>
              </w:rPr>
              <w:t>不可撤销经营租赁的最低租赁付款</w:t>
            </w:r>
            <w:r>
              <w:rPr>
                <w:rFonts w:ascii="宋体" w:hAnsi="宋体" w:cs="宋体" w:eastAsia="宋体" w:hint="default"/>
                <w:spacing w:val="-77"/>
                <w:sz w:val="18"/>
                <w:szCs w:val="18"/>
              </w:rPr>
              <w:t> </w:t>
            </w:r>
            <w:r>
              <w:rPr>
                <w:rFonts w:ascii="宋体" w:hAnsi="宋体" w:cs="宋体" w:eastAsia="宋体" w:hint="default"/>
                <w:sz w:val="18"/>
                <w:szCs w:val="18"/>
              </w:rPr>
              <w:t>额：</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56" w:type="dxa"/>
            <w:tcBorders>
              <w:top w:val="single" w:sz="6" w:space="0" w:color="000000"/>
              <w:left w:val="single" w:sz="6" w:space="0" w:color="000000"/>
              <w:bottom w:val="single" w:sz="6" w:space="0" w:color="000000"/>
              <w:right w:val="single" w:sz="4" w:space="0" w:color="000000"/>
            </w:tcBorders>
          </w:tcPr>
          <w:p>
            <w:pPr/>
          </w:p>
        </w:tc>
      </w:tr>
      <w:tr>
        <w:trPr>
          <w:trHeight w:val="347"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147,937,324.56</w:t>
            </w:r>
          </w:p>
        </w:tc>
        <w:tc>
          <w:tcPr>
            <w:tcW w:w="295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85,574,931.78</w:t>
            </w:r>
          </w:p>
        </w:tc>
      </w:tr>
      <w:tr>
        <w:trPr>
          <w:trHeight w:val="347"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66,747,936.63</w:t>
            </w:r>
          </w:p>
        </w:tc>
        <w:tc>
          <w:tcPr>
            <w:tcW w:w="295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74,145,432.67</w:t>
            </w:r>
          </w:p>
        </w:tc>
      </w:tr>
      <w:tr>
        <w:trPr>
          <w:trHeight w:val="347"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63,854,047.59</w:t>
            </w:r>
          </w:p>
        </w:tc>
        <w:tc>
          <w:tcPr>
            <w:tcW w:w="295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64,614,512.02</w:t>
            </w:r>
          </w:p>
        </w:tc>
      </w:tr>
      <w:tr>
        <w:trPr>
          <w:trHeight w:val="347"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19,603,295.30</w:t>
            </w:r>
          </w:p>
        </w:tc>
        <w:tc>
          <w:tcPr>
            <w:tcW w:w="295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81,625,112.04</w:t>
            </w:r>
          </w:p>
        </w:tc>
      </w:tr>
      <w:tr>
        <w:trPr>
          <w:trHeight w:val="34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298,142,604.08</w:t>
            </w:r>
          </w:p>
        </w:tc>
        <w:tc>
          <w:tcPr>
            <w:tcW w:w="295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305,959,988.51</w:t>
            </w:r>
          </w:p>
        </w:tc>
      </w:tr>
    </w:tbl>
    <w:p>
      <w:pPr>
        <w:pStyle w:val="BodyText"/>
        <w:spacing w:line="300" w:lineRule="auto" w:before="31"/>
        <w:ind w:left="514" w:right="0" w:firstLine="74"/>
        <w:jc w:val="left"/>
      </w:pPr>
      <w:r>
        <w:rPr>
          <w:rFonts w:ascii="Times New Roman" w:hAnsi="Times New Roman" w:cs="Times New Roman" w:eastAsia="Times New Roman" w:hint="default"/>
        </w:rPr>
        <w:t>3</w:t>
      </w:r>
      <w:r>
        <w:rPr/>
        <w:t>．募集资金使用承诺情况 </w:t>
      </w:r>
      <w:r>
        <w:rPr>
          <w:spacing w:val="-1"/>
        </w:rPr>
        <w:t>经中国证监会证监许可</w:t>
      </w:r>
      <w:r>
        <w:rPr>
          <w:rFonts w:ascii="Times New Roman" w:hAnsi="Times New Roman" w:cs="Times New Roman" w:eastAsia="Times New Roman" w:hint="default"/>
          <w:spacing w:val="-1"/>
        </w:rPr>
        <w:t>[2015]2944</w:t>
      </w:r>
      <w:r>
        <w:rPr>
          <w:spacing w:val="-1"/>
        </w:rPr>
        <w:t>号文核准，并经深圳证券交易所同意，由主承销广州证券股份有限公司负责组织实施</w:t>
      </w:r>
    </w:p>
    <w:p>
      <w:pPr>
        <w:pStyle w:val="BodyText"/>
        <w:spacing w:line="300" w:lineRule="auto" w:before="13"/>
        <w:ind w:right="0"/>
        <w:jc w:val="left"/>
      </w:pPr>
      <w:r>
        <w:rPr/>
        <w:t>本公司非公开发行股票的发行及承销工作，于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月以非公开发行股票的方式向</w:t>
      </w:r>
      <w:r>
        <w:rPr>
          <w:rFonts w:ascii="Times New Roman" w:hAnsi="Times New Roman" w:cs="Times New Roman" w:eastAsia="Times New Roman" w:hint="default"/>
        </w:rPr>
        <w:t>8</w:t>
      </w:r>
      <w:r>
        <w:rPr/>
        <w:t>家特定投资者发行了人民币普通股</w:t>
      </w:r>
      <w:r>
        <w:rPr>
          <w:rFonts w:ascii="Times New Roman" w:hAnsi="Times New Roman" w:cs="Times New Roman" w:eastAsia="Times New Roman" w:hint="default"/>
        </w:rPr>
        <w:t>(A</w:t>
      </w:r>
      <w:r>
        <w:rPr>
          <w:rFonts w:ascii="Times New Roman" w:hAnsi="Times New Roman" w:cs="Times New Roman" w:eastAsia="Times New Roman" w:hint="default"/>
          <w:w w:val="99"/>
        </w:rPr>
        <w:t> </w:t>
      </w:r>
      <w:r>
        <w:rPr/>
        <w:t>股</w:t>
      </w:r>
      <w:r>
        <w:rPr>
          <w:rFonts w:ascii="Times New Roman" w:hAnsi="Times New Roman" w:cs="Times New Roman" w:eastAsia="Times New Roman" w:hint="default"/>
        </w:rPr>
        <w:t>)</w:t>
      </w:r>
      <w:r>
        <w:rPr/>
        <w:t>股票</w:t>
      </w:r>
      <w:r>
        <w:rPr>
          <w:rFonts w:ascii="Times New Roman" w:hAnsi="Times New Roman" w:cs="Times New Roman" w:eastAsia="Times New Roman" w:hint="default"/>
        </w:rPr>
        <w:t>134,671,886</w:t>
      </w:r>
      <w:r>
        <w:rPr/>
        <w:t>股，发行价格为人民币</w:t>
      </w:r>
      <w:r>
        <w:rPr>
          <w:rFonts w:ascii="Times New Roman" w:hAnsi="Times New Roman" w:cs="Times New Roman" w:eastAsia="Times New Roman" w:hint="default"/>
        </w:rPr>
        <w:t>20.42</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日本公司共募集资金总额为人民币</w:t>
      </w:r>
      <w:r>
        <w:rPr>
          <w:rFonts w:ascii="Times New Roman" w:hAnsi="Times New Roman" w:cs="Times New Roman" w:eastAsia="Times New Roman" w:hint="default"/>
        </w:rPr>
        <w:t>274,999.99</w:t>
      </w:r>
      <w:r>
        <w:rPr/>
        <w:t>万元，</w:t>
      </w:r>
      <w:r>
        <w:rPr>
          <w:spacing w:val="-69"/>
        </w:rPr>
        <w:t> </w:t>
      </w:r>
      <w:r>
        <w:rPr>
          <w:spacing w:val="-69"/>
        </w:rPr>
      </w:r>
      <w:r>
        <w:rPr/>
        <w:t>扣除发行费用</w:t>
      </w:r>
      <w:r>
        <w:rPr>
          <w:rFonts w:ascii="Times New Roman" w:hAnsi="Times New Roman" w:cs="Times New Roman" w:eastAsia="Times New Roman" w:hint="default"/>
        </w:rPr>
        <w:t>3,005.00</w:t>
      </w:r>
      <w:r>
        <w:rPr/>
        <w:t>万元，募集资金净额为</w:t>
      </w:r>
      <w:r>
        <w:rPr>
          <w:rFonts w:ascii="Times New Roman" w:hAnsi="Times New Roman" w:cs="Times New Roman" w:eastAsia="Times New Roman" w:hint="default"/>
        </w:rPr>
        <w:t>271,994.99</w:t>
      </w:r>
      <w:r>
        <w:rPr/>
        <w:t>万元。募集资金投向使用情况如下：</w:t>
      </w:r>
    </w:p>
    <w:tbl>
      <w:tblPr>
        <w:tblW w:w="0" w:type="auto"/>
        <w:jc w:val="left"/>
        <w:tblInd w:w="146" w:type="dxa"/>
        <w:tblLayout w:type="fixed"/>
        <w:tblCellMar>
          <w:top w:w="0" w:type="dxa"/>
          <w:left w:w="0" w:type="dxa"/>
          <w:bottom w:w="0" w:type="dxa"/>
          <w:right w:w="0" w:type="dxa"/>
        </w:tblCellMar>
        <w:tblLook w:val="01E0"/>
      </w:tblPr>
      <w:tblGrid>
        <w:gridCol w:w="2955"/>
        <w:gridCol w:w="3050"/>
        <w:gridCol w:w="2862"/>
      </w:tblGrid>
      <w:tr>
        <w:trPr>
          <w:trHeight w:val="347" w:hRule="exact"/>
        </w:trPr>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Times New Roman" w:hAnsi="Times New Roman" w:cs="Times New Roman" w:eastAsia="Times New Roman" w:hint="default"/>
                <w:sz w:val="18"/>
                <w:szCs w:val="18"/>
              </w:rPr>
            </w:pPr>
            <w:r>
              <w:rPr>
                <w:rFonts w:ascii="宋体" w:hAnsi="宋体" w:cs="宋体" w:eastAsia="宋体" w:hint="default"/>
                <w:sz w:val="18"/>
                <w:szCs w:val="18"/>
              </w:rPr>
              <w:t>承诺投资金额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2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宋体" w:hAnsi="宋体" w:cs="宋体" w:eastAsia="宋体" w:hint="default"/>
                <w:sz w:val="18"/>
                <w:szCs w:val="18"/>
              </w:rPr>
              <w:t>实际投资金额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r>
      <w:tr>
        <w:trPr>
          <w:trHeight w:val="347" w:hRule="exact"/>
        </w:trPr>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移动广告营销网络建设项目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23,547.55</w:t>
            </w:r>
          </w:p>
        </w:tc>
        <w:tc>
          <w:tcPr>
            <w:tcW w:w="2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1,197.47</w:t>
            </w:r>
          </w:p>
        </w:tc>
      </w:tr>
      <w:tr>
        <w:trPr>
          <w:trHeight w:val="660" w:hRule="exact"/>
        </w:trPr>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至美移动数字营销综合服务平台升级 </w:t>
            </w:r>
            <w:r>
              <w:rPr>
                <w:rFonts w:ascii="宋体" w:hAnsi="宋体" w:cs="宋体" w:eastAsia="宋体" w:hint="default"/>
                <w:sz w:val="18"/>
                <w:szCs w:val="18"/>
              </w:rPr>
              <w:t>项目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23,992.82</w:t>
            </w:r>
          </w:p>
        </w:tc>
        <w:tc>
          <w:tcPr>
            <w:tcW w:w="2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研发中心项目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5,130.95</w:t>
            </w:r>
          </w:p>
        </w:tc>
        <w:tc>
          <w:tcPr>
            <w:tcW w:w="2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户外媒体联屏联播网项目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114,457.91</w:t>
            </w:r>
          </w:p>
        </w:tc>
        <w:tc>
          <w:tcPr>
            <w:tcW w:w="2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12,923.38</w:t>
            </w:r>
          </w:p>
        </w:tc>
      </w:tr>
      <w:tr>
        <w:trPr>
          <w:trHeight w:val="347" w:hRule="exact"/>
        </w:trPr>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WIFI</w:t>
            </w:r>
            <w:r>
              <w:rPr>
                <w:rFonts w:ascii="宋体" w:hAnsi="宋体" w:cs="宋体" w:eastAsia="宋体" w:hint="default"/>
                <w:sz w:val="18"/>
                <w:szCs w:val="18"/>
              </w:rPr>
              <w:t>布点项目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14,769.67</w:t>
            </w:r>
          </w:p>
        </w:tc>
        <w:tc>
          <w:tcPr>
            <w:tcW w:w="2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72.00</w:t>
            </w:r>
          </w:p>
        </w:tc>
      </w:tr>
      <w:tr>
        <w:trPr>
          <w:trHeight w:val="347" w:hRule="exact"/>
        </w:trPr>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宴会厅</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显示屏项目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10,793.22</w:t>
            </w:r>
          </w:p>
        </w:tc>
        <w:tc>
          <w:tcPr>
            <w:tcW w:w="2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支付收购对价</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79,302.87</w:t>
            </w:r>
          </w:p>
        </w:tc>
        <w:tc>
          <w:tcPr>
            <w:tcW w:w="2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67,866.66</w:t>
            </w:r>
          </w:p>
        </w:tc>
      </w:tr>
      <w:tr>
        <w:trPr>
          <w:trHeight w:val="348" w:hRule="exact"/>
        </w:trPr>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永久性补充流动资金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80,000.00</w:t>
            </w:r>
          </w:p>
        </w:tc>
      </w:tr>
      <w:tr>
        <w:trPr>
          <w:trHeight w:val="347" w:hRule="exact"/>
        </w:trPr>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271,994.99</w:t>
            </w:r>
          </w:p>
        </w:tc>
        <w:tc>
          <w:tcPr>
            <w:tcW w:w="2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162,059.51</w:t>
            </w:r>
          </w:p>
        </w:tc>
      </w:tr>
    </w:tbl>
    <w:p>
      <w:pPr>
        <w:pStyle w:val="BodyText"/>
        <w:spacing w:line="300" w:lineRule="auto" w:before="13"/>
        <w:ind w:right="1158" w:firstLine="73"/>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日，本公司召开了第九届董事会第二十三次会议和第九届监事会第十一次会议，审议通过了《关于终止</w:t>
      </w:r>
      <w:r>
        <w:rPr>
          <w:w w:val="99"/>
        </w:rPr>
        <w:t> </w:t>
      </w:r>
      <w:r>
        <w:rPr/>
        <w:t>及调减部分募投项目并将相关募集资金用于永久性补充流动资金的提案》，同意终止</w:t>
      </w:r>
      <w:r>
        <w:rPr>
          <w:rFonts w:ascii="Times New Roman" w:hAnsi="Times New Roman" w:cs="Times New Roman" w:eastAsia="Times New Roman" w:hint="default"/>
        </w:rPr>
        <w:t>WIFI</w:t>
      </w:r>
      <w:r>
        <w:rPr/>
        <w:t>布点项目、宴会厅</w:t>
      </w:r>
      <w:r>
        <w:rPr>
          <w:rFonts w:ascii="Times New Roman" w:hAnsi="Times New Roman" w:cs="Times New Roman" w:eastAsia="Times New Roman" w:hint="default"/>
        </w:rPr>
        <w:t>LED</w:t>
      </w:r>
      <w:r>
        <w:rPr/>
        <w:t>显示屏项</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spacing w:val="-1"/>
        </w:rPr>
        <w:t>目，减少户外媒体联屏联播网项目投资额</w:t>
      </w:r>
      <w:r>
        <w:rPr>
          <w:rFonts w:ascii="Times New Roman" w:hAnsi="Times New Roman" w:cs="Times New Roman" w:eastAsia="Times New Roman" w:hint="default"/>
          <w:spacing w:val="-1"/>
        </w:rPr>
        <w:t>32,461.56</w:t>
      </w:r>
      <w:r>
        <w:rPr>
          <w:spacing w:val="-1"/>
        </w:rPr>
        <w:t>万元、移动广告营销网络建设项目投资额</w:t>
      </w:r>
      <w:r>
        <w:rPr>
          <w:rFonts w:ascii="Times New Roman" w:hAnsi="Times New Roman" w:cs="Times New Roman" w:eastAsia="Times New Roman" w:hint="default"/>
          <w:spacing w:val="-1"/>
        </w:rPr>
        <w:t>22,047.55</w:t>
      </w:r>
      <w:r>
        <w:rPr>
          <w:spacing w:val="-1"/>
        </w:rPr>
        <w:t>万元，合计</w:t>
      </w:r>
      <w:r>
        <w:rPr>
          <w:rFonts w:ascii="Times New Roman" w:hAnsi="Times New Roman" w:cs="Times New Roman" w:eastAsia="Times New Roman" w:hint="default"/>
          <w:spacing w:val="-1"/>
        </w:rPr>
        <w:t>80,000</w:t>
      </w:r>
      <w:r>
        <w:rPr>
          <w:spacing w:val="-1"/>
        </w:rPr>
        <w:t>万元</w:t>
      </w:r>
      <w:r>
        <w:rPr>
          <w:spacing w:val="-66"/>
        </w:rPr>
        <w:t> </w:t>
      </w:r>
      <w:r>
        <w:rPr/>
        <w:t>用于永久性补充流动资金。上述提案经公司于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日召开的</w:t>
      </w:r>
      <w:r>
        <w:rPr>
          <w:rFonts w:ascii="Times New Roman" w:hAnsi="Times New Roman" w:cs="Times New Roman" w:eastAsia="Times New Roman" w:hint="default"/>
        </w:rPr>
        <w:t>2017</w:t>
      </w:r>
      <w:r>
        <w:rPr/>
        <w:t>年第六次临时股东大会审议通过。</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或有事项" w:id="356"/>
      <w:bookmarkEnd w:id="35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357"/>
      <w:bookmarkEnd w:id="35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0" w:firstLine="360"/>
        <w:jc w:val="left"/>
      </w:pPr>
      <w:r>
        <w:rPr/>
        <w:t>根据本公司与国民信托有限公司</w:t>
      </w:r>
      <w:r>
        <w:rPr>
          <w:rFonts w:ascii="Times New Roman" w:hAnsi="Times New Roman" w:cs="Times New Roman" w:eastAsia="Times New Roman" w:hint="default"/>
        </w:rPr>
        <w:t>(</w:t>
      </w:r>
      <w:r>
        <w:rPr/>
        <w:t>以下简称国民信托</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日签署的《远期收购及差额补足协议》约定，国民 信托作为优先级有限合伙人对杭州通育投资合伙企业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投资的预期收益率为</w:t>
      </w:r>
      <w:r>
        <w:rPr>
          <w:rFonts w:ascii="Times New Roman" w:hAnsi="Times New Roman" w:cs="Times New Roman" w:eastAsia="Times New Roman" w:hint="default"/>
        </w:rPr>
        <w:t>6.83%/</w:t>
      </w:r>
      <w:r>
        <w:rPr/>
        <w:t>年，本公司作为劣后级有限合伙 人于远期收购日</w:t>
      </w:r>
      <w:r>
        <w:rPr>
          <w:rFonts w:ascii="Times New Roman" w:hAnsi="Times New Roman" w:cs="Times New Roman" w:eastAsia="Times New Roman" w:hint="default"/>
        </w:rPr>
        <w:t>(</w:t>
      </w:r>
      <w:r>
        <w:rPr/>
        <w:t>合伙企业实缴出资缴足之日起</w:t>
      </w:r>
      <w:r>
        <w:rPr>
          <w:rFonts w:ascii="Times New Roman" w:hAnsi="Times New Roman" w:cs="Times New Roman" w:eastAsia="Times New Roman" w:hint="default"/>
        </w:rPr>
        <w:t>3</w:t>
      </w:r>
      <w:r>
        <w:rPr/>
        <w:t>年或</w:t>
      </w:r>
      <w:r>
        <w:rPr>
          <w:rFonts w:ascii="Times New Roman" w:hAnsi="Times New Roman" w:cs="Times New Roman" w:eastAsia="Times New Roman" w:hint="default"/>
        </w:rPr>
        <w:t>5</w:t>
      </w:r>
      <w:r>
        <w:rPr/>
        <w:t>年的对应日</w:t>
      </w:r>
      <w:r>
        <w:rPr>
          <w:rFonts w:ascii="Times New Roman" w:hAnsi="Times New Roman" w:cs="Times New Roman" w:eastAsia="Times New Roman" w:hint="default"/>
        </w:rPr>
        <w:t>)</w:t>
      </w:r>
      <w:r>
        <w:rPr/>
        <w:t>或提前收购日</w:t>
      </w:r>
      <w:r>
        <w:rPr>
          <w:rFonts w:ascii="Times New Roman" w:hAnsi="Times New Roman" w:cs="Times New Roman" w:eastAsia="Times New Roman" w:hint="default"/>
        </w:rPr>
        <w:t>(</w:t>
      </w:r>
      <w:r>
        <w:rPr/>
        <w:t>根据《远期收购及差额补足协议》约定，国 民信托要求本公司提前收购其持有的合伙企业份额之日</w:t>
      </w:r>
      <w:r>
        <w:rPr>
          <w:rFonts w:ascii="Times New Roman" w:hAnsi="Times New Roman" w:cs="Times New Roman" w:eastAsia="Times New Roman" w:hint="default"/>
        </w:rPr>
        <w:t>)</w:t>
      </w:r>
      <w:r>
        <w:rPr/>
        <w:t>无条件收购优先级有限合伙人持有的合伙企业份额，并为优先级有 </w:t>
      </w:r>
      <w:r>
        <w:rPr>
          <w:spacing w:val="-1"/>
        </w:rPr>
        <w:t>限合伙人期间收益及到期本金及收益</w:t>
      </w:r>
      <w:r>
        <w:rPr>
          <w:rFonts w:ascii="Times New Roman" w:hAnsi="Times New Roman" w:cs="Times New Roman" w:eastAsia="Times New Roman" w:hint="default"/>
          <w:spacing w:val="-1"/>
        </w:rPr>
        <w:t>(</w:t>
      </w:r>
      <w:r>
        <w:rPr>
          <w:spacing w:val="-1"/>
        </w:rPr>
        <w:t>预计不超过</w:t>
      </w:r>
      <w:r>
        <w:rPr>
          <w:rFonts w:ascii="Times New Roman" w:hAnsi="Times New Roman" w:cs="Times New Roman" w:eastAsia="Times New Roman" w:hint="default"/>
          <w:spacing w:val="-1"/>
        </w:rPr>
        <w:t>63,452.95</w:t>
      </w:r>
      <w:r>
        <w:rPr>
          <w:spacing w:val="-1"/>
        </w:rPr>
        <w:t>万元</w:t>
      </w:r>
      <w:r>
        <w:rPr>
          <w:rFonts w:ascii="Times New Roman" w:hAnsi="Times New Roman" w:cs="Times New Roman" w:eastAsia="Times New Roman" w:hint="default"/>
          <w:spacing w:val="-1"/>
        </w:rPr>
        <w:t>)</w:t>
      </w:r>
      <w:r>
        <w:rPr>
          <w:spacing w:val="-1"/>
        </w:rPr>
        <w:t>承担差额补足义务。另根据本公司与本公司实际控制人姜剑、</w:t>
      </w:r>
      <w:r>
        <w:rPr>
          <w:spacing w:val="-53"/>
        </w:rPr>
        <w:t> </w:t>
      </w:r>
      <w:r>
        <w:rPr>
          <w:spacing w:val="-53"/>
        </w:rPr>
      </w:r>
      <w:r>
        <w:rPr/>
        <w:t>本公司实际控制人之一致行动人朱兰英和本公司控股股东青岛亚星签署的《保证合同》，姜剑、朱兰英和青岛亚星为该收购</w:t>
      </w:r>
      <w:r>
        <w:rPr/>
        <w:t> 及差额补足义务提供无限连带责任保证担保。</w:t>
      </w:r>
    </w:p>
    <w:p>
      <w:pPr>
        <w:spacing w:line="240" w:lineRule="auto" w:before="4"/>
        <w:rPr>
          <w:rFonts w:ascii="宋体" w:hAnsi="宋体" w:cs="宋体" w:eastAsia="宋体" w:hint="default"/>
          <w:sz w:val="23"/>
          <w:szCs w:val="23"/>
        </w:rPr>
      </w:pPr>
    </w:p>
    <w:p>
      <w:pPr>
        <w:pStyle w:val="Heading3"/>
        <w:spacing w:line="240" w:lineRule="auto"/>
        <w:ind w:left="154" w:right="0"/>
        <w:jc w:val="left"/>
        <w:rPr>
          <w:b w:val="0"/>
          <w:bCs w:val="0"/>
        </w:rPr>
      </w:pPr>
      <w:bookmarkStart w:name="（2）公司没有需要披露的重要或有事项，也应予以说明" w:id="358"/>
      <w:bookmarkEnd w:id="35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3" w:right="7693" w:firstLine="0"/>
        <w:jc w:val="left"/>
        <w:rPr>
          <w:rFonts w:ascii="宋体" w:hAnsi="宋体" w:cs="宋体" w:eastAsia="宋体" w:hint="default"/>
          <w:sz w:val="21"/>
          <w:szCs w:val="21"/>
        </w:rPr>
      </w:pPr>
      <w:bookmarkStart w:name="3、其他" w:id="359"/>
      <w:bookmarkEnd w:id="35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三、资产负债表日后事项" w:id="360"/>
      <w:bookmarkEnd w:id="360"/>
      <w:r>
        <w:rPr>
          <w:rFonts w:ascii="宋体" w:hAnsi="宋体" w:cs="宋体" w:eastAsia="宋体" w:hint="default"/>
          <w:b/>
          <w:bCs/>
          <w:w w:val="99"/>
          <w:sz w:val="21"/>
          <w:szCs w:val="21"/>
        </w:rPr>
      </w:r>
      <w:r>
        <w:rPr>
          <w:rFonts w:ascii="宋体" w:hAnsi="宋体" w:cs="宋体" w:eastAsia="宋体" w:hint="default"/>
          <w:b/>
          <w:bCs/>
          <w:w w:val="95"/>
          <w:sz w:val="24"/>
          <w:szCs w:val="24"/>
        </w:rPr>
        <w:t>十三、资产负债表日后事项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利润分配情况" w:id="361"/>
      <w:bookmarkEnd w:id="361"/>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、利润分配情况</w:t>
      </w:r>
      <w:r>
        <w:rPr>
          <w:rFonts w:ascii="宋体" w:hAnsi="宋体" w:cs="宋体" w:eastAsia="宋体" w:hint="default"/>
          <w:sz w:val="21"/>
          <w:szCs w:val="21"/>
        </w:rPr>
      </w:r>
    </w:p>
    <w:p>
      <w:pPr>
        <w:pStyle w:val="BodyText"/>
        <w:spacing w:line="240" w:lineRule="auto" w:before="108"/>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209,110,967.60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both"/>
        <w:rPr>
          <w:b w:val="0"/>
          <w:bCs w:val="0"/>
        </w:rPr>
      </w:pPr>
      <w:bookmarkStart w:name="2、其他资产负债表日后事项说明" w:id="362"/>
      <w:bookmarkEnd w:id="362"/>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）员工持股计划实施情况说明 </w:t>
      </w:r>
      <w:r>
        <w:rPr>
          <w:spacing w:val="-1"/>
        </w:rPr>
        <w:t>本公司于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16</w:t>
      </w:r>
      <w:r>
        <w:rPr>
          <w:spacing w:val="-1"/>
        </w:rPr>
        <w:t>日召开</w:t>
      </w:r>
      <w:r>
        <w:rPr>
          <w:rFonts w:ascii="Times New Roman" w:hAnsi="Times New Roman" w:cs="Times New Roman" w:eastAsia="Times New Roman" w:hint="default"/>
          <w:spacing w:val="-1"/>
        </w:rPr>
        <w:t>2017</w:t>
      </w:r>
      <w:r>
        <w:rPr>
          <w:spacing w:val="-1"/>
        </w:rPr>
        <w:t>年第五次临时股东大会审议通过了《关于员工持股计划</w:t>
      </w:r>
      <w:r>
        <w:rPr>
          <w:rFonts w:ascii="Times New Roman" w:hAnsi="Times New Roman" w:cs="Times New Roman" w:eastAsia="Times New Roman" w:hint="default"/>
          <w:spacing w:val="-1"/>
        </w:rPr>
        <w:t>(</w:t>
      </w:r>
      <w:r>
        <w:rPr>
          <w:spacing w:val="-1"/>
        </w:rPr>
        <w:t>草案</w:t>
      </w:r>
      <w:r>
        <w:rPr>
          <w:rFonts w:ascii="Times New Roman" w:hAnsi="Times New Roman" w:cs="Times New Roman" w:eastAsia="Times New Roman" w:hint="default"/>
          <w:spacing w:val="-1"/>
        </w:rPr>
        <w:t>)</w:t>
      </w:r>
      <w:r>
        <w:rPr>
          <w:spacing w:val="-1"/>
        </w:rPr>
        <w:t>及摘要的议案》及相关</w:t>
      </w:r>
    </w:p>
    <w:p>
      <w:pPr>
        <w:pStyle w:val="BodyText"/>
        <w:spacing w:line="300" w:lineRule="auto" w:before="13"/>
        <w:ind w:right="1179"/>
        <w:jc w:val="both"/>
      </w:pPr>
      <w:r>
        <w:rPr/>
        <w:t>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月，本公司员工持股计划集合资金信托计划已在中国信托登记有限责任公司办理完登记，登记产品编码： </w:t>
      </w:r>
      <w:r>
        <w:rPr>
          <w:rFonts w:ascii="Times New Roman" w:hAnsi="Times New Roman" w:cs="Times New Roman" w:eastAsia="Times New Roman" w:hint="default"/>
        </w:rPr>
        <w:t>ZXD32Y201712010005174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至</w:t>
      </w:r>
      <w:r>
        <w:rPr>
          <w:rFonts w:ascii="Times New Roman" w:hAnsi="Times New Roman" w:cs="Times New Roman" w:eastAsia="Times New Roman" w:hint="default"/>
        </w:rPr>
        <w:t>3</w:t>
      </w:r>
      <w:r>
        <w:rPr/>
        <w:t>月，本公司员工持股计划通过深圳证券交易所交易系统竞价交易方式已买入公司股 票</w:t>
      </w:r>
      <w:r>
        <w:rPr>
          <w:rFonts w:ascii="Times New Roman" w:hAnsi="Times New Roman" w:cs="Times New Roman" w:eastAsia="Times New Roman" w:hint="default"/>
        </w:rPr>
        <w:t>5,969,078</w:t>
      </w:r>
      <w:r>
        <w:rPr/>
        <w:t>股，约占公司已发行总股本的</w:t>
      </w:r>
      <w:r>
        <w:rPr>
          <w:rFonts w:ascii="Times New Roman" w:hAnsi="Times New Roman" w:cs="Times New Roman" w:eastAsia="Times New Roman" w:hint="default"/>
        </w:rPr>
        <w:t>1.14%</w:t>
      </w:r>
      <w:r>
        <w:rPr/>
        <w:t>，成交金额为</w:t>
      </w:r>
      <w:r>
        <w:rPr>
          <w:rFonts w:ascii="Times New Roman" w:hAnsi="Times New Roman" w:cs="Times New Roman" w:eastAsia="Times New Roman" w:hint="default"/>
        </w:rPr>
        <w:t>11,204.70</w:t>
      </w:r>
      <w:r>
        <w:rPr/>
        <w:t>万元，成交均价约为</w:t>
      </w:r>
      <w:r>
        <w:rPr>
          <w:rFonts w:ascii="Times New Roman" w:hAnsi="Times New Roman" w:cs="Times New Roman" w:eastAsia="Times New Roman" w:hint="default"/>
        </w:rPr>
        <w:t>18.77</w:t>
      </w:r>
      <w:r>
        <w:rPr/>
        <w:t>元</w:t>
      </w:r>
      <w:r>
        <w:rPr>
          <w:rFonts w:ascii="Times New Roman" w:hAnsi="Times New Roman" w:cs="Times New Roman" w:eastAsia="Times New Roman" w:hint="default"/>
        </w:rPr>
        <w:t>/</w:t>
      </w:r>
      <w:r>
        <w:rPr/>
        <w:t>股。</w:t>
      </w:r>
    </w:p>
    <w:p>
      <w:pPr>
        <w:pStyle w:val="BodyText"/>
        <w:spacing w:line="300" w:lineRule="auto" w:before="13"/>
        <w:ind w:right="1132"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15</w:t>
      </w:r>
      <w:r>
        <w:rPr>
          <w:spacing w:val="-2"/>
        </w:rPr>
        <w:t>日，本公司与本公司控股股东青岛亚星签订《股权转让协议》，本公司将其持有的绵阳亿嘉合投资有</w:t>
      </w:r>
      <w:r>
        <w:rPr/>
        <w:t> </w:t>
      </w:r>
      <w:r>
        <w:rPr>
          <w:spacing w:val="-1"/>
        </w:rPr>
        <w:t>限公司</w:t>
      </w:r>
      <w:r>
        <w:rPr>
          <w:rFonts w:ascii="Times New Roman" w:hAnsi="Times New Roman" w:cs="Times New Roman" w:eastAsia="Times New Roman" w:hint="default"/>
          <w:spacing w:val="-1"/>
        </w:rPr>
        <w:t>51%</w:t>
      </w:r>
      <w:r>
        <w:rPr>
          <w:spacing w:val="-1"/>
        </w:rPr>
        <w:t>股权作价</w:t>
      </w:r>
      <w:r>
        <w:rPr>
          <w:rFonts w:ascii="Times New Roman" w:hAnsi="Times New Roman" w:cs="Times New Roman" w:eastAsia="Times New Roman" w:hint="default"/>
          <w:spacing w:val="-1"/>
        </w:rPr>
        <w:t>621</w:t>
      </w:r>
      <w:r>
        <w:rPr>
          <w:spacing w:val="-1"/>
        </w:rPr>
        <w:t>万元转让给青岛亚星。本公司已于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18</w:t>
      </w:r>
      <w:r>
        <w:rPr>
          <w:spacing w:val="-1"/>
        </w:rPr>
        <w:t>日收到全部股权转让价款，绵阳亿嘉合投资有限公司</w:t>
      </w:r>
      <w:r>
        <w:rPr>
          <w:spacing w:val="-84"/>
        </w:rPr>
        <w:t> </w:t>
      </w:r>
      <w:r>
        <w:rPr>
          <w:spacing w:val="-84"/>
        </w:rPr>
      </w:r>
      <w:r>
        <w:rPr/>
        <w:t>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日办妥此次股权转让的工商变更手续。</w:t>
      </w:r>
    </w:p>
    <w:p>
      <w:pPr>
        <w:pStyle w:val="BodyText"/>
        <w:spacing w:line="300" w:lineRule="auto" w:before="13"/>
        <w:ind w:right="0" w:firstLine="360"/>
        <w:jc w:val="left"/>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25</w:t>
      </w:r>
      <w:r>
        <w:rPr>
          <w:spacing w:val="-2"/>
        </w:rPr>
        <w:t>日，本公司与北京星合通达传媒广告有限公司签订《股权转让协议》，本公司将其持有的深圳大通信</w:t>
      </w:r>
      <w:r>
        <w:rPr/>
        <w:t> 息科技有限公司</w:t>
      </w:r>
      <w:r>
        <w:rPr>
          <w:rFonts w:ascii="Times New Roman" w:hAnsi="Times New Roman" w:cs="Times New Roman" w:eastAsia="Times New Roman" w:hint="default"/>
        </w:rPr>
        <w:t>100%</w:t>
      </w:r>
      <w:r>
        <w:rPr/>
        <w:t>股权作价</w:t>
      </w:r>
      <w:r>
        <w:rPr>
          <w:rFonts w:ascii="Times New Roman" w:hAnsi="Times New Roman" w:cs="Times New Roman" w:eastAsia="Times New Roman" w:hint="default"/>
        </w:rPr>
        <w:t>1,000</w:t>
      </w:r>
      <w:r>
        <w:rPr/>
        <w:t>万元转让给北京星合通达传媒广告有限公司。本公司已于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日收到全部股权 转让价款，深圳大通信息科技有限公司已于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日办妥此次股权转让的工商变更手续。</w:t>
      </w:r>
    </w:p>
    <w:p>
      <w:pPr>
        <w:spacing w:after="0" w:line="30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四、其他重要事项" w:id="363"/>
      <w:bookmarkEnd w:id="363"/>
      <w:r>
        <w:rPr>
          <w:b w:val="0"/>
          <w:bCs w:val="0"/>
        </w:rPr>
      </w: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终止经营" w:id="364"/>
      <w:bookmarkEnd w:id="364"/>
      <w:r>
        <w:rPr>
          <w:b w:val="0"/>
          <w:bCs w:val="0"/>
        </w:rPr>
      </w:r>
      <w:r>
        <w:rPr>
          <w:rFonts w:ascii="Times New Roman" w:hAnsi="Times New Roman" w:cs="Times New Roman" w:eastAsia="Times New Roman" w:hint="default"/>
        </w:rPr>
        <w:t>1</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济宁海情置业有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364,236,802.84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333,438,485.53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30,798,317.31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25,190,960.33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5,607,356.98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5,046,621.28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青岛广顺房地产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3,398,731.77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2,369,559.61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1,029,172.16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412,483.11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616,689.05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511,851.91</w:t>
            </w:r>
          </w:p>
        </w:tc>
      </w:tr>
    </w:tbl>
    <w:p>
      <w:pPr>
        <w:pStyle w:val="BodyText"/>
        <w:spacing w:line="240" w:lineRule="auto" w:before="51"/>
        <w:ind w:left="154" w:right="0"/>
        <w:jc w:val="left"/>
      </w:pPr>
      <w:r>
        <w:rPr/>
        <w:t>其他说明</w:t>
      </w:r>
    </w:p>
    <w:p>
      <w:pPr>
        <w:spacing w:before="89"/>
        <w:ind w:left="574" w:right="0" w:firstLine="0"/>
        <w:jc w:val="left"/>
        <w:rPr>
          <w:rFonts w:ascii="宋体" w:hAnsi="宋体" w:cs="宋体" w:eastAsia="宋体" w:hint="default"/>
          <w:sz w:val="21"/>
          <w:szCs w:val="21"/>
        </w:rPr>
      </w:pPr>
      <w:r>
        <w:rPr>
          <w:rFonts w:ascii="宋体" w:hAnsi="宋体" w:cs="宋体" w:eastAsia="宋体" w:hint="default"/>
          <w:sz w:val="21"/>
          <w:szCs w:val="21"/>
        </w:rPr>
        <w:t>终止经营的财务信息</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237"/>
        <w:gridCol w:w="2407"/>
        <w:gridCol w:w="2408"/>
      </w:tblGrid>
      <w:tr>
        <w:trPr>
          <w:trHeight w:val="348"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济宁海情置业有限公司</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hAnsi="宋体" w:cs="宋体" w:eastAsia="宋体" w:hint="default"/>
                <w:sz w:val="18"/>
                <w:szCs w:val="18"/>
              </w:rPr>
              <w:t>青岛广顺房地产有限公司</w:t>
            </w:r>
          </w:p>
        </w:tc>
      </w:tr>
      <w:tr>
        <w:trPr>
          <w:trHeight w:val="347"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终止经营收入</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364,236,802.84</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3,398,731.77</w:t>
            </w:r>
          </w:p>
        </w:tc>
      </w:tr>
      <w:tr>
        <w:trPr>
          <w:trHeight w:val="347"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2" w:right="0"/>
              <w:jc w:val="left"/>
              <w:rPr>
                <w:rFonts w:ascii="宋体" w:hAnsi="宋体" w:cs="宋体" w:eastAsia="宋体" w:hint="default"/>
                <w:sz w:val="18"/>
                <w:szCs w:val="18"/>
              </w:rPr>
            </w:pPr>
            <w:r>
              <w:rPr>
                <w:rFonts w:ascii="宋体" w:hAnsi="宋体" w:cs="宋体" w:eastAsia="宋体" w:hint="default"/>
                <w:sz w:val="18"/>
                <w:szCs w:val="18"/>
              </w:rPr>
              <w:t>减：终止经营费用</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333,438,485.53</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2,369,559.61</w:t>
            </w:r>
          </w:p>
        </w:tc>
      </w:tr>
      <w:tr>
        <w:trPr>
          <w:trHeight w:val="347"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终止经营利润总额</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30,798,317.31</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1,029,172.16</w:t>
            </w:r>
          </w:p>
        </w:tc>
      </w:tr>
      <w:tr>
        <w:trPr>
          <w:trHeight w:val="347"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2" w:right="0"/>
              <w:jc w:val="left"/>
              <w:rPr>
                <w:rFonts w:ascii="宋体" w:hAnsi="宋体" w:cs="宋体" w:eastAsia="宋体" w:hint="default"/>
                <w:sz w:val="18"/>
                <w:szCs w:val="18"/>
              </w:rPr>
            </w:pPr>
            <w:r>
              <w:rPr>
                <w:rFonts w:ascii="宋体" w:hAnsi="宋体" w:cs="宋体" w:eastAsia="宋体" w:hint="default"/>
                <w:sz w:val="18"/>
                <w:szCs w:val="18"/>
              </w:rPr>
              <w:t>减：终止经营所得税费用</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25,190,960.33</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412,483.11</w:t>
            </w:r>
          </w:p>
        </w:tc>
      </w:tr>
      <w:tr>
        <w:trPr>
          <w:trHeight w:val="347"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终止经营净利润</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5,607,356.98</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616,689.05</w:t>
            </w:r>
          </w:p>
        </w:tc>
      </w:tr>
      <w:tr>
        <w:trPr>
          <w:trHeight w:val="348"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2"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其中：归属于母公司所有者的终止经营净利润</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5,046,621.28</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511,851.91</w:t>
            </w:r>
          </w:p>
        </w:tc>
      </w:tr>
      <w:tr>
        <w:trPr>
          <w:trHeight w:val="347"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本期确认的资产减值损失</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本期转回的资产减值损失</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终止经营的处置损益总额</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21,126,794.71</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w w:val="95"/>
                <w:sz w:val="18"/>
              </w:rPr>
              <w:t>-18,532.34</w:t>
            </w:r>
            <w:r>
              <w:rPr>
                <w:rFonts w:ascii="Times New Roman"/>
                <w:sz w:val="18"/>
              </w:rPr>
            </w:r>
          </w:p>
        </w:tc>
      </w:tr>
      <w:tr>
        <w:trPr>
          <w:trHeight w:val="347"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减：终止经营处置所得税费用</w:t>
            </w:r>
            <w:r>
              <w:rPr>
                <w:rFonts w:ascii="Times New Roman" w:hAnsi="Times New Roman" w:cs="Times New Roman" w:eastAsia="Times New Roman" w:hint="default"/>
                <w:sz w:val="18"/>
                <w:szCs w:val="18"/>
              </w:rPr>
              <w:t>(</w:t>
            </w:r>
            <w:r>
              <w:rPr>
                <w:rFonts w:ascii="宋体" w:hAnsi="宋体" w:cs="宋体" w:eastAsia="宋体" w:hint="default"/>
                <w:sz w:val="18"/>
                <w:szCs w:val="18"/>
              </w:rPr>
              <w:t>加：收益</w:t>
            </w:r>
            <w:r>
              <w:rPr>
                <w:rFonts w:ascii="Times New Roman" w:hAnsi="Times New Roman" w:cs="Times New Roman" w:eastAsia="Times New Roman" w:hint="default"/>
                <w:sz w:val="18"/>
                <w:szCs w:val="18"/>
              </w:rPr>
              <w:t>)</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终止经营的处置净损益</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21,126,794.71</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w w:val="95"/>
                <w:sz w:val="18"/>
              </w:rPr>
              <w:t>-18,532.34</w:t>
            </w:r>
            <w:r>
              <w:rPr>
                <w:rFonts w:ascii="Times New Roman"/>
                <w:sz w:val="18"/>
              </w:rPr>
            </w:r>
          </w:p>
        </w:tc>
      </w:tr>
      <w:tr>
        <w:trPr>
          <w:trHeight w:val="348"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终止经营损益</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26,734,151.69</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598,156.71</w:t>
            </w:r>
          </w:p>
        </w:tc>
      </w:tr>
      <w:tr>
        <w:trPr>
          <w:trHeight w:val="347"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2"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其中：归属于母公司所有者的终止经营损益</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26,173,415.99</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493,319.57</w:t>
            </w:r>
          </w:p>
        </w:tc>
      </w:tr>
      <w:tr>
        <w:trPr>
          <w:trHeight w:val="347"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经营活动现金流量净额</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-34,439,520.62</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-7,526,635.01</w:t>
            </w:r>
          </w:p>
        </w:tc>
      </w:tr>
      <w:tr>
        <w:trPr>
          <w:trHeight w:val="347"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投资活动现金流量净额</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40,632,013.84</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14,224,845.20</w:t>
            </w:r>
          </w:p>
        </w:tc>
      </w:tr>
      <w:tr>
        <w:trPr>
          <w:trHeight w:val="348" w:hRule="exact"/>
        </w:trPr>
        <w:tc>
          <w:tcPr>
            <w:tcW w:w="4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筹资活动现金流量净额</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991,636.13</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-146,670,635.91</w:t>
            </w:r>
          </w:p>
        </w:tc>
      </w:tr>
    </w:tbl>
    <w:p>
      <w:pPr>
        <w:spacing w:line="240" w:lineRule="auto" w:before="3"/>
        <w:rPr>
          <w:rFonts w:ascii="宋体" w:hAnsi="宋体" w:cs="宋体" w:eastAsia="宋体" w:hint="default"/>
          <w:sz w:val="21"/>
          <w:szCs w:val="21"/>
        </w:rPr>
      </w:pPr>
    </w:p>
    <w:p>
      <w:pPr>
        <w:pStyle w:val="BodyText"/>
        <w:spacing w:line="316" w:lineRule="auto" w:before="44"/>
        <w:ind w:left="154" w:right="0"/>
        <w:jc w:val="left"/>
      </w:pPr>
      <w:r>
        <w:rPr>
          <w:spacing w:val="-2"/>
        </w:rPr>
        <w:t>本期公司对当期列报的终止经营，将可比会计期间原作为持续经营损益列报的信息重新作为终止经营损益列报，可比会计期</w:t>
      </w:r>
      <w:r>
        <w:rPr>
          <w:spacing w:val="-64"/>
        </w:rPr>
        <w:t> </w:t>
      </w:r>
      <w:r>
        <w:rPr>
          <w:spacing w:val="-64"/>
        </w:rPr>
      </w:r>
      <w:r>
        <w:rPr/>
        <w:t>间终止经营信息的追溯调整金额如下：</w:t>
      </w:r>
    </w:p>
    <w:tbl>
      <w:tblPr>
        <w:tblW w:w="0" w:type="auto"/>
        <w:jc w:val="left"/>
        <w:tblInd w:w="146" w:type="dxa"/>
        <w:tblLayout w:type="fixed"/>
        <w:tblCellMar>
          <w:top w:w="0" w:type="dxa"/>
          <w:left w:w="0" w:type="dxa"/>
          <w:bottom w:w="0" w:type="dxa"/>
          <w:right w:w="0" w:type="dxa"/>
        </w:tblCellMar>
        <w:tblLook w:val="01E0"/>
      </w:tblPr>
      <w:tblGrid>
        <w:gridCol w:w="4239"/>
        <w:gridCol w:w="2405"/>
        <w:gridCol w:w="2408"/>
      </w:tblGrid>
      <w:tr>
        <w:trPr>
          <w:trHeight w:val="347" w:hRule="exact"/>
        </w:trPr>
        <w:tc>
          <w:tcPr>
            <w:tcW w:w="4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济宁海情置业有限公司</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8"/>
              <w:jc w:val="right"/>
              <w:rPr>
                <w:rFonts w:ascii="宋体" w:hAnsi="宋体" w:cs="宋体" w:eastAsia="宋体" w:hint="default"/>
                <w:sz w:val="18"/>
                <w:szCs w:val="18"/>
              </w:rPr>
            </w:pPr>
            <w:r>
              <w:rPr>
                <w:rFonts w:ascii="宋体" w:hAnsi="宋体" w:cs="宋体" w:eastAsia="宋体" w:hint="default"/>
                <w:sz w:val="18"/>
                <w:szCs w:val="18"/>
              </w:rPr>
              <w:t>青岛广顺房地产有限公司</w:t>
            </w:r>
          </w:p>
        </w:tc>
      </w:tr>
      <w:tr>
        <w:trPr>
          <w:trHeight w:val="347" w:hRule="exact"/>
        </w:trPr>
        <w:tc>
          <w:tcPr>
            <w:tcW w:w="4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终止经营收入</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85,869,098.14</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45,944,534.28</w:t>
            </w:r>
          </w:p>
        </w:tc>
      </w:tr>
      <w:tr>
        <w:trPr>
          <w:trHeight w:val="347" w:hRule="exact"/>
        </w:trPr>
        <w:tc>
          <w:tcPr>
            <w:tcW w:w="4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2" w:right="0"/>
              <w:jc w:val="left"/>
              <w:rPr>
                <w:rFonts w:ascii="宋体" w:hAnsi="宋体" w:cs="宋体" w:eastAsia="宋体" w:hint="default"/>
                <w:sz w:val="18"/>
                <w:szCs w:val="18"/>
              </w:rPr>
            </w:pPr>
            <w:r>
              <w:rPr>
                <w:rFonts w:ascii="宋体" w:hAnsi="宋体" w:cs="宋体" w:eastAsia="宋体" w:hint="default"/>
                <w:sz w:val="18"/>
                <w:szCs w:val="18"/>
              </w:rPr>
              <w:t>减：终止经营费用</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74,100,519.20</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51,446,008.93</w:t>
            </w:r>
          </w:p>
        </w:tc>
      </w:tr>
      <w:tr>
        <w:trPr>
          <w:trHeight w:val="347" w:hRule="exact"/>
        </w:trPr>
        <w:tc>
          <w:tcPr>
            <w:tcW w:w="4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终止经营利润总额</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11,768,578.94</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-5,501,474.65</w:t>
            </w:r>
          </w:p>
        </w:tc>
      </w:tr>
      <w:tr>
        <w:trPr>
          <w:trHeight w:val="348" w:hRule="exact"/>
        </w:trPr>
        <w:tc>
          <w:tcPr>
            <w:tcW w:w="4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2" w:right="0"/>
              <w:jc w:val="left"/>
              <w:rPr>
                <w:rFonts w:ascii="宋体" w:hAnsi="宋体" w:cs="宋体" w:eastAsia="宋体" w:hint="default"/>
                <w:sz w:val="18"/>
                <w:szCs w:val="18"/>
              </w:rPr>
            </w:pPr>
            <w:r>
              <w:rPr>
                <w:rFonts w:ascii="宋体" w:hAnsi="宋体" w:cs="宋体" w:eastAsia="宋体" w:hint="default"/>
                <w:sz w:val="18"/>
                <w:szCs w:val="18"/>
              </w:rPr>
              <w:t>减：终止经营所得税费用</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2,963,900.33</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3,520,974.18</w:t>
            </w:r>
          </w:p>
        </w:tc>
      </w:tr>
      <w:tr>
        <w:trPr>
          <w:trHeight w:val="347" w:hRule="exact"/>
        </w:trPr>
        <w:tc>
          <w:tcPr>
            <w:tcW w:w="4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终止经营净利润</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8,804,678.61</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-9,022,448.83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239"/>
        <w:gridCol w:w="2405"/>
        <w:gridCol w:w="2408"/>
      </w:tblGrid>
      <w:tr>
        <w:trPr>
          <w:trHeight w:val="347" w:hRule="exact"/>
        </w:trPr>
        <w:tc>
          <w:tcPr>
            <w:tcW w:w="4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2"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其中：归属于母公司所有者的终止经营净利润</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7,924,210.75</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-7,488,632.53</w:t>
            </w:r>
          </w:p>
        </w:tc>
      </w:tr>
      <w:tr>
        <w:trPr>
          <w:trHeight w:val="347" w:hRule="exact"/>
        </w:trPr>
        <w:tc>
          <w:tcPr>
            <w:tcW w:w="4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本期确认的资产减值损失</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本期转回的资产减值损失</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4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终止经营的处置损益总额</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减：终止经营处置所得税费用</w:t>
            </w:r>
            <w:r>
              <w:rPr>
                <w:rFonts w:ascii="Times New Roman" w:hAnsi="Times New Roman" w:cs="Times New Roman" w:eastAsia="Times New Roman" w:hint="default"/>
                <w:sz w:val="18"/>
                <w:szCs w:val="18"/>
              </w:rPr>
              <w:t>(</w:t>
            </w:r>
            <w:r>
              <w:rPr>
                <w:rFonts w:ascii="宋体" w:hAnsi="宋体" w:cs="宋体" w:eastAsia="宋体" w:hint="default"/>
                <w:sz w:val="18"/>
                <w:szCs w:val="18"/>
              </w:rPr>
              <w:t>加：收益</w:t>
            </w:r>
            <w:r>
              <w:rPr>
                <w:rFonts w:ascii="Times New Roman" w:hAnsi="Times New Roman" w:cs="Times New Roman" w:eastAsia="Times New Roman" w:hint="default"/>
                <w:sz w:val="18"/>
                <w:szCs w:val="18"/>
              </w:rPr>
              <w:t>)</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终止经营的处置净损益</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终止经营损益</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8,804,678.61</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-9,022,448.83</w:t>
            </w:r>
          </w:p>
        </w:tc>
      </w:tr>
      <w:tr>
        <w:trPr>
          <w:trHeight w:val="347" w:hRule="exact"/>
        </w:trPr>
        <w:tc>
          <w:tcPr>
            <w:tcW w:w="4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2"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其中：归属于母公司所有者的终止经营损益</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7,924,210.75</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-7,488,632.53</w:t>
            </w:r>
          </w:p>
        </w:tc>
      </w:tr>
      <w:tr>
        <w:trPr>
          <w:trHeight w:val="347" w:hRule="exact"/>
        </w:trPr>
        <w:tc>
          <w:tcPr>
            <w:tcW w:w="4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经营活动现金流量净额</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92,049,774.94</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7,463,537.26</w:t>
            </w:r>
          </w:p>
        </w:tc>
      </w:tr>
      <w:tr>
        <w:trPr>
          <w:trHeight w:val="348" w:hRule="exact"/>
        </w:trPr>
        <w:tc>
          <w:tcPr>
            <w:tcW w:w="4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投资活动现金流量净额</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-40,009,599.00</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108,077,515.37</w:t>
            </w:r>
          </w:p>
        </w:tc>
      </w:tr>
      <w:tr>
        <w:trPr>
          <w:trHeight w:val="347" w:hRule="exact"/>
        </w:trPr>
        <w:tc>
          <w:tcPr>
            <w:tcW w:w="4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筹资活动现金流量净额</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-7,699,700.00</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45,106,482.74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0"/>
        <w:jc w:val="left"/>
        <w:rPr>
          <w:b w:val="0"/>
          <w:bCs w:val="0"/>
        </w:rPr>
      </w:pPr>
      <w:bookmarkStart w:name="2、分部信息" w:id="365"/>
      <w:bookmarkEnd w:id="365"/>
      <w:r>
        <w:rPr>
          <w:b w:val="0"/>
          <w:bCs w:val="0"/>
        </w:rPr>
      </w:r>
      <w:r>
        <w:rPr>
          <w:rFonts w:ascii="Times New Roman" w:hAnsi="Times New Roman" w:cs="Times New Roman" w:eastAsia="Times New Roman" w:hint="default"/>
        </w:rPr>
        <w:t>2</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报告分部的确定依据与会计政策" w:id="366"/>
      <w:bookmarkEnd w:id="366"/>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033" w:firstLine="360"/>
        <w:jc w:val="left"/>
      </w:pPr>
      <w:r>
        <w:rPr>
          <w:spacing w:val="-2"/>
        </w:rPr>
        <w:t>根据本公司的内部组织结构、管理要求及内部报告制度，由于本期公司开始涉足供应链管理业务，因此本公司的经营业</w:t>
      </w:r>
      <w:r>
        <w:rPr/>
        <w:t> 务由</w:t>
      </w:r>
      <w:r>
        <w:rPr>
          <w:rFonts w:ascii="Times New Roman" w:hAnsi="Times New Roman" w:cs="Times New Roman" w:eastAsia="Times New Roman" w:hint="default"/>
        </w:rPr>
        <w:t>2</w:t>
      </w:r>
      <w:r>
        <w:rPr/>
        <w:t>个经营分部变更为</w:t>
      </w:r>
      <w:r>
        <w:rPr>
          <w:rFonts w:ascii="Times New Roman" w:hAnsi="Times New Roman" w:cs="Times New Roman" w:eastAsia="Times New Roman" w:hint="default"/>
        </w:rPr>
        <w:t>3</w:t>
      </w:r>
      <w:r>
        <w:rPr/>
        <w:t>个经营分部，本公司的管理层定期评价这些分部的经营成果，以决定向其分配资源及评价其业绩。</w:t>
      </w:r>
      <w:r>
        <w:rPr>
          <w:spacing w:val="-85"/>
        </w:rPr>
        <w:t> </w:t>
      </w:r>
      <w:r>
        <w:rPr>
          <w:spacing w:val="-85"/>
        </w:rPr>
      </w:r>
      <w:r>
        <w:rPr/>
        <w:t>在经营分部的基础上本公司确定了</w:t>
      </w:r>
      <w:r>
        <w:rPr>
          <w:rFonts w:ascii="Times New Roman" w:hAnsi="Times New Roman" w:cs="Times New Roman" w:eastAsia="Times New Roman" w:hint="default"/>
        </w:rPr>
        <w:t>4</w:t>
      </w:r>
      <w:r>
        <w:rPr/>
        <w:t>个报告分部，分别为房地产业务、广告传媒业务、供应链管理业务和其他。这些报告分 </w:t>
      </w:r>
      <w:r>
        <w:rPr>
          <w:spacing w:val="-2"/>
        </w:rPr>
        <w:t>部是以业务性质为基础确定的。本公司各个报告分部提供的主要产品及劳务分别为房地产开发、媒体广告服务及供应链管理</w:t>
      </w:r>
      <w:r>
        <w:rPr>
          <w:spacing w:val="-64"/>
        </w:rPr>
        <w:t> </w:t>
      </w:r>
      <w:r>
        <w:rPr>
          <w:spacing w:val="-64"/>
        </w:rPr>
      </w:r>
      <w:r>
        <w:rPr/>
        <w:t>服务。</w:t>
      </w:r>
    </w:p>
    <w:p>
      <w:pPr>
        <w:pStyle w:val="BodyText"/>
        <w:spacing w:line="316" w:lineRule="auto" w:before="24"/>
        <w:ind w:right="0" w:firstLine="360"/>
        <w:jc w:val="left"/>
      </w:pPr>
      <w:r>
        <w:rPr>
          <w:spacing w:val="-2"/>
        </w:rPr>
        <w:t>分部报告信息根据各分部向管理层报告时采用的会计政策及计量标准披露，这些计量基础与编制财务报表时的会计与计</w:t>
      </w:r>
      <w:r>
        <w:rPr/>
        <w:t> 量基础保持一致。</w:t>
      </w:r>
    </w:p>
    <w:p>
      <w:pPr>
        <w:pStyle w:val="BodyText"/>
        <w:spacing w:line="300" w:lineRule="auto" w:before="19"/>
        <w:ind w:right="0" w:firstLine="360"/>
        <w:jc w:val="left"/>
      </w:pPr>
      <w:r>
        <w:rPr>
          <w:spacing w:val="-1"/>
        </w:rPr>
        <w:t>上期将除广告传媒业务之外的所有公司都在房地产业务分部列示</w:t>
      </w:r>
      <w:r>
        <w:rPr>
          <w:rFonts w:ascii="Times New Roman" w:hAnsi="Times New Roman" w:cs="Times New Roman" w:eastAsia="Times New Roman" w:hint="default"/>
          <w:spacing w:val="-1"/>
        </w:rPr>
        <w:t>(</w:t>
      </w:r>
      <w:r>
        <w:rPr>
          <w:spacing w:val="-1"/>
        </w:rPr>
        <w:t>包括本部和大通资本等子公司</w:t>
      </w:r>
      <w:r>
        <w:rPr>
          <w:rFonts w:ascii="Times New Roman" w:hAnsi="Times New Roman" w:cs="Times New Roman" w:eastAsia="Times New Roman" w:hint="default"/>
          <w:spacing w:val="-1"/>
        </w:rPr>
        <w:t>)</w:t>
      </w:r>
      <w:r>
        <w:rPr>
          <w:spacing w:val="-1"/>
        </w:rPr>
        <w:t>，由于房地产业务已于</w:t>
      </w:r>
      <w:r>
        <w:rPr/>
        <w:t> 本期剥离，因此本期将其单独列示在其他，并对上期数据进行重新列报。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0"/>
        <w:jc w:val="left"/>
        <w:rPr>
          <w:b w:val="0"/>
          <w:bCs w:val="0"/>
        </w:rPr>
      </w:pPr>
      <w:bookmarkStart w:name="（2）报告分部的财务信息" w:id="367"/>
      <w:bookmarkEnd w:id="36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房地产业务</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广告传媒业务</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分部间抵销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367,635,534.61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1,038,401,794.19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104,329,176.71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1,510,366,505.51</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335,867,816.53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682,631,170.97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106,834,438.50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-61,548,217.85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1,063,785,208.15</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r>
              <w:rPr>
                <w:rFonts w:ascii="Times New Roman" w:hAnsi="Times New Roman" w:cs="Times New Roman" w:eastAsia="Times New Roman" w:hint="default"/>
                <w:sz w:val="18"/>
                <w:szCs w:val="18"/>
              </w:rPr>
              <w:t>)</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31,767,718.08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355,770,623.22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-2,505,261.79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61,548,217.85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446,581,297.36</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非流动资产总额</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213,872,296.95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97,412.57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2,837,962,119.07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center"/>
              <w:rPr>
                <w:rFonts w:ascii="Times New Roman" w:hAnsi="Times New Roman" w:cs="Times New Roman" w:eastAsia="Times New Roman" w:hint="default"/>
                <w:sz w:val="18"/>
                <w:szCs w:val="18"/>
              </w:rPr>
            </w:pPr>
            <w:r>
              <w:rPr>
                <w:rFonts w:ascii="Times New Roman"/>
                <w:sz w:val="18"/>
              </w:rPr>
              <w:t>-551,697,255.89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2,500,234,572.70</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1,060,704,943.69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149,085,159.66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5,330,602,871.01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center"/>
              <w:rPr>
                <w:rFonts w:ascii="Times New Roman" w:hAnsi="Times New Roman" w:cs="Times New Roman" w:eastAsia="Times New Roman" w:hint="default"/>
                <w:sz w:val="18"/>
                <w:szCs w:val="18"/>
              </w:rPr>
            </w:pPr>
            <w:r>
              <w:rPr>
                <w:rFonts w:ascii="Times New Roman"/>
                <w:sz w:val="18"/>
              </w:rPr>
              <w:t>-768,464,659.93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5,771,928,314.43</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270,133,313.40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141,590,421.45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180,105,014.01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center"/>
              <w:rPr>
                <w:rFonts w:ascii="Times New Roman" w:hAnsi="Times New Roman" w:cs="Times New Roman" w:eastAsia="Times New Roman" w:hint="default"/>
                <w:sz w:val="18"/>
                <w:szCs w:val="18"/>
              </w:rPr>
            </w:pPr>
            <w:r>
              <w:rPr>
                <w:rFonts w:ascii="Times New Roman"/>
                <w:sz w:val="18"/>
              </w:rPr>
              <w:t>-216,767,404.04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375,061,344.82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五、母公司财务报表主要项目注释" w:id="368"/>
      <w:bookmarkEnd w:id="368"/>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 w:id="369"/>
      <w:bookmarkEnd w:id="369"/>
      <w:r>
        <w:rPr>
          <w:b w:val="0"/>
          <w:bCs w:val="0"/>
        </w:rPr>
      </w:r>
      <w:r>
        <w:rPr>
          <w:rFonts w:ascii="Times New Roman" w:hAnsi="Times New Roman" w:cs="Times New Roman" w:eastAsia="Times New Roman" w:hint="default"/>
        </w:rPr>
        <w:t>1</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70"/>
      <w:bookmarkEnd w:id="37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356,569,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693.78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1,036,51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355,533,1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78.41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203,845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,528.00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402,629.4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203,442,89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8.60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356,569,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693.78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1,036,51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0.29%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355,533,1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78.41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203,845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,528.00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402,629.4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0.20%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203,442,89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8.60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475" w:space="444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82,072,501.09</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14,709.39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82,087,210.48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1,222,407.80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244,481.56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791,739.62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791,739.62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84,101,357.90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1,036,515.37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w:t>
            </w: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371"/>
      <w:bookmarkEnd w:id="37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6"/>
        </w:rPr>
        <w:t> </w:t>
      </w:r>
      <w:r>
        <w:rPr>
          <w:rFonts w:ascii="Times New Roman" w:hAnsi="Times New Roman" w:cs="Times New Roman" w:eastAsia="Times New Roman" w:hint="default"/>
        </w:rPr>
        <w:t>633,885.97</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其中本期坏账准备转回或收回金额重要的：</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其他应收款按款项性质分类情况" w:id="372"/>
      <w:bookmarkEnd w:id="372"/>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151,486,000.00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1,236,367.80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1,299,387.80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员工备用金及垫付款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60,037.48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102,372.21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其他单位往来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804,952.62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378,181.24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202,982,335.88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202,065,586.75</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356,569,693.78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203,845,528.00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按欠款方归集的期末余额前五名的其他应收款情况" w:id="373"/>
      <w:bookmarkEnd w:id="373"/>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深圳大通致远供应链 管理有限公司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130,019,747.00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天津星合通达资产管 理有限公司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浙江视科文化传播有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70,703,098.42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青岛亚星实业有限公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69,486,000.00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天津长安投资管理公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租赁保证金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1,156,156.80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231,231.36</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353,365,002.22</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231,231.36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长期股权投资" w:id="374"/>
      <w:bookmarkEnd w:id="374"/>
      <w:r>
        <w:rPr>
          <w:b w:val="0"/>
          <w:bCs w:val="0"/>
        </w:rPr>
      </w:r>
      <w:r>
        <w:rPr>
          <w:rFonts w:ascii="Times New Roman" w:hAnsi="Times New Roman" w:cs="Times New Roman" w:eastAsia="Times New Roman" w:hint="default"/>
        </w:rPr>
        <w:t>2</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68"/>
        <w:gridCol w:w="1357"/>
        <w:gridCol w:w="1367"/>
        <w:gridCol w:w="1367"/>
        <w:gridCol w:w="1367"/>
        <w:gridCol w:w="1367"/>
        <w:gridCol w:w="1367"/>
      </w:tblGrid>
      <w:tr>
        <w:trPr>
          <w:trHeight w:val="20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4091"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2,835,986,027.63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2,835,986,027.63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3,055,548,264.63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3,055,548,264.63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236,143,988.54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236,143,988.54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2,835,986,027.63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2,835,986,027.63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3,291,692,253.17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3,291,692,253.17</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1）对子公司投资" w:id="375"/>
      <w:bookmarkEnd w:id="37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青岛广顺房地产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46,384,740.35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46,384,740.35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济宁海情置业有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189,177,496.65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189,177,496.65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绵阳亿嘉合投资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5,753,300.00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5,753,300.00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冉十科技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1,080,953,727.41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1,080,953,727.41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浙江视科文化传 播有限公司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1,725,279,000.22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1,725,279,000.22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青岛大通资本有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深圳大通致远供 应链公司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深圳大通信息科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3,055,548,264.63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235,562,237.00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2,835,986,027.63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对联营、合营企业投资" w:id="376"/>
      <w:bookmarkEnd w:id="37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对联营企 业投资</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236,143,9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88.54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234,112,9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61.35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-2,031,02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236,143,9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234,112,9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-2,031,02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1" w:right="0"/>
              <w:jc w:val="left"/>
              <w:rPr>
                <w:rFonts w:ascii="Times New Roman" w:hAnsi="Times New Roman" w:cs="Times New Roman" w:eastAsia="Times New Roman" w:hint="default"/>
                <w:sz w:val="18"/>
                <w:szCs w:val="18"/>
              </w:rPr>
            </w:pPr>
            <w:r>
              <w:rPr>
                <w:rFonts w:ascii="Times New Roman"/>
                <w:sz w:val="18"/>
              </w:rPr>
              <w:t>88.54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9" w:right="0"/>
              <w:jc w:val="left"/>
              <w:rPr>
                <w:rFonts w:ascii="Times New Roman" w:hAnsi="Times New Roman" w:cs="Times New Roman" w:eastAsia="Times New Roman" w:hint="default"/>
                <w:sz w:val="18"/>
                <w:szCs w:val="18"/>
              </w:rPr>
            </w:pPr>
            <w:r>
              <w:rPr>
                <w:rFonts w:ascii="Times New Roman"/>
                <w:sz w:val="18"/>
              </w:rPr>
              <w:t>61.35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7.19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236,143,9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88.54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234,112,9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61.35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-2,031,02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投资收益" w:id="377"/>
      <w:bookmarkEnd w:id="377"/>
      <w:r>
        <w:rPr>
          <w:b w:val="0"/>
          <w:bCs w:val="0"/>
        </w:rPr>
      </w:r>
      <w:r>
        <w:rPr>
          <w:rFonts w:ascii="Times New Roman" w:hAnsi="Times New Roman" w:cs="Times New Roman" w:eastAsia="Times New Roman" w:hint="default"/>
        </w:rPr>
        <w:t>3</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133,317,000.00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261,780,000.00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-2,031,027.19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-856,011.46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-58,929,198.35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27,314,842.97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4,061,791.16</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99,671,617.43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264,985,779.70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六、补充资料" w:id="378"/>
      <w:bookmarkEnd w:id="378"/>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79"/>
      <w:bookmarkEnd w:id="37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24,579,759.85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股权转让收益</w:t>
            </w: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1,694,083.90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代扣代缴个税手续费、财政扶持资金。</w:t>
            </w: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130,100.12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29,128,946.09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-14,937.36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461,572.29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183,903.58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54,872,476.73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净资产收益率及每股收益" w:id="380"/>
      <w:bookmarkEnd w:id="38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6.85%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0.6847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0.6847</w:t>
            </w:r>
            <w:r>
              <w:rPr>
                <w:rFonts w:ascii="Times New Roman"/>
                <w:sz w:val="18"/>
              </w:rPr>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b/>
                <w:sz w:val="18"/>
              </w:rPr>
              <w:t>5.80%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b/>
                <w:sz w:val="18"/>
              </w:rPr>
              <w:t>0.5797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b/>
                <w:sz w:val="18"/>
              </w:rPr>
              <w:t>0.5797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366" w:right="0"/>
        <w:jc w:val="left"/>
        <w:rPr>
          <w:b w:val="0"/>
          <w:bCs w:val="0"/>
        </w:rPr>
      </w:pPr>
      <w:bookmarkStart w:name="第十二节备查文件目录" w:id="381"/>
      <w:bookmarkEnd w:id="381"/>
      <w:r>
        <w:rPr>
          <w:b w:val="0"/>
          <w:bCs w:val="0"/>
        </w:rPr>
      </w:r>
      <w:bookmarkStart w:name="_bookmark11" w:id="382"/>
      <w:bookmarkEnd w:id="382"/>
      <w:r>
        <w:rPr>
          <w:b w:val="0"/>
          <w:bCs w:val="0"/>
        </w:rPr>
      </w:r>
      <w:r>
        <w:rPr/>
        <w:t>第十二节备查文件目录</w:t>
      </w:r>
      <w:r>
        <w:rPr>
          <w:b w:val="0"/>
          <w:bCs w:val="0"/>
        </w:rPr>
      </w:r>
    </w:p>
    <w:p>
      <w:pPr>
        <w:spacing w:line="240" w:lineRule="auto" w:before="7"/>
        <w:rPr>
          <w:rFonts w:ascii="宋体" w:hAnsi="宋体" w:cs="宋体" w:eastAsia="宋体" w:hint="default"/>
          <w:b/>
          <w:bCs/>
          <w:sz w:val="42"/>
          <w:szCs w:val="42"/>
        </w:rPr>
      </w:pPr>
    </w:p>
    <w:p>
      <w:pPr>
        <w:pStyle w:val="BodyText"/>
        <w:spacing w:line="316" w:lineRule="auto"/>
        <w:ind w:right="3733"/>
        <w:jc w:val="left"/>
      </w:pPr>
      <w:r>
        <w:rPr/>
        <w:t>一、载有法定代表人、主管会计工作负责人、会计机构负责人签名并盖章的会计报表； 二、载有会计师事务所盖章、注册会计师签名并盖章的审计报告原件； 三、报告期内在中国证监会指定报纸上公开披露过的所有公司文件的正本及公告的原稿。</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0152" type="#_x0000_t75" stroked="false">
          <v:imagedata r:id="rId1" o:title=""/>
        </v:shape>
      </w:pict>
    </w:r>
    <w:r>
      <w:rPr/>
      <w:pict>
        <v:shape style="position:absolute;margin-left:533.179993pt;margin-top:795.517944pt;width:6.5pt;height:11pt;mso-position-horizontal-relative:page;mso-position-vertical-relative:page;z-index:-8601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0104" type="#_x0000_t75" stroked="false">
          <v:imagedata r:id="rId1" o:title=""/>
        </v:shape>
      </w:pict>
    </w:r>
    <w:r>
      <w:rPr/>
      <w:pict>
        <v:shape style="position:absolute;margin-left:527.679993pt;margin-top:781.957947pt;width:13pt;height:11pt;mso-position-horizontal-relative:page;mso-position-vertical-relative:page;z-index:-860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0056" type="#_x0000_t75" stroked="false">
          <v:imagedata r:id="rId1" o:title=""/>
        </v:shape>
      </w:pict>
    </w:r>
    <w:r>
      <w:rPr/>
      <w:pict>
        <v:shape style="position:absolute;margin-left:524.179993pt;margin-top:781.957947pt;width:15.5pt;height:11pt;mso-position-horizontal-relative:page;mso-position-vertical-relative:page;z-index:-8600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0008" type="#_x0000_t75" stroked="false">
          <v:imagedata r:id="rId1" o:title=""/>
        </v:shape>
      </w:pict>
    </w:r>
    <w:r>
      <w:rPr/>
      <w:pict>
        <v:shape style="position:absolute;margin-left:523.179993pt;margin-top:781.957947pt;width:17.5pt;height:11pt;mso-position-horizontal-relative:page;mso-position-vertical-relative:page;z-index:-859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860176" type="#_x0000_t202" filled="false" stroked="false">
          <v:textbox inset="0,0,0,0">
            <w:txbxContent>
              <w:p>
                <w:pPr>
                  <w:pStyle w:val="BodyText"/>
                  <w:spacing w:line="214" w:lineRule="exact"/>
                  <w:ind w:left="20" w:right="0"/>
                  <w:jc w:val="left"/>
                </w:pPr>
                <w:r>
                  <w:rPr/>
                  <w:t>深圳大通实业股份有限公司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134"/>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hinadatong.com/" TargetMode="External"/><Relationship Id="rId10" Type="http://schemas.openxmlformats.org/officeDocument/2006/relationships/hyperlink" Target="mailto:datongstock@163.com" TargetMode="External"/><Relationship Id="rId11" Type="http://schemas.openxmlformats.org/officeDocument/2006/relationships/hyperlink" Target="http://www.cninfo.com.cn/" TargetMode="External"/><Relationship Id="rId12" Type="http://schemas.openxmlformats.org/officeDocument/2006/relationships/hyperlink" Target="http://www/" TargetMode="External"/><Relationship Id="rId13" Type="http://schemas.openxmlformats.org/officeDocument/2006/relationships/hyperlink" Target="http://www.cninfo.co/" TargetMode="External"/><Relationship Id="rId14" Type="http://schemas.openxmlformats.org/officeDocument/2006/relationships/image" Target="media/image3.jpeg"/><Relationship Id="rId15" Type="http://schemas.openxmlformats.org/officeDocument/2006/relationships/footer" Target="footer3.xml"/><Relationship Id="rId16"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深圳大通实业股份有限公司</dc:creator>
  <dc:title>深圳大通实业股份有限公司2017年年度报告全文</dc:title>
  <dcterms:created xsi:type="dcterms:W3CDTF">2020-05-02T19:18:32Z</dcterms:created>
  <dcterms:modified xsi:type="dcterms:W3CDTF">2020-05-02T19:18:32Z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2018-04-25T00:00:00Z</vt:filetime>
  </property>
  <property fmtid="{D5CDD505-2E9C-101B-9397-08002B2CF9AE}" pid="3" name="Creator">
    <vt:lpwstr>Microsoft® Office Word 2007</vt:lpwstr>
  </property>
  <property fmtid="{D5CDD505-2E9C-101B-9397-08002B2CF9AE}" pid="4" name="LastSaved">
    <vt:filetime>2020-05-02T00:00:00Z</vt:filetime>
  </property>
</Properties>
</file>